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A4E08">
      <w:pPr>
        <w:spacing w:line="720" w:lineRule="auto"/>
        <w:jc w:val="center"/>
        <w:rPr>
          <w:rFonts w:hint="eastAsia" w:ascii="Times New Roman" w:hAnsi="Times New Roman" w:eastAsia="宋体" w:cs="Times New Roman"/>
          <w:b/>
          <w:bCs/>
          <w:kern w:val="0"/>
          <w:sz w:val="44"/>
          <w:szCs w:val="24"/>
        </w:rPr>
      </w:pPr>
      <w:bookmarkStart w:id="0" w:name="_Hlk8504611"/>
    </w:p>
    <w:p w14:paraId="38A78D38">
      <w:pPr>
        <w:spacing w:line="720" w:lineRule="auto"/>
        <w:jc w:val="center"/>
        <w:rPr>
          <w:rFonts w:ascii="Times New Roman" w:hAnsi="Times New Roman" w:eastAsia="宋体" w:cs="Times New Roman"/>
          <w:b/>
          <w:bCs/>
          <w:kern w:val="0"/>
          <w:sz w:val="44"/>
          <w:szCs w:val="24"/>
        </w:rPr>
      </w:pPr>
      <w:r>
        <w:rPr>
          <w:rFonts w:hint="eastAsia" w:ascii="Times New Roman" w:hAnsi="Times New Roman" w:eastAsia="宋体" w:cs="Times New Roman"/>
          <w:b/>
          <w:bCs/>
          <w:kern w:val="0"/>
          <w:sz w:val="44"/>
          <w:szCs w:val="24"/>
        </w:rPr>
        <w:t>怀化高新技术产业开发区鹤城片区</w:t>
      </w:r>
      <w:r>
        <w:rPr>
          <w:rFonts w:ascii="Times New Roman" w:hAnsi="Times New Roman" w:eastAsia="宋体" w:cs="Times New Roman"/>
          <w:b/>
          <w:bCs/>
          <w:kern w:val="0"/>
          <w:sz w:val="44"/>
          <w:szCs w:val="24"/>
        </w:rPr>
        <w:t>生态环境管理202</w:t>
      </w:r>
      <w:r>
        <w:rPr>
          <w:rFonts w:hint="eastAsia" w:ascii="Times New Roman" w:hAnsi="Times New Roman" w:eastAsia="宋体" w:cs="Times New Roman"/>
          <w:b/>
          <w:bCs/>
          <w:kern w:val="0"/>
          <w:sz w:val="44"/>
          <w:szCs w:val="24"/>
          <w:lang w:val="en-US" w:eastAsia="zh-CN"/>
        </w:rPr>
        <w:t>5</w:t>
      </w:r>
      <w:r>
        <w:rPr>
          <w:rFonts w:ascii="Times New Roman" w:hAnsi="Times New Roman" w:eastAsia="宋体" w:cs="Times New Roman"/>
          <w:b/>
          <w:bCs/>
          <w:kern w:val="0"/>
          <w:sz w:val="44"/>
          <w:szCs w:val="24"/>
        </w:rPr>
        <w:t>年度</w:t>
      </w:r>
    </w:p>
    <w:p w14:paraId="13FB5935">
      <w:pPr>
        <w:spacing w:line="720" w:lineRule="auto"/>
        <w:jc w:val="center"/>
        <w:rPr>
          <w:rFonts w:ascii="Times New Roman" w:hAnsi="Times New Roman" w:eastAsia="宋体" w:cs="Times New Roman"/>
          <w:b/>
          <w:bCs/>
          <w:kern w:val="0"/>
          <w:sz w:val="44"/>
          <w:szCs w:val="24"/>
        </w:rPr>
      </w:pPr>
    </w:p>
    <w:p w14:paraId="28E4C836">
      <w:pPr>
        <w:spacing w:line="720" w:lineRule="auto"/>
        <w:jc w:val="center"/>
        <w:rPr>
          <w:rFonts w:ascii="Times New Roman" w:hAnsi="Times New Roman" w:eastAsia="宋体" w:cs="Times New Roman"/>
          <w:b/>
          <w:bCs/>
          <w:kern w:val="0"/>
          <w:sz w:val="44"/>
          <w:szCs w:val="24"/>
        </w:rPr>
      </w:pPr>
    </w:p>
    <w:p w14:paraId="30F3E787">
      <w:pPr>
        <w:spacing w:line="720" w:lineRule="auto"/>
        <w:jc w:val="center"/>
        <w:rPr>
          <w:rFonts w:ascii="Times New Roman" w:hAnsi="Times New Roman" w:eastAsia="宋体" w:cs="Times New Roman"/>
          <w:b/>
          <w:bCs/>
          <w:kern w:val="0"/>
          <w:sz w:val="44"/>
          <w:szCs w:val="24"/>
        </w:rPr>
      </w:pPr>
      <w:r>
        <w:rPr>
          <w:rFonts w:ascii="Times New Roman" w:hAnsi="Times New Roman" w:eastAsia="宋体" w:cs="Times New Roman"/>
          <w:b/>
          <w:bCs/>
          <w:kern w:val="0"/>
          <w:sz w:val="44"/>
          <w:szCs w:val="24"/>
        </w:rPr>
        <w:t>自</w:t>
      </w:r>
    </w:p>
    <w:p w14:paraId="179876B4">
      <w:pPr>
        <w:spacing w:line="720" w:lineRule="auto"/>
        <w:jc w:val="center"/>
        <w:rPr>
          <w:rFonts w:ascii="Times New Roman" w:hAnsi="Times New Roman" w:eastAsia="宋体" w:cs="Times New Roman"/>
          <w:b/>
          <w:bCs/>
          <w:kern w:val="0"/>
          <w:sz w:val="44"/>
          <w:szCs w:val="24"/>
        </w:rPr>
      </w:pPr>
      <w:r>
        <w:rPr>
          <w:rFonts w:ascii="Times New Roman" w:hAnsi="Times New Roman" w:eastAsia="宋体" w:cs="Times New Roman"/>
          <w:b/>
          <w:bCs/>
          <w:kern w:val="0"/>
          <w:sz w:val="44"/>
          <w:szCs w:val="24"/>
        </w:rPr>
        <w:t>评</w:t>
      </w:r>
    </w:p>
    <w:p w14:paraId="63909440">
      <w:pPr>
        <w:spacing w:line="720" w:lineRule="auto"/>
        <w:jc w:val="center"/>
        <w:rPr>
          <w:rFonts w:ascii="Times New Roman" w:hAnsi="Times New Roman" w:eastAsia="宋体" w:cs="Times New Roman"/>
          <w:b/>
          <w:bCs/>
          <w:kern w:val="0"/>
          <w:sz w:val="44"/>
          <w:szCs w:val="24"/>
        </w:rPr>
      </w:pPr>
      <w:r>
        <w:rPr>
          <w:rFonts w:ascii="Times New Roman" w:hAnsi="Times New Roman" w:eastAsia="宋体" w:cs="Times New Roman"/>
          <w:b/>
          <w:bCs/>
          <w:kern w:val="0"/>
          <w:sz w:val="44"/>
          <w:szCs w:val="24"/>
        </w:rPr>
        <w:t>估</w:t>
      </w:r>
    </w:p>
    <w:p w14:paraId="7D47DE28">
      <w:pPr>
        <w:spacing w:line="720" w:lineRule="auto"/>
        <w:jc w:val="center"/>
        <w:rPr>
          <w:rFonts w:ascii="Times New Roman" w:hAnsi="Times New Roman" w:eastAsia="宋体" w:cs="Times New Roman"/>
          <w:b/>
          <w:bCs/>
          <w:kern w:val="0"/>
          <w:sz w:val="44"/>
          <w:szCs w:val="24"/>
        </w:rPr>
      </w:pPr>
      <w:r>
        <w:rPr>
          <w:rFonts w:ascii="Times New Roman" w:hAnsi="Times New Roman" w:eastAsia="宋体" w:cs="Times New Roman"/>
          <w:b/>
          <w:bCs/>
          <w:kern w:val="0"/>
          <w:sz w:val="44"/>
          <w:szCs w:val="24"/>
        </w:rPr>
        <w:t>报</w:t>
      </w:r>
    </w:p>
    <w:p w14:paraId="011213F3">
      <w:pPr>
        <w:spacing w:line="720" w:lineRule="auto"/>
        <w:jc w:val="center"/>
        <w:rPr>
          <w:rFonts w:ascii="Times New Roman" w:hAnsi="Times New Roman" w:eastAsia="宋体" w:cs="Times New Roman"/>
          <w:b/>
          <w:bCs/>
          <w:kern w:val="0"/>
          <w:sz w:val="44"/>
          <w:szCs w:val="24"/>
        </w:rPr>
      </w:pPr>
      <w:r>
        <w:rPr>
          <w:rFonts w:ascii="Times New Roman" w:hAnsi="Times New Roman" w:eastAsia="宋体" w:cs="Times New Roman"/>
          <w:b/>
          <w:bCs/>
          <w:kern w:val="0"/>
          <w:sz w:val="44"/>
          <w:szCs w:val="24"/>
        </w:rPr>
        <w:t>告</w:t>
      </w:r>
    </w:p>
    <w:p w14:paraId="171BEA9C">
      <w:pPr>
        <w:ind w:firstLine="723"/>
        <w:jc w:val="center"/>
        <w:rPr>
          <w:rFonts w:ascii="Times New Roman" w:hAnsi="Times New Roman" w:eastAsia="宋体" w:cs="Times New Roman"/>
          <w:b/>
          <w:bCs/>
          <w:kern w:val="0"/>
          <w:sz w:val="40"/>
          <w:szCs w:val="24"/>
        </w:rPr>
      </w:pPr>
    </w:p>
    <w:p w14:paraId="087580C8">
      <w:pPr>
        <w:ind w:firstLine="723"/>
        <w:jc w:val="center"/>
        <w:rPr>
          <w:rFonts w:ascii="Times New Roman" w:hAnsi="Times New Roman" w:eastAsia="宋体" w:cs="Times New Roman"/>
          <w:b/>
          <w:bCs/>
          <w:kern w:val="0"/>
          <w:sz w:val="40"/>
          <w:szCs w:val="24"/>
        </w:rPr>
      </w:pPr>
    </w:p>
    <w:p w14:paraId="5EF2684B">
      <w:pPr>
        <w:jc w:val="center"/>
        <w:rPr>
          <w:rFonts w:ascii="Times New Roman" w:hAnsi="Times New Roman" w:eastAsia="宋体" w:cs="Times New Roman"/>
          <w:sz w:val="40"/>
          <w:szCs w:val="24"/>
        </w:rPr>
      </w:pPr>
    </w:p>
    <w:p w14:paraId="6A0C33CB">
      <w:pPr>
        <w:spacing w:line="600" w:lineRule="auto"/>
        <w:jc w:val="center"/>
        <w:rPr>
          <w:rFonts w:hint="eastAsia" w:ascii="Times New Roman" w:hAnsi="Times New Roman" w:eastAsia="宋体" w:cs="Times New Roman"/>
          <w:b/>
          <w:bCs/>
          <w:kern w:val="0"/>
          <w:sz w:val="36"/>
          <w:szCs w:val="24"/>
          <w:lang w:val="en-US" w:eastAsia="zh-CN"/>
        </w:rPr>
      </w:pPr>
      <w:r>
        <w:rPr>
          <w:rFonts w:hint="eastAsia" w:ascii="Times New Roman" w:hAnsi="Times New Roman" w:eastAsia="宋体" w:cs="Times New Roman"/>
          <w:b/>
          <w:bCs/>
          <w:kern w:val="0"/>
          <w:sz w:val="36"/>
          <w:szCs w:val="24"/>
          <w:lang w:val="en-US" w:eastAsia="zh-CN"/>
        </w:rPr>
        <w:t>怀化高新技术产业开发区鹤城片区管理办公室</w:t>
      </w:r>
    </w:p>
    <w:p w14:paraId="50DC113C">
      <w:pPr>
        <w:spacing w:line="600" w:lineRule="auto"/>
        <w:jc w:val="center"/>
      </w:pPr>
      <w:r>
        <w:rPr>
          <w:rFonts w:ascii="Times New Roman" w:hAnsi="Times New Roman" w:eastAsia="宋体" w:cs="Times New Roman"/>
          <w:b/>
          <w:bCs/>
          <w:kern w:val="0"/>
          <w:sz w:val="36"/>
          <w:szCs w:val="24"/>
        </w:rPr>
        <w:t>202</w:t>
      </w:r>
      <w:r>
        <w:rPr>
          <w:rFonts w:hint="eastAsia" w:ascii="Times New Roman" w:hAnsi="Times New Roman" w:eastAsia="宋体" w:cs="Times New Roman"/>
          <w:b/>
          <w:bCs/>
          <w:kern w:val="0"/>
          <w:sz w:val="36"/>
          <w:szCs w:val="24"/>
          <w:lang w:val="en-US" w:eastAsia="zh-CN"/>
        </w:rPr>
        <w:t>6</w:t>
      </w:r>
      <w:r>
        <w:rPr>
          <w:rFonts w:ascii="Times New Roman" w:hAnsi="Times New Roman" w:eastAsia="宋体" w:cs="Times New Roman"/>
          <w:b/>
          <w:bCs/>
          <w:kern w:val="0"/>
          <w:sz w:val="36"/>
          <w:szCs w:val="24"/>
        </w:rPr>
        <w:t>年</w:t>
      </w:r>
      <w:r>
        <w:rPr>
          <w:rFonts w:hint="eastAsia" w:ascii="Times New Roman" w:hAnsi="Times New Roman" w:eastAsia="宋体" w:cs="Times New Roman"/>
          <w:b/>
          <w:bCs/>
          <w:kern w:val="0"/>
          <w:sz w:val="36"/>
          <w:szCs w:val="24"/>
          <w:lang w:val="en-US" w:eastAsia="zh-CN"/>
        </w:rPr>
        <w:t>1</w:t>
      </w:r>
      <w:r>
        <w:rPr>
          <w:rFonts w:ascii="Times New Roman" w:hAnsi="Times New Roman" w:eastAsia="宋体" w:cs="Times New Roman"/>
          <w:b/>
          <w:bCs/>
          <w:kern w:val="0"/>
          <w:sz w:val="36"/>
          <w:szCs w:val="24"/>
        </w:rPr>
        <w:t>月</w:t>
      </w:r>
      <w:r>
        <w:rPr>
          <w:rFonts w:hint="eastAsia" w:ascii="Times New Roman" w:hAnsi="Times New Roman" w:eastAsia="宋体" w:cs="Times New Roman"/>
          <w:b/>
          <w:bCs/>
          <w:kern w:val="0"/>
          <w:sz w:val="36"/>
          <w:szCs w:val="24"/>
          <w:lang w:val="en-US" w:eastAsia="zh-CN"/>
        </w:rPr>
        <w:t>1</w:t>
      </w:r>
      <w:r>
        <w:rPr>
          <w:rFonts w:ascii="Times New Roman" w:hAnsi="Times New Roman" w:eastAsia="宋体" w:cs="Times New Roman"/>
          <w:b/>
          <w:bCs/>
          <w:kern w:val="0"/>
          <w:sz w:val="36"/>
          <w:szCs w:val="24"/>
        </w:rPr>
        <w:t>日</w:t>
      </w:r>
    </w:p>
    <w:p w14:paraId="09A38CCE">
      <w:pPr>
        <w:pStyle w:val="13"/>
        <w:keepNext w:val="0"/>
        <w:keepLines w:val="0"/>
        <w:pageBreakBefore w:val="0"/>
        <w:widowControl w:val="0"/>
        <w:tabs>
          <w:tab w:val="right" w:leader="dot" w:pos="8296"/>
        </w:tabs>
        <w:kinsoku/>
        <w:wordWrap/>
        <w:overflowPunct/>
        <w:topLinePunct w:val="0"/>
        <w:autoSpaceDE/>
        <w:autoSpaceDN/>
        <w:bidi w:val="0"/>
        <w:adjustRightInd/>
        <w:snapToGrid/>
        <w:spacing w:line="360" w:lineRule="auto"/>
        <w:ind w:left="-840" w:leftChars="-300"/>
        <w:textAlignment w:val="auto"/>
        <w:rPr>
          <w:rFonts w:hint="default" w:ascii="Times New Roman" w:hAnsi="Times New Roman" w:eastAsia="仿宋" w:cs="Times New Roman"/>
          <w:b/>
          <w:color w:val="auto"/>
          <w:spacing w:val="28"/>
          <w:sz w:val="28"/>
          <w:szCs w:val="28"/>
          <w:lang w:eastAsia="zh-CN"/>
        </w:rPr>
      </w:pPr>
    </w:p>
    <w:p w14:paraId="71AF1E04">
      <w:pPr>
        <w:jc w:val="center"/>
        <w:rPr>
          <w:rFonts w:hint="default" w:ascii="Times New Roman" w:hAnsi="Times New Roman" w:eastAsia="仿宋" w:cs="Times New Roman"/>
          <w:b/>
          <w:color w:val="auto"/>
          <w:sz w:val="36"/>
          <w:szCs w:val="28"/>
        </w:rPr>
        <w:sectPr>
          <w:footerReference r:id="rId3" w:type="default"/>
          <w:pgSz w:w="11906" w:h="16838"/>
          <w:pgMar w:top="1440" w:right="1800" w:bottom="1440" w:left="1800" w:header="851" w:footer="992" w:gutter="0"/>
          <w:pgNumType w:fmt="numberInDash" w:start="1"/>
          <w:cols w:space="720" w:num="1"/>
          <w:docGrid w:type="lines" w:linePitch="312" w:charSpace="0"/>
        </w:sectPr>
      </w:pPr>
    </w:p>
    <w:p w14:paraId="0D666EE2">
      <w:pPr>
        <w:jc w:val="center"/>
        <w:rPr>
          <w:rFonts w:hint="default" w:ascii="Times New Roman" w:hAnsi="Times New Roman" w:eastAsia="仿宋" w:cs="Times New Roman"/>
          <w:b/>
          <w:color w:val="auto"/>
          <w:sz w:val="36"/>
          <w:szCs w:val="28"/>
        </w:rPr>
      </w:pPr>
      <w:r>
        <w:rPr>
          <w:rFonts w:hint="default" w:ascii="Times New Roman" w:hAnsi="Times New Roman" w:eastAsia="仿宋" w:cs="Times New Roman"/>
          <w:b/>
          <w:color w:val="auto"/>
          <w:sz w:val="36"/>
          <w:szCs w:val="28"/>
        </w:rPr>
        <w:t>目  录</w:t>
      </w:r>
    </w:p>
    <w:p w14:paraId="3015DBAF">
      <w:pPr>
        <w:jc w:val="center"/>
        <w:rPr>
          <w:rFonts w:hint="default" w:ascii="Times New Roman" w:hAnsi="Times New Roman" w:eastAsia="仿宋" w:cs="Times New Roman"/>
          <w:b/>
          <w:color w:val="auto"/>
          <w:sz w:val="36"/>
          <w:szCs w:val="28"/>
        </w:rPr>
      </w:pPr>
    </w:p>
    <w:p w14:paraId="3C0A681E">
      <w:pPr>
        <w:pStyle w:val="13"/>
        <w:tabs>
          <w:tab w:val="right" w:leader="dot" w:pos="8306"/>
        </w:tabs>
        <w:rPr>
          <w:rFonts w:hint="default" w:ascii="Times New Roman" w:hAnsi="Times New Roman" w:cs="Times New Roman"/>
          <w:color w:val="auto"/>
        </w:rPr>
      </w:pPr>
      <w:r>
        <w:rPr>
          <w:rFonts w:hint="default" w:ascii="Times New Roman" w:hAnsi="Times New Roman" w:eastAsia="仿宋" w:cs="Times New Roman"/>
          <w:color w:val="auto"/>
          <w:spacing w:val="28"/>
          <w:sz w:val="22"/>
          <w:szCs w:val="22"/>
        </w:rPr>
        <w:fldChar w:fldCharType="begin"/>
      </w:r>
      <w:r>
        <w:rPr>
          <w:rFonts w:hint="default" w:ascii="Times New Roman" w:hAnsi="Times New Roman" w:eastAsia="仿宋" w:cs="Times New Roman"/>
          <w:color w:val="auto"/>
          <w:spacing w:val="28"/>
          <w:sz w:val="22"/>
          <w:szCs w:val="22"/>
        </w:rPr>
        <w:instrText xml:space="preserve"> TOC \o "1-3" \h \z \u </w:instrText>
      </w:r>
      <w:r>
        <w:rPr>
          <w:rFonts w:hint="default" w:ascii="Times New Roman" w:hAnsi="Times New Roman" w:eastAsia="仿宋" w:cs="Times New Roman"/>
          <w:color w:val="auto"/>
          <w:spacing w:val="28"/>
          <w:sz w:val="22"/>
          <w:szCs w:val="22"/>
        </w:rPr>
        <w:fldChar w:fldCharType="separate"/>
      </w:r>
      <w:r>
        <w:rPr>
          <w:rFonts w:hint="default" w:ascii="Times New Roman" w:hAnsi="Times New Roman" w:eastAsia="仿宋" w:cs="Times New Roman"/>
          <w:color w:val="auto"/>
          <w:spacing w:val="28"/>
          <w:szCs w:val="22"/>
        </w:rPr>
        <w:fldChar w:fldCharType="begin"/>
      </w:r>
      <w:r>
        <w:rPr>
          <w:rFonts w:hint="default" w:ascii="Times New Roman" w:hAnsi="Times New Roman" w:eastAsia="仿宋" w:cs="Times New Roman"/>
          <w:color w:val="auto"/>
          <w:spacing w:val="28"/>
          <w:szCs w:val="22"/>
        </w:rPr>
        <w:instrText xml:space="preserve"> HYPERLINK \l _Toc26201 </w:instrText>
      </w:r>
      <w:r>
        <w:rPr>
          <w:rFonts w:hint="default" w:ascii="Times New Roman" w:hAnsi="Times New Roman" w:eastAsia="仿宋" w:cs="Times New Roman"/>
          <w:color w:val="auto"/>
          <w:spacing w:val="28"/>
          <w:szCs w:val="22"/>
        </w:rPr>
        <w:fldChar w:fldCharType="separate"/>
      </w:r>
      <w:r>
        <w:rPr>
          <w:rFonts w:hint="default" w:ascii="Times New Roman" w:hAnsi="Times New Roman" w:eastAsia="仿宋" w:cs="Times New Roman"/>
          <w:color w:val="auto"/>
          <w:szCs w:val="28"/>
        </w:rPr>
        <w:t>一、园区概况</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_Toc26201 \h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eastAsia="仿宋" w:cs="Times New Roman"/>
          <w:color w:val="auto"/>
          <w:spacing w:val="28"/>
          <w:szCs w:val="22"/>
        </w:rPr>
        <w:fldChar w:fldCharType="end"/>
      </w:r>
    </w:p>
    <w:p w14:paraId="595DDF70">
      <w:pPr>
        <w:pStyle w:val="13"/>
        <w:tabs>
          <w:tab w:val="right" w:leader="dot" w:pos="8306"/>
        </w:tabs>
        <w:rPr>
          <w:rFonts w:hint="default" w:ascii="Times New Roman" w:hAnsi="Times New Roman" w:cs="Times New Roman"/>
          <w:color w:val="auto"/>
        </w:rPr>
      </w:pPr>
      <w:r>
        <w:rPr>
          <w:rFonts w:hint="default" w:ascii="Times New Roman" w:hAnsi="Times New Roman" w:eastAsia="仿宋" w:cs="Times New Roman"/>
          <w:color w:val="auto"/>
          <w:spacing w:val="28"/>
          <w:szCs w:val="22"/>
        </w:rPr>
        <w:fldChar w:fldCharType="begin"/>
      </w:r>
      <w:r>
        <w:rPr>
          <w:rFonts w:hint="default" w:ascii="Times New Roman" w:hAnsi="Times New Roman" w:eastAsia="仿宋" w:cs="Times New Roman"/>
          <w:color w:val="auto"/>
          <w:spacing w:val="28"/>
          <w:szCs w:val="22"/>
        </w:rPr>
        <w:instrText xml:space="preserve"> HYPERLINK \l _Toc326 </w:instrText>
      </w:r>
      <w:r>
        <w:rPr>
          <w:rFonts w:hint="default" w:ascii="Times New Roman" w:hAnsi="Times New Roman" w:eastAsia="仿宋" w:cs="Times New Roman"/>
          <w:color w:val="auto"/>
          <w:spacing w:val="28"/>
          <w:szCs w:val="22"/>
        </w:rPr>
        <w:fldChar w:fldCharType="separate"/>
      </w:r>
      <w:r>
        <w:rPr>
          <w:rFonts w:hint="default" w:ascii="Times New Roman" w:hAnsi="Times New Roman" w:eastAsia="仿宋" w:cs="Times New Roman"/>
          <w:color w:val="auto"/>
          <w:szCs w:val="28"/>
        </w:rPr>
        <w:t>二、环境管理情况</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_Toc326 \h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default" w:ascii="Times New Roman" w:hAnsi="Times New Roman" w:eastAsia="仿宋" w:cs="Times New Roman"/>
          <w:color w:val="auto"/>
          <w:spacing w:val="28"/>
          <w:szCs w:val="22"/>
        </w:rPr>
        <w:fldChar w:fldCharType="end"/>
      </w:r>
    </w:p>
    <w:p w14:paraId="5DABA77C">
      <w:pPr>
        <w:pStyle w:val="14"/>
        <w:tabs>
          <w:tab w:val="right" w:leader="dot" w:pos="8306"/>
        </w:tabs>
        <w:rPr>
          <w:rFonts w:hint="default" w:ascii="Times New Roman" w:hAnsi="Times New Roman" w:cs="Times New Roman"/>
          <w:color w:val="auto"/>
        </w:rPr>
      </w:pPr>
      <w:r>
        <w:rPr>
          <w:rFonts w:hint="default" w:ascii="Times New Roman" w:hAnsi="Times New Roman" w:eastAsia="仿宋" w:cs="Times New Roman"/>
          <w:color w:val="auto"/>
          <w:spacing w:val="28"/>
          <w:szCs w:val="22"/>
        </w:rPr>
        <w:fldChar w:fldCharType="begin"/>
      </w:r>
      <w:r>
        <w:rPr>
          <w:rFonts w:hint="default" w:ascii="Times New Roman" w:hAnsi="Times New Roman" w:eastAsia="仿宋" w:cs="Times New Roman"/>
          <w:color w:val="auto"/>
          <w:spacing w:val="28"/>
          <w:szCs w:val="22"/>
        </w:rPr>
        <w:instrText xml:space="preserve"> HYPERLINK \l _Toc9159 </w:instrText>
      </w:r>
      <w:r>
        <w:rPr>
          <w:rFonts w:hint="default" w:ascii="Times New Roman" w:hAnsi="Times New Roman" w:eastAsia="仿宋" w:cs="Times New Roman"/>
          <w:color w:val="auto"/>
          <w:spacing w:val="28"/>
          <w:szCs w:val="22"/>
        </w:rPr>
        <w:fldChar w:fldCharType="separate"/>
      </w:r>
      <w:r>
        <w:rPr>
          <w:rFonts w:hint="default" w:ascii="Times New Roman" w:hAnsi="Times New Roman" w:eastAsia="仿宋" w:cs="Times New Roman"/>
          <w:color w:val="auto"/>
          <w:szCs w:val="28"/>
        </w:rPr>
        <w:t>（一）规划环评批复要求落实情况</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_Toc9159 \h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default" w:ascii="Times New Roman" w:hAnsi="Times New Roman" w:eastAsia="仿宋" w:cs="Times New Roman"/>
          <w:color w:val="auto"/>
          <w:spacing w:val="28"/>
          <w:szCs w:val="22"/>
        </w:rPr>
        <w:fldChar w:fldCharType="end"/>
      </w:r>
    </w:p>
    <w:p w14:paraId="7F971489">
      <w:pPr>
        <w:pStyle w:val="14"/>
        <w:tabs>
          <w:tab w:val="right" w:leader="dot" w:pos="8306"/>
        </w:tabs>
        <w:rPr>
          <w:rFonts w:hint="default" w:ascii="Times New Roman" w:hAnsi="Times New Roman" w:cs="Times New Roman"/>
          <w:color w:val="auto"/>
        </w:rPr>
      </w:pPr>
      <w:r>
        <w:rPr>
          <w:rFonts w:hint="default" w:ascii="Times New Roman" w:hAnsi="Times New Roman" w:eastAsia="仿宋" w:cs="Times New Roman"/>
          <w:color w:val="auto"/>
          <w:spacing w:val="28"/>
          <w:szCs w:val="22"/>
        </w:rPr>
        <w:fldChar w:fldCharType="begin"/>
      </w:r>
      <w:r>
        <w:rPr>
          <w:rFonts w:hint="default" w:ascii="Times New Roman" w:hAnsi="Times New Roman" w:eastAsia="仿宋" w:cs="Times New Roman"/>
          <w:color w:val="auto"/>
          <w:spacing w:val="28"/>
          <w:szCs w:val="22"/>
        </w:rPr>
        <w:instrText xml:space="preserve"> HYPERLINK \l _Toc13981 </w:instrText>
      </w:r>
      <w:r>
        <w:rPr>
          <w:rFonts w:hint="default" w:ascii="Times New Roman" w:hAnsi="Times New Roman" w:eastAsia="仿宋" w:cs="Times New Roman"/>
          <w:color w:val="auto"/>
          <w:spacing w:val="28"/>
          <w:szCs w:val="22"/>
        </w:rPr>
        <w:fldChar w:fldCharType="separate"/>
      </w:r>
      <w:r>
        <w:rPr>
          <w:rFonts w:hint="default" w:ascii="Times New Roman" w:hAnsi="Times New Roman" w:eastAsia="仿宋" w:cs="Times New Roman"/>
          <w:color w:val="auto"/>
          <w:szCs w:val="28"/>
        </w:rPr>
        <w:t>（二）“三线一单”落地应用情况</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_Toc13981 \h </w:instrText>
      </w:r>
      <w:r>
        <w:rPr>
          <w:rFonts w:hint="default" w:ascii="Times New Roman" w:hAnsi="Times New Roman" w:cs="Times New Roman"/>
          <w:color w:val="auto"/>
        </w:rPr>
        <w:fldChar w:fldCharType="separate"/>
      </w:r>
      <w:r>
        <w:rPr>
          <w:rFonts w:hint="default" w:ascii="Times New Roman" w:hAnsi="Times New Roman" w:cs="Times New Roman"/>
          <w:color w:val="auto"/>
        </w:rPr>
        <w:t>13</w:t>
      </w:r>
      <w:r>
        <w:rPr>
          <w:rFonts w:hint="default" w:ascii="Times New Roman" w:hAnsi="Times New Roman" w:cs="Times New Roman"/>
          <w:color w:val="auto"/>
        </w:rPr>
        <w:fldChar w:fldCharType="end"/>
      </w:r>
      <w:r>
        <w:rPr>
          <w:rFonts w:hint="default" w:ascii="Times New Roman" w:hAnsi="Times New Roman" w:eastAsia="仿宋" w:cs="Times New Roman"/>
          <w:color w:val="auto"/>
          <w:spacing w:val="28"/>
          <w:szCs w:val="22"/>
        </w:rPr>
        <w:fldChar w:fldCharType="end"/>
      </w:r>
    </w:p>
    <w:p w14:paraId="12B25E88">
      <w:pPr>
        <w:pStyle w:val="14"/>
        <w:tabs>
          <w:tab w:val="right" w:leader="dot" w:pos="8306"/>
        </w:tabs>
        <w:rPr>
          <w:rFonts w:hint="default" w:ascii="Times New Roman" w:hAnsi="Times New Roman" w:cs="Times New Roman"/>
          <w:color w:val="auto"/>
        </w:rPr>
      </w:pPr>
      <w:r>
        <w:rPr>
          <w:rFonts w:hint="default" w:ascii="Times New Roman" w:hAnsi="Times New Roman" w:eastAsia="仿宋" w:cs="Times New Roman"/>
          <w:color w:val="auto"/>
          <w:spacing w:val="28"/>
          <w:szCs w:val="22"/>
        </w:rPr>
        <w:fldChar w:fldCharType="begin"/>
      </w:r>
      <w:r>
        <w:rPr>
          <w:rFonts w:hint="default" w:ascii="Times New Roman" w:hAnsi="Times New Roman" w:eastAsia="仿宋" w:cs="Times New Roman"/>
          <w:color w:val="auto"/>
          <w:spacing w:val="28"/>
          <w:szCs w:val="22"/>
        </w:rPr>
        <w:instrText xml:space="preserve"> HYPERLINK \l _Toc21115 </w:instrText>
      </w:r>
      <w:r>
        <w:rPr>
          <w:rFonts w:hint="default" w:ascii="Times New Roman" w:hAnsi="Times New Roman" w:eastAsia="仿宋" w:cs="Times New Roman"/>
          <w:color w:val="auto"/>
          <w:spacing w:val="28"/>
          <w:szCs w:val="22"/>
        </w:rPr>
        <w:fldChar w:fldCharType="separate"/>
      </w:r>
      <w:r>
        <w:rPr>
          <w:rFonts w:hint="default" w:ascii="Times New Roman" w:hAnsi="Times New Roman" w:eastAsia="仿宋" w:cs="Times New Roman"/>
          <w:color w:val="auto"/>
          <w:szCs w:val="28"/>
        </w:rPr>
        <w:t>（三）水环境管理</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_Toc21115 \h </w:instrText>
      </w:r>
      <w:r>
        <w:rPr>
          <w:rFonts w:hint="default" w:ascii="Times New Roman" w:hAnsi="Times New Roman" w:cs="Times New Roman"/>
          <w:color w:val="auto"/>
        </w:rPr>
        <w:fldChar w:fldCharType="separate"/>
      </w:r>
      <w:r>
        <w:rPr>
          <w:rFonts w:hint="default" w:ascii="Times New Roman" w:hAnsi="Times New Roman" w:cs="Times New Roman"/>
          <w:color w:val="auto"/>
        </w:rPr>
        <w:t>20</w:t>
      </w:r>
      <w:r>
        <w:rPr>
          <w:rFonts w:hint="default" w:ascii="Times New Roman" w:hAnsi="Times New Roman" w:cs="Times New Roman"/>
          <w:color w:val="auto"/>
        </w:rPr>
        <w:fldChar w:fldCharType="end"/>
      </w:r>
      <w:r>
        <w:rPr>
          <w:rFonts w:hint="default" w:ascii="Times New Roman" w:hAnsi="Times New Roman" w:eastAsia="仿宋" w:cs="Times New Roman"/>
          <w:color w:val="auto"/>
          <w:spacing w:val="28"/>
          <w:szCs w:val="22"/>
        </w:rPr>
        <w:fldChar w:fldCharType="end"/>
      </w:r>
    </w:p>
    <w:p w14:paraId="7CA39F4A">
      <w:pPr>
        <w:pStyle w:val="14"/>
        <w:tabs>
          <w:tab w:val="right" w:leader="dot" w:pos="8306"/>
        </w:tabs>
        <w:rPr>
          <w:rFonts w:hint="default" w:ascii="Times New Roman" w:hAnsi="Times New Roman" w:cs="Times New Roman"/>
          <w:color w:val="auto"/>
        </w:rPr>
      </w:pPr>
      <w:r>
        <w:rPr>
          <w:rFonts w:hint="default" w:ascii="Times New Roman" w:hAnsi="Times New Roman" w:eastAsia="仿宋" w:cs="Times New Roman"/>
          <w:color w:val="auto"/>
          <w:spacing w:val="28"/>
          <w:szCs w:val="22"/>
        </w:rPr>
        <w:fldChar w:fldCharType="begin"/>
      </w:r>
      <w:r>
        <w:rPr>
          <w:rFonts w:hint="default" w:ascii="Times New Roman" w:hAnsi="Times New Roman" w:eastAsia="仿宋" w:cs="Times New Roman"/>
          <w:color w:val="auto"/>
          <w:spacing w:val="28"/>
          <w:szCs w:val="22"/>
        </w:rPr>
        <w:instrText xml:space="preserve"> HYPERLINK \l _Toc30572 </w:instrText>
      </w:r>
      <w:r>
        <w:rPr>
          <w:rFonts w:hint="default" w:ascii="Times New Roman" w:hAnsi="Times New Roman" w:eastAsia="仿宋" w:cs="Times New Roman"/>
          <w:color w:val="auto"/>
          <w:spacing w:val="28"/>
          <w:szCs w:val="22"/>
        </w:rPr>
        <w:fldChar w:fldCharType="separate"/>
      </w:r>
      <w:r>
        <w:rPr>
          <w:rFonts w:hint="default" w:ascii="Times New Roman" w:hAnsi="Times New Roman" w:eastAsia="仿宋" w:cs="Times New Roman"/>
          <w:color w:val="auto"/>
          <w:szCs w:val="28"/>
        </w:rPr>
        <w:t>（四）大气环境管理</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_Toc30572 \h </w:instrText>
      </w:r>
      <w:r>
        <w:rPr>
          <w:rFonts w:hint="default" w:ascii="Times New Roman" w:hAnsi="Times New Roman" w:cs="Times New Roman"/>
          <w:color w:val="auto"/>
        </w:rPr>
        <w:fldChar w:fldCharType="separate"/>
      </w:r>
      <w:r>
        <w:rPr>
          <w:rFonts w:hint="default" w:ascii="Times New Roman" w:hAnsi="Times New Roman" w:cs="Times New Roman"/>
          <w:color w:val="auto"/>
        </w:rPr>
        <w:t>21</w:t>
      </w:r>
      <w:r>
        <w:rPr>
          <w:rFonts w:hint="default" w:ascii="Times New Roman" w:hAnsi="Times New Roman" w:cs="Times New Roman"/>
          <w:color w:val="auto"/>
        </w:rPr>
        <w:fldChar w:fldCharType="end"/>
      </w:r>
      <w:r>
        <w:rPr>
          <w:rFonts w:hint="default" w:ascii="Times New Roman" w:hAnsi="Times New Roman" w:eastAsia="仿宋" w:cs="Times New Roman"/>
          <w:color w:val="auto"/>
          <w:spacing w:val="28"/>
          <w:szCs w:val="22"/>
        </w:rPr>
        <w:fldChar w:fldCharType="end"/>
      </w:r>
    </w:p>
    <w:p w14:paraId="427BE905">
      <w:pPr>
        <w:pStyle w:val="14"/>
        <w:tabs>
          <w:tab w:val="right" w:leader="dot" w:pos="8306"/>
        </w:tabs>
        <w:rPr>
          <w:rFonts w:hint="default" w:ascii="Times New Roman" w:hAnsi="Times New Roman" w:cs="Times New Roman"/>
          <w:color w:val="auto"/>
        </w:rPr>
      </w:pPr>
      <w:r>
        <w:rPr>
          <w:rFonts w:hint="default" w:ascii="Times New Roman" w:hAnsi="Times New Roman" w:eastAsia="仿宋" w:cs="Times New Roman"/>
          <w:color w:val="auto"/>
          <w:spacing w:val="28"/>
          <w:szCs w:val="22"/>
        </w:rPr>
        <w:fldChar w:fldCharType="begin"/>
      </w:r>
      <w:r>
        <w:rPr>
          <w:rFonts w:hint="default" w:ascii="Times New Roman" w:hAnsi="Times New Roman" w:eastAsia="仿宋" w:cs="Times New Roman"/>
          <w:color w:val="auto"/>
          <w:spacing w:val="28"/>
          <w:szCs w:val="22"/>
        </w:rPr>
        <w:instrText xml:space="preserve"> HYPERLINK \l _Toc32234 </w:instrText>
      </w:r>
      <w:r>
        <w:rPr>
          <w:rFonts w:hint="default" w:ascii="Times New Roman" w:hAnsi="Times New Roman" w:eastAsia="仿宋" w:cs="Times New Roman"/>
          <w:color w:val="auto"/>
          <w:spacing w:val="28"/>
          <w:szCs w:val="22"/>
        </w:rPr>
        <w:fldChar w:fldCharType="separate"/>
      </w:r>
      <w:r>
        <w:rPr>
          <w:rFonts w:hint="default" w:ascii="Times New Roman" w:hAnsi="Times New Roman" w:eastAsia="仿宋" w:cs="Times New Roman"/>
          <w:color w:val="auto"/>
          <w:szCs w:val="28"/>
        </w:rPr>
        <w:t>（五）土壤环境管理</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_Toc32234 \h </w:instrText>
      </w:r>
      <w:r>
        <w:rPr>
          <w:rFonts w:hint="default" w:ascii="Times New Roman" w:hAnsi="Times New Roman" w:cs="Times New Roman"/>
          <w:color w:val="auto"/>
        </w:rPr>
        <w:fldChar w:fldCharType="separate"/>
      </w:r>
      <w:r>
        <w:rPr>
          <w:rFonts w:hint="default" w:ascii="Times New Roman" w:hAnsi="Times New Roman" w:cs="Times New Roman"/>
          <w:color w:val="auto"/>
        </w:rPr>
        <w:t>22</w:t>
      </w:r>
      <w:r>
        <w:rPr>
          <w:rFonts w:hint="default" w:ascii="Times New Roman" w:hAnsi="Times New Roman" w:cs="Times New Roman"/>
          <w:color w:val="auto"/>
        </w:rPr>
        <w:fldChar w:fldCharType="end"/>
      </w:r>
      <w:r>
        <w:rPr>
          <w:rFonts w:hint="default" w:ascii="Times New Roman" w:hAnsi="Times New Roman" w:eastAsia="仿宋" w:cs="Times New Roman"/>
          <w:color w:val="auto"/>
          <w:spacing w:val="28"/>
          <w:szCs w:val="22"/>
        </w:rPr>
        <w:fldChar w:fldCharType="end"/>
      </w:r>
    </w:p>
    <w:p w14:paraId="0AA47A1E">
      <w:pPr>
        <w:pStyle w:val="14"/>
        <w:tabs>
          <w:tab w:val="right" w:leader="dot" w:pos="8306"/>
        </w:tabs>
        <w:rPr>
          <w:rFonts w:hint="default" w:ascii="Times New Roman" w:hAnsi="Times New Roman" w:cs="Times New Roman"/>
          <w:color w:val="auto"/>
        </w:rPr>
      </w:pPr>
      <w:r>
        <w:rPr>
          <w:rFonts w:hint="default" w:ascii="Times New Roman" w:hAnsi="Times New Roman" w:eastAsia="仿宋" w:cs="Times New Roman"/>
          <w:color w:val="auto"/>
          <w:spacing w:val="28"/>
          <w:szCs w:val="22"/>
        </w:rPr>
        <w:fldChar w:fldCharType="begin"/>
      </w:r>
      <w:r>
        <w:rPr>
          <w:rFonts w:hint="default" w:ascii="Times New Roman" w:hAnsi="Times New Roman" w:eastAsia="仿宋" w:cs="Times New Roman"/>
          <w:color w:val="auto"/>
          <w:spacing w:val="28"/>
          <w:szCs w:val="22"/>
        </w:rPr>
        <w:instrText xml:space="preserve"> HYPERLINK \l _Toc11697 </w:instrText>
      </w:r>
      <w:r>
        <w:rPr>
          <w:rFonts w:hint="default" w:ascii="Times New Roman" w:hAnsi="Times New Roman" w:eastAsia="仿宋" w:cs="Times New Roman"/>
          <w:color w:val="auto"/>
          <w:spacing w:val="28"/>
          <w:szCs w:val="22"/>
        </w:rPr>
        <w:fldChar w:fldCharType="separate"/>
      </w:r>
      <w:r>
        <w:rPr>
          <w:rFonts w:hint="default" w:ascii="Times New Roman" w:hAnsi="Times New Roman" w:eastAsia="仿宋" w:cs="Times New Roman"/>
          <w:color w:val="auto"/>
          <w:szCs w:val="28"/>
        </w:rPr>
        <w:t>（六）固体废物管理</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_Toc11697 \h </w:instrText>
      </w:r>
      <w:r>
        <w:rPr>
          <w:rFonts w:hint="default" w:ascii="Times New Roman" w:hAnsi="Times New Roman" w:cs="Times New Roman"/>
          <w:color w:val="auto"/>
        </w:rPr>
        <w:fldChar w:fldCharType="separate"/>
      </w:r>
      <w:r>
        <w:rPr>
          <w:rFonts w:hint="default" w:ascii="Times New Roman" w:hAnsi="Times New Roman" w:cs="Times New Roman"/>
          <w:color w:val="auto"/>
        </w:rPr>
        <w:t>22</w:t>
      </w:r>
      <w:r>
        <w:rPr>
          <w:rFonts w:hint="default" w:ascii="Times New Roman" w:hAnsi="Times New Roman" w:cs="Times New Roman"/>
          <w:color w:val="auto"/>
        </w:rPr>
        <w:fldChar w:fldCharType="end"/>
      </w:r>
      <w:r>
        <w:rPr>
          <w:rFonts w:hint="default" w:ascii="Times New Roman" w:hAnsi="Times New Roman" w:eastAsia="仿宋" w:cs="Times New Roman"/>
          <w:color w:val="auto"/>
          <w:spacing w:val="28"/>
          <w:szCs w:val="22"/>
        </w:rPr>
        <w:fldChar w:fldCharType="end"/>
      </w:r>
    </w:p>
    <w:p w14:paraId="64E41E4B">
      <w:pPr>
        <w:pStyle w:val="14"/>
        <w:tabs>
          <w:tab w:val="right" w:leader="dot" w:pos="8306"/>
        </w:tabs>
        <w:rPr>
          <w:rFonts w:hint="default" w:ascii="Times New Roman" w:hAnsi="Times New Roman" w:cs="Times New Roman"/>
          <w:color w:val="auto"/>
        </w:rPr>
      </w:pPr>
      <w:r>
        <w:rPr>
          <w:rFonts w:hint="default" w:ascii="Times New Roman" w:hAnsi="Times New Roman" w:eastAsia="仿宋" w:cs="Times New Roman"/>
          <w:color w:val="auto"/>
          <w:spacing w:val="28"/>
          <w:szCs w:val="22"/>
        </w:rPr>
        <w:fldChar w:fldCharType="begin"/>
      </w:r>
      <w:r>
        <w:rPr>
          <w:rFonts w:hint="default" w:ascii="Times New Roman" w:hAnsi="Times New Roman" w:eastAsia="仿宋" w:cs="Times New Roman"/>
          <w:color w:val="auto"/>
          <w:spacing w:val="28"/>
          <w:szCs w:val="22"/>
        </w:rPr>
        <w:instrText xml:space="preserve"> HYPERLINK \l _Toc11013 </w:instrText>
      </w:r>
      <w:r>
        <w:rPr>
          <w:rFonts w:hint="default" w:ascii="Times New Roman" w:hAnsi="Times New Roman" w:eastAsia="仿宋" w:cs="Times New Roman"/>
          <w:color w:val="auto"/>
          <w:spacing w:val="28"/>
          <w:szCs w:val="22"/>
        </w:rPr>
        <w:fldChar w:fldCharType="separate"/>
      </w:r>
      <w:r>
        <w:rPr>
          <w:rFonts w:hint="default" w:ascii="Times New Roman" w:hAnsi="Times New Roman" w:eastAsia="仿宋" w:cs="Times New Roman"/>
          <w:color w:val="auto"/>
          <w:szCs w:val="28"/>
        </w:rPr>
        <w:t>（七）投诉管理</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_Toc11013 \h </w:instrText>
      </w:r>
      <w:r>
        <w:rPr>
          <w:rFonts w:hint="default" w:ascii="Times New Roman" w:hAnsi="Times New Roman" w:cs="Times New Roman"/>
          <w:color w:val="auto"/>
        </w:rPr>
        <w:fldChar w:fldCharType="separate"/>
      </w:r>
      <w:r>
        <w:rPr>
          <w:rFonts w:hint="default" w:ascii="Times New Roman" w:hAnsi="Times New Roman" w:cs="Times New Roman"/>
          <w:color w:val="auto"/>
        </w:rPr>
        <w:t>22</w:t>
      </w:r>
      <w:r>
        <w:rPr>
          <w:rFonts w:hint="default" w:ascii="Times New Roman" w:hAnsi="Times New Roman" w:cs="Times New Roman"/>
          <w:color w:val="auto"/>
        </w:rPr>
        <w:fldChar w:fldCharType="end"/>
      </w:r>
      <w:r>
        <w:rPr>
          <w:rFonts w:hint="default" w:ascii="Times New Roman" w:hAnsi="Times New Roman" w:eastAsia="仿宋" w:cs="Times New Roman"/>
          <w:color w:val="auto"/>
          <w:spacing w:val="28"/>
          <w:szCs w:val="22"/>
        </w:rPr>
        <w:fldChar w:fldCharType="end"/>
      </w:r>
    </w:p>
    <w:p w14:paraId="4F1CAFA0">
      <w:pPr>
        <w:pStyle w:val="14"/>
        <w:tabs>
          <w:tab w:val="right" w:leader="dot" w:pos="8306"/>
        </w:tabs>
        <w:rPr>
          <w:rFonts w:hint="default" w:ascii="Times New Roman" w:hAnsi="Times New Roman" w:cs="Times New Roman"/>
          <w:color w:val="auto"/>
        </w:rPr>
      </w:pPr>
      <w:r>
        <w:rPr>
          <w:rFonts w:hint="default" w:ascii="Times New Roman" w:hAnsi="Times New Roman" w:eastAsia="仿宋" w:cs="Times New Roman"/>
          <w:color w:val="auto"/>
          <w:spacing w:val="28"/>
          <w:szCs w:val="22"/>
        </w:rPr>
        <w:fldChar w:fldCharType="begin"/>
      </w:r>
      <w:r>
        <w:rPr>
          <w:rFonts w:hint="default" w:ascii="Times New Roman" w:hAnsi="Times New Roman" w:eastAsia="仿宋" w:cs="Times New Roman"/>
          <w:color w:val="auto"/>
          <w:spacing w:val="28"/>
          <w:szCs w:val="22"/>
        </w:rPr>
        <w:instrText xml:space="preserve"> HYPERLINK \l _Toc18881 </w:instrText>
      </w:r>
      <w:r>
        <w:rPr>
          <w:rFonts w:hint="default" w:ascii="Times New Roman" w:hAnsi="Times New Roman" w:eastAsia="仿宋" w:cs="Times New Roman"/>
          <w:color w:val="auto"/>
          <w:spacing w:val="28"/>
          <w:szCs w:val="22"/>
        </w:rPr>
        <w:fldChar w:fldCharType="separate"/>
      </w:r>
      <w:r>
        <w:rPr>
          <w:rFonts w:hint="default" w:ascii="Times New Roman" w:hAnsi="Times New Roman" w:eastAsia="仿宋" w:cs="Times New Roman"/>
          <w:color w:val="auto"/>
          <w:szCs w:val="28"/>
        </w:rPr>
        <w:t>（八）园区信用评价</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_Toc18881 \h </w:instrText>
      </w:r>
      <w:r>
        <w:rPr>
          <w:rFonts w:hint="default" w:ascii="Times New Roman" w:hAnsi="Times New Roman" w:cs="Times New Roman"/>
          <w:color w:val="auto"/>
        </w:rPr>
        <w:fldChar w:fldCharType="separate"/>
      </w:r>
      <w:r>
        <w:rPr>
          <w:rFonts w:hint="default" w:ascii="Times New Roman" w:hAnsi="Times New Roman" w:cs="Times New Roman"/>
          <w:color w:val="auto"/>
        </w:rPr>
        <w:t>23</w:t>
      </w:r>
      <w:r>
        <w:rPr>
          <w:rFonts w:hint="default" w:ascii="Times New Roman" w:hAnsi="Times New Roman" w:cs="Times New Roman"/>
          <w:color w:val="auto"/>
        </w:rPr>
        <w:fldChar w:fldCharType="end"/>
      </w:r>
      <w:r>
        <w:rPr>
          <w:rFonts w:hint="default" w:ascii="Times New Roman" w:hAnsi="Times New Roman" w:eastAsia="仿宋" w:cs="Times New Roman"/>
          <w:color w:val="auto"/>
          <w:spacing w:val="28"/>
          <w:szCs w:val="22"/>
        </w:rPr>
        <w:fldChar w:fldCharType="end"/>
      </w:r>
    </w:p>
    <w:p w14:paraId="47BBE0D6">
      <w:pPr>
        <w:pStyle w:val="13"/>
        <w:tabs>
          <w:tab w:val="right" w:leader="dot" w:pos="8306"/>
        </w:tabs>
        <w:rPr>
          <w:rFonts w:hint="default" w:ascii="Times New Roman" w:hAnsi="Times New Roman" w:cs="Times New Roman"/>
          <w:color w:val="auto"/>
        </w:rPr>
      </w:pPr>
      <w:r>
        <w:rPr>
          <w:rFonts w:hint="default" w:ascii="Times New Roman" w:hAnsi="Times New Roman" w:eastAsia="仿宋" w:cs="Times New Roman"/>
          <w:color w:val="auto"/>
          <w:spacing w:val="28"/>
          <w:szCs w:val="22"/>
        </w:rPr>
        <w:fldChar w:fldCharType="begin"/>
      </w:r>
      <w:r>
        <w:rPr>
          <w:rFonts w:hint="default" w:ascii="Times New Roman" w:hAnsi="Times New Roman" w:eastAsia="仿宋" w:cs="Times New Roman"/>
          <w:color w:val="auto"/>
          <w:spacing w:val="28"/>
          <w:szCs w:val="22"/>
        </w:rPr>
        <w:instrText xml:space="preserve"> HYPERLINK \l _Toc13136 </w:instrText>
      </w:r>
      <w:r>
        <w:rPr>
          <w:rFonts w:hint="default" w:ascii="Times New Roman" w:hAnsi="Times New Roman" w:eastAsia="仿宋" w:cs="Times New Roman"/>
          <w:color w:val="auto"/>
          <w:spacing w:val="28"/>
          <w:szCs w:val="22"/>
        </w:rPr>
        <w:fldChar w:fldCharType="separate"/>
      </w:r>
      <w:r>
        <w:rPr>
          <w:rFonts w:hint="default" w:ascii="Times New Roman" w:hAnsi="Times New Roman" w:eastAsia="仿宋" w:cs="Times New Roman"/>
          <w:color w:val="auto"/>
          <w:szCs w:val="28"/>
        </w:rPr>
        <w:t>三、园区环保工作成效、主要措施做法</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_Toc13136 \h </w:instrText>
      </w:r>
      <w:r>
        <w:rPr>
          <w:rFonts w:hint="default" w:ascii="Times New Roman" w:hAnsi="Times New Roman" w:cs="Times New Roman"/>
          <w:color w:val="auto"/>
        </w:rPr>
        <w:fldChar w:fldCharType="separate"/>
      </w:r>
      <w:r>
        <w:rPr>
          <w:rFonts w:hint="default" w:ascii="Times New Roman" w:hAnsi="Times New Roman" w:cs="Times New Roman"/>
          <w:color w:val="auto"/>
        </w:rPr>
        <w:t>26</w:t>
      </w:r>
      <w:r>
        <w:rPr>
          <w:rFonts w:hint="default" w:ascii="Times New Roman" w:hAnsi="Times New Roman" w:cs="Times New Roman"/>
          <w:color w:val="auto"/>
        </w:rPr>
        <w:fldChar w:fldCharType="end"/>
      </w:r>
      <w:r>
        <w:rPr>
          <w:rFonts w:hint="default" w:ascii="Times New Roman" w:hAnsi="Times New Roman" w:eastAsia="仿宋" w:cs="Times New Roman"/>
          <w:color w:val="auto"/>
          <w:spacing w:val="28"/>
          <w:szCs w:val="22"/>
        </w:rPr>
        <w:fldChar w:fldCharType="end"/>
      </w:r>
    </w:p>
    <w:p w14:paraId="2002A34C">
      <w:pPr>
        <w:pStyle w:val="14"/>
        <w:tabs>
          <w:tab w:val="right" w:leader="dot" w:pos="8306"/>
        </w:tabs>
        <w:rPr>
          <w:rFonts w:hint="default" w:ascii="Times New Roman" w:hAnsi="Times New Roman" w:cs="Times New Roman"/>
          <w:color w:val="auto"/>
        </w:rPr>
      </w:pPr>
      <w:r>
        <w:rPr>
          <w:rFonts w:hint="default" w:ascii="Times New Roman" w:hAnsi="Times New Roman" w:eastAsia="仿宋" w:cs="Times New Roman"/>
          <w:color w:val="auto"/>
          <w:spacing w:val="28"/>
          <w:szCs w:val="22"/>
        </w:rPr>
        <w:fldChar w:fldCharType="begin"/>
      </w:r>
      <w:r>
        <w:rPr>
          <w:rFonts w:hint="default" w:ascii="Times New Roman" w:hAnsi="Times New Roman" w:eastAsia="仿宋" w:cs="Times New Roman"/>
          <w:color w:val="auto"/>
          <w:spacing w:val="28"/>
          <w:szCs w:val="22"/>
        </w:rPr>
        <w:instrText xml:space="preserve"> HYPERLINK \l _Toc18316 </w:instrText>
      </w:r>
      <w:r>
        <w:rPr>
          <w:rFonts w:hint="default" w:ascii="Times New Roman" w:hAnsi="Times New Roman" w:eastAsia="仿宋" w:cs="Times New Roman"/>
          <w:color w:val="auto"/>
          <w:spacing w:val="28"/>
          <w:szCs w:val="22"/>
        </w:rPr>
        <w:fldChar w:fldCharType="separate"/>
      </w:r>
      <w:r>
        <w:rPr>
          <w:rFonts w:hint="default" w:ascii="Times New Roman" w:hAnsi="Times New Roman" w:eastAsia="仿宋" w:cs="Times New Roman"/>
          <w:color w:val="auto"/>
          <w:szCs w:val="28"/>
        </w:rPr>
        <w:t>（一）</w:t>
      </w:r>
      <w:r>
        <w:rPr>
          <w:rFonts w:hint="default" w:ascii="Times New Roman" w:hAnsi="Times New Roman" w:eastAsia="仿宋" w:cs="Times New Roman"/>
          <w:color w:val="auto"/>
          <w:szCs w:val="28"/>
          <w:lang w:val="en-US" w:eastAsia="zh-CN"/>
        </w:rPr>
        <w:t>完成“三线一单”动态更新</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_Toc18316 \h </w:instrText>
      </w:r>
      <w:r>
        <w:rPr>
          <w:rFonts w:hint="default" w:ascii="Times New Roman" w:hAnsi="Times New Roman" w:cs="Times New Roman"/>
          <w:color w:val="auto"/>
        </w:rPr>
        <w:fldChar w:fldCharType="separate"/>
      </w:r>
      <w:r>
        <w:rPr>
          <w:rFonts w:hint="default" w:ascii="Times New Roman" w:hAnsi="Times New Roman" w:cs="Times New Roman"/>
          <w:color w:val="auto"/>
        </w:rPr>
        <w:t>26</w:t>
      </w:r>
      <w:r>
        <w:rPr>
          <w:rFonts w:hint="default" w:ascii="Times New Roman" w:hAnsi="Times New Roman" w:cs="Times New Roman"/>
          <w:color w:val="auto"/>
        </w:rPr>
        <w:fldChar w:fldCharType="end"/>
      </w:r>
      <w:r>
        <w:rPr>
          <w:rFonts w:hint="default" w:ascii="Times New Roman" w:hAnsi="Times New Roman" w:eastAsia="仿宋" w:cs="Times New Roman"/>
          <w:color w:val="auto"/>
          <w:spacing w:val="28"/>
          <w:szCs w:val="22"/>
        </w:rPr>
        <w:fldChar w:fldCharType="end"/>
      </w:r>
    </w:p>
    <w:p w14:paraId="727D4B6C">
      <w:pPr>
        <w:pStyle w:val="14"/>
        <w:tabs>
          <w:tab w:val="right" w:leader="dot" w:pos="8306"/>
        </w:tabs>
        <w:rPr>
          <w:rFonts w:hint="default" w:ascii="Times New Roman" w:hAnsi="Times New Roman" w:cs="Times New Roman"/>
          <w:color w:val="auto"/>
        </w:rPr>
      </w:pPr>
      <w:r>
        <w:rPr>
          <w:rFonts w:hint="default" w:ascii="Times New Roman" w:hAnsi="Times New Roman" w:eastAsia="仿宋" w:cs="Times New Roman"/>
          <w:color w:val="auto"/>
          <w:spacing w:val="28"/>
          <w:szCs w:val="22"/>
        </w:rPr>
        <w:fldChar w:fldCharType="begin"/>
      </w:r>
      <w:r>
        <w:rPr>
          <w:rFonts w:hint="default" w:ascii="Times New Roman" w:hAnsi="Times New Roman" w:eastAsia="仿宋" w:cs="Times New Roman"/>
          <w:color w:val="auto"/>
          <w:spacing w:val="28"/>
          <w:szCs w:val="22"/>
        </w:rPr>
        <w:instrText xml:space="preserve"> HYPERLINK \l _Toc29073 </w:instrText>
      </w:r>
      <w:r>
        <w:rPr>
          <w:rFonts w:hint="default" w:ascii="Times New Roman" w:hAnsi="Times New Roman" w:eastAsia="仿宋" w:cs="Times New Roman"/>
          <w:color w:val="auto"/>
          <w:spacing w:val="28"/>
          <w:szCs w:val="22"/>
        </w:rPr>
        <w:fldChar w:fldCharType="separate"/>
      </w:r>
      <w:r>
        <w:rPr>
          <w:rFonts w:hint="default" w:ascii="Times New Roman" w:hAnsi="Times New Roman" w:eastAsia="仿宋" w:cs="Times New Roman"/>
          <w:color w:val="auto"/>
          <w:kern w:val="2"/>
          <w:szCs w:val="28"/>
          <w:lang w:val="en-US" w:eastAsia="zh-CN" w:bidi="ar-SA"/>
        </w:rPr>
        <w:t>（二） 持续推进环境污染第三方治理</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_Toc29073 \h </w:instrText>
      </w:r>
      <w:r>
        <w:rPr>
          <w:rFonts w:hint="default" w:ascii="Times New Roman" w:hAnsi="Times New Roman" w:cs="Times New Roman"/>
          <w:color w:val="auto"/>
        </w:rPr>
        <w:fldChar w:fldCharType="separate"/>
      </w:r>
      <w:r>
        <w:rPr>
          <w:rFonts w:hint="default" w:ascii="Times New Roman" w:hAnsi="Times New Roman" w:cs="Times New Roman"/>
          <w:color w:val="auto"/>
        </w:rPr>
        <w:t>26</w:t>
      </w:r>
      <w:r>
        <w:rPr>
          <w:rFonts w:hint="default" w:ascii="Times New Roman" w:hAnsi="Times New Roman" w:cs="Times New Roman"/>
          <w:color w:val="auto"/>
        </w:rPr>
        <w:fldChar w:fldCharType="end"/>
      </w:r>
      <w:r>
        <w:rPr>
          <w:rFonts w:hint="default" w:ascii="Times New Roman" w:hAnsi="Times New Roman" w:eastAsia="仿宋" w:cs="Times New Roman"/>
          <w:color w:val="auto"/>
          <w:spacing w:val="28"/>
          <w:szCs w:val="22"/>
        </w:rPr>
        <w:fldChar w:fldCharType="end"/>
      </w:r>
    </w:p>
    <w:p w14:paraId="773ED1B3">
      <w:pPr>
        <w:pStyle w:val="14"/>
        <w:tabs>
          <w:tab w:val="right" w:leader="dot" w:pos="8306"/>
        </w:tabs>
        <w:rPr>
          <w:rFonts w:hint="default" w:ascii="Times New Roman" w:hAnsi="Times New Roman" w:cs="Times New Roman"/>
          <w:color w:val="auto"/>
        </w:rPr>
      </w:pPr>
      <w:r>
        <w:rPr>
          <w:rFonts w:hint="default" w:ascii="Times New Roman" w:hAnsi="Times New Roman" w:eastAsia="仿宋" w:cs="Times New Roman"/>
          <w:color w:val="auto"/>
          <w:spacing w:val="28"/>
          <w:szCs w:val="22"/>
        </w:rPr>
        <w:fldChar w:fldCharType="begin"/>
      </w:r>
      <w:r>
        <w:rPr>
          <w:rFonts w:hint="default" w:ascii="Times New Roman" w:hAnsi="Times New Roman" w:eastAsia="仿宋" w:cs="Times New Roman"/>
          <w:color w:val="auto"/>
          <w:spacing w:val="28"/>
          <w:szCs w:val="22"/>
        </w:rPr>
        <w:instrText xml:space="preserve"> HYPERLINK \l _Toc29447 </w:instrText>
      </w:r>
      <w:r>
        <w:rPr>
          <w:rFonts w:hint="default" w:ascii="Times New Roman" w:hAnsi="Times New Roman" w:eastAsia="仿宋" w:cs="Times New Roman"/>
          <w:color w:val="auto"/>
          <w:spacing w:val="28"/>
          <w:szCs w:val="22"/>
        </w:rPr>
        <w:fldChar w:fldCharType="separate"/>
      </w:r>
      <w:r>
        <w:rPr>
          <w:rFonts w:hint="default" w:ascii="Times New Roman" w:hAnsi="Times New Roman" w:eastAsia="仿宋" w:cs="Times New Roman"/>
          <w:bCs w:val="0"/>
          <w:color w:val="auto"/>
          <w:szCs w:val="28"/>
          <w:lang w:val="en-US" w:eastAsia="zh-CN"/>
        </w:rPr>
        <w:t>（三）开展“体检式”帮扶检查</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_Toc29447 \h </w:instrText>
      </w:r>
      <w:r>
        <w:rPr>
          <w:rFonts w:hint="default" w:ascii="Times New Roman" w:hAnsi="Times New Roman" w:cs="Times New Roman"/>
          <w:color w:val="auto"/>
        </w:rPr>
        <w:fldChar w:fldCharType="separate"/>
      </w:r>
      <w:r>
        <w:rPr>
          <w:rFonts w:hint="default" w:ascii="Times New Roman" w:hAnsi="Times New Roman" w:cs="Times New Roman"/>
          <w:color w:val="auto"/>
        </w:rPr>
        <w:t>27</w:t>
      </w:r>
      <w:r>
        <w:rPr>
          <w:rFonts w:hint="default" w:ascii="Times New Roman" w:hAnsi="Times New Roman" w:cs="Times New Roman"/>
          <w:color w:val="auto"/>
        </w:rPr>
        <w:fldChar w:fldCharType="end"/>
      </w:r>
      <w:r>
        <w:rPr>
          <w:rFonts w:hint="default" w:ascii="Times New Roman" w:hAnsi="Times New Roman" w:eastAsia="仿宋" w:cs="Times New Roman"/>
          <w:color w:val="auto"/>
          <w:spacing w:val="28"/>
          <w:szCs w:val="22"/>
        </w:rPr>
        <w:fldChar w:fldCharType="end"/>
      </w:r>
    </w:p>
    <w:p w14:paraId="3A228282">
      <w:pPr>
        <w:pStyle w:val="14"/>
        <w:tabs>
          <w:tab w:val="right" w:leader="dot" w:pos="8306"/>
        </w:tabs>
        <w:rPr>
          <w:rFonts w:hint="default" w:ascii="Times New Roman" w:hAnsi="Times New Roman" w:cs="Times New Roman"/>
          <w:color w:val="auto"/>
        </w:rPr>
      </w:pPr>
      <w:r>
        <w:rPr>
          <w:rFonts w:hint="default" w:ascii="Times New Roman" w:hAnsi="Times New Roman" w:eastAsia="仿宋" w:cs="Times New Roman"/>
          <w:color w:val="auto"/>
          <w:spacing w:val="28"/>
          <w:szCs w:val="22"/>
        </w:rPr>
        <w:fldChar w:fldCharType="begin"/>
      </w:r>
      <w:r>
        <w:rPr>
          <w:rFonts w:hint="default" w:ascii="Times New Roman" w:hAnsi="Times New Roman" w:eastAsia="仿宋" w:cs="Times New Roman"/>
          <w:color w:val="auto"/>
          <w:spacing w:val="28"/>
          <w:szCs w:val="22"/>
        </w:rPr>
        <w:instrText xml:space="preserve"> HYPERLINK \l _Toc5383 </w:instrText>
      </w:r>
      <w:r>
        <w:rPr>
          <w:rFonts w:hint="default" w:ascii="Times New Roman" w:hAnsi="Times New Roman" w:eastAsia="仿宋" w:cs="Times New Roman"/>
          <w:color w:val="auto"/>
          <w:spacing w:val="28"/>
          <w:szCs w:val="22"/>
        </w:rPr>
        <w:fldChar w:fldCharType="separate"/>
      </w:r>
      <w:r>
        <w:rPr>
          <w:rFonts w:hint="default" w:ascii="Times New Roman" w:hAnsi="Times New Roman" w:eastAsia="仿宋" w:cs="Times New Roman"/>
          <w:color w:val="auto"/>
          <w:szCs w:val="28"/>
          <w:lang w:val="en-US" w:eastAsia="zh-CN"/>
        </w:rPr>
        <w:t>（四）强化园区环境风险防控</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_Toc5383 \h </w:instrText>
      </w:r>
      <w:r>
        <w:rPr>
          <w:rFonts w:hint="default" w:ascii="Times New Roman" w:hAnsi="Times New Roman" w:cs="Times New Roman"/>
          <w:color w:val="auto"/>
        </w:rPr>
        <w:fldChar w:fldCharType="separate"/>
      </w:r>
      <w:r>
        <w:rPr>
          <w:rFonts w:hint="default" w:ascii="Times New Roman" w:hAnsi="Times New Roman" w:cs="Times New Roman"/>
          <w:color w:val="auto"/>
        </w:rPr>
        <w:t>27</w:t>
      </w:r>
      <w:r>
        <w:rPr>
          <w:rFonts w:hint="default" w:ascii="Times New Roman" w:hAnsi="Times New Roman" w:cs="Times New Roman"/>
          <w:color w:val="auto"/>
        </w:rPr>
        <w:fldChar w:fldCharType="end"/>
      </w:r>
      <w:r>
        <w:rPr>
          <w:rFonts w:hint="default" w:ascii="Times New Roman" w:hAnsi="Times New Roman" w:eastAsia="仿宋" w:cs="Times New Roman"/>
          <w:color w:val="auto"/>
          <w:spacing w:val="28"/>
          <w:szCs w:val="22"/>
        </w:rPr>
        <w:fldChar w:fldCharType="end"/>
      </w:r>
    </w:p>
    <w:p w14:paraId="570C7CD1">
      <w:pPr>
        <w:pStyle w:val="14"/>
        <w:tabs>
          <w:tab w:val="right" w:leader="dot" w:pos="8306"/>
        </w:tabs>
        <w:rPr>
          <w:rFonts w:hint="default" w:ascii="Times New Roman" w:hAnsi="Times New Roman" w:cs="Times New Roman"/>
          <w:color w:val="auto"/>
        </w:rPr>
      </w:pPr>
      <w:r>
        <w:rPr>
          <w:rFonts w:hint="default" w:ascii="Times New Roman" w:hAnsi="Times New Roman" w:eastAsia="仿宋" w:cs="Times New Roman"/>
          <w:color w:val="auto"/>
          <w:spacing w:val="28"/>
          <w:szCs w:val="22"/>
        </w:rPr>
        <w:fldChar w:fldCharType="begin"/>
      </w:r>
      <w:r>
        <w:rPr>
          <w:rFonts w:hint="default" w:ascii="Times New Roman" w:hAnsi="Times New Roman" w:eastAsia="仿宋" w:cs="Times New Roman"/>
          <w:color w:val="auto"/>
          <w:spacing w:val="28"/>
          <w:szCs w:val="22"/>
        </w:rPr>
        <w:instrText xml:space="preserve"> HYPERLINK \l _Toc3344 </w:instrText>
      </w:r>
      <w:r>
        <w:rPr>
          <w:rFonts w:hint="default" w:ascii="Times New Roman" w:hAnsi="Times New Roman" w:eastAsia="仿宋" w:cs="Times New Roman"/>
          <w:color w:val="auto"/>
          <w:spacing w:val="28"/>
          <w:szCs w:val="22"/>
        </w:rPr>
        <w:fldChar w:fldCharType="separate"/>
      </w:r>
      <w:r>
        <w:rPr>
          <w:rFonts w:hint="default" w:ascii="Times New Roman" w:hAnsi="Times New Roman" w:eastAsia="仿宋" w:cs="Times New Roman"/>
          <w:color w:val="auto"/>
          <w:szCs w:val="28"/>
        </w:rPr>
        <w:t>（五）强化环保培训宣传工作</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_Toc3344 \h </w:instrText>
      </w:r>
      <w:r>
        <w:rPr>
          <w:rFonts w:hint="default" w:ascii="Times New Roman" w:hAnsi="Times New Roman" w:cs="Times New Roman"/>
          <w:color w:val="auto"/>
        </w:rPr>
        <w:fldChar w:fldCharType="separate"/>
      </w:r>
      <w:r>
        <w:rPr>
          <w:rFonts w:hint="default" w:ascii="Times New Roman" w:hAnsi="Times New Roman" w:cs="Times New Roman"/>
          <w:color w:val="auto"/>
        </w:rPr>
        <w:t>28</w:t>
      </w:r>
      <w:r>
        <w:rPr>
          <w:rFonts w:hint="default" w:ascii="Times New Roman" w:hAnsi="Times New Roman" w:cs="Times New Roman"/>
          <w:color w:val="auto"/>
        </w:rPr>
        <w:fldChar w:fldCharType="end"/>
      </w:r>
      <w:r>
        <w:rPr>
          <w:rFonts w:hint="default" w:ascii="Times New Roman" w:hAnsi="Times New Roman" w:eastAsia="仿宋" w:cs="Times New Roman"/>
          <w:color w:val="auto"/>
          <w:spacing w:val="28"/>
          <w:szCs w:val="22"/>
        </w:rPr>
        <w:fldChar w:fldCharType="end"/>
      </w:r>
    </w:p>
    <w:p w14:paraId="321E8BB1">
      <w:pPr>
        <w:pStyle w:val="13"/>
        <w:tabs>
          <w:tab w:val="right" w:leader="dot" w:pos="8306"/>
        </w:tabs>
        <w:rPr>
          <w:rFonts w:hint="default" w:ascii="Times New Roman" w:hAnsi="Times New Roman" w:cs="Times New Roman"/>
          <w:color w:val="auto"/>
        </w:rPr>
      </w:pPr>
      <w:r>
        <w:rPr>
          <w:rFonts w:hint="default" w:ascii="Times New Roman" w:hAnsi="Times New Roman" w:eastAsia="仿宋" w:cs="Times New Roman"/>
          <w:color w:val="auto"/>
          <w:spacing w:val="28"/>
          <w:szCs w:val="22"/>
        </w:rPr>
        <w:fldChar w:fldCharType="begin"/>
      </w:r>
      <w:r>
        <w:rPr>
          <w:rFonts w:hint="default" w:ascii="Times New Roman" w:hAnsi="Times New Roman" w:eastAsia="仿宋" w:cs="Times New Roman"/>
          <w:color w:val="auto"/>
          <w:spacing w:val="28"/>
          <w:szCs w:val="22"/>
        </w:rPr>
        <w:instrText xml:space="preserve"> HYPERLINK \l _Toc22348 </w:instrText>
      </w:r>
      <w:r>
        <w:rPr>
          <w:rFonts w:hint="default" w:ascii="Times New Roman" w:hAnsi="Times New Roman" w:eastAsia="仿宋" w:cs="Times New Roman"/>
          <w:color w:val="auto"/>
          <w:spacing w:val="28"/>
          <w:szCs w:val="22"/>
        </w:rPr>
        <w:fldChar w:fldCharType="separate"/>
      </w:r>
      <w:r>
        <w:rPr>
          <w:rFonts w:hint="default" w:ascii="Times New Roman" w:hAnsi="Times New Roman" w:eastAsia="仿宋" w:cs="Times New Roman"/>
          <w:color w:val="auto"/>
          <w:szCs w:val="28"/>
        </w:rPr>
        <w:t>四、园区生态环境管理存在主要问题和难题</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_Toc22348 \h </w:instrText>
      </w:r>
      <w:r>
        <w:rPr>
          <w:rFonts w:hint="default" w:ascii="Times New Roman" w:hAnsi="Times New Roman" w:cs="Times New Roman"/>
          <w:color w:val="auto"/>
        </w:rPr>
        <w:fldChar w:fldCharType="separate"/>
      </w:r>
      <w:r>
        <w:rPr>
          <w:rFonts w:hint="default" w:ascii="Times New Roman" w:hAnsi="Times New Roman" w:cs="Times New Roman"/>
          <w:color w:val="auto"/>
        </w:rPr>
        <w:t>28</w:t>
      </w:r>
      <w:r>
        <w:rPr>
          <w:rFonts w:hint="default" w:ascii="Times New Roman" w:hAnsi="Times New Roman" w:cs="Times New Roman"/>
          <w:color w:val="auto"/>
        </w:rPr>
        <w:fldChar w:fldCharType="end"/>
      </w:r>
      <w:r>
        <w:rPr>
          <w:rFonts w:hint="default" w:ascii="Times New Roman" w:hAnsi="Times New Roman" w:eastAsia="仿宋" w:cs="Times New Roman"/>
          <w:color w:val="auto"/>
          <w:spacing w:val="28"/>
          <w:szCs w:val="22"/>
        </w:rPr>
        <w:fldChar w:fldCharType="end"/>
      </w:r>
    </w:p>
    <w:p w14:paraId="0E6F188A">
      <w:pPr>
        <w:pStyle w:val="13"/>
        <w:tabs>
          <w:tab w:val="right" w:leader="dot" w:pos="8306"/>
        </w:tabs>
        <w:rPr>
          <w:color w:val="auto"/>
        </w:rPr>
      </w:pPr>
      <w:r>
        <w:rPr>
          <w:rFonts w:hint="default" w:ascii="Times New Roman" w:hAnsi="Times New Roman" w:eastAsia="仿宋" w:cs="Times New Roman"/>
          <w:color w:val="auto"/>
          <w:spacing w:val="28"/>
          <w:szCs w:val="22"/>
        </w:rPr>
        <w:fldChar w:fldCharType="begin"/>
      </w:r>
      <w:r>
        <w:rPr>
          <w:rFonts w:hint="default" w:ascii="Times New Roman" w:hAnsi="Times New Roman" w:eastAsia="仿宋" w:cs="Times New Roman"/>
          <w:color w:val="auto"/>
          <w:spacing w:val="28"/>
          <w:szCs w:val="22"/>
        </w:rPr>
        <w:instrText xml:space="preserve"> HYPERLINK \l _Toc15427 </w:instrText>
      </w:r>
      <w:r>
        <w:rPr>
          <w:rFonts w:hint="default" w:ascii="Times New Roman" w:hAnsi="Times New Roman" w:eastAsia="仿宋" w:cs="Times New Roman"/>
          <w:color w:val="auto"/>
          <w:spacing w:val="28"/>
          <w:szCs w:val="22"/>
        </w:rPr>
        <w:fldChar w:fldCharType="separate"/>
      </w:r>
      <w:r>
        <w:rPr>
          <w:rFonts w:hint="default" w:ascii="Times New Roman" w:hAnsi="Times New Roman" w:eastAsia="仿宋" w:cs="Times New Roman"/>
          <w:color w:val="auto"/>
          <w:szCs w:val="28"/>
        </w:rPr>
        <w:t>五、下一步工作计划</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_Toc15427 \h </w:instrText>
      </w:r>
      <w:r>
        <w:rPr>
          <w:rFonts w:hint="default" w:ascii="Times New Roman" w:hAnsi="Times New Roman" w:cs="Times New Roman"/>
          <w:color w:val="auto"/>
        </w:rPr>
        <w:fldChar w:fldCharType="separate"/>
      </w:r>
      <w:r>
        <w:rPr>
          <w:rFonts w:hint="default" w:ascii="Times New Roman" w:hAnsi="Times New Roman" w:cs="Times New Roman"/>
          <w:color w:val="auto"/>
        </w:rPr>
        <w:t>30</w:t>
      </w:r>
      <w:r>
        <w:rPr>
          <w:rFonts w:hint="default" w:ascii="Times New Roman" w:hAnsi="Times New Roman" w:cs="Times New Roman"/>
          <w:color w:val="auto"/>
        </w:rPr>
        <w:fldChar w:fldCharType="end"/>
      </w:r>
      <w:r>
        <w:rPr>
          <w:rFonts w:hint="default" w:ascii="Times New Roman" w:hAnsi="Times New Roman" w:eastAsia="仿宋" w:cs="Times New Roman"/>
          <w:color w:val="auto"/>
          <w:spacing w:val="28"/>
          <w:szCs w:val="22"/>
        </w:rPr>
        <w:fldChar w:fldCharType="end"/>
      </w:r>
    </w:p>
    <w:p w14:paraId="3F4995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b/>
          <w:color w:val="auto"/>
          <w:spacing w:val="28"/>
          <w:sz w:val="28"/>
          <w:szCs w:val="28"/>
        </w:rPr>
      </w:pPr>
      <w:r>
        <w:rPr>
          <w:rFonts w:hint="default" w:ascii="Times New Roman" w:hAnsi="Times New Roman" w:eastAsia="仿宋" w:cs="Times New Roman"/>
          <w:color w:val="auto"/>
          <w:spacing w:val="28"/>
          <w:szCs w:val="22"/>
        </w:rPr>
        <w:fldChar w:fldCharType="end"/>
      </w:r>
    </w:p>
    <w:p w14:paraId="218C05C0">
      <w:pPr>
        <w:spacing w:line="360" w:lineRule="auto"/>
        <w:jc w:val="center"/>
        <w:rPr>
          <w:rFonts w:hint="default" w:ascii="Times New Roman" w:hAnsi="Times New Roman" w:eastAsia="仿宋" w:cs="Times New Roman"/>
          <w:b/>
          <w:color w:val="auto"/>
          <w:spacing w:val="28"/>
          <w:sz w:val="28"/>
          <w:szCs w:val="28"/>
        </w:rPr>
      </w:pPr>
    </w:p>
    <w:p w14:paraId="51EA45E9">
      <w:pPr>
        <w:spacing w:line="360" w:lineRule="auto"/>
        <w:jc w:val="center"/>
        <w:rPr>
          <w:rFonts w:hint="default" w:ascii="Times New Roman" w:hAnsi="Times New Roman" w:eastAsia="仿宋" w:cs="Times New Roman"/>
          <w:b/>
          <w:color w:val="auto"/>
          <w:spacing w:val="28"/>
          <w:sz w:val="28"/>
          <w:szCs w:val="28"/>
        </w:rPr>
        <w:sectPr>
          <w:footerReference r:id="rId4" w:type="default"/>
          <w:pgSz w:w="11906" w:h="16838"/>
          <w:pgMar w:top="1440" w:right="1800" w:bottom="1440" w:left="1800" w:header="851" w:footer="992" w:gutter="0"/>
          <w:pgNumType w:fmt="numberInDash" w:start="1"/>
          <w:cols w:space="720" w:num="1"/>
          <w:docGrid w:type="lines" w:linePitch="312" w:charSpace="0"/>
        </w:sectPr>
      </w:pPr>
    </w:p>
    <w:p w14:paraId="78796ECE">
      <w:pPr>
        <w:keepNext w:val="0"/>
        <w:keepLines w:val="0"/>
        <w:pageBreakBefore w:val="0"/>
        <w:kinsoku/>
        <w:wordWrap/>
        <w:overflowPunct/>
        <w:topLinePunct w:val="0"/>
        <w:autoSpaceDE/>
        <w:autoSpaceDN/>
        <w:bidi w:val="0"/>
        <w:adjustRightInd/>
        <w:snapToGrid/>
        <w:spacing w:line="360" w:lineRule="auto"/>
        <w:textAlignment w:val="auto"/>
        <w:outlineLvl w:val="0"/>
        <w:rPr>
          <w:rFonts w:hint="default" w:ascii="Times New Roman" w:hAnsi="Times New Roman" w:eastAsia="仿宋" w:cs="Times New Roman"/>
          <w:b/>
          <w:color w:val="auto"/>
          <w:sz w:val="32"/>
          <w:szCs w:val="28"/>
        </w:rPr>
      </w:pPr>
      <w:bookmarkStart w:id="1" w:name="_Toc26201"/>
      <w:r>
        <w:rPr>
          <w:rFonts w:hint="default" w:ascii="Times New Roman" w:hAnsi="Times New Roman" w:eastAsia="仿宋" w:cs="Times New Roman"/>
          <w:b/>
          <w:color w:val="auto"/>
          <w:sz w:val="32"/>
          <w:szCs w:val="28"/>
        </w:rPr>
        <w:t>一、园区概况</w:t>
      </w:r>
      <w:bookmarkEnd w:id="1"/>
    </w:p>
    <w:p w14:paraId="5C99077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原名鹤城工业集中区、鹤城产业开发区</w:t>
      </w:r>
      <w:r>
        <w:rPr>
          <w:rFonts w:hint="eastAsia"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rPr>
        <w:t>鹤城</w:t>
      </w:r>
      <w:r>
        <w:rPr>
          <w:rFonts w:hint="default" w:ascii="Times New Roman" w:hAnsi="Times New Roman" w:eastAsia="仿宋" w:cs="Times New Roman"/>
          <w:color w:val="auto"/>
          <w:sz w:val="28"/>
          <w:szCs w:val="28"/>
          <w:lang w:val="en-US" w:eastAsia="zh-CN"/>
        </w:rPr>
        <w:t>高新技术</w:t>
      </w:r>
      <w:r>
        <w:rPr>
          <w:rFonts w:hint="default" w:ascii="Times New Roman" w:hAnsi="Times New Roman" w:eastAsia="仿宋" w:cs="Times New Roman"/>
          <w:color w:val="auto"/>
          <w:sz w:val="28"/>
          <w:szCs w:val="28"/>
        </w:rPr>
        <w:t>产业开发区</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位于怀化市鹤城区坨院街道阳塘村，成立于2010年5月，2012年12月经湖南省发展和改革委员会文件（湘发改地区</w:t>
      </w:r>
      <w:r>
        <w:rPr>
          <w:rFonts w:hint="default" w:ascii="Times New Roman" w:hAnsi="Times New Roman" w:eastAsia="仿宋" w:cs="Times New Roman"/>
          <w:color w:val="auto"/>
          <w:sz w:val="28"/>
          <w:szCs w:val="28"/>
          <w:lang w:val="en-US" w:eastAsia="zh-CN"/>
        </w:rPr>
        <w:t>〔201</w:t>
      </w:r>
      <w:r>
        <w:rPr>
          <w:rFonts w:hint="eastAsia" w:ascii="Times New Roman" w:hAnsi="Times New Roman" w:eastAsia="仿宋" w:cs="Times New Roman"/>
          <w:color w:val="auto"/>
          <w:sz w:val="28"/>
          <w:szCs w:val="28"/>
          <w:lang w:val="en-US" w:eastAsia="zh-CN"/>
        </w:rPr>
        <w:t>2</w:t>
      </w: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rPr>
        <w:t>2054号）批准为省级工业集中区。主导产业以机械设备制造业、医药产业、绿色食品为主导，配套发展现代物流业。核准范围为东至220kv阳塘变电站（阳塘路），北至石门路北侧山体，西至怀化铁路东站西侧（联城路），南至沪昆铁路，核准</w:t>
      </w:r>
      <w:r>
        <w:rPr>
          <w:rFonts w:hint="default" w:ascii="Times New Roman" w:hAnsi="Times New Roman" w:eastAsia="仿宋" w:cs="Times New Roman"/>
          <w:color w:val="auto"/>
          <w:sz w:val="28"/>
          <w:szCs w:val="28"/>
          <w:lang w:val="en-US" w:eastAsia="zh-CN"/>
        </w:rPr>
        <w:t>范围</w:t>
      </w:r>
      <w:r>
        <w:rPr>
          <w:rFonts w:hint="default" w:ascii="Times New Roman" w:hAnsi="Times New Roman" w:eastAsia="仿宋" w:cs="Times New Roman"/>
          <w:color w:val="auto"/>
          <w:sz w:val="28"/>
          <w:szCs w:val="28"/>
        </w:rPr>
        <w:t>面积2.09km</w:t>
      </w:r>
      <w:r>
        <w:rPr>
          <w:rFonts w:hint="default" w:ascii="Times New Roman" w:hAnsi="Times New Roman" w:eastAsia="仿宋" w:cs="Times New Roman"/>
          <w:color w:val="auto"/>
          <w:sz w:val="28"/>
          <w:szCs w:val="28"/>
          <w:vertAlign w:val="superscript"/>
        </w:rPr>
        <w:t>2</w:t>
      </w:r>
      <w:r>
        <w:rPr>
          <w:rFonts w:hint="default" w:ascii="Times New Roman" w:hAnsi="Times New Roman" w:eastAsia="仿宋" w:cs="Times New Roman"/>
          <w:color w:val="auto"/>
          <w:sz w:val="28"/>
          <w:szCs w:val="28"/>
        </w:rPr>
        <w:t>。</w:t>
      </w:r>
    </w:p>
    <w:p w14:paraId="30F0BDA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园区规划环评（含跟踪评价）批复情况：2014年，园区组织编制了《怀化市鹤城工业集中区环境影响报告书》，并于2014年7月获得湖南省环境保护厅批复（湘环评函〔2014〕71号）；2018年12月，园区组织编制了</w:t>
      </w:r>
      <w:r>
        <w:rPr>
          <w:rFonts w:hint="default" w:ascii="Times New Roman" w:hAnsi="Times New Roman" w:eastAsia="仿宋" w:cs="Times New Roman"/>
          <w:color w:val="auto"/>
          <w:sz w:val="28"/>
          <w:szCs w:val="28"/>
        </w:rPr>
        <w:t>《怀化市鹤城工业集中区环境影响跟踪评价报告书》，并于2020年7月获得湖南省生态环境厅关于怀化市鹤城工业集中区规划环境影响跟踪评价工作意见的函（湘环评函〔2020〕27号）。</w:t>
      </w:r>
    </w:p>
    <w:p w14:paraId="26722A46">
      <w:pPr>
        <w:pStyle w:val="7"/>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2021年12月，怀化市鹤城工业集中区更名为鹤城产业开发区。</w:t>
      </w:r>
    </w:p>
    <w:p w14:paraId="7993A5A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2022年8月，根据</w:t>
      </w:r>
      <w:r>
        <w:rPr>
          <w:rFonts w:hint="default" w:ascii="Times New Roman" w:hAnsi="Times New Roman" w:eastAsia="仿宋" w:cs="Times New Roman"/>
          <w:color w:val="auto"/>
          <w:sz w:val="28"/>
          <w:szCs w:val="28"/>
        </w:rPr>
        <w:t>湖南省发展和改革委员会</w:t>
      </w:r>
      <w:r>
        <w:rPr>
          <w:rFonts w:hint="eastAsia"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湖南省自然资源厅《关于发布湖南省省级以上产业园区边界面积及四至范围目录的通知》（湘发改园区〔2022〕601号）</w:t>
      </w:r>
      <w:r>
        <w:rPr>
          <w:rFonts w:hint="default" w:ascii="Times New Roman" w:hAnsi="Times New Roman" w:eastAsia="仿宋" w:cs="Times New Roman"/>
          <w:color w:val="auto"/>
          <w:sz w:val="28"/>
          <w:szCs w:val="28"/>
          <w:lang w:val="en-US" w:eastAsia="zh-CN"/>
        </w:rPr>
        <w:t>文，</w:t>
      </w:r>
      <w:r>
        <w:rPr>
          <w:rFonts w:hint="default" w:ascii="Times New Roman" w:hAnsi="Times New Roman" w:eastAsia="仿宋" w:cs="Times New Roman"/>
          <w:color w:val="auto"/>
          <w:sz w:val="28"/>
          <w:szCs w:val="28"/>
        </w:rPr>
        <w:t>核定</w:t>
      </w:r>
      <w:r>
        <w:rPr>
          <w:rFonts w:hint="default" w:ascii="Times New Roman" w:hAnsi="Times New Roman" w:eastAsia="仿宋" w:cs="Times New Roman"/>
          <w:color w:val="auto"/>
          <w:sz w:val="28"/>
          <w:szCs w:val="28"/>
          <w:lang w:val="en-US" w:eastAsia="zh-CN"/>
        </w:rPr>
        <w:t>园区</w:t>
      </w:r>
      <w:r>
        <w:rPr>
          <w:rFonts w:hint="default" w:ascii="Times New Roman" w:hAnsi="Times New Roman" w:eastAsia="仿宋" w:cs="Times New Roman"/>
          <w:color w:val="auto"/>
          <w:sz w:val="28"/>
          <w:szCs w:val="28"/>
        </w:rPr>
        <w:t>面积：2.2399km</w:t>
      </w:r>
      <w:r>
        <w:rPr>
          <w:rFonts w:hint="default" w:ascii="Times New Roman" w:hAnsi="Times New Roman" w:eastAsia="仿宋" w:cs="Times New Roman"/>
          <w:color w:val="auto"/>
          <w:sz w:val="28"/>
          <w:szCs w:val="28"/>
          <w:vertAlign w:val="superscript"/>
        </w:rPr>
        <w:t>2</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z w:val="28"/>
          <w:szCs w:val="28"/>
          <w:lang w:val="en-US" w:eastAsia="zh-CN"/>
        </w:rPr>
        <w:t>包含区块一：区块面积2.09km</w:t>
      </w:r>
      <w:r>
        <w:rPr>
          <w:rFonts w:hint="default" w:ascii="Times New Roman" w:hAnsi="Times New Roman" w:eastAsia="仿宋" w:cs="Times New Roman"/>
          <w:color w:val="auto"/>
          <w:sz w:val="28"/>
          <w:szCs w:val="28"/>
          <w:vertAlign w:val="superscript"/>
          <w:lang w:val="en-US" w:eastAsia="zh-CN"/>
        </w:rPr>
        <w:t>2</w:t>
      </w:r>
      <w:r>
        <w:rPr>
          <w:rFonts w:hint="default" w:ascii="Times New Roman" w:hAnsi="Times New Roman" w:eastAsia="仿宋" w:cs="Times New Roman"/>
          <w:color w:val="auto"/>
          <w:sz w:val="28"/>
          <w:szCs w:val="28"/>
          <w:lang w:val="en-US" w:eastAsia="zh-CN"/>
        </w:rPr>
        <w:t>，四至范围：东至阳塘路与中方县交界处，南至沪昆铁路，西至东联路，北至湖南医学院（新校区）以北；区块二：区块面积0.1499km</w:t>
      </w:r>
      <w:r>
        <w:rPr>
          <w:rFonts w:hint="default" w:ascii="Times New Roman" w:hAnsi="Times New Roman" w:eastAsia="仿宋" w:cs="Times New Roman"/>
          <w:color w:val="auto"/>
          <w:sz w:val="28"/>
          <w:szCs w:val="28"/>
          <w:vertAlign w:val="superscript"/>
          <w:lang w:val="en-US" w:eastAsia="zh-CN"/>
        </w:rPr>
        <w:t>2</w:t>
      </w:r>
      <w:r>
        <w:rPr>
          <w:rFonts w:hint="default" w:ascii="Times New Roman" w:hAnsi="Times New Roman" w:eastAsia="仿宋" w:cs="Times New Roman"/>
          <w:color w:val="auto"/>
          <w:sz w:val="28"/>
          <w:szCs w:val="28"/>
          <w:lang w:val="en-US" w:eastAsia="zh-CN"/>
        </w:rPr>
        <w:t>，四至范围：东G209国道，南至黄岩园，西至栗木滩，北至李公湾大桥以南。</w:t>
      </w:r>
    </w:p>
    <w:p w14:paraId="0A783F4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2023年2月，根据湖南省人民政府关于设立荷塘高新技术产业开发区等9个省级高新技术产业开发区的批复（湘政函〔20</w:t>
      </w:r>
      <w:r>
        <w:rPr>
          <w:rFonts w:hint="eastAsia" w:ascii="Times New Roman" w:hAnsi="Times New Roman" w:eastAsia="仿宋" w:cs="Times New Roman"/>
          <w:color w:val="auto"/>
          <w:sz w:val="28"/>
          <w:szCs w:val="28"/>
          <w:lang w:val="en-US" w:eastAsia="zh-CN"/>
        </w:rPr>
        <w:t>23</w:t>
      </w:r>
      <w:r>
        <w:rPr>
          <w:rFonts w:hint="default" w:ascii="Times New Roman" w:hAnsi="Times New Roman" w:eastAsia="仿宋" w:cs="Times New Roman"/>
          <w:color w:val="auto"/>
          <w:sz w:val="28"/>
          <w:szCs w:val="28"/>
          <w:lang w:val="en-US" w:eastAsia="zh-CN"/>
        </w:rPr>
        <w:t>〕21号）经湘政函〔20</w:t>
      </w:r>
      <w:r>
        <w:rPr>
          <w:rFonts w:hint="eastAsia" w:ascii="Times New Roman" w:hAnsi="Times New Roman" w:eastAsia="仿宋" w:cs="Times New Roman"/>
          <w:color w:val="auto"/>
          <w:sz w:val="28"/>
          <w:szCs w:val="28"/>
          <w:lang w:val="en-US" w:eastAsia="zh-CN"/>
        </w:rPr>
        <w:t>23</w:t>
      </w:r>
      <w:r>
        <w:rPr>
          <w:rFonts w:hint="default" w:ascii="Times New Roman" w:hAnsi="Times New Roman" w:eastAsia="仿宋" w:cs="Times New Roman"/>
          <w:color w:val="auto"/>
          <w:sz w:val="28"/>
          <w:szCs w:val="28"/>
          <w:lang w:val="en-US" w:eastAsia="zh-CN"/>
        </w:rPr>
        <w:t>〕21号文，园区升级为鹤城高新技术产业开发区。</w:t>
      </w:r>
    </w:p>
    <w:p w14:paraId="3B24113F">
      <w:pPr>
        <w:keepNext w:val="0"/>
        <w:keepLines w:val="0"/>
        <w:pageBreakBefore w:val="0"/>
        <w:widowControl w:val="0"/>
        <w:kinsoku/>
        <w:wordWrap/>
        <w:overflowPunct/>
        <w:topLinePunct w:val="0"/>
        <w:autoSpaceDE/>
        <w:autoSpaceDN/>
        <w:bidi w:val="0"/>
        <w:adjustRightInd/>
        <w:snapToGrid/>
        <w:spacing w:line="360" w:lineRule="auto"/>
        <w:ind w:firstLine="636" w:firstLineChars="200"/>
        <w:textAlignment w:val="auto"/>
        <w:rPr>
          <w:rFonts w:hint="default" w:ascii="Times New Roman" w:hAnsi="Times New Roman" w:eastAsia="仿宋" w:cs="Times New Roman"/>
          <w:color w:val="auto"/>
          <w:sz w:val="28"/>
          <w:szCs w:val="28"/>
        </w:rPr>
      </w:pPr>
      <w:r>
        <w:rPr>
          <w:rFonts w:hint="eastAsia" w:ascii="仿宋_GB2312" w:eastAsia="仿宋_GB2312"/>
          <w:color w:val="auto"/>
          <w:spacing w:val="19"/>
          <w:sz w:val="28"/>
          <w:szCs w:val="28"/>
          <w:lang w:val="zh-CN" w:eastAsia="zh-CN"/>
        </w:rPr>
        <w:t>2025年根据全省园区体制机制改革要求，经省政府批复鹤城高新区合并至怀化高新技术产业开发区，作为怀化高新区鹤城片区。</w:t>
      </w:r>
    </w:p>
    <w:p w14:paraId="4A11456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highlight w:val="none"/>
          <w:lang w:val="en-US" w:eastAsia="zh-CN"/>
        </w:rPr>
        <w:t>园区经济发展概况：202</w:t>
      </w:r>
      <w:r>
        <w:rPr>
          <w:rFonts w:hint="eastAsia" w:ascii="Times New Roman" w:hAnsi="Times New Roman" w:eastAsia="仿宋" w:cs="Times New Roman"/>
          <w:color w:val="auto"/>
          <w:sz w:val="28"/>
          <w:szCs w:val="28"/>
          <w:highlight w:val="none"/>
          <w:lang w:val="en-US" w:eastAsia="zh-CN"/>
        </w:rPr>
        <w:t>5</w:t>
      </w:r>
      <w:r>
        <w:rPr>
          <w:rFonts w:hint="default" w:ascii="Times New Roman" w:hAnsi="Times New Roman" w:eastAsia="仿宋" w:cs="Times New Roman"/>
          <w:color w:val="auto"/>
          <w:sz w:val="28"/>
          <w:szCs w:val="28"/>
          <w:highlight w:val="none"/>
          <w:lang w:val="en-US" w:eastAsia="zh-CN"/>
        </w:rPr>
        <w:t>年，园区完成技工贸156.67亿，同比增长23.36%，规模工业增加值18.26亿，增速12.71%，税收3.54亿元</w:t>
      </w:r>
      <w:r>
        <w:rPr>
          <w:rFonts w:hint="default" w:ascii="Times New Roman" w:hAnsi="Times New Roman" w:eastAsia="仿宋" w:cs="Times New Roman"/>
          <w:color w:val="auto"/>
          <w:sz w:val="28"/>
          <w:szCs w:val="28"/>
        </w:rPr>
        <w:t>。</w:t>
      </w:r>
    </w:p>
    <w:p w14:paraId="42E8E1EB">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hint="default" w:ascii="Times New Roman" w:hAnsi="Times New Roman" w:eastAsia="仿宋" w:cs="Times New Roman"/>
          <w:color w:val="auto"/>
          <w:kern w:val="0"/>
          <w:sz w:val="28"/>
          <w:szCs w:val="32"/>
          <w:shd w:val="clear" w:color="auto" w:fill="FFFFFF"/>
          <w:lang w:val="en-US" w:eastAsia="zh-CN" w:bidi="ar-SA"/>
        </w:rPr>
      </w:pPr>
      <w:r>
        <w:rPr>
          <w:rFonts w:hint="default" w:ascii="Times New Roman" w:hAnsi="Times New Roman" w:eastAsia="仿宋" w:cs="Times New Roman"/>
          <w:color w:val="auto"/>
          <w:kern w:val="0"/>
          <w:sz w:val="28"/>
          <w:szCs w:val="32"/>
          <w:shd w:val="clear" w:color="auto" w:fill="FFFFFF"/>
          <w:lang w:val="en-US" w:eastAsia="zh-CN" w:bidi="ar-SA"/>
        </w:rPr>
        <w:t>截止到202</w:t>
      </w:r>
      <w:r>
        <w:rPr>
          <w:rFonts w:hint="eastAsia" w:ascii="Times New Roman" w:hAnsi="Times New Roman" w:eastAsia="仿宋" w:cs="Times New Roman"/>
          <w:color w:val="auto"/>
          <w:kern w:val="0"/>
          <w:sz w:val="28"/>
          <w:szCs w:val="32"/>
          <w:shd w:val="clear" w:color="auto" w:fill="FFFFFF"/>
          <w:lang w:val="en-US" w:eastAsia="zh-CN" w:bidi="ar-SA"/>
        </w:rPr>
        <w:t>5</w:t>
      </w:r>
      <w:r>
        <w:rPr>
          <w:rFonts w:hint="default" w:ascii="Times New Roman" w:hAnsi="Times New Roman" w:eastAsia="仿宋" w:cs="Times New Roman"/>
          <w:color w:val="auto"/>
          <w:kern w:val="0"/>
          <w:sz w:val="28"/>
          <w:szCs w:val="32"/>
          <w:shd w:val="clear" w:color="auto" w:fill="FFFFFF"/>
          <w:lang w:val="en-US" w:eastAsia="zh-CN" w:bidi="ar-SA"/>
        </w:rPr>
        <w:t>年底，</w:t>
      </w:r>
      <w:r>
        <w:rPr>
          <w:rFonts w:hint="default" w:ascii="Times New Roman" w:hAnsi="Times New Roman" w:eastAsia="仿宋" w:cs="Times New Roman"/>
          <w:color w:val="auto"/>
          <w:kern w:val="0"/>
          <w:sz w:val="28"/>
          <w:szCs w:val="28"/>
          <w:lang w:val="en-US" w:eastAsia="zh-CN" w:bidi="ar-SA"/>
        </w:rPr>
        <w:t>园区入园</w:t>
      </w:r>
      <w:r>
        <w:rPr>
          <w:rFonts w:hint="default" w:ascii="Times New Roman" w:hAnsi="Times New Roman" w:eastAsia="仿宋" w:cs="Times New Roman"/>
          <w:color w:val="auto"/>
          <w:kern w:val="0"/>
          <w:sz w:val="28"/>
          <w:szCs w:val="32"/>
          <w:shd w:val="clear" w:color="auto" w:fill="FFFFFF"/>
          <w:lang w:val="en-US" w:eastAsia="zh-CN" w:bidi="ar-SA"/>
        </w:rPr>
        <w:t>企业数量为</w:t>
      </w:r>
      <w:r>
        <w:rPr>
          <w:rFonts w:hint="eastAsia" w:ascii="Times New Roman" w:hAnsi="Times New Roman" w:eastAsia="仿宋" w:cs="Times New Roman"/>
          <w:color w:val="auto"/>
          <w:kern w:val="0"/>
          <w:sz w:val="28"/>
          <w:szCs w:val="32"/>
          <w:shd w:val="clear" w:color="auto" w:fill="FFFFFF"/>
          <w:lang w:val="en-US" w:eastAsia="zh-CN" w:bidi="ar-SA"/>
        </w:rPr>
        <w:t>24</w:t>
      </w:r>
      <w:r>
        <w:rPr>
          <w:rFonts w:hint="default" w:ascii="Times New Roman" w:hAnsi="Times New Roman" w:eastAsia="仿宋" w:cs="Times New Roman"/>
          <w:color w:val="auto"/>
          <w:kern w:val="0"/>
          <w:sz w:val="28"/>
          <w:szCs w:val="32"/>
          <w:shd w:val="clear" w:color="auto" w:fill="FFFFFF"/>
          <w:lang w:val="en-US" w:eastAsia="zh-CN" w:bidi="ar-SA"/>
        </w:rPr>
        <w:t>个</w:t>
      </w:r>
      <w:r>
        <w:rPr>
          <w:rFonts w:hint="default" w:ascii="Times New Roman" w:hAnsi="Times New Roman" w:eastAsia="仿宋" w:cs="Times New Roman"/>
          <w:color w:val="auto"/>
          <w:kern w:val="0"/>
          <w:sz w:val="28"/>
          <w:szCs w:val="28"/>
          <w:lang w:val="en-US" w:eastAsia="zh-CN" w:bidi="ar-SA"/>
        </w:rPr>
        <w:t>（包含</w:t>
      </w: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kern w:val="0"/>
          <w:sz w:val="28"/>
          <w:szCs w:val="28"/>
          <w:lang w:val="en-US" w:eastAsia="zh-CN" w:bidi="ar-SA"/>
        </w:rPr>
        <w:t>污水处理厂）</w:t>
      </w:r>
      <w:r>
        <w:rPr>
          <w:rFonts w:hint="default" w:ascii="Times New Roman" w:hAnsi="Times New Roman" w:eastAsia="仿宋" w:cs="Times New Roman"/>
          <w:color w:val="auto"/>
          <w:kern w:val="0"/>
          <w:sz w:val="28"/>
          <w:szCs w:val="32"/>
          <w:shd w:val="clear" w:color="auto" w:fill="FFFFFF"/>
          <w:lang w:val="en-US" w:eastAsia="zh-CN" w:bidi="ar-SA"/>
        </w:rPr>
        <w:t>，其中，上一年度末已入园企业数量</w:t>
      </w:r>
      <w:r>
        <w:rPr>
          <w:rFonts w:hint="eastAsia" w:ascii="Times New Roman" w:hAnsi="Times New Roman" w:eastAsia="仿宋" w:cs="Times New Roman"/>
          <w:color w:val="auto"/>
          <w:kern w:val="0"/>
          <w:sz w:val="28"/>
          <w:szCs w:val="32"/>
          <w:shd w:val="clear" w:color="auto" w:fill="FFFFFF"/>
          <w:lang w:val="en-US" w:eastAsia="zh-CN" w:bidi="ar-SA"/>
        </w:rPr>
        <w:t>24</w:t>
      </w:r>
      <w:r>
        <w:rPr>
          <w:rFonts w:hint="default" w:ascii="Times New Roman" w:hAnsi="Times New Roman" w:eastAsia="仿宋" w:cs="Times New Roman"/>
          <w:color w:val="auto"/>
          <w:kern w:val="0"/>
          <w:sz w:val="28"/>
          <w:szCs w:val="32"/>
          <w:shd w:val="clear" w:color="auto" w:fill="FFFFFF"/>
          <w:lang w:val="en-US" w:eastAsia="zh-CN" w:bidi="ar-SA"/>
        </w:rPr>
        <w:t>个，本年度内新入园企业数量</w:t>
      </w:r>
      <w:r>
        <w:rPr>
          <w:rFonts w:hint="eastAsia" w:ascii="Times New Roman" w:hAnsi="Times New Roman" w:eastAsia="仿宋" w:cs="Times New Roman"/>
          <w:color w:val="auto"/>
          <w:kern w:val="0"/>
          <w:sz w:val="28"/>
          <w:szCs w:val="32"/>
          <w:shd w:val="clear" w:color="auto" w:fill="FFFFFF"/>
          <w:lang w:val="en-US" w:eastAsia="zh-CN" w:bidi="ar-SA"/>
        </w:rPr>
        <w:t>0</w:t>
      </w:r>
      <w:r>
        <w:rPr>
          <w:rFonts w:hint="default" w:ascii="Times New Roman" w:hAnsi="Times New Roman" w:eastAsia="仿宋" w:cs="Times New Roman"/>
          <w:color w:val="auto"/>
          <w:kern w:val="0"/>
          <w:sz w:val="28"/>
          <w:szCs w:val="32"/>
          <w:shd w:val="clear" w:color="auto" w:fill="FFFFFF"/>
          <w:lang w:val="en-US" w:eastAsia="zh-CN" w:bidi="ar-SA"/>
        </w:rPr>
        <w:t>个，本年度清退企业0个。</w:t>
      </w:r>
    </w:p>
    <w:p w14:paraId="109B98EB">
      <w:pPr>
        <w:pStyle w:val="2"/>
        <w:keepNext w:val="0"/>
        <w:keepLines w:val="0"/>
        <w:pageBreakBefore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园区内已完成环评批复手续企业数量</w:t>
      </w:r>
      <w:r>
        <w:rPr>
          <w:rFonts w:hint="eastAsia" w:ascii="Times New Roman" w:hAnsi="Times New Roman" w:eastAsia="仿宋" w:cs="Times New Roman"/>
          <w:color w:val="auto"/>
          <w:sz w:val="28"/>
          <w:szCs w:val="28"/>
          <w:u w:color="000000"/>
          <w:lang w:val="en-US" w:eastAsia="zh-CN"/>
        </w:rPr>
        <w:t>24</w:t>
      </w:r>
      <w:r>
        <w:rPr>
          <w:rFonts w:hint="default" w:ascii="Times New Roman" w:hAnsi="Times New Roman" w:eastAsia="仿宋" w:cs="Times New Roman"/>
          <w:color w:val="auto"/>
          <w:sz w:val="28"/>
          <w:szCs w:val="28"/>
        </w:rPr>
        <w:t>个，本年度新增项目环评批复</w:t>
      </w:r>
      <w:r>
        <w:rPr>
          <w:rFonts w:hint="eastAsia" w:ascii="Times New Roman" w:hAnsi="Times New Roman" w:eastAsia="仿宋" w:cs="Times New Roman"/>
          <w:color w:val="auto"/>
          <w:sz w:val="28"/>
          <w:szCs w:val="28"/>
          <w:lang w:val="en-US" w:eastAsia="zh-CN"/>
        </w:rPr>
        <w:t>0</w:t>
      </w:r>
      <w:r>
        <w:rPr>
          <w:rFonts w:hint="default" w:ascii="Times New Roman" w:hAnsi="Times New Roman" w:eastAsia="仿宋" w:cs="Times New Roman"/>
          <w:color w:val="auto"/>
          <w:sz w:val="28"/>
          <w:szCs w:val="28"/>
        </w:rPr>
        <w:t>个，无环评批复的企业有0个。园区内已完成环保竣工验收手续企业数量</w:t>
      </w:r>
      <w:r>
        <w:rPr>
          <w:rFonts w:hint="default" w:ascii="Times New Roman" w:hAnsi="Times New Roman" w:eastAsia="仿宋" w:cs="Times New Roman"/>
          <w:color w:val="auto"/>
          <w:sz w:val="28"/>
          <w:szCs w:val="28"/>
          <w:lang w:val="en-US" w:eastAsia="zh-CN"/>
        </w:rPr>
        <w:t>12</w:t>
      </w:r>
      <w:r>
        <w:rPr>
          <w:rFonts w:hint="default" w:ascii="Times New Roman" w:hAnsi="Times New Roman" w:eastAsia="仿宋" w:cs="Times New Roman"/>
          <w:color w:val="auto"/>
          <w:sz w:val="28"/>
          <w:szCs w:val="28"/>
        </w:rPr>
        <w:t>个，本年度新增环保竣工验收企业数量</w:t>
      </w:r>
      <w:r>
        <w:rPr>
          <w:rFonts w:hint="eastAsia" w:ascii="Times New Roman" w:hAnsi="Times New Roman" w:eastAsia="仿宋" w:cs="Times New Roman"/>
          <w:color w:val="auto"/>
          <w:sz w:val="28"/>
          <w:szCs w:val="28"/>
          <w:lang w:val="en-US" w:eastAsia="zh-CN"/>
        </w:rPr>
        <w:t>0</w:t>
      </w:r>
      <w:r>
        <w:rPr>
          <w:rFonts w:hint="default" w:ascii="Times New Roman" w:hAnsi="Times New Roman" w:eastAsia="仿宋" w:cs="Times New Roman"/>
          <w:color w:val="auto"/>
          <w:sz w:val="28"/>
          <w:szCs w:val="28"/>
        </w:rPr>
        <w:t>个</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未完成竣工环</w:t>
      </w:r>
      <w:r>
        <w:rPr>
          <w:rFonts w:hint="default" w:ascii="Times New Roman" w:hAnsi="Times New Roman" w:eastAsia="仿宋" w:cs="Times New Roman"/>
          <w:color w:val="auto"/>
          <w:sz w:val="28"/>
          <w:szCs w:val="28"/>
          <w:highlight w:val="none"/>
          <w:lang w:val="en-US" w:eastAsia="zh-CN"/>
        </w:rPr>
        <w:t>保验收的有</w:t>
      </w:r>
      <w:r>
        <w:rPr>
          <w:rFonts w:hint="eastAsia" w:ascii="Times New Roman" w:hAnsi="Times New Roman" w:eastAsia="仿宋" w:cs="Times New Roman"/>
          <w:color w:val="auto"/>
          <w:sz w:val="28"/>
          <w:szCs w:val="28"/>
          <w:highlight w:val="none"/>
          <w:lang w:val="en-US" w:eastAsia="zh-CN"/>
        </w:rPr>
        <w:t>8</w:t>
      </w:r>
      <w:r>
        <w:rPr>
          <w:rFonts w:hint="default" w:ascii="Times New Roman" w:hAnsi="Times New Roman" w:eastAsia="仿宋" w:cs="Times New Roman"/>
          <w:color w:val="auto"/>
          <w:sz w:val="28"/>
          <w:szCs w:val="28"/>
          <w:highlight w:val="none"/>
          <w:lang w:val="en-US" w:eastAsia="zh-CN"/>
        </w:rPr>
        <w:t>个（1家企业为环评登记表，不需要竣工环保验收）。</w:t>
      </w:r>
      <w:r>
        <w:rPr>
          <w:rFonts w:hint="default" w:ascii="Times New Roman" w:hAnsi="Times New Roman" w:eastAsia="仿宋" w:cs="Times New Roman"/>
          <w:color w:val="auto"/>
          <w:sz w:val="28"/>
          <w:szCs w:val="28"/>
        </w:rPr>
        <w:t>园区内已完成应急预案备案手续企业数量</w:t>
      </w:r>
      <w:r>
        <w:rPr>
          <w:rFonts w:hint="default" w:ascii="Times New Roman" w:hAnsi="Times New Roman" w:eastAsia="仿宋" w:cs="Times New Roman"/>
          <w:color w:val="auto"/>
          <w:sz w:val="28"/>
          <w:szCs w:val="28"/>
          <w:lang w:val="en-US" w:eastAsia="zh-CN"/>
        </w:rPr>
        <w:t>11</w:t>
      </w:r>
      <w:r>
        <w:rPr>
          <w:rFonts w:hint="default" w:ascii="Times New Roman" w:hAnsi="Times New Roman" w:eastAsia="仿宋" w:cs="Times New Roman"/>
          <w:color w:val="auto"/>
          <w:sz w:val="28"/>
          <w:szCs w:val="28"/>
        </w:rPr>
        <w:t>个，</w:t>
      </w:r>
      <w:r>
        <w:rPr>
          <w:rFonts w:hint="default" w:ascii="Times New Roman" w:hAnsi="Times New Roman" w:eastAsia="仿宋" w:cs="Times New Roman"/>
          <w:color w:val="auto"/>
          <w:sz w:val="28"/>
          <w:szCs w:val="28"/>
          <w:lang w:val="en-US" w:eastAsia="zh-CN"/>
        </w:rPr>
        <w:t>未完成应急预案备案的企业</w:t>
      </w:r>
      <w:r>
        <w:rPr>
          <w:rFonts w:hint="eastAsia" w:ascii="Times New Roman" w:hAnsi="Times New Roman" w:eastAsia="仿宋" w:cs="Times New Roman"/>
          <w:color w:val="auto"/>
          <w:sz w:val="28"/>
          <w:szCs w:val="28"/>
          <w:lang w:val="en-US" w:eastAsia="zh-CN"/>
        </w:rPr>
        <w:t>7</w:t>
      </w:r>
      <w:r>
        <w:rPr>
          <w:rFonts w:hint="default" w:ascii="Times New Roman" w:hAnsi="Times New Roman" w:eastAsia="仿宋" w:cs="Times New Roman"/>
          <w:color w:val="auto"/>
          <w:sz w:val="28"/>
          <w:szCs w:val="28"/>
          <w:lang w:val="en-US" w:eastAsia="zh-CN"/>
        </w:rPr>
        <w:t>个（有4家不需要办理）；</w:t>
      </w:r>
      <w:r>
        <w:rPr>
          <w:rFonts w:hint="default" w:ascii="Times New Roman" w:hAnsi="Times New Roman" w:eastAsia="仿宋" w:cs="Times New Roman"/>
          <w:color w:val="auto"/>
          <w:sz w:val="28"/>
          <w:szCs w:val="28"/>
        </w:rPr>
        <w:t>园区内已取得排污许可证企业数量1</w:t>
      </w:r>
      <w:r>
        <w:rPr>
          <w:rFonts w:hint="default" w:ascii="Times New Roman" w:hAnsi="Times New Roman" w:eastAsia="仿宋" w:cs="Times New Roman"/>
          <w:color w:val="auto"/>
          <w:sz w:val="28"/>
          <w:szCs w:val="28"/>
          <w:lang w:val="en-US" w:eastAsia="zh-CN"/>
        </w:rPr>
        <w:t>6</w:t>
      </w:r>
      <w:r>
        <w:rPr>
          <w:rFonts w:hint="default" w:ascii="Times New Roman" w:hAnsi="Times New Roman" w:eastAsia="仿宋" w:cs="Times New Roman"/>
          <w:color w:val="auto"/>
          <w:sz w:val="28"/>
          <w:szCs w:val="28"/>
        </w:rPr>
        <w:t>个</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其中重点管理企业数量1个，简化管理企业数量2个</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登记管理企业数量</w:t>
      </w:r>
      <w:r>
        <w:rPr>
          <w:rFonts w:hint="default" w:ascii="Times New Roman" w:hAnsi="Times New Roman" w:eastAsia="仿宋" w:cs="Times New Roman"/>
          <w:color w:val="auto"/>
          <w:sz w:val="28"/>
          <w:szCs w:val="28"/>
          <w:lang w:val="en-US" w:eastAsia="zh-CN"/>
        </w:rPr>
        <w:t>13</w:t>
      </w:r>
      <w:r>
        <w:rPr>
          <w:rFonts w:hint="default" w:ascii="Times New Roman" w:hAnsi="Times New Roman" w:eastAsia="仿宋" w:cs="Times New Roman"/>
          <w:color w:val="auto"/>
          <w:sz w:val="28"/>
          <w:szCs w:val="28"/>
        </w:rPr>
        <w:t>个</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，2个企业豁免，无需办理。除未建成企业外，不存在未取得排污许可证企业的情况。</w:t>
      </w:r>
    </w:p>
    <w:p w14:paraId="21E8F8D9">
      <w:pPr>
        <w:pStyle w:val="2"/>
        <w:keepNext w:val="0"/>
        <w:keepLines w:val="0"/>
        <w:pageBreakBefore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园区主要污染物总量控制指标：化学需氧量</w:t>
      </w:r>
      <w:r>
        <w:rPr>
          <w:rFonts w:hint="default" w:ascii="Times New Roman" w:hAnsi="Times New Roman" w:eastAsia="仿宋" w:cs="Times New Roman"/>
          <w:color w:val="auto"/>
          <w:sz w:val="28"/>
          <w:szCs w:val="28"/>
          <w:u w:color="000000"/>
        </w:rPr>
        <w:t>200</w:t>
      </w:r>
      <w:r>
        <w:rPr>
          <w:rFonts w:hint="default" w:ascii="Times New Roman" w:hAnsi="Times New Roman" w:eastAsia="仿宋" w:cs="Times New Roman"/>
          <w:color w:val="auto"/>
          <w:sz w:val="28"/>
          <w:szCs w:val="28"/>
        </w:rPr>
        <w:t>t/a，氨氮50t/a，二氧化硫</w:t>
      </w:r>
      <w:r>
        <w:rPr>
          <w:rFonts w:hint="default" w:ascii="Times New Roman" w:hAnsi="Times New Roman" w:eastAsia="仿宋" w:cs="Times New Roman"/>
          <w:color w:val="auto"/>
          <w:sz w:val="28"/>
          <w:szCs w:val="28"/>
          <w:u w:color="000000"/>
        </w:rPr>
        <w:t>25</w:t>
      </w:r>
      <w:r>
        <w:rPr>
          <w:rFonts w:hint="default" w:ascii="Times New Roman" w:hAnsi="Times New Roman" w:eastAsia="仿宋" w:cs="Times New Roman"/>
          <w:color w:val="auto"/>
          <w:sz w:val="28"/>
          <w:szCs w:val="28"/>
        </w:rPr>
        <w:t>t/a，氮氧化物</w:t>
      </w:r>
      <w:r>
        <w:rPr>
          <w:rFonts w:hint="default" w:ascii="Times New Roman" w:hAnsi="Times New Roman" w:eastAsia="仿宋" w:cs="Times New Roman"/>
          <w:color w:val="auto"/>
          <w:sz w:val="28"/>
          <w:szCs w:val="28"/>
          <w:u w:color="000000"/>
        </w:rPr>
        <w:t>65</w:t>
      </w:r>
      <w:r>
        <w:rPr>
          <w:rFonts w:hint="default" w:ascii="Times New Roman" w:hAnsi="Times New Roman" w:eastAsia="仿宋" w:cs="Times New Roman"/>
          <w:color w:val="auto"/>
          <w:sz w:val="28"/>
          <w:szCs w:val="28"/>
        </w:rPr>
        <w:t>t/a，原园区规划环评批复未核算VOCs控制指标。</w:t>
      </w:r>
    </w:p>
    <w:p w14:paraId="1B54482B">
      <w:pPr>
        <w:keepNext w:val="0"/>
        <w:keepLines w:val="0"/>
        <w:pageBreakBefore w:val="0"/>
        <w:kinsoku/>
        <w:wordWrap/>
        <w:overflowPunct/>
        <w:topLinePunct w:val="0"/>
        <w:autoSpaceDE/>
        <w:autoSpaceDN/>
        <w:bidi w:val="0"/>
        <w:adjustRightInd/>
        <w:snapToGrid/>
        <w:spacing w:line="360" w:lineRule="auto"/>
        <w:textAlignment w:val="auto"/>
        <w:outlineLvl w:val="0"/>
        <w:rPr>
          <w:rFonts w:hint="default" w:ascii="Times New Roman" w:hAnsi="Times New Roman" w:eastAsia="仿宋" w:cs="Times New Roman"/>
          <w:b/>
          <w:color w:val="auto"/>
          <w:sz w:val="32"/>
          <w:szCs w:val="28"/>
        </w:rPr>
      </w:pPr>
      <w:bookmarkStart w:id="2" w:name="_Toc326"/>
      <w:r>
        <w:rPr>
          <w:rFonts w:hint="default" w:ascii="Times New Roman" w:hAnsi="Times New Roman" w:eastAsia="仿宋" w:cs="Times New Roman"/>
          <w:b/>
          <w:color w:val="auto"/>
          <w:sz w:val="32"/>
          <w:szCs w:val="28"/>
        </w:rPr>
        <w:t>二、环境管理情况</w:t>
      </w:r>
      <w:bookmarkEnd w:id="2"/>
    </w:p>
    <w:p w14:paraId="7FC2A742">
      <w:pPr>
        <w:pStyle w:val="2"/>
        <w:keepNext w:val="0"/>
        <w:keepLines w:val="0"/>
        <w:pageBreakBefore w:val="0"/>
        <w:kinsoku/>
        <w:wordWrap/>
        <w:overflowPunct/>
        <w:topLinePunct w:val="0"/>
        <w:autoSpaceDE/>
        <w:autoSpaceDN/>
        <w:bidi w:val="0"/>
        <w:adjustRightInd/>
        <w:snapToGrid/>
        <w:spacing w:after="0" w:line="360" w:lineRule="auto"/>
        <w:ind w:left="0" w:leftChars="0" w:firstLine="482"/>
        <w:textAlignment w:val="auto"/>
        <w:outlineLvl w:val="1"/>
        <w:rPr>
          <w:rFonts w:hint="default" w:ascii="Times New Roman" w:hAnsi="Times New Roman" w:eastAsia="仿宋" w:cs="Times New Roman"/>
          <w:b/>
          <w:color w:val="auto"/>
          <w:sz w:val="28"/>
          <w:szCs w:val="28"/>
        </w:rPr>
      </w:pPr>
      <w:bookmarkStart w:id="3" w:name="_Toc9159"/>
      <w:r>
        <w:rPr>
          <w:rFonts w:hint="default" w:ascii="Times New Roman" w:hAnsi="Times New Roman" w:eastAsia="仿宋" w:cs="Times New Roman"/>
          <w:b/>
          <w:color w:val="auto"/>
          <w:sz w:val="28"/>
          <w:szCs w:val="28"/>
        </w:rPr>
        <w:t>（一）规划环评批复要求落实情况</w:t>
      </w:r>
      <w:bookmarkEnd w:id="3"/>
    </w:p>
    <w:p w14:paraId="6A09001C">
      <w:pPr>
        <w:pStyle w:val="2"/>
        <w:keepNext w:val="0"/>
        <w:keepLines w:val="0"/>
        <w:pageBreakBefore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color w:val="auto"/>
          <w:sz w:val="28"/>
          <w:szCs w:val="28"/>
        </w:rPr>
      </w:pPr>
      <w:r>
        <w:rPr>
          <w:rFonts w:hint="default" w:ascii="Times New Roman" w:hAnsi="Times New Roman" w:eastAsia="仿宋" w:cs="Times New Roman"/>
          <w:b/>
          <w:color w:val="auto"/>
          <w:sz w:val="28"/>
          <w:szCs w:val="28"/>
        </w:rPr>
        <w:t>1、规划环评批复要求落实情况</w:t>
      </w:r>
    </w:p>
    <w:p w14:paraId="40506653">
      <w:pPr>
        <w:pStyle w:val="2"/>
        <w:keepNext w:val="0"/>
        <w:keepLines w:val="0"/>
        <w:pageBreakBefore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2014年7月17日，原湖南省环境保护厅出具了关于怀化市鹤城工业集中区环境影响报告书批复的函（湘环评函〔2014〕71号），根据该批复文件，园区具体落实情况见下表。</w:t>
      </w:r>
    </w:p>
    <w:p w14:paraId="1C7795F9">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表2-1  湘环评函〔2014〕71号文要点及其执行情况一览表</w:t>
      </w:r>
    </w:p>
    <w:tbl>
      <w:tblPr>
        <w:tblStyle w:val="18"/>
        <w:tblW w:w="5000" w:type="pct"/>
        <w:jc w:val="center"/>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
        <w:gridCol w:w="3531"/>
        <w:gridCol w:w="3277"/>
        <w:gridCol w:w="757"/>
      </w:tblGrid>
      <w:tr w14:paraId="2FBC20BF">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pct"/>
            <w:noWrap w:val="0"/>
            <w:vAlign w:val="center"/>
          </w:tcPr>
          <w:p w14:paraId="402591AF">
            <w:pPr>
              <w:spacing w:line="240" w:lineRule="auto"/>
              <w:jc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序号</w:t>
            </w:r>
          </w:p>
        </w:tc>
        <w:tc>
          <w:tcPr>
            <w:tcW w:w="2071" w:type="pct"/>
            <w:noWrap w:val="0"/>
            <w:vAlign w:val="center"/>
          </w:tcPr>
          <w:p w14:paraId="6EDADCED">
            <w:pPr>
              <w:spacing w:line="240" w:lineRule="auto"/>
              <w:jc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规划及环评要求</w:t>
            </w:r>
          </w:p>
        </w:tc>
        <w:tc>
          <w:tcPr>
            <w:tcW w:w="1922" w:type="pct"/>
            <w:noWrap w:val="0"/>
            <w:vAlign w:val="center"/>
          </w:tcPr>
          <w:p w14:paraId="0FB3100D">
            <w:pPr>
              <w:spacing w:line="240" w:lineRule="auto"/>
              <w:jc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园区建设情况</w:t>
            </w:r>
          </w:p>
        </w:tc>
        <w:tc>
          <w:tcPr>
            <w:tcW w:w="444" w:type="pct"/>
            <w:noWrap w:val="0"/>
            <w:vAlign w:val="center"/>
          </w:tcPr>
          <w:p w14:paraId="36943D33">
            <w:pPr>
              <w:spacing w:line="240" w:lineRule="auto"/>
              <w:jc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是否</w:t>
            </w:r>
          </w:p>
          <w:p w14:paraId="03E73508">
            <w:pPr>
              <w:spacing w:line="240" w:lineRule="auto"/>
              <w:jc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落实</w:t>
            </w:r>
          </w:p>
        </w:tc>
      </w:tr>
      <w:tr w14:paraId="6C5DF46E">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62" w:type="pct"/>
            <w:noWrap w:val="0"/>
            <w:vAlign w:val="center"/>
          </w:tcPr>
          <w:p w14:paraId="011BA130">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1、进一步优化规划布局</w:t>
            </w:r>
          </w:p>
        </w:tc>
        <w:tc>
          <w:tcPr>
            <w:tcW w:w="2071" w:type="pct"/>
            <w:noWrap w:val="0"/>
            <w:vAlign w:val="center"/>
          </w:tcPr>
          <w:p w14:paraId="6FD206C8">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集中区内各功能区相对集中布置，严格按照规划的功能区划和报告书提调整建设进行开发建设，处理好集中区内部各功能组团及工业集中区与周边工业、生活、配套服务等各功能组团间的关系，充分利用自然地形和绿化隔离带使功能区隔离，确保功能区划明确、产业相对集中，生态环境优良。</w:t>
            </w:r>
          </w:p>
        </w:tc>
        <w:tc>
          <w:tcPr>
            <w:tcW w:w="1922" w:type="pct"/>
            <w:noWrap w:val="0"/>
            <w:vAlign w:val="center"/>
          </w:tcPr>
          <w:p w14:paraId="6F264698">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园区严格按照规划功能分区进行开发建设。</w:t>
            </w:r>
            <w:r>
              <w:rPr>
                <w:rFonts w:hint="default" w:ascii="Times New Roman" w:hAnsi="Times New Roman" w:eastAsia="仿宋" w:cs="Times New Roman"/>
                <w:color w:val="auto"/>
                <w:sz w:val="24"/>
                <w:szCs w:val="24"/>
                <w:lang w:val="en-US" w:eastAsia="zh-CN"/>
              </w:rPr>
              <w:t>怀化高新技术产业开发区鹤城片区</w:t>
            </w:r>
            <w:r>
              <w:rPr>
                <w:rFonts w:hint="default" w:ascii="Times New Roman" w:hAnsi="Times New Roman" w:eastAsia="仿宋" w:cs="Times New Roman"/>
                <w:color w:val="auto"/>
                <w:sz w:val="24"/>
                <w:szCs w:val="24"/>
              </w:rPr>
              <w:t>规划分为“一区三片”的集中区布局形式。一区：即</w:t>
            </w:r>
            <w:r>
              <w:rPr>
                <w:rFonts w:hint="default" w:ascii="Times New Roman" w:hAnsi="Times New Roman" w:eastAsia="仿宋" w:cs="Times New Roman"/>
                <w:color w:val="auto"/>
                <w:sz w:val="24"/>
                <w:szCs w:val="24"/>
                <w:lang w:val="en-US" w:eastAsia="zh-CN"/>
              </w:rPr>
              <w:t>怀化高新技术产业开发区鹤城片区</w:t>
            </w:r>
            <w:r>
              <w:rPr>
                <w:rFonts w:hint="default" w:ascii="Times New Roman" w:hAnsi="Times New Roman" w:eastAsia="仿宋" w:cs="Times New Roman"/>
                <w:color w:val="auto"/>
                <w:sz w:val="24"/>
                <w:szCs w:val="24"/>
              </w:rPr>
              <w:t>；三片：即西部的先进装备制造业产业片、东部医药和食品加工产业片及南部的现代物流产业片。园区开发过程中，严格按照规划的功能区划和报告书提出的调整建议进行开发建设。西部先进装备制造业产业片以怀化远大建筑工业有限公司、湖南嘉晟住建科技有限公司为代表。东部医药和食品加工产业片已引进部分企业，暂未引入医药相关企业，南部的现代物流产业片未开发，园区产业相对集中，生态环境较好。</w:t>
            </w:r>
          </w:p>
        </w:tc>
        <w:tc>
          <w:tcPr>
            <w:tcW w:w="444" w:type="pct"/>
            <w:noWrap w:val="0"/>
            <w:vAlign w:val="center"/>
          </w:tcPr>
          <w:p w14:paraId="0BC03C8D">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已</w:t>
            </w:r>
          </w:p>
          <w:p w14:paraId="2B119A56">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落</w:t>
            </w:r>
          </w:p>
          <w:p w14:paraId="3EEF6E76">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实</w:t>
            </w:r>
          </w:p>
        </w:tc>
      </w:tr>
      <w:tr w14:paraId="17193E93">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562" w:type="pct"/>
            <w:noWrap w:val="0"/>
            <w:vAlign w:val="center"/>
          </w:tcPr>
          <w:p w14:paraId="490BD5EF">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2、严格执行集中区入园企业准入制度</w:t>
            </w:r>
          </w:p>
        </w:tc>
        <w:tc>
          <w:tcPr>
            <w:tcW w:w="2071" w:type="pct"/>
            <w:noWrap w:val="0"/>
            <w:vAlign w:val="center"/>
          </w:tcPr>
          <w:p w14:paraId="3C0A9565">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入园项目选址必须符合集中区总体发展规划、用地规划、环保规划及主导产业定位要求，不得引进国家</w:t>
            </w:r>
            <w:r>
              <w:rPr>
                <w:rFonts w:hint="eastAsia" w:ascii="Times New Roman" w:hAnsi="Times New Roman" w:eastAsia="仿宋" w:cs="Times New Roman"/>
                <w:color w:val="auto"/>
                <w:sz w:val="24"/>
                <w:szCs w:val="24"/>
                <w:lang w:eastAsia="zh-CN"/>
              </w:rPr>
              <w:t>明令</w:t>
            </w:r>
            <w:r>
              <w:rPr>
                <w:rFonts w:hint="default" w:ascii="Times New Roman" w:hAnsi="Times New Roman" w:eastAsia="仿宋" w:cs="Times New Roman"/>
                <w:color w:val="auto"/>
                <w:sz w:val="24"/>
                <w:szCs w:val="24"/>
              </w:rPr>
              <w:t>淘汰和禁止发展的能耗物耗高、环境污染严重、不符合产业政策的建设项目。禁止引进三类工业及排放污染物涉及重金属、持久性有机物等</w:t>
            </w:r>
            <w:r>
              <w:rPr>
                <w:rFonts w:hint="eastAsia" w:ascii="Times New Roman" w:hAnsi="Times New Roman" w:eastAsia="仿宋" w:cs="Times New Roman"/>
                <w:color w:val="auto"/>
                <w:sz w:val="24"/>
                <w:szCs w:val="24"/>
                <w:lang w:val="en-US" w:eastAsia="zh-CN"/>
              </w:rPr>
              <w:t>的</w:t>
            </w:r>
            <w:r>
              <w:rPr>
                <w:rFonts w:hint="default" w:ascii="Times New Roman" w:hAnsi="Times New Roman" w:eastAsia="仿宋" w:cs="Times New Roman"/>
                <w:color w:val="auto"/>
                <w:sz w:val="24"/>
                <w:szCs w:val="24"/>
              </w:rPr>
              <w:t>企业；医药产业以中药饮片和医疗配套器械生产、研发为主，不涉及化学合成药生产；机械行业中不得引进电镀及大型喷涂企业，严格限制气型污染企业入驻，减轻对集中区下风向怀化市主城区的影响。管委会和地方环保行政主管部门必须按照报告书提出的准入条件做好项目的招商把关，入园项目必须严格执行建设项目环境影响评价和“三同时”管理制度，推行清洁生产工艺，确保排污浓度、总量满足达标排放和总量控制要求。</w:t>
            </w:r>
          </w:p>
        </w:tc>
        <w:tc>
          <w:tcPr>
            <w:tcW w:w="1922" w:type="pct"/>
            <w:noWrap w:val="0"/>
            <w:vAlign w:val="center"/>
          </w:tcPr>
          <w:p w14:paraId="227A3649">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园区未引进国家</w:t>
            </w:r>
            <w:r>
              <w:rPr>
                <w:rFonts w:hint="eastAsia" w:ascii="Times New Roman" w:hAnsi="Times New Roman" w:eastAsia="仿宋" w:cs="Times New Roman"/>
                <w:color w:val="auto"/>
                <w:sz w:val="24"/>
                <w:szCs w:val="24"/>
                <w:lang w:eastAsia="zh-CN"/>
              </w:rPr>
              <w:t>明令</w:t>
            </w:r>
            <w:r>
              <w:rPr>
                <w:rFonts w:hint="default" w:ascii="Times New Roman" w:hAnsi="Times New Roman" w:eastAsia="仿宋" w:cs="Times New Roman"/>
                <w:color w:val="auto"/>
                <w:sz w:val="24"/>
                <w:szCs w:val="24"/>
              </w:rPr>
              <w:t>淘汰和禁止发展的能耗物耗高、环境污染严重、不符合产业政策的建设项目。入园项目前期和建设期，均要求执行环境影响评价制度和“三同时”管理制度。目前入园企业有</w:t>
            </w:r>
            <w:r>
              <w:rPr>
                <w:rFonts w:hint="eastAsia" w:ascii="Times New Roman" w:hAnsi="Times New Roman" w:eastAsia="仿宋" w:cs="Times New Roman"/>
                <w:color w:val="auto"/>
                <w:sz w:val="24"/>
                <w:szCs w:val="24"/>
                <w:lang w:val="en-US" w:eastAsia="zh-CN"/>
              </w:rPr>
              <w:t>24</w:t>
            </w:r>
            <w:r>
              <w:rPr>
                <w:rFonts w:hint="default" w:ascii="Times New Roman" w:hAnsi="Times New Roman" w:eastAsia="仿宋" w:cs="Times New Roman"/>
                <w:color w:val="auto"/>
                <w:sz w:val="24"/>
                <w:szCs w:val="24"/>
              </w:rPr>
              <w:t>个，主要为钢结构生产、帆布</w:t>
            </w:r>
            <w:r>
              <w:rPr>
                <w:rFonts w:hint="eastAsia" w:ascii="Times New Roman" w:hAnsi="Times New Roman" w:eastAsia="仿宋" w:cs="Times New Roman"/>
                <w:color w:val="auto"/>
                <w:sz w:val="24"/>
                <w:szCs w:val="24"/>
                <w:lang w:val="en-US" w:eastAsia="zh-CN"/>
              </w:rPr>
              <w:t>制造</w:t>
            </w:r>
            <w:r>
              <w:rPr>
                <w:rFonts w:hint="default" w:ascii="Times New Roman" w:hAnsi="Times New Roman" w:eastAsia="仿宋" w:cs="Times New Roman"/>
                <w:color w:val="auto"/>
                <w:sz w:val="24"/>
                <w:szCs w:val="24"/>
              </w:rPr>
              <w:t>业、玻璃制造业、粮食储备库、电子元器件及电子设备制造等，均不涉及三类工业及排放污染物涉及重金属及持久性有机物等。目前未引进医药产业及机械行业；无大型气型污染企业入驻；已入园企业均满足排污浓度达标，排污总量控制要求。</w:t>
            </w:r>
          </w:p>
        </w:tc>
        <w:tc>
          <w:tcPr>
            <w:tcW w:w="444" w:type="pct"/>
            <w:noWrap w:val="0"/>
            <w:vAlign w:val="center"/>
          </w:tcPr>
          <w:p w14:paraId="44008E3F">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已</w:t>
            </w:r>
          </w:p>
          <w:p w14:paraId="62734C07">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落</w:t>
            </w:r>
          </w:p>
          <w:p w14:paraId="0FA925E8">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实</w:t>
            </w:r>
          </w:p>
        </w:tc>
      </w:tr>
      <w:tr w14:paraId="43644235">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62" w:type="pct"/>
            <w:noWrap w:val="0"/>
            <w:vAlign w:val="center"/>
          </w:tcPr>
          <w:p w14:paraId="6713261B">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3、落实集中区水污染控制措施</w:t>
            </w:r>
          </w:p>
        </w:tc>
        <w:tc>
          <w:tcPr>
            <w:tcW w:w="2071" w:type="pct"/>
            <w:noWrap w:val="0"/>
            <w:vAlign w:val="center"/>
          </w:tcPr>
          <w:p w14:paraId="4B67F55A">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集中区排水实施雨污分流，集中区内企业废水经自行处理达到污水处理厂接管水质要求后通过管网排入怀化全城污水处理厂进一步处理。加快集中区排水管网建设工程，污水处理厂管网对接工程、全城污水处理厂扩建工程等基础设施工程建设进度，污水处理厂扩建、管网工程等另行环评审批。按照鹤城区政府鹤政函[2014]41号文承诺事项，在未能完成于污水处理厂对接处理的区域，应严格限制水型污染企业进入，已建企业外排废水必须严格执行《污水综合排放标准》（GB8978-1996）一级标准及相应的行业标准要求。</w:t>
            </w:r>
          </w:p>
        </w:tc>
        <w:tc>
          <w:tcPr>
            <w:tcW w:w="1922" w:type="pct"/>
            <w:noWrap w:val="0"/>
            <w:vAlign w:val="center"/>
          </w:tcPr>
          <w:p w14:paraId="3F0DC9F7">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园区排水为雨污分流，污水管网覆盖率为100%，雨水管覆盖率100%。</w:t>
            </w:r>
            <w:r>
              <w:rPr>
                <w:rFonts w:hint="default" w:ascii="Times New Roman" w:hAnsi="Times New Roman" w:eastAsia="仿宋" w:cs="Times New Roman"/>
                <w:color w:val="auto"/>
                <w:sz w:val="24"/>
                <w:szCs w:val="24"/>
                <w:lang w:val="en-US" w:eastAsia="zh-CN"/>
              </w:rPr>
              <w:t>怀化高新技术产业开发区鹤城片区</w:t>
            </w:r>
            <w:r>
              <w:rPr>
                <w:rFonts w:hint="default" w:ascii="Times New Roman" w:hAnsi="Times New Roman" w:eastAsia="仿宋" w:cs="Times New Roman"/>
                <w:color w:val="auto"/>
                <w:sz w:val="24"/>
                <w:szCs w:val="24"/>
              </w:rPr>
              <w:t>配套（和依托）集中污水处理设施2个，以园区新园路为界，分为东、西两个片区进入不同的集中污水处理设施进行处理。东部靠近泸阳区域，污水均接入</w:t>
            </w:r>
            <w:r>
              <w:rPr>
                <w:rFonts w:hint="default" w:ascii="Times New Roman" w:hAnsi="Times New Roman" w:eastAsia="仿宋" w:cs="Times New Roman"/>
                <w:color w:val="auto"/>
                <w:sz w:val="24"/>
                <w:szCs w:val="24"/>
                <w:lang w:val="en-US" w:eastAsia="zh-CN"/>
              </w:rPr>
              <w:t>怀化高新技术产业开发区鹤城片区</w:t>
            </w:r>
            <w:r>
              <w:rPr>
                <w:rFonts w:hint="default" w:ascii="Times New Roman" w:hAnsi="Times New Roman" w:eastAsia="仿宋" w:cs="Times New Roman"/>
                <w:color w:val="auto"/>
                <w:sz w:val="24"/>
                <w:szCs w:val="24"/>
              </w:rPr>
              <w:t>污水处理厂。西部靠近主城区为依托怀化市城东污水处理厂处理。</w:t>
            </w:r>
            <w:r>
              <w:rPr>
                <w:rFonts w:hint="default" w:ascii="Times New Roman" w:hAnsi="Times New Roman" w:eastAsia="仿宋" w:cs="Times New Roman"/>
                <w:color w:val="auto"/>
                <w:sz w:val="24"/>
                <w:szCs w:val="24"/>
                <w:lang w:val="en-US" w:eastAsia="zh-CN"/>
              </w:rPr>
              <w:t>怀化高新技术产业开发区鹤城片区</w:t>
            </w:r>
            <w:r>
              <w:rPr>
                <w:rFonts w:hint="default" w:ascii="Times New Roman" w:hAnsi="Times New Roman" w:eastAsia="仿宋" w:cs="Times New Roman"/>
                <w:color w:val="auto"/>
                <w:sz w:val="24"/>
                <w:szCs w:val="24"/>
              </w:rPr>
              <w:t>污水处理厂于2019年10月取得环评批文（怀环审</w:t>
            </w:r>
            <w:r>
              <w:rPr>
                <w:rFonts w:hint="default" w:ascii="Times New Roman" w:hAnsi="Times New Roman" w:eastAsia="仿宋" w:cs="Times New Roman"/>
                <w:color w:val="auto"/>
                <w:sz w:val="24"/>
                <w:szCs w:val="24"/>
                <w:lang w:val="en-US" w:eastAsia="zh-CN"/>
              </w:rPr>
              <w:t>〔20</w:t>
            </w:r>
            <w:r>
              <w:rPr>
                <w:rFonts w:hint="eastAsia" w:ascii="Times New Roman" w:hAnsi="Times New Roman" w:eastAsia="仿宋" w:cs="Times New Roman"/>
                <w:color w:val="auto"/>
                <w:sz w:val="24"/>
                <w:szCs w:val="24"/>
                <w:lang w:val="en-US" w:eastAsia="zh-CN"/>
              </w:rPr>
              <w:t>19</w:t>
            </w:r>
            <w:r>
              <w:rPr>
                <w:rFonts w:hint="default" w:ascii="Times New Roman" w:hAnsi="Times New Roman" w:eastAsia="仿宋" w:cs="Times New Roman"/>
                <w:color w:val="auto"/>
                <w:sz w:val="24"/>
                <w:szCs w:val="24"/>
                <w:lang w:val="en-US" w:eastAsia="zh-CN"/>
              </w:rPr>
              <w:t>〕</w:t>
            </w:r>
            <w:r>
              <w:rPr>
                <w:rFonts w:hint="default" w:ascii="Times New Roman" w:hAnsi="Times New Roman" w:eastAsia="仿宋" w:cs="Times New Roman"/>
                <w:color w:val="auto"/>
                <w:sz w:val="24"/>
                <w:szCs w:val="24"/>
              </w:rPr>
              <w:t>53号），2020年2月建成，2020年11月完成环保竣工验收</w:t>
            </w:r>
            <w:r>
              <w:rPr>
                <w:rFonts w:hint="eastAsia" w:ascii="Times New Roman" w:hAnsi="Times New Roman" w:eastAsia="仿宋" w:cs="Times New Roman"/>
                <w:color w:val="auto"/>
                <w:sz w:val="24"/>
                <w:szCs w:val="24"/>
                <w:lang w:eastAsia="zh-CN"/>
              </w:rPr>
              <w:t>，</w:t>
            </w:r>
            <w:r>
              <w:rPr>
                <w:rFonts w:hint="eastAsia" w:ascii="Times New Roman" w:hAnsi="Times New Roman" w:eastAsia="仿宋" w:cs="Times New Roman"/>
                <w:color w:val="auto"/>
                <w:sz w:val="24"/>
                <w:szCs w:val="24"/>
                <w:lang w:val="en-US" w:eastAsia="zh-CN"/>
              </w:rPr>
              <w:t>2023年2月17日取得入河排污口设置的批复（</w:t>
            </w:r>
            <w:r>
              <w:rPr>
                <w:rFonts w:hint="default" w:ascii="Times New Roman" w:hAnsi="Times New Roman" w:eastAsia="仿宋" w:cs="Times New Roman"/>
                <w:color w:val="auto"/>
                <w:sz w:val="24"/>
                <w:szCs w:val="24"/>
              </w:rPr>
              <w:t>怀环</w:t>
            </w:r>
            <w:r>
              <w:rPr>
                <w:rFonts w:hint="eastAsia" w:ascii="Times New Roman" w:hAnsi="Times New Roman" w:eastAsia="仿宋" w:cs="Times New Roman"/>
                <w:color w:val="auto"/>
                <w:sz w:val="24"/>
                <w:szCs w:val="24"/>
                <w:lang w:val="en-US" w:eastAsia="zh-CN"/>
              </w:rPr>
              <w:t>函〔2023〕10</w:t>
            </w:r>
            <w:r>
              <w:rPr>
                <w:rFonts w:hint="default" w:ascii="Times New Roman" w:hAnsi="Times New Roman" w:eastAsia="仿宋" w:cs="Times New Roman"/>
                <w:color w:val="auto"/>
                <w:sz w:val="24"/>
                <w:szCs w:val="24"/>
              </w:rPr>
              <w:t>号</w:t>
            </w:r>
            <w:r>
              <w:rPr>
                <w:rFonts w:hint="eastAsia" w:ascii="Times New Roman" w:hAnsi="Times New Roman" w:eastAsia="仿宋" w:cs="Times New Roman"/>
                <w:color w:val="auto"/>
                <w:sz w:val="24"/>
                <w:szCs w:val="24"/>
                <w:lang w:val="en-US" w:eastAsia="zh-CN"/>
              </w:rPr>
              <w:t>）</w:t>
            </w:r>
            <w:r>
              <w:rPr>
                <w:rFonts w:hint="default" w:ascii="Times New Roman" w:hAnsi="Times New Roman" w:eastAsia="仿宋" w:cs="Times New Roman"/>
                <w:color w:val="auto"/>
                <w:sz w:val="24"/>
                <w:szCs w:val="24"/>
              </w:rPr>
              <w:t>。园区未引入水型污染企业；入驻企业外排废水均自行处理达污水处理厂接管标准后外排至污水处理厂处理。</w:t>
            </w:r>
          </w:p>
        </w:tc>
        <w:tc>
          <w:tcPr>
            <w:tcW w:w="444" w:type="pct"/>
            <w:noWrap w:val="0"/>
            <w:vAlign w:val="center"/>
          </w:tcPr>
          <w:p w14:paraId="696E4462">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已</w:t>
            </w:r>
          </w:p>
          <w:p w14:paraId="01675AA0">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落</w:t>
            </w:r>
          </w:p>
          <w:p w14:paraId="4643F614">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实</w:t>
            </w:r>
          </w:p>
        </w:tc>
      </w:tr>
      <w:tr w14:paraId="57027B65">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pct"/>
            <w:noWrap w:val="0"/>
            <w:vAlign w:val="center"/>
          </w:tcPr>
          <w:p w14:paraId="45371B7B">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4、按报告书要求做好集中区大气污控制措施</w:t>
            </w:r>
          </w:p>
        </w:tc>
        <w:tc>
          <w:tcPr>
            <w:tcW w:w="2071" w:type="pct"/>
            <w:noWrap w:val="0"/>
            <w:vAlign w:val="center"/>
          </w:tcPr>
          <w:p w14:paraId="6E413B44">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集中区内禁止新建燃煤企业，对现有燃煤企业推行清洁能源改造，减少燃料结构型污染。建立集中区清洁生产管理考核机制，对</w:t>
            </w:r>
            <w:r>
              <w:rPr>
                <w:rFonts w:hint="eastAsia" w:ascii="Times New Roman" w:hAnsi="Times New Roman" w:eastAsia="仿宋" w:cs="Times New Roman"/>
                <w:color w:val="auto"/>
                <w:sz w:val="24"/>
                <w:szCs w:val="24"/>
                <w:lang w:val="en-US" w:eastAsia="zh-CN"/>
              </w:rPr>
              <w:t>各</w:t>
            </w:r>
            <w:r>
              <w:rPr>
                <w:rFonts w:hint="default" w:ascii="Times New Roman" w:hAnsi="Times New Roman" w:eastAsia="仿宋" w:cs="Times New Roman"/>
                <w:color w:val="auto"/>
                <w:sz w:val="24"/>
                <w:szCs w:val="24"/>
              </w:rPr>
              <w:t>企业工业废气产出的生产节点，应配置废气收集与处理净化装置，确保达标排放；加强生产工艺研究与技术改进，采取有效措施，减少入园企业工艺废气的无组织排放；入园企业各生产装置废气须经处理达到相应的行业标准及《大气污染物综合排放标准》中二级标准要求。合理优化工业布局，在不同性质的工业企业之间设置合理的间距，避免不利影响。</w:t>
            </w:r>
          </w:p>
        </w:tc>
        <w:tc>
          <w:tcPr>
            <w:tcW w:w="1922" w:type="pct"/>
            <w:noWrap w:val="0"/>
            <w:vAlign w:val="center"/>
          </w:tcPr>
          <w:p w14:paraId="0FAD1B31">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园区积极推广清洁能源，区内现有企业使用电能为能源，均不使用燃煤锅炉，现有各入驻企业生产废气均安装了废气处理设施，可以达到相应的行业标准及《大气污染物综合排放标准》中二级标准要求。园区在招商引资过程中注重工业布局，不同性质企业之间间距合理。</w:t>
            </w:r>
          </w:p>
        </w:tc>
        <w:tc>
          <w:tcPr>
            <w:tcW w:w="444" w:type="pct"/>
            <w:noWrap w:val="0"/>
            <w:vAlign w:val="center"/>
          </w:tcPr>
          <w:p w14:paraId="03171F3F">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已</w:t>
            </w:r>
          </w:p>
          <w:p w14:paraId="55475741">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落</w:t>
            </w:r>
          </w:p>
          <w:p w14:paraId="35819976">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实</w:t>
            </w:r>
          </w:p>
        </w:tc>
      </w:tr>
      <w:tr w14:paraId="5E9D46F8">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pct"/>
            <w:noWrap w:val="0"/>
            <w:vAlign w:val="center"/>
          </w:tcPr>
          <w:p w14:paraId="5398C2E7">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5、做好集中区工业固体废物和生活垃圾处理</w:t>
            </w:r>
          </w:p>
        </w:tc>
        <w:tc>
          <w:tcPr>
            <w:tcW w:w="2071" w:type="pct"/>
            <w:noWrap w:val="0"/>
            <w:vAlign w:val="center"/>
          </w:tcPr>
          <w:p w14:paraId="129B6D6F">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做好集中区工业固体废物和生活垃圾的分类收集、转运、综合利用和无害化处理，建立统一的固废收集、贮存、运输、综合利用和安全处置的运营管理体系。推行清洁生产、减少固体废物产生量；加强固体废物的资源化进程，提高综合利用率；规范固体废物处理措施，严防二次污染。</w:t>
            </w:r>
          </w:p>
        </w:tc>
        <w:tc>
          <w:tcPr>
            <w:tcW w:w="1922" w:type="pct"/>
            <w:noWrap w:val="0"/>
            <w:vAlign w:val="center"/>
          </w:tcPr>
          <w:p w14:paraId="76960D92">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入园企业工业固废基本得到综合利用或妥善处置。生活垃圾均由环卫部门清运。园区制定固废监管制度，并落实了监管要求，及时对发现的园区企业固废不规范处理处置情况下达整改要求，并监督整改实施。</w:t>
            </w:r>
          </w:p>
        </w:tc>
        <w:tc>
          <w:tcPr>
            <w:tcW w:w="444" w:type="pct"/>
            <w:noWrap w:val="0"/>
            <w:vAlign w:val="center"/>
          </w:tcPr>
          <w:p w14:paraId="5BF79ACF">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已</w:t>
            </w:r>
          </w:p>
          <w:p w14:paraId="7D4E7302">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落</w:t>
            </w:r>
          </w:p>
          <w:p w14:paraId="4D446D49">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实</w:t>
            </w:r>
          </w:p>
        </w:tc>
      </w:tr>
      <w:tr w14:paraId="1E2D27B0">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62" w:type="pct"/>
            <w:noWrap w:val="0"/>
            <w:vAlign w:val="center"/>
          </w:tcPr>
          <w:p w14:paraId="769852A6">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6、环境管理</w:t>
            </w:r>
          </w:p>
        </w:tc>
        <w:tc>
          <w:tcPr>
            <w:tcW w:w="2071" w:type="pct"/>
            <w:noWrap w:val="0"/>
            <w:vAlign w:val="center"/>
          </w:tcPr>
          <w:p w14:paraId="7021A471">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集中区要建立专职环境监督管理机构，建立健全环境风险事故防范措施和应急预案，严防环境风险事故发生。</w:t>
            </w:r>
          </w:p>
        </w:tc>
        <w:tc>
          <w:tcPr>
            <w:tcW w:w="1922" w:type="pct"/>
            <w:noWrap w:val="0"/>
            <w:vAlign w:val="center"/>
          </w:tcPr>
          <w:p w14:paraId="2E0AF692">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园区</w:t>
            </w:r>
            <w:r>
              <w:rPr>
                <w:rFonts w:hint="default" w:ascii="Times New Roman" w:hAnsi="Times New Roman" w:eastAsia="仿宋" w:cs="Times New Roman"/>
                <w:color w:val="auto"/>
                <w:sz w:val="24"/>
                <w:szCs w:val="24"/>
              </w:rPr>
              <w:t>已经配备专职环境管理人员，落实应急响应联动机制，按照《鹤城产业开发区突发环境事件应急预案（2021修订版）落实各项风险防范措施，严防环境风险事件发生。</w:t>
            </w:r>
          </w:p>
        </w:tc>
        <w:tc>
          <w:tcPr>
            <w:tcW w:w="444" w:type="pct"/>
            <w:noWrap w:val="0"/>
            <w:vAlign w:val="center"/>
          </w:tcPr>
          <w:p w14:paraId="60EE15F7">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已</w:t>
            </w:r>
          </w:p>
          <w:p w14:paraId="411AF92D">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落</w:t>
            </w:r>
          </w:p>
          <w:p w14:paraId="0203A3F7">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实</w:t>
            </w:r>
          </w:p>
        </w:tc>
      </w:tr>
      <w:tr w14:paraId="4ECF6D43">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562" w:type="pct"/>
            <w:noWrap w:val="0"/>
            <w:vAlign w:val="center"/>
          </w:tcPr>
          <w:p w14:paraId="5F9EF8FF">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7、拆迁安置</w:t>
            </w:r>
          </w:p>
        </w:tc>
        <w:tc>
          <w:tcPr>
            <w:tcW w:w="2071" w:type="pct"/>
            <w:noWrap w:val="0"/>
            <w:vAlign w:val="center"/>
          </w:tcPr>
          <w:p w14:paraId="292CD271">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按集中区开发规划统筹制定拆迁安置方案，妥善落实移民生产生活安置措施，防止移民再次安置和次生环境问题。</w:t>
            </w:r>
          </w:p>
        </w:tc>
        <w:tc>
          <w:tcPr>
            <w:tcW w:w="1922" w:type="pct"/>
            <w:noWrap w:val="0"/>
            <w:vAlign w:val="center"/>
          </w:tcPr>
          <w:p w14:paraId="54A36F32">
            <w:pPr>
              <w:widowControl w:val="0"/>
              <w:spacing w:after="120" w:line="240" w:lineRule="auto"/>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 xml:space="preserve">园区拆迁工作均制定了拆迁安置方案，并按照方案逐步拆迁，无移民再次安置和次生环境问题。                                                                                                                                                                                                                                                                                                                                                                                                                                                                                                                                                                                                                                                        </w:t>
            </w:r>
          </w:p>
        </w:tc>
        <w:tc>
          <w:tcPr>
            <w:tcW w:w="444" w:type="pct"/>
            <w:noWrap w:val="0"/>
            <w:vAlign w:val="center"/>
          </w:tcPr>
          <w:p w14:paraId="26D55A1C">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已</w:t>
            </w:r>
          </w:p>
          <w:p w14:paraId="6D856135">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落</w:t>
            </w:r>
          </w:p>
          <w:p w14:paraId="1A91AFA7">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实</w:t>
            </w:r>
          </w:p>
        </w:tc>
      </w:tr>
      <w:tr w14:paraId="6B5CBA93">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jc w:val="center"/>
        </w:trPr>
        <w:tc>
          <w:tcPr>
            <w:tcW w:w="562" w:type="pct"/>
            <w:noWrap w:val="0"/>
            <w:vAlign w:val="center"/>
          </w:tcPr>
          <w:p w14:paraId="1483D154">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8、做好建设期的生态保护和水土保持工作</w:t>
            </w:r>
          </w:p>
        </w:tc>
        <w:tc>
          <w:tcPr>
            <w:tcW w:w="2071" w:type="pct"/>
            <w:noWrap w:val="0"/>
            <w:vAlign w:val="center"/>
          </w:tcPr>
          <w:p w14:paraId="7650CAAE">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做好建设期的扬尘、废水、噪声污染防治和水土保持工作。落实周围保留山体及绿地的保护、及时做好生态环境的保护、恢复和补偿，以减少集中区开发建设过程中对生态环境的影响。</w:t>
            </w:r>
          </w:p>
        </w:tc>
        <w:tc>
          <w:tcPr>
            <w:tcW w:w="1922" w:type="pct"/>
            <w:noWrap w:val="0"/>
            <w:vAlign w:val="center"/>
          </w:tcPr>
          <w:p w14:paraId="17C1B041">
            <w:pPr>
              <w:spacing w:line="24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建设期已对园区施工企业要求设置围挡、护坡等措施，对裸露地面进行恢复，严格执行水土保持措施。                                                     </w:t>
            </w:r>
          </w:p>
        </w:tc>
        <w:tc>
          <w:tcPr>
            <w:tcW w:w="444" w:type="pct"/>
            <w:noWrap w:val="0"/>
            <w:vAlign w:val="center"/>
          </w:tcPr>
          <w:p w14:paraId="6513306C">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已</w:t>
            </w:r>
          </w:p>
          <w:p w14:paraId="2C25CB7E">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落</w:t>
            </w:r>
          </w:p>
          <w:p w14:paraId="560693AD">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实</w:t>
            </w:r>
          </w:p>
        </w:tc>
      </w:tr>
      <w:tr w14:paraId="65215BC2">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pct"/>
            <w:noWrap w:val="0"/>
            <w:vAlign w:val="center"/>
          </w:tcPr>
          <w:p w14:paraId="7AD9EBA6">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9、污染物总量控制</w:t>
            </w:r>
          </w:p>
        </w:tc>
        <w:tc>
          <w:tcPr>
            <w:tcW w:w="2071" w:type="pct"/>
            <w:noWrap w:val="0"/>
            <w:vAlign w:val="center"/>
          </w:tcPr>
          <w:p w14:paraId="1D60E992">
            <w:pPr>
              <w:spacing w:line="24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污染物总量控制：COD≤200t/a、氨氮≤50t/a、SO</w:t>
            </w:r>
            <w:r>
              <w:rPr>
                <w:rFonts w:hint="default" w:ascii="Times New Roman" w:hAnsi="Times New Roman" w:eastAsia="仿宋" w:cs="Times New Roman"/>
                <w:color w:val="auto"/>
                <w:sz w:val="24"/>
                <w:szCs w:val="24"/>
                <w:vertAlign w:val="subscript"/>
              </w:rPr>
              <w:t>2</w:t>
            </w:r>
            <w:r>
              <w:rPr>
                <w:rFonts w:hint="default" w:ascii="Times New Roman" w:hAnsi="Times New Roman" w:eastAsia="仿宋" w:cs="Times New Roman"/>
                <w:color w:val="auto"/>
                <w:sz w:val="24"/>
                <w:szCs w:val="24"/>
              </w:rPr>
              <w:t>≤25t/a、NOx≤65t/a，总量指标纳入当地环保部门污染物总量控制管理。</w:t>
            </w:r>
          </w:p>
        </w:tc>
        <w:tc>
          <w:tcPr>
            <w:tcW w:w="1922" w:type="pct"/>
            <w:noWrap w:val="0"/>
            <w:vAlign w:val="center"/>
          </w:tcPr>
          <w:p w14:paraId="03CD76A2">
            <w:pPr>
              <w:spacing w:line="24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园区</w:t>
            </w:r>
            <w:r>
              <w:rPr>
                <w:rFonts w:hint="default" w:ascii="Times New Roman" w:hAnsi="Times New Roman" w:eastAsia="仿宋" w:cs="Times New Roman"/>
                <w:color w:val="auto"/>
                <w:sz w:val="24"/>
                <w:szCs w:val="24"/>
              </w:rPr>
              <w:t>现有污染物的排放量均未突破原环评核定的总量控制指标。</w:t>
            </w:r>
          </w:p>
        </w:tc>
        <w:tc>
          <w:tcPr>
            <w:tcW w:w="444" w:type="pct"/>
            <w:noWrap w:val="0"/>
            <w:vAlign w:val="center"/>
          </w:tcPr>
          <w:p w14:paraId="5C0BEA8C">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已</w:t>
            </w:r>
          </w:p>
          <w:p w14:paraId="02C1D20C">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落</w:t>
            </w:r>
          </w:p>
          <w:p w14:paraId="7E53A8CD">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实</w:t>
            </w:r>
          </w:p>
        </w:tc>
      </w:tr>
    </w:tbl>
    <w:p w14:paraId="37E01CC2">
      <w:pPr>
        <w:pStyle w:val="2"/>
        <w:keepNext w:val="0"/>
        <w:keepLines w:val="0"/>
        <w:pageBreakBefore w:val="0"/>
        <w:widowControl w:val="0"/>
        <w:kinsoku/>
        <w:wordWrap/>
        <w:overflowPunct/>
        <w:topLinePunct w:val="0"/>
        <w:autoSpaceDE/>
        <w:autoSpaceDN/>
        <w:bidi w:val="0"/>
        <w:adjustRightInd/>
        <w:snapToGrid w:val="0"/>
        <w:spacing w:after="0" w:line="240" w:lineRule="auto"/>
        <w:ind w:left="0" w:leftChars="0" w:firstLine="482"/>
        <w:textAlignment w:val="auto"/>
        <w:rPr>
          <w:rFonts w:hint="default" w:ascii="Times New Roman" w:hAnsi="Times New Roman" w:eastAsia="仿宋" w:cs="Times New Roman"/>
          <w:b/>
          <w:color w:val="auto"/>
          <w:sz w:val="28"/>
          <w:szCs w:val="28"/>
        </w:rPr>
      </w:pPr>
      <w:r>
        <w:rPr>
          <w:rFonts w:hint="default" w:ascii="Times New Roman" w:hAnsi="Times New Roman" w:eastAsia="仿宋" w:cs="Times New Roman"/>
          <w:b/>
          <w:color w:val="auto"/>
          <w:sz w:val="28"/>
          <w:szCs w:val="28"/>
        </w:rPr>
        <w:t>2、环境影响跟踪评价批复要求落实情况</w:t>
      </w:r>
    </w:p>
    <w:p w14:paraId="1D40E222">
      <w:pPr>
        <w:keepNext w:val="0"/>
        <w:keepLines w:val="0"/>
        <w:pageBreakBefore w:val="0"/>
        <w:widowControl w:val="0"/>
        <w:kinsoku/>
        <w:wordWrap/>
        <w:overflowPunct/>
        <w:topLinePunct w:val="0"/>
        <w:autoSpaceDE/>
        <w:autoSpaceDN/>
        <w:bidi w:val="0"/>
        <w:adjustRightInd/>
        <w:spacing w:line="240" w:lineRule="auto"/>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sz w:val="28"/>
          <w:szCs w:val="28"/>
        </w:rPr>
        <w:t>组织编制了《怀化市鹤城工业集中区环境影响跟踪评价报告书》，并于2020年7月获得湖南省生态环境厅的批文（湘环函</w:t>
      </w:r>
      <w:r>
        <w:rPr>
          <w:rFonts w:hint="default" w:ascii="Times New Roman" w:hAnsi="Times New Roman" w:eastAsia="仿宋" w:cs="Times New Roman"/>
          <w:color w:val="auto"/>
          <w:sz w:val="28"/>
          <w:szCs w:val="28"/>
          <w:lang w:val="en-US" w:eastAsia="zh-CN"/>
        </w:rPr>
        <w:t>〔202</w:t>
      </w:r>
      <w:r>
        <w:rPr>
          <w:rFonts w:hint="eastAsia" w:ascii="Times New Roman" w:hAnsi="Times New Roman" w:eastAsia="仿宋" w:cs="Times New Roman"/>
          <w:color w:val="auto"/>
          <w:sz w:val="28"/>
          <w:szCs w:val="28"/>
          <w:lang w:val="en-US" w:eastAsia="zh-CN"/>
        </w:rPr>
        <w:t>0</w:t>
      </w: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rPr>
        <w:t>27号文），园区环境影响跟踪评价批复要求执行情况具体如下：</w:t>
      </w:r>
    </w:p>
    <w:p w14:paraId="504856D6">
      <w:pPr>
        <w:spacing w:line="240" w:lineRule="auto"/>
        <w:jc w:val="center"/>
        <w:rPr>
          <w:rFonts w:hint="default" w:ascii="Times New Roman" w:hAnsi="Times New Roman" w:eastAsia="仿宋" w:cs="Times New Roman"/>
          <w:b/>
          <w:color w:val="auto"/>
          <w:sz w:val="22"/>
          <w:szCs w:val="22"/>
        </w:rPr>
      </w:pPr>
      <w:r>
        <w:rPr>
          <w:rFonts w:hint="default" w:ascii="Times New Roman" w:hAnsi="Times New Roman" w:eastAsia="仿宋" w:cs="Times New Roman"/>
          <w:b/>
          <w:color w:val="auto"/>
          <w:sz w:val="24"/>
          <w:szCs w:val="24"/>
        </w:rPr>
        <w:t>表2-2  湘环函〔20</w:t>
      </w:r>
      <w:r>
        <w:rPr>
          <w:rFonts w:hint="eastAsia" w:ascii="Times New Roman" w:hAnsi="Times New Roman" w:eastAsia="仿宋" w:cs="Times New Roman"/>
          <w:b/>
          <w:color w:val="auto"/>
          <w:sz w:val="24"/>
          <w:szCs w:val="24"/>
          <w:lang w:val="en-US" w:eastAsia="zh-CN"/>
        </w:rPr>
        <w:t>20</w:t>
      </w:r>
      <w:r>
        <w:rPr>
          <w:rFonts w:hint="default" w:ascii="Times New Roman" w:hAnsi="Times New Roman" w:eastAsia="仿宋" w:cs="Times New Roman"/>
          <w:b/>
          <w:color w:val="auto"/>
          <w:sz w:val="24"/>
          <w:szCs w:val="24"/>
        </w:rPr>
        <w:t>〕</w:t>
      </w:r>
      <w:r>
        <w:rPr>
          <w:rFonts w:hint="eastAsia" w:ascii="Times New Roman" w:hAnsi="Times New Roman" w:eastAsia="仿宋" w:cs="Times New Roman"/>
          <w:b/>
          <w:color w:val="auto"/>
          <w:sz w:val="24"/>
          <w:szCs w:val="24"/>
          <w:lang w:val="en-US" w:eastAsia="zh-CN"/>
        </w:rPr>
        <w:t>27</w:t>
      </w:r>
      <w:r>
        <w:rPr>
          <w:rFonts w:hint="default" w:ascii="Times New Roman" w:hAnsi="Times New Roman" w:eastAsia="仿宋" w:cs="Times New Roman"/>
          <w:b/>
          <w:color w:val="auto"/>
          <w:sz w:val="24"/>
          <w:szCs w:val="24"/>
        </w:rPr>
        <w:t>号文要点及其执行情况一览表</w:t>
      </w:r>
    </w:p>
    <w:tbl>
      <w:tblPr>
        <w:tblStyle w:val="18"/>
        <w:tblW w:w="5000" w:type="pct"/>
        <w:jc w:val="center"/>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9"/>
        <w:gridCol w:w="3961"/>
        <w:gridCol w:w="2585"/>
        <w:gridCol w:w="757"/>
      </w:tblGrid>
      <w:tr w14:paraId="21F80648">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pct"/>
            <w:noWrap w:val="0"/>
            <w:vAlign w:val="center"/>
          </w:tcPr>
          <w:p w14:paraId="4C7FD919">
            <w:pPr>
              <w:spacing w:line="240" w:lineRule="auto"/>
              <w:jc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序号</w:t>
            </w:r>
          </w:p>
        </w:tc>
        <w:tc>
          <w:tcPr>
            <w:tcW w:w="2323" w:type="pct"/>
            <w:noWrap w:val="0"/>
            <w:vAlign w:val="center"/>
          </w:tcPr>
          <w:p w14:paraId="0BA3C362">
            <w:pPr>
              <w:spacing w:line="240" w:lineRule="auto"/>
              <w:jc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规划及环评要求</w:t>
            </w:r>
          </w:p>
        </w:tc>
        <w:tc>
          <w:tcPr>
            <w:tcW w:w="1516" w:type="pct"/>
            <w:noWrap w:val="0"/>
            <w:vAlign w:val="center"/>
          </w:tcPr>
          <w:p w14:paraId="13E8B80A">
            <w:pPr>
              <w:spacing w:line="240" w:lineRule="auto"/>
              <w:jc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园区建设情况</w:t>
            </w:r>
          </w:p>
        </w:tc>
        <w:tc>
          <w:tcPr>
            <w:tcW w:w="444" w:type="pct"/>
            <w:noWrap w:val="0"/>
            <w:vAlign w:val="center"/>
          </w:tcPr>
          <w:p w14:paraId="22D5F491">
            <w:pPr>
              <w:spacing w:line="240" w:lineRule="auto"/>
              <w:jc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是否</w:t>
            </w:r>
          </w:p>
          <w:p w14:paraId="437465ED">
            <w:pPr>
              <w:spacing w:line="240" w:lineRule="auto"/>
              <w:jc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落实</w:t>
            </w:r>
          </w:p>
        </w:tc>
      </w:tr>
      <w:tr w14:paraId="2C4A76D1">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15" w:type="pct"/>
            <w:noWrap w:val="0"/>
            <w:vAlign w:val="center"/>
          </w:tcPr>
          <w:p w14:paraId="154100E4">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1、进一步强化园区内开发合理性</w:t>
            </w:r>
          </w:p>
        </w:tc>
        <w:tc>
          <w:tcPr>
            <w:tcW w:w="2323" w:type="pct"/>
            <w:noWrap w:val="0"/>
            <w:vAlign w:val="top"/>
          </w:tcPr>
          <w:p w14:paraId="0CD31D78">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鹤城工业集中区地处怀化市文化教育集中区，且位于怀化市中心城区主导风向的上风向，环境较为敏感，后续开发应严格按照核准范围及规划环评要求有序开发，必要时推进本集中区规划修编工作，对不符合土地利用规划的企业、安置区等，根据环境可行性结论做出</w:t>
            </w:r>
            <w:r>
              <w:rPr>
                <w:rFonts w:hint="eastAsia" w:ascii="Times New Roman" w:hAnsi="Times New Roman" w:eastAsia="仿宋" w:cs="Times New Roman"/>
                <w:color w:val="auto"/>
                <w:sz w:val="24"/>
                <w:szCs w:val="24"/>
                <w:lang w:val="en-US" w:eastAsia="zh-CN"/>
              </w:rPr>
              <w:t>相应的</w:t>
            </w:r>
            <w:r>
              <w:rPr>
                <w:rFonts w:hint="default" w:ascii="Times New Roman" w:hAnsi="Times New Roman" w:eastAsia="仿宋" w:cs="Times New Roman"/>
                <w:color w:val="auto"/>
                <w:sz w:val="24"/>
                <w:szCs w:val="24"/>
              </w:rPr>
              <w:t>规划调整，具有环境可行性的调整为相应功能用地，不具有环境可行性的予以关闭、搬迁。规划调整之前，不符合规划布局的企业不得扩大生产规模。</w:t>
            </w:r>
          </w:p>
        </w:tc>
        <w:tc>
          <w:tcPr>
            <w:tcW w:w="1516" w:type="pct"/>
            <w:noWrap w:val="0"/>
            <w:vAlign w:val="center"/>
          </w:tcPr>
          <w:p w14:paraId="6C26EDFB">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园区企业均符合土地利用规划。且</w:t>
            </w:r>
            <w:r>
              <w:rPr>
                <w:rFonts w:hint="default" w:ascii="Times New Roman" w:hAnsi="Times New Roman" w:eastAsia="仿宋" w:cs="Times New Roman"/>
                <w:color w:val="auto"/>
                <w:sz w:val="24"/>
                <w:szCs w:val="24"/>
                <w:lang w:val="en-US" w:eastAsia="zh-CN"/>
              </w:rPr>
              <w:t>怀化高新技术产业开发区鹤城片区</w:t>
            </w:r>
            <w:r>
              <w:rPr>
                <w:rFonts w:hint="default" w:ascii="Times New Roman" w:hAnsi="Times New Roman" w:eastAsia="仿宋" w:cs="Times New Roman"/>
                <w:color w:val="auto"/>
                <w:sz w:val="24"/>
                <w:szCs w:val="24"/>
              </w:rPr>
              <w:t>位于怀化市中心城区主导风向的上风向，园区引进企业严格限制气型污染企业入驻。</w:t>
            </w:r>
          </w:p>
        </w:tc>
        <w:tc>
          <w:tcPr>
            <w:tcW w:w="444" w:type="pct"/>
            <w:noWrap w:val="0"/>
            <w:vAlign w:val="center"/>
          </w:tcPr>
          <w:p w14:paraId="60B05A53">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已</w:t>
            </w:r>
          </w:p>
          <w:p w14:paraId="2F258F4A">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落</w:t>
            </w:r>
          </w:p>
          <w:p w14:paraId="5B7297E7">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实</w:t>
            </w:r>
          </w:p>
        </w:tc>
      </w:tr>
      <w:tr w14:paraId="046A6C1B">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15" w:type="pct"/>
            <w:noWrap w:val="0"/>
            <w:vAlign w:val="center"/>
          </w:tcPr>
          <w:p w14:paraId="7ED5CFEC">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2、进一步严格产业环境准入</w:t>
            </w:r>
          </w:p>
        </w:tc>
        <w:tc>
          <w:tcPr>
            <w:tcW w:w="2323" w:type="pct"/>
            <w:noWrap w:val="0"/>
            <w:vAlign w:val="top"/>
          </w:tcPr>
          <w:p w14:paraId="1F5BA9AA">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园区后续发展预规划调整需符合园区“三线一单”环境准入要求及《报告书》提出的环境准入条件和负面清单要求。禁止引进三类工业及排放污染物涉及重金属、持久性有机物等的企业，医药企业不得引进化学合成药生产项目；不得引进电镀及大型喷涂企业，严格限制气型污染企业入驻，集中区应限制气型污染企业。</w:t>
            </w:r>
          </w:p>
        </w:tc>
        <w:tc>
          <w:tcPr>
            <w:tcW w:w="1516" w:type="pct"/>
            <w:noWrap w:val="0"/>
            <w:vAlign w:val="center"/>
          </w:tcPr>
          <w:p w14:paraId="783EC257">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园区严格落实“三线一单”环境准入要求及《报告书》提出的环境准入条件和负面清单要求，未引进医药企业，未进入三类工业及排放污染物涉及重金属、持久性有机物等的企业，未引进电镀及大型喷涂企业等。严格限制气型污染企业入驻。</w:t>
            </w:r>
          </w:p>
        </w:tc>
        <w:tc>
          <w:tcPr>
            <w:tcW w:w="444" w:type="pct"/>
            <w:noWrap w:val="0"/>
            <w:vAlign w:val="center"/>
          </w:tcPr>
          <w:p w14:paraId="59E47503">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已</w:t>
            </w:r>
          </w:p>
          <w:p w14:paraId="4CD082D2">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落</w:t>
            </w:r>
          </w:p>
          <w:p w14:paraId="77A8A066">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实</w:t>
            </w:r>
          </w:p>
        </w:tc>
      </w:tr>
      <w:tr w14:paraId="7B4F8ECE">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15" w:type="pct"/>
            <w:noWrap w:val="0"/>
            <w:vAlign w:val="center"/>
          </w:tcPr>
          <w:p w14:paraId="4FD7E063">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3、进一步落实园区污染管控措施。</w:t>
            </w:r>
          </w:p>
        </w:tc>
        <w:tc>
          <w:tcPr>
            <w:tcW w:w="2323" w:type="pct"/>
            <w:noWrap w:val="0"/>
            <w:vAlign w:val="center"/>
          </w:tcPr>
          <w:p w14:paraId="41AD845D">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园区西片区污水经预处理后排入市政污水管网接入城东污水处理厂集中处理；园区东部片区污水接入园区污水集中处理设施处理，目前东部片区有6家企业，总排水量非常小，仅为每天十余吨，造成处理设施基本难以正常运行，若东部片区园区污水集中处理设施持续未形成正常运行规模，应考虑将该片区污水泵送至西部片区管网进入城东污水处理厂以确保废水得到稳妥处理。完善园区内雨污分流管网建设，确保废水应收尽收，污水管网、处理设施未完成、生产废水未接管之前，相关区域废水排放的新建企业不得投产。优化能源结构，在园区内推广使用天然气，加强园区污染防治，加大对区内重点排污企业废气治理设施运行情况的检查频次，确保大气污染物能达标排放，对治理设施不能有效运行的，采取停产措施。做好工业固体废物和生活垃圾的分类收集、转运、综合利用和无害化处理，建立完善的固废管理体系。对危险固废应严格按照国家有关规定综合利用或妥善处理，对危险废物产生企业和经营单位，应强化日常环境监管。园区需严格落实排污许可制度和污染物排放总量控制，重点抓好企业环保手续的完善。</w:t>
            </w:r>
          </w:p>
        </w:tc>
        <w:tc>
          <w:tcPr>
            <w:tcW w:w="1516" w:type="pct"/>
            <w:noWrap w:val="0"/>
            <w:vAlign w:val="center"/>
          </w:tcPr>
          <w:p w14:paraId="21FAA5C4">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园区排水为雨污分流，雨、污水管覆盖率100%。</w:t>
            </w:r>
            <w:r>
              <w:rPr>
                <w:rFonts w:hint="default" w:ascii="Times New Roman" w:hAnsi="Times New Roman" w:eastAsia="仿宋" w:cs="Times New Roman"/>
                <w:color w:val="auto"/>
                <w:sz w:val="24"/>
                <w:szCs w:val="24"/>
                <w:lang w:val="en-US" w:eastAsia="zh-CN"/>
              </w:rPr>
              <w:t>怀化高新技术产业开发区鹤城片区</w:t>
            </w:r>
            <w:r>
              <w:rPr>
                <w:rFonts w:hint="default" w:ascii="Times New Roman" w:hAnsi="Times New Roman" w:eastAsia="仿宋" w:cs="Times New Roman"/>
                <w:color w:val="auto"/>
                <w:sz w:val="24"/>
                <w:szCs w:val="24"/>
              </w:rPr>
              <w:t>配套（和依托）集中污水处理设施2个，以新园路为界，东部靠近泸阳区域，污水均接入</w:t>
            </w:r>
            <w:r>
              <w:rPr>
                <w:rFonts w:hint="default" w:ascii="Times New Roman" w:hAnsi="Times New Roman" w:eastAsia="仿宋" w:cs="Times New Roman"/>
                <w:color w:val="auto"/>
                <w:sz w:val="24"/>
                <w:szCs w:val="24"/>
                <w:lang w:val="en-US" w:eastAsia="zh-CN"/>
              </w:rPr>
              <w:t>怀化高新技术产业开发区鹤城片区</w:t>
            </w:r>
            <w:r>
              <w:rPr>
                <w:rFonts w:hint="default" w:ascii="Times New Roman" w:hAnsi="Times New Roman" w:eastAsia="仿宋" w:cs="Times New Roman"/>
                <w:color w:val="auto"/>
                <w:sz w:val="24"/>
                <w:szCs w:val="24"/>
              </w:rPr>
              <w:t>污水处理厂。西部靠近主城区为依托怀化市城东污水处理厂处理。园区污水排放实现应收尽收。目前，园区现有企业使用电能为能源，废气产生企业均</w:t>
            </w:r>
            <w:r>
              <w:rPr>
                <w:rFonts w:hint="eastAsia" w:ascii="Times New Roman" w:hAnsi="Times New Roman" w:eastAsia="仿宋" w:cs="Times New Roman"/>
                <w:color w:val="auto"/>
                <w:sz w:val="24"/>
                <w:szCs w:val="24"/>
                <w:lang w:val="en-US" w:eastAsia="zh-CN"/>
              </w:rPr>
              <w:t>设置了</w:t>
            </w:r>
            <w:r>
              <w:rPr>
                <w:rFonts w:hint="default" w:ascii="Times New Roman" w:hAnsi="Times New Roman" w:eastAsia="仿宋" w:cs="Times New Roman"/>
                <w:color w:val="auto"/>
                <w:sz w:val="24"/>
                <w:szCs w:val="24"/>
              </w:rPr>
              <w:t>符合环保要求的废气治理设施，确保废气达标排放。入园企业工业固废均得到综合利用或妥善处置。生活垃圾均由环卫部门清运。园区制定固废监管制度，并落实了监管要求，及时对发现的园区企业固废不规范处理处置情况下达整改要求，并监督整改实施。入园企业均落实排污许可制度及总量控制制度。</w:t>
            </w:r>
          </w:p>
        </w:tc>
        <w:tc>
          <w:tcPr>
            <w:tcW w:w="444" w:type="pct"/>
            <w:noWrap w:val="0"/>
            <w:vAlign w:val="center"/>
          </w:tcPr>
          <w:p w14:paraId="7085E91F">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已</w:t>
            </w:r>
          </w:p>
          <w:p w14:paraId="1794CC4F">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落</w:t>
            </w:r>
          </w:p>
          <w:p w14:paraId="02DBF99C">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实</w:t>
            </w:r>
          </w:p>
        </w:tc>
      </w:tr>
      <w:tr w14:paraId="0BC65D15">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pct"/>
            <w:noWrap w:val="0"/>
            <w:vAlign w:val="center"/>
          </w:tcPr>
          <w:p w14:paraId="70A1D662">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4、完善园区环境监测体系</w:t>
            </w:r>
          </w:p>
        </w:tc>
        <w:tc>
          <w:tcPr>
            <w:tcW w:w="2323" w:type="pct"/>
            <w:noWrap w:val="0"/>
            <w:vAlign w:val="center"/>
          </w:tcPr>
          <w:p w14:paraId="0F771A36">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园区应严格落实跟踪评价提出的监测方案，结合园区规划的功能分区、产业布局和重点企业分布、特征污染物排放种类和状况、环境敏感目标分布等，建立健全环境空气、地表水、地下水、土壤等环境要素的监控体系。加强对废气粉尘重点排放企业的监督性监测，防治超标排放，定期监测太平溪水环境质量状况，持续跟踪观测园区开发强度对太平溪水质的影响状况。</w:t>
            </w:r>
          </w:p>
        </w:tc>
        <w:tc>
          <w:tcPr>
            <w:tcW w:w="1516" w:type="pct"/>
            <w:noWrap w:val="0"/>
            <w:vAlign w:val="center"/>
          </w:tcPr>
          <w:p w14:paraId="15068DF4">
            <w:pPr>
              <w:widowControl w:val="0"/>
              <w:spacing w:after="120" w:line="240" w:lineRule="auto"/>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园区按照跟踪评价提出的监测方案，结合园区功能分区及开发现状，对园区环境空气、地表水、地下水、土壤、河流底质等各要素进行了环境质量例行监测，并对监测结果进行了公示。</w:t>
            </w:r>
          </w:p>
        </w:tc>
        <w:tc>
          <w:tcPr>
            <w:tcW w:w="444" w:type="pct"/>
            <w:noWrap w:val="0"/>
            <w:vAlign w:val="center"/>
          </w:tcPr>
          <w:p w14:paraId="797A089A">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已</w:t>
            </w:r>
          </w:p>
          <w:p w14:paraId="61809FF3">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落</w:t>
            </w:r>
          </w:p>
          <w:p w14:paraId="1FA435FA">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实</w:t>
            </w:r>
          </w:p>
        </w:tc>
      </w:tr>
      <w:tr w14:paraId="388CF215">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pct"/>
            <w:noWrap w:val="0"/>
            <w:vAlign w:val="center"/>
          </w:tcPr>
          <w:p w14:paraId="55D9F8D6">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5、健全园区环境风险防控体系</w:t>
            </w:r>
          </w:p>
        </w:tc>
        <w:tc>
          <w:tcPr>
            <w:tcW w:w="2323" w:type="pct"/>
            <w:noWrap w:val="0"/>
            <w:vAlign w:val="center"/>
          </w:tcPr>
          <w:p w14:paraId="436642D2">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加强园区重要风险源管控，加强园区危险化学品储运的环境管理，严格落实应急响应联动机制，确保区域安全。</w:t>
            </w:r>
          </w:p>
        </w:tc>
        <w:tc>
          <w:tcPr>
            <w:tcW w:w="1516" w:type="pct"/>
            <w:noWrap w:val="0"/>
            <w:vAlign w:val="center"/>
          </w:tcPr>
          <w:p w14:paraId="40B7EDA3">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怀化高新技术产业开发区鹤城片区</w:t>
            </w:r>
            <w:r>
              <w:rPr>
                <w:rFonts w:hint="default" w:ascii="Times New Roman" w:hAnsi="Times New Roman" w:eastAsia="仿宋" w:cs="Times New Roman"/>
                <w:color w:val="auto"/>
                <w:sz w:val="24"/>
                <w:szCs w:val="24"/>
              </w:rPr>
              <w:t>已经配备专职环境管理人员，落实应急响应联动机制，按照《鹤城产业开发区突发环境事件应急预案（2021修订版）落实各项风险防范措施，严防环境风险事件发生。</w:t>
            </w:r>
          </w:p>
        </w:tc>
        <w:tc>
          <w:tcPr>
            <w:tcW w:w="444" w:type="pct"/>
            <w:noWrap w:val="0"/>
            <w:vAlign w:val="center"/>
          </w:tcPr>
          <w:p w14:paraId="05DF8CFE">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已</w:t>
            </w:r>
          </w:p>
          <w:p w14:paraId="3D4DE06C">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落</w:t>
            </w:r>
          </w:p>
          <w:p w14:paraId="28FC71BE">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实</w:t>
            </w:r>
          </w:p>
        </w:tc>
      </w:tr>
      <w:tr w14:paraId="266A186D">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15" w:type="pct"/>
            <w:noWrap w:val="0"/>
            <w:vAlign w:val="center"/>
          </w:tcPr>
          <w:p w14:paraId="64540EC5">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6、加强环境敏感点的保护</w:t>
            </w:r>
          </w:p>
        </w:tc>
        <w:tc>
          <w:tcPr>
            <w:tcW w:w="2323" w:type="pct"/>
            <w:noWrap w:val="0"/>
            <w:vAlign w:val="center"/>
          </w:tcPr>
          <w:p w14:paraId="21D3CAB0">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严格做好控规，杜绝在规划的工业用地上新增环境敏感目标，建设居民区的状况，在工业发展区域与学校、集中居民区等环境敏感区域之间按照《报告书》要求设置相应的防护绿化带，确保园区开发过程中的居民拆迁安置到位，防止发生居民再次安置和次生环境问题，对于具体建设项目环评设置了防护距离和拆迁要求的，要确保予以落实。</w:t>
            </w:r>
          </w:p>
        </w:tc>
        <w:tc>
          <w:tcPr>
            <w:tcW w:w="1516" w:type="pct"/>
            <w:noWrap w:val="0"/>
            <w:vAlign w:val="center"/>
          </w:tcPr>
          <w:p w14:paraId="5B929709">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园区开发均按照控规和土地利用规划进行。园区拆迁工作均制定了拆迁安置方案，并按照方案逐步拆迁，无移民再次安置和次生环境问题。</w:t>
            </w:r>
          </w:p>
        </w:tc>
        <w:tc>
          <w:tcPr>
            <w:tcW w:w="444" w:type="pct"/>
            <w:noWrap w:val="0"/>
            <w:vAlign w:val="center"/>
          </w:tcPr>
          <w:p w14:paraId="208B54AB">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已</w:t>
            </w:r>
          </w:p>
          <w:p w14:paraId="65BFBCDE">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落</w:t>
            </w:r>
          </w:p>
          <w:p w14:paraId="58BD08D8">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实</w:t>
            </w:r>
          </w:p>
        </w:tc>
      </w:tr>
      <w:tr w14:paraId="0D37C9A9">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715" w:type="pct"/>
            <w:noWrap w:val="0"/>
            <w:vAlign w:val="center"/>
          </w:tcPr>
          <w:p w14:paraId="7513EC02">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7、做好园区后续开发过程中生态环境保护和水土保持</w:t>
            </w:r>
          </w:p>
        </w:tc>
        <w:tc>
          <w:tcPr>
            <w:tcW w:w="2323" w:type="pct"/>
            <w:noWrap w:val="0"/>
            <w:vAlign w:val="center"/>
          </w:tcPr>
          <w:p w14:paraId="1BF0942A">
            <w:pPr>
              <w:spacing w:line="24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尽可能保留自然水体，施工期对土石方开挖、堆存及回填要实施围挡、护坡等措施，裸露地及时恢复植被，防止后续开发建设中的扬尘污染和水土流失。</w:t>
            </w:r>
          </w:p>
        </w:tc>
        <w:tc>
          <w:tcPr>
            <w:tcW w:w="1516" w:type="pct"/>
            <w:noWrap w:val="0"/>
            <w:vAlign w:val="center"/>
          </w:tcPr>
          <w:p w14:paraId="6642EFFE">
            <w:pPr>
              <w:widowControl w:val="0"/>
              <w:spacing w:after="120" w:line="240" w:lineRule="auto"/>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园区开发过程中，注重水土保持措施及施工扬尘污染控制，做到土方及时回填，裸露地及时恢复等。</w:t>
            </w:r>
          </w:p>
        </w:tc>
        <w:tc>
          <w:tcPr>
            <w:tcW w:w="444" w:type="pct"/>
            <w:noWrap w:val="0"/>
            <w:vAlign w:val="center"/>
          </w:tcPr>
          <w:p w14:paraId="7EDB15F5">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已</w:t>
            </w:r>
          </w:p>
          <w:p w14:paraId="2FAA42BD">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落</w:t>
            </w:r>
          </w:p>
          <w:p w14:paraId="4BC58095">
            <w:pPr>
              <w:spacing w:line="24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实</w:t>
            </w:r>
          </w:p>
        </w:tc>
      </w:tr>
    </w:tbl>
    <w:p w14:paraId="0DC218AC">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color w:val="auto"/>
          <w:sz w:val="28"/>
          <w:szCs w:val="28"/>
        </w:rPr>
      </w:pPr>
      <w:r>
        <w:rPr>
          <w:rFonts w:hint="default" w:ascii="Times New Roman" w:hAnsi="Times New Roman" w:eastAsia="仿宋" w:cs="Times New Roman"/>
          <w:b/>
          <w:color w:val="auto"/>
          <w:sz w:val="28"/>
          <w:szCs w:val="28"/>
        </w:rPr>
        <w:t>3、园区规划环评要求的年度自行监测计划的落实情况</w:t>
      </w:r>
    </w:p>
    <w:p w14:paraId="582B656E">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color w:val="auto"/>
          <w:sz w:val="28"/>
          <w:szCs w:val="28"/>
        </w:rPr>
      </w:pPr>
      <w:r>
        <w:rPr>
          <w:rFonts w:hint="default" w:ascii="Times New Roman" w:hAnsi="Times New Roman" w:eastAsia="仿宋" w:cs="Times New Roman"/>
          <w:b/>
          <w:color w:val="auto"/>
          <w:sz w:val="28"/>
          <w:szCs w:val="28"/>
        </w:rPr>
        <w:t>（1）规划环评要求监测计划</w:t>
      </w:r>
    </w:p>
    <w:p w14:paraId="54529404">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sz w:val="28"/>
          <w:szCs w:val="28"/>
        </w:rPr>
        <w:t>组织编制了《怀化市鹤城工业集中区环境影响跟踪评价报告书》，《报告书》对园区自行监测计划进行了补充和完善，具体监测计划表如下：</w:t>
      </w:r>
    </w:p>
    <w:p w14:paraId="057951A4">
      <w:pPr>
        <w:pStyle w:val="2"/>
        <w:snapToGrid w:val="0"/>
        <w:spacing w:after="0"/>
        <w:ind w:left="0" w:leftChars="0" w:firstLine="241" w:firstLineChars="10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 xml:space="preserve">表2-3 </w:t>
      </w:r>
      <w:r>
        <w:rPr>
          <w:rFonts w:hint="default" w:ascii="Times New Roman" w:hAnsi="Times New Roman" w:eastAsia="仿宋" w:cs="Times New Roman"/>
          <w:b/>
          <w:color w:val="auto"/>
          <w:sz w:val="24"/>
          <w:szCs w:val="24"/>
          <w:lang w:val="en-US" w:eastAsia="zh-CN"/>
        </w:rPr>
        <w:t xml:space="preserve"> </w:t>
      </w:r>
      <w:r>
        <w:rPr>
          <w:rFonts w:hint="default" w:ascii="Times New Roman" w:hAnsi="Times New Roman" w:eastAsia="仿宋" w:cs="Times New Roman"/>
          <w:b/>
          <w:color w:val="auto"/>
          <w:sz w:val="24"/>
          <w:szCs w:val="24"/>
        </w:rPr>
        <w:t>大气环境质量监测计划表</w:t>
      </w:r>
    </w:p>
    <w:tbl>
      <w:tblPr>
        <w:tblStyle w:val="18"/>
        <w:tblW w:w="4998" w:type="pct"/>
        <w:jc w:val="center"/>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3"/>
        <w:gridCol w:w="1137"/>
        <w:gridCol w:w="1113"/>
        <w:gridCol w:w="1224"/>
        <w:gridCol w:w="2131"/>
        <w:gridCol w:w="1449"/>
        <w:gridCol w:w="882"/>
      </w:tblGrid>
      <w:tr w14:paraId="4F55FF04">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342" w:type="pct"/>
            <w:vAlign w:val="center"/>
          </w:tcPr>
          <w:p w14:paraId="3BA89E48">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序号</w:t>
            </w:r>
          </w:p>
        </w:tc>
        <w:tc>
          <w:tcPr>
            <w:tcW w:w="667" w:type="pct"/>
            <w:vAlign w:val="center"/>
          </w:tcPr>
          <w:p w14:paraId="499B4E43">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监测点名称</w:t>
            </w:r>
          </w:p>
        </w:tc>
        <w:tc>
          <w:tcPr>
            <w:tcW w:w="653" w:type="pct"/>
            <w:vAlign w:val="center"/>
          </w:tcPr>
          <w:p w14:paraId="32E5D9CC">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相对于园区位置</w:t>
            </w:r>
          </w:p>
        </w:tc>
        <w:tc>
          <w:tcPr>
            <w:tcW w:w="718" w:type="pct"/>
            <w:vAlign w:val="center"/>
          </w:tcPr>
          <w:p w14:paraId="6365F556">
            <w:pPr>
              <w:jc w:val="center"/>
              <w:rPr>
                <w:rFonts w:hint="default" w:ascii="Times New Roman" w:hAnsi="Times New Roman" w:eastAsia="仿宋" w:cs="Times New Roman"/>
                <w:b/>
                <w:color w:val="auto"/>
                <w:spacing w:val="-20"/>
                <w:sz w:val="24"/>
                <w:szCs w:val="24"/>
              </w:rPr>
            </w:pPr>
            <w:r>
              <w:rPr>
                <w:rFonts w:hint="default" w:ascii="Times New Roman" w:hAnsi="Times New Roman" w:eastAsia="仿宋" w:cs="Times New Roman"/>
                <w:b/>
                <w:color w:val="auto"/>
                <w:spacing w:val="-20"/>
                <w:sz w:val="24"/>
                <w:szCs w:val="24"/>
              </w:rPr>
              <w:t>相对于园区边界距离/m</w:t>
            </w:r>
          </w:p>
        </w:tc>
        <w:tc>
          <w:tcPr>
            <w:tcW w:w="1250" w:type="pct"/>
            <w:vAlign w:val="center"/>
          </w:tcPr>
          <w:p w14:paraId="747FA72C">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监测点坐标经纬度</w:t>
            </w:r>
          </w:p>
        </w:tc>
        <w:tc>
          <w:tcPr>
            <w:tcW w:w="850" w:type="pct"/>
            <w:vAlign w:val="center"/>
          </w:tcPr>
          <w:p w14:paraId="2B6AABDF">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监测因子</w:t>
            </w:r>
          </w:p>
        </w:tc>
        <w:tc>
          <w:tcPr>
            <w:tcW w:w="517" w:type="pct"/>
            <w:vAlign w:val="center"/>
          </w:tcPr>
          <w:p w14:paraId="11AB17F8">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监测频次</w:t>
            </w:r>
          </w:p>
        </w:tc>
      </w:tr>
      <w:tr w14:paraId="6EFD24C9">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42" w:type="pct"/>
            <w:vAlign w:val="center"/>
          </w:tcPr>
          <w:p w14:paraId="423D0B36">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A1</w:t>
            </w:r>
          </w:p>
        </w:tc>
        <w:tc>
          <w:tcPr>
            <w:tcW w:w="667" w:type="pct"/>
            <w:vAlign w:val="center"/>
          </w:tcPr>
          <w:p w14:paraId="3DE6933A">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阳塘村3组</w:t>
            </w:r>
          </w:p>
        </w:tc>
        <w:tc>
          <w:tcPr>
            <w:tcW w:w="653" w:type="pct"/>
            <w:vAlign w:val="center"/>
          </w:tcPr>
          <w:p w14:paraId="356CA109">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东北</w:t>
            </w:r>
          </w:p>
        </w:tc>
        <w:tc>
          <w:tcPr>
            <w:tcW w:w="718" w:type="pct"/>
            <w:vAlign w:val="center"/>
          </w:tcPr>
          <w:p w14:paraId="5B07B077">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800</w:t>
            </w:r>
          </w:p>
        </w:tc>
        <w:tc>
          <w:tcPr>
            <w:tcW w:w="1250" w:type="pct"/>
            <w:vAlign w:val="center"/>
          </w:tcPr>
          <w:p w14:paraId="7556C4AB">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27°35'31.96"北纬</w:t>
            </w:r>
          </w:p>
          <w:p w14:paraId="69B071D3">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110°4'31.34"东经</w:t>
            </w:r>
          </w:p>
        </w:tc>
        <w:tc>
          <w:tcPr>
            <w:tcW w:w="850" w:type="pct"/>
            <w:vAlign w:val="center"/>
          </w:tcPr>
          <w:p w14:paraId="487903C4">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二甲苯、TVOC</w:t>
            </w:r>
          </w:p>
        </w:tc>
        <w:tc>
          <w:tcPr>
            <w:tcW w:w="517" w:type="pct"/>
            <w:vMerge w:val="restart"/>
            <w:vAlign w:val="center"/>
          </w:tcPr>
          <w:p w14:paraId="7C7D585F">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半年一次，每次3天</w:t>
            </w:r>
          </w:p>
        </w:tc>
      </w:tr>
      <w:tr w14:paraId="6076FF4B">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42" w:type="pct"/>
            <w:vAlign w:val="center"/>
          </w:tcPr>
          <w:p w14:paraId="21115E31">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A2</w:t>
            </w:r>
          </w:p>
        </w:tc>
        <w:tc>
          <w:tcPr>
            <w:tcW w:w="667" w:type="pct"/>
            <w:vAlign w:val="center"/>
          </w:tcPr>
          <w:p w14:paraId="7967D780">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阳塘村10组</w:t>
            </w:r>
          </w:p>
        </w:tc>
        <w:tc>
          <w:tcPr>
            <w:tcW w:w="653" w:type="pct"/>
            <w:vAlign w:val="center"/>
          </w:tcPr>
          <w:p w14:paraId="6096CC03">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园区内西北角</w:t>
            </w:r>
          </w:p>
        </w:tc>
        <w:tc>
          <w:tcPr>
            <w:tcW w:w="718" w:type="pct"/>
            <w:vAlign w:val="center"/>
          </w:tcPr>
          <w:p w14:paraId="4F9C94F3">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p>
        </w:tc>
        <w:tc>
          <w:tcPr>
            <w:tcW w:w="1250" w:type="pct"/>
            <w:vAlign w:val="center"/>
          </w:tcPr>
          <w:p w14:paraId="7B1B5472">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27°35'14.27"北纬</w:t>
            </w:r>
          </w:p>
          <w:p w14:paraId="3DF2FEA1">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110°3'21.32"东经</w:t>
            </w:r>
          </w:p>
        </w:tc>
        <w:tc>
          <w:tcPr>
            <w:tcW w:w="850" w:type="pct"/>
            <w:vAlign w:val="center"/>
          </w:tcPr>
          <w:p w14:paraId="2509D053">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二甲苯、TVOC</w:t>
            </w:r>
          </w:p>
        </w:tc>
        <w:tc>
          <w:tcPr>
            <w:tcW w:w="517" w:type="pct"/>
            <w:vMerge w:val="continue"/>
            <w:vAlign w:val="center"/>
          </w:tcPr>
          <w:p w14:paraId="4C71A8BD">
            <w:pPr>
              <w:jc w:val="center"/>
              <w:rPr>
                <w:rFonts w:hint="default" w:ascii="Times New Roman" w:hAnsi="Times New Roman" w:eastAsia="仿宋" w:cs="Times New Roman"/>
                <w:color w:val="auto"/>
                <w:sz w:val="24"/>
                <w:szCs w:val="24"/>
              </w:rPr>
            </w:pPr>
          </w:p>
        </w:tc>
      </w:tr>
      <w:tr w14:paraId="1DCFE8D2">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42" w:type="pct"/>
            <w:vAlign w:val="center"/>
          </w:tcPr>
          <w:p w14:paraId="2F7A08AC">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A3</w:t>
            </w:r>
          </w:p>
        </w:tc>
        <w:tc>
          <w:tcPr>
            <w:tcW w:w="667" w:type="pct"/>
            <w:vAlign w:val="center"/>
          </w:tcPr>
          <w:p w14:paraId="710902F3">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鹤城区政府</w:t>
            </w:r>
          </w:p>
        </w:tc>
        <w:tc>
          <w:tcPr>
            <w:tcW w:w="653" w:type="pct"/>
            <w:vAlign w:val="center"/>
          </w:tcPr>
          <w:p w14:paraId="6226C7C4">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西</w:t>
            </w:r>
          </w:p>
        </w:tc>
        <w:tc>
          <w:tcPr>
            <w:tcW w:w="718" w:type="pct"/>
            <w:vAlign w:val="center"/>
          </w:tcPr>
          <w:p w14:paraId="683D34C0">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1500</w:t>
            </w:r>
          </w:p>
        </w:tc>
        <w:tc>
          <w:tcPr>
            <w:tcW w:w="1250" w:type="pct"/>
            <w:vAlign w:val="center"/>
          </w:tcPr>
          <w:p w14:paraId="30FBF4FF">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27°34'54.68"北纬</w:t>
            </w:r>
          </w:p>
          <w:p w14:paraId="0A2A7178">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110°2'6.29"东经</w:t>
            </w:r>
          </w:p>
        </w:tc>
        <w:tc>
          <w:tcPr>
            <w:tcW w:w="850" w:type="pct"/>
            <w:vAlign w:val="center"/>
          </w:tcPr>
          <w:p w14:paraId="3CC0ED77">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二甲苯、TVOC</w:t>
            </w:r>
          </w:p>
        </w:tc>
        <w:tc>
          <w:tcPr>
            <w:tcW w:w="517" w:type="pct"/>
            <w:vMerge w:val="continue"/>
            <w:vAlign w:val="center"/>
          </w:tcPr>
          <w:p w14:paraId="78A6A858">
            <w:pPr>
              <w:jc w:val="center"/>
              <w:rPr>
                <w:rFonts w:hint="default" w:ascii="Times New Roman" w:hAnsi="Times New Roman" w:eastAsia="仿宋" w:cs="Times New Roman"/>
                <w:color w:val="auto"/>
                <w:sz w:val="24"/>
                <w:szCs w:val="24"/>
              </w:rPr>
            </w:pPr>
          </w:p>
        </w:tc>
      </w:tr>
      <w:tr w14:paraId="597D1F54">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42" w:type="pct"/>
            <w:vAlign w:val="center"/>
          </w:tcPr>
          <w:p w14:paraId="59D8D8AC">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A4</w:t>
            </w:r>
          </w:p>
        </w:tc>
        <w:tc>
          <w:tcPr>
            <w:tcW w:w="667" w:type="pct"/>
            <w:vAlign w:val="center"/>
          </w:tcPr>
          <w:p w14:paraId="41910A80">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城东新区</w:t>
            </w:r>
          </w:p>
        </w:tc>
        <w:tc>
          <w:tcPr>
            <w:tcW w:w="653" w:type="pct"/>
            <w:vAlign w:val="center"/>
          </w:tcPr>
          <w:p w14:paraId="3ACBF8D3">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西南</w:t>
            </w:r>
          </w:p>
        </w:tc>
        <w:tc>
          <w:tcPr>
            <w:tcW w:w="718" w:type="pct"/>
            <w:vAlign w:val="center"/>
          </w:tcPr>
          <w:p w14:paraId="65D45211">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2800</w:t>
            </w:r>
          </w:p>
        </w:tc>
        <w:tc>
          <w:tcPr>
            <w:tcW w:w="1250" w:type="pct"/>
            <w:vAlign w:val="center"/>
          </w:tcPr>
          <w:p w14:paraId="5C7E198E">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27°33'18.39"北纬</w:t>
            </w:r>
          </w:p>
          <w:p w14:paraId="6D11FC41">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110°2'19.96"东经</w:t>
            </w:r>
          </w:p>
        </w:tc>
        <w:tc>
          <w:tcPr>
            <w:tcW w:w="850" w:type="pct"/>
            <w:vAlign w:val="center"/>
          </w:tcPr>
          <w:p w14:paraId="51ECE948">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二甲苯、TVOC</w:t>
            </w:r>
          </w:p>
        </w:tc>
        <w:tc>
          <w:tcPr>
            <w:tcW w:w="517" w:type="pct"/>
            <w:vMerge w:val="continue"/>
            <w:vAlign w:val="center"/>
          </w:tcPr>
          <w:p w14:paraId="7CE140B7">
            <w:pPr>
              <w:jc w:val="center"/>
              <w:rPr>
                <w:rFonts w:hint="default" w:ascii="Times New Roman" w:hAnsi="Times New Roman" w:eastAsia="仿宋" w:cs="Times New Roman"/>
                <w:color w:val="auto"/>
                <w:sz w:val="24"/>
                <w:szCs w:val="24"/>
              </w:rPr>
            </w:pPr>
          </w:p>
        </w:tc>
      </w:tr>
      <w:tr w14:paraId="5C7D32C6">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42" w:type="pct"/>
            <w:vAlign w:val="center"/>
          </w:tcPr>
          <w:p w14:paraId="3B577F02">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A5</w:t>
            </w:r>
          </w:p>
        </w:tc>
        <w:tc>
          <w:tcPr>
            <w:tcW w:w="667" w:type="pct"/>
            <w:vAlign w:val="center"/>
          </w:tcPr>
          <w:p w14:paraId="1159E476">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大桥村</w:t>
            </w:r>
          </w:p>
        </w:tc>
        <w:tc>
          <w:tcPr>
            <w:tcW w:w="653" w:type="pct"/>
            <w:vAlign w:val="center"/>
          </w:tcPr>
          <w:p w14:paraId="4B4BF132">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东</w:t>
            </w:r>
          </w:p>
        </w:tc>
        <w:tc>
          <w:tcPr>
            <w:tcW w:w="718" w:type="pct"/>
            <w:vAlign w:val="center"/>
          </w:tcPr>
          <w:p w14:paraId="4AE9CCBC">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30</w:t>
            </w:r>
          </w:p>
        </w:tc>
        <w:tc>
          <w:tcPr>
            <w:tcW w:w="1250" w:type="pct"/>
            <w:vAlign w:val="center"/>
          </w:tcPr>
          <w:p w14:paraId="78311CC0">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27°35'10.73"北纬110° 4'8.23"东经</w:t>
            </w:r>
          </w:p>
        </w:tc>
        <w:tc>
          <w:tcPr>
            <w:tcW w:w="850" w:type="pct"/>
            <w:vAlign w:val="center"/>
          </w:tcPr>
          <w:p w14:paraId="1ADD94EE">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TVOC</w:t>
            </w:r>
          </w:p>
        </w:tc>
        <w:tc>
          <w:tcPr>
            <w:tcW w:w="517" w:type="pct"/>
            <w:vMerge w:val="continue"/>
            <w:vAlign w:val="center"/>
          </w:tcPr>
          <w:p w14:paraId="5E5F94E5">
            <w:pPr>
              <w:jc w:val="center"/>
              <w:rPr>
                <w:rFonts w:hint="default" w:ascii="Times New Roman" w:hAnsi="Times New Roman" w:eastAsia="仿宋" w:cs="Times New Roman"/>
                <w:color w:val="auto"/>
                <w:sz w:val="24"/>
                <w:szCs w:val="24"/>
              </w:rPr>
            </w:pPr>
          </w:p>
        </w:tc>
      </w:tr>
      <w:tr w14:paraId="2FA9C7EE">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42" w:type="pct"/>
            <w:vAlign w:val="center"/>
          </w:tcPr>
          <w:p w14:paraId="419BA152">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A6</w:t>
            </w:r>
          </w:p>
        </w:tc>
        <w:tc>
          <w:tcPr>
            <w:tcW w:w="667" w:type="pct"/>
            <w:vAlign w:val="center"/>
          </w:tcPr>
          <w:p w14:paraId="09796B94">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坨院村</w:t>
            </w:r>
          </w:p>
        </w:tc>
        <w:tc>
          <w:tcPr>
            <w:tcW w:w="653" w:type="pct"/>
            <w:vAlign w:val="center"/>
          </w:tcPr>
          <w:p w14:paraId="75846F86">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南</w:t>
            </w:r>
          </w:p>
        </w:tc>
        <w:tc>
          <w:tcPr>
            <w:tcW w:w="718" w:type="pct"/>
            <w:vAlign w:val="center"/>
          </w:tcPr>
          <w:p w14:paraId="71801A71">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30</w:t>
            </w:r>
          </w:p>
        </w:tc>
        <w:tc>
          <w:tcPr>
            <w:tcW w:w="1250" w:type="pct"/>
            <w:vAlign w:val="center"/>
          </w:tcPr>
          <w:p w14:paraId="72864B6D">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27°34'37.90"北纬110° 3'9.88"东经</w:t>
            </w:r>
          </w:p>
        </w:tc>
        <w:tc>
          <w:tcPr>
            <w:tcW w:w="850" w:type="pct"/>
            <w:vAlign w:val="center"/>
          </w:tcPr>
          <w:p w14:paraId="7BC23CA3">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TVOC</w:t>
            </w:r>
          </w:p>
        </w:tc>
        <w:tc>
          <w:tcPr>
            <w:tcW w:w="517" w:type="pct"/>
            <w:vMerge w:val="continue"/>
            <w:vAlign w:val="center"/>
          </w:tcPr>
          <w:p w14:paraId="508EF1B6">
            <w:pPr>
              <w:jc w:val="center"/>
              <w:rPr>
                <w:rFonts w:hint="default" w:ascii="Times New Roman" w:hAnsi="Times New Roman" w:eastAsia="仿宋" w:cs="Times New Roman"/>
                <w:color w:val="auto"/>
                <w:sz w:val="24"/>
                <w:szCs w:val="24"/>
              </w:rPr>
            </w:pPr>
          </w:p>
        </w:tc>
      </w:tr>
    </w:tbl>
    <w:p w14:paraId="7CA696AD">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 xml:space="preserve">表2-4 </w:t>
      </w:r>
      <w:r>
        <w:rPr>
          <w:rFonts w:hint="default" w:ascii="Times New Roman" w:hAnsi="Times New Roman" w:eastAsia="仿宋" w:cs="Times New Roman"/>
          <w:b/>
          <w:color w:val="auto"/>
          <w:sz w:val="24"/>
          <w:szCs w:val="24"/>
          <w:lang w:val="en-US" w:eastAsia="zh-CN"/>
        </w:rPr>
        <w:t xml:space="preserve"> </w:t>
      </w:r>
      <w:r>
        <w:rPr>
          <w:rFonts w:hint="default" w:ascii="Times New Roman" w:hAnsi="Times New Roman" w:eastAsia="仿宋" w:cs="Times New Roman"/>
          <w:b/>
          <w:color w:val="auto"/>
          <w:sz w:val="24"/>
          <w:szCs w:val="24"/>
        </w:rPr>
        <w:t>声环境质量监测计划</w:t>
      </w:r>
    </w:p>
    <w:tbl>
      <w:tblPr>
        <w:tblStyle w:val="18"/>
        <w:tblW w:w="0" w:type="auto"/>
        <w:jc w:val="center"/>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8"/>
        <w:gridCol w:w="1271"/>
        <w:gridCol w:w="1170"/>
        <w:gridCol w:w="1305"/>
        <w:gridCol w:w="2295"/>
        <w:gridCol w:w="900"/>
        <w:gridCol w:w="1043"/>
      </w:tblGrid>
      <w:tr w14:paraId="1EA1F17B">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0" w:type="auto"/>
            <w:vAlign w:val="center"/>
          </w:tcPr>
          <w:p w14:paraId="3C9196F5">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序号</w:t>
            </w:r>
          </w:p>
        </w:tc>
        <w:tc>
          <w:tcPr>
            <w:tcW w:w="1271" w:type="dxa"/>
            <w:vAlign w:val="center"/>
          </w:tcPr>
          <w:p w14:paraId="73A9D22F">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监测点名称</w:t>
            </w:r>
          </w:p>
        </w:tc>
        <w:tc>
          <w:tcPr>
            <w:tcW w:w="1170" w:type="dxa"/>
            <w:vAlign w:val="center"/>
          </w:tcPr>
          <w:p w14:paraId="67E4D82D">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相对于园区位置</w:t>
            </w:r>
          </w:p>
        </w:tc>
        <w:tc>
          <w:tcPr>
            <w:tcW w:w="1305" w:type="dxa"/>
            <w:vAlign w:val="center"/>
          </w:tcPr>
          <w:p w14:paraId="1707FFAF">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相对园区边界距离/m</w:t>
            </w:r>
          </w:p>
        </w:tc>
        <w:tc>
          <w:tcPr>
            <w:tcW w:w="2295" w:type="dxa"/>
            <w:vAlign w:val="center"/>
          </w:tcPr>
          <w:p w14:paraId="08349E0B">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监测点坐标经纬度</w:t>
            </w:r>
          </w:p>
        </w:tc>
        <w:tc>
          <w:tcPr>
            <w:tcW w:w="900" w:type="dxa"/>
            <w:vAlign w:val="center"/>
          </w:tcPr>
          <w:p w14:paraId="35F1B585">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监测项目</w:t>
            </w:r>
          </w:p>
        </w:tc>
        <w:tc>
          <w:tcPr>
            <w:tcW w:w="1043" w:type="dxa"/>
            <w:vAlign w:val="center"/>
          </w:tcPr>
          <w:p w14:paraId="4B0A74AB">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w:t>
            </w:r>
          </w:p>
          <w:p w14:paraId="177AEDF8">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频次</w:t>
            </w:r>
          </w:p>
        </w:tc>
      </w:tr>
      <w:tr w14:paraId="0F8161B1">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0" w:type="auto"/>
            <w:vAlign w:val="center"/>
          </w:tcPr>
          <w:p w14:paraId="4BC34F23">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N1</w:t>
            </w:r>
          </w:p>
        </w:tc>
        <w:tc>
          <w:tcPr>
            <w:tcW w:w="1271" w:type="dxa"/>
            <w:vAlign w:val="center"/>
          </w:tcPr>
          <w:p w14:paraId="2A9FC7FB">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大桥村居民点</w:t>
            </w:r>
          </w:p>
        </w:tc>
        <w:tc>
          <w:tcPr>
            <w:tcW w:w="1170" w:type="dxa"/>
            <w:vAlign w:val="center"/>
          </w:tcPr>
          <w:p w14:paraId="703BF21E">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东边界</w:t>
            </w:r>
          </w:p>
        </w:tc>
        <w:tc>
          <w:tcPr>
            <w:tcW w:w="1305" w:type="dxa"/>
            <w:vAlign w:val="center"/>
          </w:tcPr>
          <w:p w14:paraId="553991ED">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2295" w:type="dxa"/>
            <w:vAlign w:val="center"/>
          </w:tcPr>
          <w:p w14:paraId="1C4E0E9C">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27°35'8.20"北纬110° 4'4.21"东经</w:t>
            </w:r>
          </w:p>
        </w:tc>
        <w:tc>
          <w:tcPr>
            <w:tcW w:w="900" w:type="dxa"/>
            <w:vMerge w:val="restart"/>
            <w:vAlign w:val="center"/>
          </w:tcPr>
          <w:p w14:paraId="647FCA28">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连续等效A声级</w:t>
            </w:r>
          </w:p>
        </w:tc>
        <w:tc>
          <w:tcPr>
            <w:tcW w:w="1043" w:type="dxa"/>
            <w:vMerge w:val="restart"/>
            <w:vAlign w:val="center"/>
          </w:tcPr>
          <w:p w14:paraId="6CE53754">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连续监测2天，昼、夜各监测1次。</w:t>
            </w:r>
          </w:p>
        </w:tc>
      </w:tr>
      <w:tr w14:paraId="61B1260E">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0" w:type="auto"/>
            <w:vAlign w:val="center"/>
          </w:tcPr>
          <w:p w14:paraId="4C6BCF11">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N2</w:t>
            </w:r>
          </w:p>
        </w:tc>
        <w:tc>
          <w:tcPr>
            <w:tcW w:w="1271" w:type="dxa"/>
            <w:vAlign w:val="center"/>
          </w:tcPr>
          <w:p w14:paraId="3A3B5217">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坨院村居民点</w:t>
            </w:r>
          </w:p>
        </w:tc>
        <w:tc>
          <w:tcPr>
            <w:tcW w:w="1170" w:type="dxa"/>
            <w:vAlign w:val="center"/>
          </w:tcPr>
          <w:p w14:paraId="0E24932B">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南边界</w:t>
            </w:r>
          </w:p>
        </w:tc>
        <w:tc>
          <w:tcPr>
            <w:tcW w:w="1305" w:type="dxa"/>
            <w:vAlign w:val="center"/>
          </w:tcPr>
          <w:p w14:paraId="1B27C1D8">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2295" w:type="dxa"/>
            <w:vAlign w:val="center"/>
          </w:tcPr>
          <w:p w14:paraId="7AC1CF50">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27°34'38.26"北纬110° 3'35.21"东经</w:t>
            </w:r>
          </w:p>
        </w:tc>
        <w:tc>
          <w:tcPr>
            <w:tcW w:w="900" w:type="dxa"/>
            <w:vMerge w:val="continue"/>
            <w:vAlign w:val="center"/>
          </w:tcPr>
          <w:p w14:paraId="136A291B">
            <w:pPr>
              <w:jc w:val="center"/>
              <w:rPr>
                <w:rFonts w:hint="default" w:ascii="Times New Roman" w:hAnsi="Times New Roman" w:eastAsia="仿宋" w:cs="Times New Roman"/>
                <w:b/>
                <w:color w:val="auto"/>
                <w:kern w:val="1"/>
                <w:sz w:val="24"/>
                <w:szCs w:val="24"/>
              </w:rPr>
            </w:pPr>
          </w:p>
        </w:tc>
        <w:tc>
          <w:tcPr>
            <w:tcW w:w="1043" w:type="dxa"/>
            <w:vMerge w:val="continue"/>
            <w:vAlign w:val="center"/>
          </w:tcPr>
          <w:p w14:paraId="7E2222C1">
            <w:pPr>
              <w:jc w:val="center"/>
              <w:rPr>
                <w:rFonts w:hint="default" w:ascii="Times New Roman" w:hAnsi="Times New Roman" w:eastAsia="仿宋" w:cs="Times New Roman"/>
                <w:b/>
                <w:color w:val="auto"/>
                <w:kern w:val="1"/>
                <w:sz w:val="24"/>
                <w:szCs w:val="24"/>
              </w:rPr>
            </w:pPr>
          </w:p>
        </w:tc>
      </w:tr>
      <w:tr w14:paraId="1722F2A3">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0" w:type="auto"/>
            <w:vAlign w:val="center"/>
          </w:tcPr>
          <w:p w14:paraId="4D2EDC27">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N3</w:t>
            </w:r>
          </w:p>
        </w:tc>
        <w:tc>
          <w:tcPr>
            <w:tcW w:w="1271" w:type="dxa"/>
            <w:vAlign w:val="center"/>
          </w:tcPr>
          <w:p w14:paraId="74B36231">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金海小区居民点</w:t>
            </w:r>
          </w:p>
        </w:tc>
        <w:tc>
          <w:tcPr>
            <w:tcW w:w="1170" w:type="dxa"/>
            <w:vAlign w:val="center"/>
          </w:tcPr>
          <w:p w14:paraId="76DBC9FE">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西边界</w:t>
            </w:r>
          </w:p>
        </w:tc>
        <w:tc>
          <w:tcPr>
            <w:tcW w:w="1305" w:type="dxa"/>
            <w:vAlign w:val="center"/>
          </w:tcPr>
          <w:p w14:paraId="7F993F59">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2295" w:type="dxa"/>
            <w:vAlign w:val="center"/>
          </w:tcPr>
          <w:p w14:paraId="70752503">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27°35'9.45"北纬110° 2'51.88"东经</w:t>
            </w:r>
          </w:p>
        </w:tc>
        <w:tc>
          <w:tcPr>
            <w:tcW w:w="900" w:type="dxa"/>
            <w:vMerge w:val="continue"/>
            <w:vAlign w:val="center"/>
          </w:tcPr>
          <w:p w14:paraId="2C89080E">
            <w:pPr>
              <w:jc w:val="center"/>
              <w:rPr>
                <w:rFonts w:hint="default" w:ascii="Times New Roman" w:hAnsi="Times New Roman" w:eastAsia="仿宋" w:cs="Times New Roman"/>
                <w:b/>
                <w:color w:val="auto"/>
                <w:kern w:val="1"/>
                <w:sz w:val="24"/>
                <w:szCs w:val="24"/>
              </w:rPr>
            </w:pPr>
          </w:p>
        </w:tc>
        <w:tc>
          <w:tcPr>
            <w:tcW w:w="1043" w:type="dxa"/>
            <w:vMerge w:val="continue"/>
            <w:vAlign w:val="center"/>
          </w:tcPr>
          <w:p w14:paraId="0DCA5521">
            <w:pPr>
              <w:jc w:val="center"/>
              <w:rPr>
                <w:rFonts w:hint="default" w:ascii="Times New Roman" w:hAnsi="Times New Roman" w:eastAsia="仿宋" w:cs="Times New Roman"/>
                <w:b/>
                <w:color w:val="auto"/>
                <w:kern w:val="1"/>
                <w:sz w:val="24"/>
                <w:szCs w:val="24"/>
              </w:rPr>
            </w:pPr>
          </w:p>
        </w:tc>
      </w:tr>
      <w:tr w14:paraId="76910F77">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0" w:type="auto"/>
            <w:vAlign w:val="center"/>
          </w:tcPr>
          <w:p w14:paraId="0204D3F1">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N4</w:t>
            </w:r>
          </w:p>
        </w:tc>
        <w:tc>
          <w:tcPr>
            <w:tcW w:w="1271" w:type="dxa"/>
            <w:vAlign w:val="center"/>
          </w:tcPr>
          <w:p w14:paraId="601C621B">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北边界点</w:t>
            </w:r>
          </w:p>
        </w:tc>
        <w:tc>
          <w:tcPr>
            <w:tcW w:w="1170" w:type="dxa"/>
            <w:vAlign w:val="center"/>
          </w:tcPr>
          <w:p w14:paraId="13FE7AEC">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北边界</w:t>
            </w:r>
          </w:p>
        </w:tc>
        <w:tc>
          <w:tcPr>
            <w:tcW w:w="1305" w:type="dxa"/>
            <w:vAlign w:val="center"/>
          </w:tcPr>
          <w:p w14:paraId="52A65A70">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2295" w:type="dxa"/>
            <w:vAlign w:val="center"/>
          </w:tcPr>
          <w:p w14:paraId="4A582534">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27°35'25.43"北纬110° 3'36.72"东经</w:t>
            </w:r>
          </w:p>
        </w:tc>
        <w:tc>
          <w:tcPr>
            <w:tcW w:w="900" w:type="dxa"/>
            <w:vMerge w:val="continue"/>
            <w:vAlign w:val="center"/>
          </w:tcPr>
          <w:p w14:paraId="4BC7488B">
            <w:pPr>
              <w:jc w:val="center"/>
              <w:rPr>
                <w:rFonts w:hint="default" w:ascii="Times New Roman" w:hAnsi="Times New Roman" w:eastAsia="仿宋" w:cs="Times New Roman"/>
                <w:b/>
                <w:color w:val="auto"/>
                <w:kern w:val="1"/>
                <w:sz w:val="24"/>
                <w:szCs w:val="24"/>
              </w:rPr>
            </w:pPr>
          </w:p>
        </w:tc>
        <w:tc>
          <w:tcPr>
            <w:tcW w:w="1043" w:type="dxa"/>
            <w:vMerge w:val="continue"/>
            <w:vAlign w:val="center"/>
          </w:tcPr>
          <w:p w14:paraId="24E1BE48">
            <w:pPr>
              <w:jc w:val="center"/>
              <w:rPr>
                <w:rFonts w:hint="default" w:ascii="Times New Roman" w:hAnsi="Times New Roman" w:eastAsia="仿宋" w:cs="Times New Roman"/>
                <w:b/>
                <w:color w:val="auto"/>
                <w:kern w:val="1"/>
                <w:sz w:val="24"/>
                <w:szCs w:val="24"/>
              </w:rPr>
            </w:pPr>
          </w:p>
        </w:tc>
      </w:tr>
      <w:tr w14:paraId="36C5F52F">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0" w:type="auto"/>
            <w:vAlign w:val="center"/>
          </w:tcPr>
          <w:p w14:paraId="361FDB65">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N5</w:t>
            </w:r>
          </w:p>
        </w:tc>
        <w:tc>
          <w:tcPr>
            <w:tcW w:w="1271" w:type="dxa"/>
            <w:vAlign w:val="center"/>
          </w:tcPr>
          <w:p w14:paraId="2DC1B325">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坨院村居民点</w:t>
            </w:r>
          </w:p>
        </w:tc>
        <w:tc>
          <w:tcPr>
            <w:tcW w:w="1170" w:type="dxa"/>
            <w:vAlign w:val="center"/>
          </w:tcPr>
          <w:p w14:paraId="3FCBA186">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位于园区内南侧</w:t>
            </w:r>
          </w:p>
        </w:tc>
        <w:tc>
          <w:tcPr>
            <w:tcW w:w="1305" w:type="dxa"/>
            <w:vAlign w:val="center"/>
          </w:tcPr>
          <w:p w14:paraId="6C35223A">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p>
        </w:tc>
        <w:tc>
          <w:tcPr>
            <w:tcW w:w="2295" w:type="dxa"/>
            <w:vAlign w:val="center"/>
          </w:tcPr>
          <w:p w14:paraId="68708C3C">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27°34'44.56"北纬110° 3'30.43"东经</w:t>
            </w:r>
          </w:p>
        </w:tc>
        <w:tc>
          <w:tcPr>
            <w:tcW w:w="900" w:type="dxa"/>
            <w:vMerge w:val="continue"/>
            <w:vAlign w:val="center"/>
          </w:tcPr>
          <w:p w14:paraId="0AB8FA4E">
            <w:pPr>
              <w:jc w:val="center"/>
              <w:rPr>
                <w:rFonts w:hint="default" w:ascii="Times New Roman" w:hAnsi="Times New Roman" w:eastAsia="仿宋" w:cs="Times New Roman"/>
                <w:b/>
                <w:color w:val="auto"/>
                <w:kern w:val="1"/>
                <w:sz w:val="24"/>
                <w:szCs w:val="24"/>
              </w:rPr>
            </w:pPr>
          </w:p>
        </w:tc>
        <w:tc>
          <w:tcPr>
            <w:tcW w:w="1043" w:type="dxa"/>
            <w:vMerge w:val="continue"/>
            <w:vAlign w:val="center"/>
          </w:tcPr>
          <w:p w14:paraId="674ABD3D">
            <w:pPr>
              <w:jc w:val="center"/>
              <w:rPr>
                <w:rFonts w:hint="default" w:ascii="Times New Roman" w:hAnsi="Times New Roman" w:eastAsia="仿宋" w:cs="Times New Roman"/>
                <w:b/>
                <w:color w:val="auto"/>
                <w:kern w:val="1"/>
                <w:sz w:val="24"/>
                <w:szCs w:val="24"/>
              </w:rPr>
            </w:pPr>
          </w:p>
        </w:tc>
      </w:tr>
      <w:tr w14:paraId="15A5894E">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0" w:type="auto"/>
            <w:vAlign w:val="center"/>
          </w:tcPr>
          <w:p w14:paraId="4F06F7AE">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N6</w:t>
            </w:r>
          </w:p>
        </w:tc>
        <w:tc>
          <w:tcPr>
            <w:tcW w:w="1271" w:type="dxa"/>
            <w:vAlign w:val="center"/>
          </w:tcPr>
          <w:p w14:paraId="09EAFDDC">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金海村蒋家组居民点</w:t>
            </w:r>
          </w:p>
        </w:tc>
        <w:tc>
          <w:tcPr>
            <w:tcW w:w="1170" w:type="dxa"/>
            <w:vAlign w:val="center"/>
          </w:tcPr>
          <w:p w14:paraId="0804CDC0">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位于园区内西侧</w:t>
            </w:r>
          </w:p>
        </w:tc>
        <w:tc>
          <w:tcPr>
            <w:tcW w:w="1305" w:type="dxa"/>
            <w:vAlign w:val="center"/>
          </w:tcPr>
          <w:p w14:paraId="0C74BEB6">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p>
        </w:tc>
        <w:tc>
          <w:tcPr>
            <w:tcW w:w="2295" w:type="dxa"/>
            <w:vAlign w:val="center"/>
          </w:tcPr>
          <w:p w14:paraId="564C670F">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27°35'23.79"北纬110° 3'9.39"东经</w:t>
            </w:r>
          </w:p>
        </w:tc>
        <w:tc>
          <w:tcPr>
            <w:tcW w:w="900" w:type="dxa"/>
            <w:vMerge w:val="continue"/>
            <w:vAlign w:val="center"/>
          </w:tcPr>
          <w:p w14:paraId="4F407844">
            <w:pPr>
              <w:jc w:val="center"/>
              <w:rPr>
                <w:rFonts w:hint="default" w:ascii="Times New Roman" w:hAnsi="Times New Roman" w:eastAsia="仿宋" w:cs="Times New Roman"/>
                <w:b/>
                <w:color w:val="auto"/>
                <w:kern w:val="1"/>
                <w:sz w:val="24"/>
                <w:szCs w:val="24"/>
              </w:rPr>
            </w:pPr>
          </w:p>
        </w:tc>
        <w:tc>
          <w:tcPr>
            <w:tcW w:w="1043" w:type="dxa"/>
            <w:vMerge w:val="continue"/>
            <w:vAlign w:val="center"/>
          </w:tcPr>
          <w:p w14:paraId="514DA24C">
            <w:pPr>
              <w:jc w:val="center"/>
              <w:rPr>
                <w:rFonts w:hint="default" w:ascii="Times New Roman" w:hAnsi="Times New Roman" w:eastAsia="仿宋" w:cs="Times New Roman"/>
                <w:b/>
                <w:color w:val="auto"/>
                <w:kern w:val="1"/>
                <w:sz w:val="24"/>
                <w:szCs w:val="24"/>
              </w:rPr>
            </w:pPr>
          </w:p>
        </w:tc>
      </w:tr>
    </w:tbl>
    <w:p w14:paraId="529AFEC1">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2"/>
          <w:szCs w:val="22"/>
        </w:rPr>
        <w:t>表</w:t>
      </w:r>
      <w:r>
        <w:rPr>
          <w:rFonts w:hint="default" w:ascii="Times New Roman" w:hAnsi="Times New Roman" w:eastAsia="仿宋" w:cs="Times New Roman"/>
          <w:b/>
          <w:color w:val="auto"/>
          <w:sz w:val="24"/>
          <w:szCs w:val="24"/>
        </w:rPr>
        <w:t>2-5  地下水环境质量监测计划</w:t>
      </w:r>
    </w:p>
    <w:tbl>
      <w:tblPr>
        <w:tblStyle w:val="18"/>
        <w:tblW w:w="4998" w:type="pct"/>
        <w:jc w:val="center"/>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48"/>
        <w:gridCol w:w="1113"/>
        <w:gridCol w:w="1076"/>
        <w:gridCol w:w="1098"/>
        <w:gridCol w:w="2077"/>
        <w:gridCol w:w="1617"/>
        <w:gridCol w:w="890"/>
      </w:tblGrid>
      <w:tr w14:paraId="419B7F75">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3" w:hRule="atLeast"/>
          <w:jc w:val="center"/>
        </w:trPr>
        <w:tc>
          <w:tcPr>
            <w:tcW w:w="380" w:type="pct"/>
            <w:vAlign w:val="center"/>
          </w:tcPr>
          <w:p w14:paraId="39F92D89">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序号</w:t>
            </w:r>
          </w:p>
        </w:tc>
        <w:tc>
          <w:tcPr>
            <w:tcW w:w="653" w:type="pct"/>
            <w:vAlign w:val="center"/>
          </w:tcPr>
          <w:p w14:paraId="177EC4E8">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监测点名称</w:t>
            </w:r>
          </w:p>
        </w:tc>
        <w:tc>
          <w:tcPr>
            <w:tcW w:w="631" w:type="pct"/>
            <w:vAlign w:val="center"/>
          </w:tcPr>
          <w:p w14:paraId="5726634D">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相对于园区位置</w:t>
            </w:r>
          </w:p>
        </w:tc>
        <w:tc>
          <w:tcPr>
            <w:tcW w:w="644" w:type="pct"/>
            <w:vAlign w:val="center"/>
          </w:tcPr>
          <w:p w14:paraId="14994FAB">
            <w:pPr>
              <w:jc w:val="center"/>
              <w:rPr>
                <w:rFonts w:hint="default" w:ascii="Times New Roman" w:hAnsi="Times New Roman" w:eastAsia="仿宋" w:cs="Times New Roman"/>
                <w:b/>
                <w:color w:val="auto"/>
                <w:spacing w:val="-20"/>
                <w:kern w:val="21"/>
                <w:sz w:val="24"/>
                <w:szCs w:val="24"/>
              </w:rPr>
            </w:pPr>
            <w:r>
              <w:rPr>
                <w:rFonts w:hint="default" w:ascii="Times New Roman" w:hAnsi="Times New Roman" w:eastAsia="仿宋" w:cs="Times New Roman"/>
                <w:b/>
                <w:color w:val="auto"/>
                <w:spacing w:val="-20"/>
                <w:kern w:val="21"/>
                <w:sz w:val="24"/>
                <w:szCs w:val="24"/>
              </w:rPr>
              <w:t>相对于园区边界距离/m</w:t>
            </w:r>
          </w:p>
        </w:tc>
        <w:tc>
          <w:tcPr>
            <w:tcW w:w="1218" w:type="pct"/>
            <w:vAlign w:val="center"/>
          </w:tcPr>
          <w:p w14:paraId="78A02150">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监测点坐标经纬度</w:t>
            </w:r>
          </w:p>
        </w:tc>
        <w:tc>
          <w:tcPr>
            <w:tcW w:w="948" w:type="pct"/>
            <w:vAlign w:val="center"/>
          </w:tcPr>
          <w:p w14:paraId="6327D264">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监测项目</w:t>
            </w:r>
          </w:p>
        </w:tc>
        <w:tc>
          <w:tcPr>
            <w:tcW w:w="522" w:type="pct"/>
            <w:vAlign w:val="center"/>
          </w:tcPr>
          <w:p w14:paraId="54765441">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监测频次</w:t>
            </w:r>
          </w:p>
        </w:tc>
      </w:tr>
      <w:tr w14:paraId="4F15CADA">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 w:hRule="atLeast"/>
          <w:jc w:val="center"/>
        </w:trPr>
        <w:tc>
          <w:tcPr>
            <w:tcW w:w="380" w:type="pct"/>
            <w:vAlign w:val="center"/>
          </w:tcPr>
          <w:p w14:paraId="6E55C741">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Cs/>
                <w:color w:val="auto"/>
                <w:spacing w:val="6"/>
                <w:kern w:val="24"/>
                <w:sz w:val="24"/>
                <w:szCs w:val="24"/>
              </w:rPr>
              <w:t>D1</w:t>
            </w:r>
          </w:p>
        </w:tc>
        <w:tc>
          <w:tcPr>
            <w:tcW w:w="653" w:type="pct"/>
            <w:vAlign w:val="center"/>
          </w:tcPr>
          <w:p w14:paraId="7A6D247F">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Cs/>
                <w:color w:val="auto"/>
                <w:spacing w:val="6"/>
                <w:kern w:val="24"/>
                <w:sz w:val="24"/>
                <w:szCs w:val="24"/>
              </w:rPr>
              <w:t>阳塘村10组水井</w:t>
            </w:r>
          </w:p>
        </w:tc>
        <w:tc>
          <w:tcPr>
            <w:tcW w:w="631" w:type="pct"/>
            <w:vAlign w:val="center"/>
          </w:tcPr>
          <w:p w14:paraId="42EC37F0">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color w:val="auto"/>
                <w:sz w:val="24"/>
                <w:szCs w:val="24"/>
              </w:rPr>
              <w:t>位于园区内西北角</w:t>
            </w:r>
          </w:p>
        </w:tc>
        <w:tc>
          <w:tcPr>
            <w:tcW w:w="644" w:type="pct"/>
            <w:vAlign w:val="center"/>
          </w:tcPr>
          <w:p w14:paraId="4BA55EEC">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p>
        </w:tc>
        <w:tc>
          <w:tcPr>
            <w:tcW w:w="1218" w:type="pct"/>
            <w:vAlign w:val="center"/>
          </w:tcPr>
          <w:p w14:paraId="4304D1E6">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27°35'12.69"北纬110°3'22.95"东经</w:t>
            </w:r>
          </w:p>
        </w:tc>
        <w:tc>
          <w:tcPr>
            <w:tcW w:w="948" w:type="pct"/>
            <w:vMerge w:val="restart"/>
            <w:vAlign w:val="center"/>
          </w:tcPr>
          <w:p w14:paraId="3914FFE2">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（1）K</w:t>
            </w:r>
            <w:r>
              <w:rPr>
                <w:rFonts w:hint="default" w:ascii="Times New Roman" w:hAnsi="Times New Roman" w:eastAsia="仿宋" w:cs="Times New Roman"/>
                <w:color w:val="auto"/>
                <w:sz w:val="24"/>
                <w:szCs w:val="24"/>
                <w:vertAlign w:val="superscript"/>
              </w:rPr>
              <w:t>+</w:t>
            </w:r>
            <w:r>
              <w:rPr>
                <w:rFonts w:hint="default" w:ascii="Times New Roman" w:hAnsi="Times New Roman" w:eastAsia="仿宋" w:cs="Times New Roman"/>
                <w:color w:val="auto"/>
                <w:sz w:val="24"/>
                <w:szCs w:val="24"/>
              </w:rPr>
              <w:t>、Na</w:t>
            </w:r>
            <w:r>
              <w:rPr>
                <w:rFonts w:hint="default" w:ascii="Times New Roman" w:hAnsi="Times New Roman" w:eastAsia="仿宋" w:cs="Times New Roman"/>
                <w:color w:val="auto"/>
                <w:sz w:val="24"/>
                <w:szCs w:val="24"/>
                <w:vertAlign w:val="superscript"/>
              </w:rPr>
              <w:t>+</w:t>
            </w:r>
            <w:r>
              <w:rPr>
                <w:rFonts w:hint="default" w:ascii="Times New Roman" w:hAnsi="Times New Roman" w:eastAsia="仿宋" w:cs="Times New Roman"/>
                <w:color w:val="auto"/>
                <w:sz w:val="24"/>
                <w:szCs w:val="24"/>
              </w:rPr>
              <w:t>、Ca</w:t>
            </w:r>
            <w:r>
              <w:rPr>
                <w:rFonts w:hint="default" w:ascii="Times New Roman" w:hAnsi="Times New Roman" w:eastAsia="仿宋" w:cs="Times New Roman"/>
                <w:color w:val="auto"/>
                <w:sz w:val="24"/>
                <w:szCs w:val="24"/>
                <w:vertAlign w:val="superscript"/>
              </w:rPr>
              <w:t>2+</w:t>
            </w:r>
            <w:r>
              <w:rPr>
                <w:rFonts w:hint="default" w:ascii="Times New Roman" w:hAnsi="Times New Roman" w:eastAsia="仿宋" w:cs="Times New Roman"/>
                <w:color w:val="auto"/>
                <w:sz w:val="24"/>
                <w:szCs w:val="24"/>
              </w:rPr>
              <w:t>、Mg</w:t>
            </w:r>
            <w:r>
              <w:rPr>
                <w:rFonts w:hint="default" w:ascii="Times New Roman" w:hAnsi="Times New Roman" w:eastAsia="仿宋" w:cs="Times New Roman"/>
                <w:color w:val="auto"/>
                <w:sz w:val="24"/>
                <w:szCs w:val="24"/>
                <w:vertAlign w:val="superscript"/>
              </w:rPr>
              <w:t>2+</w:t>
            </w:r>
            <w:r>
              <w:rPr>
                <w:rFonts w:hint="default" w:ascii="Times New Roman" w:hAnsi="Times New Roman" w:eastAsia="仿宋" w:cs="Times New Roman"/>
                <w:color w:val="auto"/>
                <w:sz w:val="24"/>
                <w:szCs w:val="24"/>
              </w:rPr>
              <w:t>、CO</w:t>
            </w:r>
            <w:r>
              <w:rPr>
                <w:rFonts w:hint="default" w:ascii="Times New Roman" w:hAnsi="Times New Roman" w:eastAsia="仿宋" w:cs="Times New Roman"/>
                <w:color w:val="auto"/>
                <w:sz w:val="24"/>
                <w:szCs w:val="24"/>
                <w:vertAlign w:val="subscript"/>
              </w:rPr>
              <w:t>3</w:t>
            </w:r>
            <w:r>
              <w:rPr>
                <w:rFonts w:hint="default" w:ascii="Times New Roman" w:hAnsi="Times New Roman" w:eastAsia="仿宋" w:cs="Times New Roman"/>
                <w:color w:val="auto"/>
                <w:sz w:val="24"/>
                <w:szCs w:val="24"/>
                <w:vertAlign w:val="superscript"/>
              </w:rPr>
              <w:t>2-</w:t>
            </w:r>
            <w:r>
              <w:rPr>
                <w:rFonts w:hint="default" w:ascii="Times New Roman" w:hAnsi="Times New Roman" w:eastAsia="仿宋" w:cs="Times New Roman"/>
                <w:color w:val="auto"/>
                <w:sz w:val="24"/>
                <w:szCs w:val="24"/>
              </w:rPr>
              <w:t>、HCO</w:t>
            </w:r>
            <w:r>
              <w:rPr>
                <w:rFonts w:hint="default" w:ascii="Times New Roman" w:hAnsi="Times New Roman" w:eastAsia="仿宋" w:cs="Times New Roman"/>
                <w:color w:val="auto"/>
                <w:sz w:val="24"/>
                <w:szCs w:val="24"/>
                <w:vertAlign w:val="subscript"/>
              </w:rPr>
              <w:t>3</w:t>
            </w:r>
            <w:r>
              <w:rPr>
                <w:rFonts w:hint="default" w:ascii="Times New Roman" w:hAnsi="Times New Roman" w:eastAsia="仿宋" w:cs="Times New Roman"/>
                <w:color w:val="auto"/>
                <w:sz w:val="24"/>
                <w:szCs w:val="24"/>
                <w:vertAlign w:val="superscript"/>
              </w:rPr>
              <w:t>2-</w:t>
            </w:r>
            <w:r>
              <w:rPr>
                <w:rFonts w:hint="default" w:ascii="Times New Roman" w:hAnsi="Times New Roman" w:eastAsia="仿宋" w:cs="Times New Roman"/>
                <w:color w:val="auto"/>
                <w:sz w:val="24"/>
                <w:szCs w:val="24"/>
              </w:rPr>
              <w:t>、Cl</w:t>
            </w:r>
            <w:r>
              <w:rPr>
                <w:rFonts w:hint="default" w:ascii="Times New Roman" w:hAnsi="Times New Roman" w:eastAsia="仿宋" w:cs="Times New Roman"/>
                <w:color w:val="auto"/>
                <w:sz w:val="24"/>
                <w:szCs w:val="24"/>
                <w:vertAlign w:val="superscript"/>
              </w:rPr>
              <w:t>-</w:t>
            </w:r>
            <w:r>
              <w:rPr>
                <w:rFonts w:hint="default" w:ascii="Times New Roman" w:hAnsi="Times New Roman" w:eastAsia="仿宋" w:cs="Times New Roman"/>
                <w:color w:val="auto"/>
                <w:sz w:val="24"/>
                <w:szCs w:val="24"/>
              </w:rPr>
              <w:t>、SO</w:t>
            </w:r>
            <w:r>
              <w:rPr>
                <w:rFonts w:hint="default" w:ascii="Times New Roman" w:hAnsi="Times New Roman" w:eastAsia="仿宋" w:cs="Times New Roman"/>
                <w:color w:val="auto"/>
                <w:sz w:val="24"/>
                <w:szCs w:val="24"/>
                <w:vertAlign w:val="subscript"/>
              </w:rPr>
              <w:t>4</w:t>
            </w:r>
            <w:r>
              <w:rPr>
                <w:rFonts w:hint="default" w:ascii="Times New Roman" w:hAnsi="Times New Roman" w:eastAsia="仿宋" w:cs="Times New Roman"/>
                <w:color w:val="auto"/>
                <w:sz w:val="24"/>
                <w:szCs w:val="24"/>
                <w:vertAlign w:val="superscript"/>
              </w:rPr>
              <w:t>2-</w:t>
            </w:r>
          </w:p>
          <w:p w14:paraId="677767DE">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（2）pH、总硬度、COD</w:t>
            </w:r>
            <w:r>
              <w:rPr>
                <w:rFonts w:hint="default" w:ascii="Times New Roman" w:hAnsi="Times New Roman" w:eastAsia="仿宋" w:cs="Times New Roman"/>
                <w:color w:val="auto"/>
                <w:sz w:val="24"/>
                <w:szCs w:val="24"/>
                <w:vertAlign w:val="subscript"/>
              </w:rPr>
              <w:t>Mn</w:t>
            </w:r>
            <w:r>
              <w:rPr>
                <w:rFonts w:hint="default" w:ascii="Times New Roman" w:hAnsi="Times New Roman" w:eastAsia="仿宋" w:cs="Times New Roman"/>
                <w:color w:val="auto"/>
                <w:sz w:val="24"/>
                <w:szCs w:val="24"/>
              </w:rPr>
              <w:t>、总硬度、镉、锌、氨氮、硝酸盐、铅、六价铬、菌落总数</w:t>
            </w:r>
          </w:p>
          <w:p w14:paraId="2AA48954">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（3）水位</w:t>
            </w:r>
          </w:p>
        </w:tc>
        <w:tc>
          <w:tcPr>
            <w:tcW w:w="522" w:type="pct"/>
            <w:vMerge w:val="restart"/>
            <w:vAlign w:val="center"/>
          </w:tcPr>
          <w:p w14:paraId="5A4FF09C">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每半年1次，每次</w:t>
            </w:r>
          </w:p>
          <w:p w14:paraId="435DA99E">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监测1天</w:t>
            </w:r>
          </w:p>
        </w:tc>
      </w:tr>
      <w:tr w14:paraId="44CE05D2">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380" w:type="pct"/>
            <w:vAlign w:val="center"/>
          </w:tcPr>
          <w:p w14:paraId="26659377">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Cs/>
                <w:color w:val="auto"/>
                <w:spacing w:val="6"/>
                <w:kern w:val="24"/>
                <w:sz w:val="24"/>
                <w:szCs w:val="24"/>
              </w:rPr>
              <w:t>D2</w:t>
            </w:r>
          </w:p>
        </w:tc>
        <w:tc>
          <w:tcPr>
            <w:tcW w:w="653" w:type="pct"/>
            <w:vAlign w:val="center"/>
          </w:tcPr>
          <w:p w14:paraId="33DF1553">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Cs/>
                <w:color w:val="auto"/>
                <w:spacing w:val="6"/>
                <w:kern w:val="24"/>
                <w:sz w:val="24"/>
                <w:szCs w:val="24"/>
              </w:rPr>
              <w:t>坨院村水井</w:t>
            </w:r>
          </w:p>
        </w:tc>
        <w:tc>
          <w:tcPr>
            <w:tcW w:w="631" w:type="pct"/>
            <w:vAlign w:val="center"/>
          </w:tcPr>
          <w:p w14:paraId="4F5AB0F6">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南</w:t>
            </w:r>
          </w:p>
        </w:tc>
        <w:tc>
          <w:tcPr>
            <w:tcW w:w="644" w:type="pct"/>
            <w:vAlign w:val="center"/>
          </w:tcPr>
          <w:p w14:paraId="47AB8327">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50</w:t>
            </w:r>
          </w:p>
        </w:tc>
        <w:tc>
          <w:tcPr>
            <w:tcW w:w="1218" w:type="pct"/>
            <w:vAlign w:val="center"/>
          </w:tcPr>
          <w:p w14:paraId="39278E22">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27°34'42.45"北纬110° 3'34.42"东经</w:t>
            </w:r>
          </w:p>
        </w:tc>
        <w:tc>
          <w:tcPr>
            <w:tcW w:w="948" w:type="pct"/>
            <w:vMerge w:val="continue"/>
            <w:vAlign w:val="center"/>
          </w:tcPr>
          <w:p w14:paraId="1834DA56">
            <w:pPr>
              <w:jc w:val="center"/>
              <w:rPr>
                <w:rFonts w:hint="default" w:ascii="Times New Roman" w:hAnsi="Times New Roman" w:eastAsia="仿宋" w:cs="Times New Roman"/>
                <w:color w:val="auto"/>
                <w:sz w:val="24"/>
                <w:szCs w:val="24"/>
              </w:rPr>
            </w:pPr>
          </w:p>
        </w:tc>
        <w:tc>
          <w:tcPr>
            <w:tcW w:w="522" w:type="pct"/>
            <w:vMerge w:val="continue"/>
            <w:vAlign w:val="center"/>
          </w:tcPr>
          <w:p w14:paraId="0641705C">
            <w:pPr>
              <w:jc w:val="center"/>
              <w:rPr>
                <w:rFonts w:hint="default" w:ascii="Times New Roman" w:hAnsi="Times New Roman" w:eastAsia="仿宋" w:cs="Times New Roman"/>
                <w:b/>
                <w:color w:val="auto"/>
                <w:kern w:val="1"/>
                <w:sz w:val="24"/>
                <w:szCs w:val="24"/>
              </w:rPr>
            </w:pPr>
          </w:p>
        </w:tc>
      </w:tr>
      <w:tr w14:paraId="62E8F3C3">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380" w:type="pct"/>
            <w:vAlign w:val="center"/>
          </w:tcPr>
          <w:p w14:paraId="5C7660B5">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Cs/>
                <w:color w:val="auto"/>
                <w:spacing w:val="6"/>
                <w:kern w:val="24"/>
                <w:sz w:val="24"/>
                <w:szCs w:val="24"/>
              </w:rPr>
              <w:t>D3</w:t>
            </w:r>
          </w:p>
        </w:tc>
        <w:tc>
          <w:tcPr>
            <w:tcW w:w="653" w:type="pct"/>
            <w:vAlign w:val="center"/>
          </w:tcPr>
          <w:p w14:paraId="21556F04">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Cs/>
                <w:color w:val="auto"/>
                <w:spacing w:val="6"/>
                <w:kern w:val="24"/>
                <w:sz w:val="24"/>
                <w:szCs w:val="24"/>
              </w:rPr>
              <w:t>岩添村水井</w:t>
            </w:r>
          </w:p>
        </w:tc>
        <w:tc>
          <w:tcPr>
            <w:tcW w:w="631" w:type="pct"/>
            <w:vAlign w:val="center"/>
          </w:tcPr>
          <w:p w14:paraId="67CEE60D">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南</w:t>
            </w:r>
          </w:p>
        </w:tc>
        <w:tc>
          <w:tcPr>
            <w:tcW w:w="644" w:type="pct"/>
            <w:vAlign w:val="center"/>
          </w:tcPr>
          <w:p w14:paraId="5BE687F0">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700</w:t>
            </w:r>
          </w:p>
        </w:tc>
        <w:tc>
          <w:tcPr>
            <w:tcW w:w="1218" w:type="pct"/>
            <w:vAlign w:val="center"/>
          </w:tcPr>
          <w:p w14:paraId="43AF1BA0">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27°34'29.57"北纬110° 4'3.50"东经</w:t>
            </w:r>
          </w:p>
        </w:tc>
        <w:tc>
          <w:tcPr>
            <w:tcW w:w="948" w:type="pct"/>
            <w:vMerge w:val="continue"/>
            <w:vAlign w:val="center"/>
          </w:tcPr>
          <w:p w14:paraId="2ED74CBE">
            <w:pPr>
              <w:jc w:val="center"/>
              <w:rPr>
                <w:rFonts w:hint="default" w:ascii="Times New Roman" w:hAnsi="Times New Roman" w:eastAsia="仿宋" w:cs="Times New Roman"/>
                <w:b/>
                <w:color w:val="auto"/>
                <w:kern w:val="1"/>
                <w:sz w:val="24"/>
                <w:szCs w:val="24"/>
              </w:rPr>
            </w:pPr>
          </w:p>
        </w:tc>
        <w:tc>
          <w:tcPr>
            <w:tcW w:w="522" w:type="pct"/>
            <w:vMerge w:val="continue"/>
            <w:vAlign w:val="center"/>
          </w:tcPr>
          <w:p w14:paraId="0E4E715B">
            <w:pPr>
              <w:jc w:val="center"/>
              <w:rPr>
                <w:rFonts w:hint="default" w:ascii="Times New Roman" w:hAnsi="Times New Roman" w:eastAsia="仿宋" w:cs="Times New Roman"/>
                <w:b/>
                <w:color w:val="auto"/>
                <w:kern w:val="1"/>
                <w:sz w:val="24"/>
                <w:szCs w:val="24"/>
              </w:rPr>
            </w:pPr>
          </w:p>
        </w:tc>
      </w:tr>
      <w:tr w14:paraId="3539A561">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380" w:type="pct"/>
            <w:vAlign w:val="center"/>
          </w:tcPr>
          <w:p w14:paraId="370BD51E">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Cs/>
                <w:color w:val="auto"/>
                <w:spacing w:val="6"/>
                <w:kern w:val="24"/>
                <w:sz w:val="24"/>
                <w:szCs w:val="24"/>
              </w:rPr>
              <w:t>D4</w:t>
            </w:r>
          </w:p>
        </w:tc>
        <w:tc>
          <w:tcPr>
            <w:tcW w:w="653" w:type="pct"/>
            <w:vAlign w:val="center"/>
          </w:tcPr>
          <w:p w14:paraId="093709F9">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Cs/>
                <w:color w:val="auto"/>
                <w:spacing w:val="6"/>
                <w:kern w:val="24"/>
                <w:sz w:val="24"/>
                <w:szCs w:val="24"/>
              </w:rPr>
              <w:t>阳塘村</w:t>
            </w:r>
            <w:r>
              <w:rPr>
                <w:rFonts w:hint="default" w:ascii="Times New Roman" w:hAnsi="Times New Roman" w:eastAsia="仿宋" w:cs="Times New Roman"/>
                <w:color w:val="auto"/>
                <w:sz w:val="24"/>
                <w:szCs w:val="24"/>
              </w:rPr>
              <w:t>3组</w:t>
            </w:r>
            <w:r>
              <w:rPr>
                <w:rFonts w:hint="default" w:ascii="Times New Roman" w:hAnsi="Times New Roman" w:eastAsia="仿宋" w:cs="Times New Roman"/>
                <w:bCs/>
                <w:color w:val="auto"/>
                <w:spacing w:val="6"/>
                <w:kern w:val="24"/>
                <w:sz w:val="24"/>
                <w:szCs w:val="24"/>
              </w:rPr>
              <w:t>水井</w:t>
            </w:r>
          </w:p>
        </w:tc>
        <w:tc>
          <w:tcPr>
            <w:tcW w:w="631" w:type="pct"/>
            <w:vAlign w:val="center"/>
          </w:tcPr>
          <w:p w14:paraId="1A3C1470">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东北</w:t>
            </w:r>
          </w:p>
        </w:tc>
        <w:tc>
          <w:tcPr>
            <w:tcW w:w="644" w:type="pct"/>
            <w:vAlign w:val="center"/>
          </w:tcPr>
          <w:p w14:paraId="51A9340E">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800</w:t>
            </w:r>
          </w:p>
        </w:tc>
        <w:tc>
          <w:tcPr>
            <w:tcW w:w="1218" w:type="pct"/>
            <w:vAlign w:val="center"/>
          </w:tcPr>
          <w:p w14:paraId="7D9C4C2E">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27°35'27.94"北纬110° 4'30.98"东经</w:t>
            </w:r>
          </w:p>
        </w:tc>
        <w:tc>
          <w:tcPr>
            <w:tcW w:w="948" w:type="pct"/>
            <w:vMerge w:val="continue"/>
            <w:vAlign w:val="center"/>
          </w:tcPr>
          <w:p w14:paraId="7BA92656">
            <w:pPr>
              <w:jc w:val="center"/>
              <w:rPr>
                <w:rFonts w:hint="default" w:ascii="Times New Roman" w:hAnsi="Times New Roman" w:eastAsia="仿宋" w:cs="Times New Roman"/>
                <w:b/>
                <w:color w:val="auto"/>
                <w:kern w:val="1"/>
                <w:sz w:val="24"/>
                <w:szCs w:val="24"/>
              </w:rPr>
            </w:pPr>
          </w:p>
        </w:tc>
        <w:tc>
          <w:tcPr>
            <w:tcW w:w="522" w:type="pct"/>
            <w:vMerge w:val="continue"/>
            <w:vAlign w:val="center"/>
          </w:tcPr>
          <w:p w14:paraId="5981DB07">
            <w:pPr>
              <w:jc w:val="center"/>
              <w:rPr>
                <w:rFonts w:hint="default" w:ascii="Times New Roman" w:hAnsi="Times New Roman" w:eastAsia="仿宋" w:cs="Times New Roman"/>
                <w:b/>
                <w:color w:val="auto"/>
                <w:kern w:val="1"/>
                <w:sz w:val="24"/>
                <w:szCs w:val="24"/>
              </w:rPr>
            </w:pPr>
          </w:p>
        </w:tc>
      </w:tr>
      <w:tr w14:paraId="76216DAE">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380" w:type="pct"/>
            <w:vAlign w:val="center"/>
          </w:tcPr>
          <w:p w14:paraId="6078AE88">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Cs/>
                <w:color w:val="auto"/>
                <w:spacing w:val="6"/>
                <w:kern w:val="24"/>
                <w:sz w:val="24"/>
                <w:szCs w:val="24"/>
              </w:rPr>
              <w:t>D5</w:t>
            </w:r>
          </w:p>
        </w:tc>
        <w:tc>
          <w:tcPr>
            <w:tcW w:w="653" w:type="pct"/>
            <w:vAlign w:val="center"/>
          </w:tcPr>
          <w:p w14:paraId="11C65CCE">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color w:val="auto"/>
                <w:sz w:val="24"/>
                <w:szCs w:val="24"/>
              </w:rPr>
              <w:t>大桥村</w:t>
            </w:r>
            <w:r>
              <w:rPr>
                <w:rFonts w:hint="default" w:ascii="Times New Roman" w:hAnsi="Times New Roman" w:eastAsia="仿宋" w:cs="Times New Roman"/>
                <w:bCs/>
                <w:color w:val="auto"/>
                <w:spacing w:val="6"/>
                <w:kern w:val="24"/>
                <w:sz w:val="24"/>
                <w:szCs w:val="24"/>
              </w:rPr>
              <w:t>水井</w:t>
            </w:r>
          </w:p>
        </w:tc>
        <w:tc>
          <w:tcPr>
            <w:tcW w:w="631" w:type="pct"/>
            <w:vAlign w:val="center"/>
          </w:tcPr>
          <w:p w14:paraId="4E73B26A">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东</w:t>
            </w:r>
          </w:p>
        </w:tc>
        <w:tc>
          <w:tcPr>
            <w:tcW w:w="644" w:type="pct"/>
            <w:vAlign w:val="center"/>
          </w:tcPr>
          <w:p w14:paraId="781458C9">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150</w:t>
            </w:r>
          </w:p>
        </w:tc>
        <w:tc>
          <w:tcPr>
            <w:tcW w:w="1218" w:type="pct"/>
            <w:vAlign w:val="center"/>
          </w:tcPr>
          <w:p w14:paraId="7A59A311">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27°35'7.06"北纬110° 4'10.77"东经</w:t>
            </w:r>
          </w:p>
        </w:tc>
        <w:tc>
          <w:tcPr>
            <w:tcW w:w="948" w:type="pct"/>
            <w:vMerge w:val="continue"/>
            <w:vAlign w:val="center"/>
          </w:tcPr>
          <w:p w14:paraId="0B51FE99">
            <w:pPr>
              <w:jc w:val="center"/>
              <w:rPr>
                <w:rFonts w:hint="default" w:ascii="Times New Roman" w:hAnsi="Times New Roman" w:eastAsia="仿宋" w:cs="Times New Roman"/>
                <w:b/>
                <w:color w:val="auto"/>
                <w:kern w:val="1"/>
                <w:sz w:val="24"/>
                <w:szCs w:val="24"/>
              </w:rPr>
            </w:pPr>
          </w:p>
        </w:tc>
        <w:tc>
          <w:tcPr>
            <w:tcW w:w="522" w:type="pct"/>
            <w:vMerge w:val="continue"/>
            <w:vAlign w:val="center"/>
          </w:tcPr>
          <w:p w14:paraId="7B741F15">
            <w:pPr>
              <w:jc w:val="center"/>
              <w:rPr>
                <w:rFonts w:hint="default" w:ascii="Times New Roman" w:hAnsi="Times New Roman" w:eastAsia="仿宋" w:cs="Times New Roman"/>
                <w:b/>
                <w:color w:val="auto"/>
                <w:kern w:val="1"/>
                <w:sz w:val="24"/>
                <w:szCs w:val="24"/>
              </w:rPr>
            </w:pPr>
          </w:p>
        </w:tc>
      </w:tr>
    </w:tbl>
    <w:p w14:paraId="73C3780C">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 xml:space="preserve">表2-6  </w:t>
      </w:r>
      <w:r>
        <w:rPr>
          <w:rFonts w:hint="default" w:ascii="Times New Roman" w:hAnsi="Times New Roman" w:eastAsia="仿宋" w:cs="Times New Roman"/>
          <w:b/>
          <w:color w:val="auto"/>
          <w:sz w:val="24"/>
          <w:szCs w:val="24"/>
          <w:lang w:val="en-US" w:eastAsia="zh-CN"/>
        </w:rPr>
        <w:t xml:space="preserve"> </w:t>
      </w:r>
      <w:r>
        <w:rPr>
          <w:rFonts w:hint="default" w:ascii="Times New Roman" w:hAnsi="Times New Roman" w:eastAsia="仿宋" w:cs="Times New Roman"/>
          <w:b/>
          <w:color w:val="auto"/>
          <w:sz w:val="24"/>
          <w:szCs w:val="24"/>
        </w:rPr>
        <w:t>土壤环境质量监测计划</w:t>
      </w:r>
    </w:p>
    <w:tbl>
      <w:tblPr>
        <w:tblStyle w:val="18"/>
        <w:tblW w:w="5000" w:type="pct"/>
        <w:jc w:val="center"/>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9"/>
        <w:gridCol w:w="990"/>
        <w:gridCol w:w="735"/>
        <w:gridCol w:w="1095"/>
        <w:gridCol w:w="1170"/>
        <w:gridCol w:w="1189"/>
        <w:gridCol w:w="1826"/>
        <w:gridCol w:w="878"/>
      </w:tblGrid>
      <w:tr w14:paraId="4EA7ACF2">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8" w:hRule="atLeast"/>
          <w:jc w:val="center"/>
        </w:trPr>
        <w:tc>
          <w:tcPr>
            <w:tcW w:w="374" w:type="pct"/>
            <w:vAlign w:val="center"/>
          </w:tcPr>
          <w:p w14:paraId="0302BD49">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序号</w:t>
            </w:r>
          </w:p>
        </w:tc>
        <w:tc>
          <w:tcPr>
            <w:tcW w:w="580" w:type="pct"/>
            <w:vAlign w:val="center"/>
          </w:tcPr>
          <w:p w14:paraId="40ABD79D">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监测点名称</w:t>
            </w:r>
          </w:p>
        </w:tc>
        <w:tc>
          <w:tcPr>
            <w:tcW w:w="431" w:type="pct"/>
            <w:vAlign w:val="center"/>
          </w:tcPr>
          <w:p w14:paraId="516FAF16">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相对于园区位置</w:t>
            </w:r>
          </w:p>
        </w:tc>
        <w:tc>
          <w:tcPr>
            <w:tcW w:w="642" w:type="pct"/>
            <w:vAlign w:val="center"/>
          </w:tcPr>
          <w:p w14:paraId="448FC5E4">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相对于园区边界距离/m</w:t>
            </w:r>
          </w:p>
        </w:tc>
        <w:tc>
          <w:tcPr>
            <w:tcW w:w="686" w:type="pct"/>
            <w:vAlign w:val="center"/>
          </w:tcPr>
          <w:p w14:paraId="6C868CF2">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监测点坐标经纬度</w:t>
            </w:r>
          </w:p>
        </w:tc>
        <w:tc>
          <w:tcPr>
            <w:tcW w:w="697" w:type="pct"/>
            <w:vAlign w:val="center"/>
          </w:tcPr>
          <w:p w14:paraId="64749821">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监测项目</w:t>
            </w:r>
          </w:p>
        </w:tc>
        <w:tc>
          <w:tcPr>
            <w:tcW w:w="1071" w:type="pct"/>
            <w:vAlign w:val="center"/>
          </w:tcPr>
          <w:p w14:paraId="5B2C700B">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监测频次</w:t>
            </w:r>
          </w:p>
        </w:tc>
        <w:tc>
          <w:tcPr>
            <w:tcW w:w="515" w:type="pct"/>
            <w:vAlign w:val="center"/>
          </w:tcPr>
          <w:p w14:paraId="489B73A4">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取样</w:t>
            </w:r>
          </w:p>
          <w:p w14:paraId="3D4F3AE6">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深度</w:t>
            </w:r>
          </w:p>
        </w:tc>
      </w:tr>
      <w:tr w14:paraId="133EDA55">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7" w:hRule="atLeast"/>
          <w:jc w:val="center"/>
        </w:trPr>
        <w:tc>
          <w:tcPr>
            <w:tcW w:w="374" w:type="pct"/>
            <w:vAlign w:val="center"/>
          </w:tcPr>
          <w:p w14:paraId="45759242">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S1</w:t>
            </w:r>
          </w:p>
        </w:tc>
        <w:tc>
          <w:tcPr>
            <w:tcW w:w="580" w:type="pct"/>
            <w:vAlign w:val="center"/>
          </w:tcPr>
          <w:p w14:paraId="23ADDBE7">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阳塘村10组自然山土（旱地）</w:t>
            </w:r>
          </w:p>
        </w:tc>
        <w:tc>
          <w:tcPr>
            <w:tcW w:w="431" w:type="pct"/>
            <w:vAlign w:val="center"/>
          </w:tcPr>
          <w:p w14:paraId="471C0FF3">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bCs/>
                <w:color w:val="auto"/>
                <w:kern w:val="24"/>
                <w:sz w:val="24"/>
                <w:szCs w:val="24"/>
              </w:rPr>
              <w:t>位于园区内西北角</w:t>
            </w:r>
          </w:p>
        </w:tc>
        <w:tc>
          <w:tcPr>
            <w:tcW w:w="642" w:type="pct"/>
            <w:vAlign w:val="center"/>
          </w:tcPr>
          <w:p w14:paraId="4544DF88">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bCs/>
                <w:color w:val="auto"/>
                <w:kern w:val="24"/>
                <w:sz w:val="24"/>
                <w:szCs w:val="24"/>
              </w:rPr>
              <w:t>/</w:t>
            </w:r>
          </w:p>
        </w:tc>
        <w:tc>
          <w:tcPr>
            <w:tcW w:w="686" w:type="pct"/>
            <w:vAlign w:val="center"/>
          </w:tcPr>
          <w:p w14:paraId="0023D54C">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bCs/>
                <w:color w:val="auto"/>
                <w:kern w:val="24"/>
                <w:sz w:val="24"/>
                <w:szCs w:val="24"/>
              </w:rPr>
              <w:t>27°35'10.59"北110° 3'33.91"东</w:t>
            </w:r>
          </w:p>
        </w:tc>
        <w:tc>
          <w:tcPr>
            <w:tcW w:w="697" w:type="pct"/>
            <w:vAlign w:val="center"/>
          </w:tcPr>
          <w:p w14:paraId="207256BC">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bCs/>
                <w:color w:val="auto"/>
                <w:kern w:val="24"/>
                <w:sz w:val="24"/>
                <w:szCs w:val="24"/>
              </w:rPr>
              <w:t>GB36600</w:t>
            </w:r>
          </w:p>
          <w:p w14:paraId="3F097736">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bCs/>
                <w:color w:val="auto"/>
                <w:kern w:val="24"/>
                <w:sz w:val="24"/>
                <w:szCs w:val="24"/>
              </w:rPr>
              <w:t>中的45项基本项目</w:t>
            </w:r>
          </w:p>
        </w:tc>
        <w:tc>
          <w:tcPr>
            <w:tcW w:w="1071" w:type="pct"/>
            <w:vAlign w:val="center"/>
          </w:tcPr>
          <w:p w14:paraId="50D37D65">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color w:val="auto"/>
                <w:sz w:val="24"/>
                <w:szCs w:val="24"/>
              </w:rPr>
              <w:t>每年1次，</w:t>
            </w:r>
            <w:r>
              <w:rPr>
                <w:rFonts w:hint="default" w:ascii="Times New Roman" w:hAnsi="Times New Roman" w:eastAsia="仿宋" w:cs="Times New Roman"/>
                <w:bCs/>
                <w:color w:val="auto"/>
                <w:kern w:val="24"/>
                <w:sz w:val="24"/>
                <w:szCs w:val="24"/>
              </w:rPr>
              <w:t>每个监测点取2个样。取样应符合《土壤环境监测技术规范》（HJ/T166-2004）</w:t>
            </w:r>
            <w:r>
              <w:rPr>
                <w:rFonts w:hint="default" w:ascii="Times New Roman" w:hAnsi="Times New Roman" w:eastAsia="仿宋" w:cs="Times New Roman"/>
                <w:bCs/>
                <w:color w:val="auto"/>
                <w:kern w:val="24"/>
                <w:sz w:val="24"/>
                <w:szCs w:val="24"/>
                <w:lang w:eastAsia="zh-CN"/>
              </w:rPr>
              <w:t>，</w:t>
            </w:r>
            <w:r>
              <w:rPr>
                <w:rFonts w:hint="default" w:ascii="Times New Roman" w:hAnsi="Times New Roman" w:eastAsia="仿宋" w:cs="Times New Roman"/>
                <w:bCs/>
                <w:color w:val="auto"/>
                <w:kern w:val="24"/>
                <w:sz w:val="24"/>
                <w:szCs w:val="24"/>
              </w:rPr>
              <w:t>采剖面样。</w:t>
            </w:r>
          </w:p>
        </w:tc>
        <w:tc>
          <w:tcPr>
            <w:tcW w:w="515" w:type="pct"/>
            <w:vAlign w:val="center"/>
          </w:tcPr>
          <w:p w14:paraId="0250B338">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bCs/>
                <w:color w:val="auto"/>
                <w:kern w:val="24"/>
                <w:sz w:val="24"/>
                <w:szCs w:val="24"/>
              </w:rPr>
              <w:t>0-0.5m；</w:t>
            </w:r>
          </w:p>
          <w:p w14:paraId="1D1E2684">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Cs/>
                <w:color w:val="auto"/>
                <w:kern w:val="24"/>
                <w:sz w:val="24"/>
                <w:szCs w:val="24"/>
              </w:rPr>
              <w:t>0.5-1.5m；</w:t>
            </w:r>
          </w:p>
        </w:tc>
      </w:tr>
      <w:tr w14:paraId="6EA5937C">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8" w:hRule="atLeast"/>
          <w:jc w:val="center"/>
        </w:trPr>
        <w:tc>
          <w:tcPr>
            <w:tcW w:w="374" w:type="pct"/>
            <w:vAlign w:val="center"/>
          </w:tcPr>
          <w:p w14:paraId="3035525D">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S2</w:t>
            </w:r>
          </w:p>
        </w:tc>
        <w:tc>
          <w:tcPr>
            <w:tcW w:w="580" w:type="pct"/>
            <w:vAlign w:val="center"/>
          </w:tcPr>
          <w:p w14:paraId="467DC56C">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岩添村农田（水田）</w:t>
            </w:r>
          </w:p>
        </w:tc>
        <w:tc>
          <w:tcPr>
            <w:tcW w:w="431" w:type="pct"/>
            <w:vAlign w:val="center"/>
          </w:tcPr>
          <w:p w14:paraId="4E1B34C2">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南</w:t>
            </w:r>
          </w:p>
        </w:tc>
        <w:tc>
          <w:tcPr>
            <w:tcW w:w="642" w:type="pct"/>
            <w:vAlign w:val="center"/>
          </w:tcPr>
          <w:p w14:paraId="00637F8D">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700</w:t>
            </w:r>
          </w:p>
        </w:tc>
        <w:tc>
          <w:tcPr>
            <w:tcW w:w="686" w:type="pct"/>
            <w:vAlign w:val="center"/>
          </w:tcPr>
          <w:p w14:paraId="0C525087">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bCs/>
                <w:color w:val="auto"/>
                <w:kern w:val="24"/>
                <w:sz w:val="24"/>
                <w:szCs w:val="24"/>
              </w:rPr>
              <w:t>27°34'35.24"北110° 4'3.99"东</w:t>
            </w:r>
          </w:p>
        </w:tc>
        <w:tc>
          <w:tcPr>
            <w:tcW w:w="697" w:type="pct"/>
            <w:vAlign w:val="center"/>
          </w:tcPr>
          <w:p w14:paraId="661B0082">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bCs/>
                <w:color w:val="auto"/>
                <w:kern w:val="24"/>
                <w:sz w:val="24"/>
                <w:szCs w:val="24"/>
              </w:rPr>
              <w:t>PH值及GB15618</w:t>
            </w:r>
          </w:p>
          <w:p w14:paraId="795D3438">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bCs/>
                <w:color w:val="auto"/>
                <w:kern w:val="24"/>
                <w:sz w:val="24"/>
                <w:szCs w:val="24"/>
              </w:rPr>
              <w:t>中的8项基本项目</w:t>
            </w:r>
          </w:p>
        </w:tc>
        <w:tc>
          <w:tcPr>
            <w:tcW w:w="1071" w:type="pct"/>
            <w:vMerge w:val="restart"/>
            <w:vAlign w:val="center"/>
          </w:tcPr>
          <w:p w14:paraId="60F30937">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color w:val="auto"/>
                <w:sz w:val="24"/>
                <w:szCs w:val="24"/>
              </w:rPr>
              <w:t>每年1次，</w:t>
            </w:r>
            <w:r>
              <w:rPr>
                <w:rFonts w:hint="default" w:ascii="Times New Roman" w:hAnsi="Times New Roman" w:eastAsia="仿宋" w:cs="Times New Roman"/>
                <w:bCs/>
                <w:color w:val="auto"/>
                <w:kern w:val="24"/>
                <w:sz w:val="24"/>
                <w:szCs w:val="24"/>
              </w:rPr>
              <w:t>每个监测点取1个样。取样应符合《土壤环境监测技术规范》（HJ/T166-2004）</w:t>
            </w:r>
            <w:r>
              <w:rPr>
                <w:rFonts w:hint="default" w:ascii="Times New Roman" w:hAnsi="Times New Roman" w:eastAsia="仿宋" w:cs="Times New Roman"/>
                <w:bCs/>
                <w:color w:val="auto"/>
                <w:kern w:val="24"/>
                <w:sz w:val="24"/>
                <w:szCs w:val="24"/>
                <w:lang w:eastAsia="zh-CN"/>
              </w:rPr>
              <w:t>，</w:t>
            </w:r>
            <w:r>
              <w:rPr>
                <w:rFonts w:hint="default" w:ascii="Times New Roman" w:hAnsi="Times New Roman" w:eastAsia="仿宋" w:cs="Times New Roman"/>
                <w:bCs/>
                <w:color w:val="auto"/>
                <w:kern w:val="24"/>
                <w:sz w:val="24"/>
                <w:szCs w:val="24"/>
              </w:rPr>
              <w:t>采剖面样。</w:t>
            </w:r>
          </w:p>
        </w:tc>
        <w:tc>
          <w:tcPr>
            <w:tcW w:w="515" w:type="pct"/>
            <w:vAlign w:val="center"/>
          </w:tcPr>
          <w:p w14:paraId="28F37BAF">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Cs/>
                <w:color w:val="auto"/>
                <w:kern w:val="24"/>
                <w:sz w:val="24"/>
                <w:szCs w:val="24"/>
              </w:rPr>
              <w:t>0-0.2m</w:t>
            </w:r>
          </w:p>
        </w:tc>
      </w:tr>
      <w:tr w14:paraId="73CCB61B">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374" w:type="pct"/>
            <w:vAlign w:val="center"/>
          </w:tcPr>
          <w:p w14:paraId="6CC916B2">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S3</w:t>
            </w:r>
          </w:p>
        </w:tc>
        <w:tc>
          <w:tcPr>
            <w:tcW w:w="580" w:type="pct"/>
            <w:vAlign w:val="center"/>
          </w:tcPr>
          <w:p w14:paraId="0EEFD7AA">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岩添村自然土（旱地）</w:t>
            </w:r>
          </w:p>
        </w:tc>
        <w:tc>
          <w:tcPr>
            <w:tcW w:w="431" w:type="pct"/>
            <w:vAlign w:val="center"/>
          </w:tcPr>
          <w:p w14:paraId="024CA64D">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bCs/>
                <w:color w:val="auto"/>
                <w:kern w:val="24"/>
                <w:sz w:val="24"/>
                <w:szCs w:val="24"/>
              </w:rPr>
              <w:t>南</w:t>
            </w:r>
          </w:p>
        </w:tc>
        <w:tc>
          <w:tcPr>
            <w:tcW w:w="642" w:type="pct"/>
            <w:vAlign w:val="center"/>
          </w:tcPr>
          <w:p w14:paraId="2BFE5021">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730</w:t>
            </w:r>
          </w:p>
        </w:tc>
        <w:tc>
          <w:tcPr>
            <w:tcW w:w="686" w:type="pct"/>
            <w:vAlign w:val="center"/>
          </w:tcPr>
          <w:p w14:paraId="7D4BDF9C">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bCs/>
                <w:color w:val="auto"/>
                <w:kern w:val="24"/>
                <w:sz w:val="24"/>
                <w:szCs w:val="24"/>
              </w:rPr>
              <w:t>27°34'32.95"北110° 4'7.56"东</w:t>
            </w:r>
          </w:p>
        </w:tc>
        <w:tc>
          <w:tcPr>
            <w:tcW w:w="697" w:type="pct"/>
            <w:vAlign w:val="center"/>
          </w:tcPr>
          <w:p w14:paraId="14D63657">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bCs/>
                <w:color w:val="auto"/>
                <w:kern w:val="24"/>
                <w:sz w:val="24"/>
                <w:szCs w:val="24"/>
              </w:rPr>
              <w:t>PH值及GB15618</w:t>
            </w:r>
          </w:p>
          <w:p w14:paraId="5655DD58">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bCs/>
                <w:color w:val="auto"/>
                <w:kern w:val="24"/>
                <w:sz w:val="24"/>
                <w:szCs w:val="24"/>
              </w:rPr>
              <w:t>中的8项基本项目</w:t>
            </w:r>
          </w:p>
        </w:tc>
        <w:tc>
          <w:tcPr>
            <w:tcW w:w="1071" w:type="pct"/>
            <w:vMerge w:val="continue"/>
            <w:vAlign w:val="center"/>
          </w:tcPr>
          <w:p w14:paraId="52994399">
            <w:pPr>
              <w:jc w:val="center"/>
              <w:rPr>
                <w:rFonts w:hint="default" w:ascii="Times New Roman" w:hAnsi="Times New Roman" w:eastAsia="仿宋" w:cs="Times New Roman"/>
                <w:b/>
                <w:color w:val="auto"/>
                <w:kern w:val="1"/>
                <w:sz w:val="24"/>
                <w:szCs w:val="24"/>
              </w:rPr>
            </w:pPr>
          </w:p>
        </w:tc>
        <w:tc>
          <w:tcPr>
            <w:tcW w:w="515" w:type="pct"/>
            <w:vAlign w:val="center"/>
          </w:tcPr>
          <w:p w14:paraId="31E0C0AB">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Cs/>
                <w:color w:val="auto"/>
                <w:kern w:val="24"/>
                <w:sz w:val="24"/>
                <w:szCs w:val="24"/>
              </w:rPr>
              <w:t>0-0.2m</w:t>
            </w:r>
          </w:p>
        </w:tc>
      </w:tr>
    </w:tbl>
    <w:p w14:paraId="03FB8EE0">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表2-7  河流底质监测计划</w:t>
      </w:r>
    </w:p>
    <w:tbl>
      <w:tblPr>
        <w:tblStyle w:val="18"/>
        <w:tblW w:w="0" w:type="auto"/>
        <w:jc w:val="center"/>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96"/>
        <w:gridCol w:w="983"/>
        <w:gridCol w:w="1575"/>
        <w:gridCol w:w="1350"/>
        <w:gridCol w:w="1740"/>
        <w:gridCol w:w="1185"/>
        <w:gridCol w:w="1193"/>
      </w:tblGrid>
      <w:tr w14:paraId="413271AA">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0" w:type="auto"/>
            <w:vAlign w:val="center"/>
          </w:tcPr>
          <w:p w14:paraId="6582E812">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序号</w:t>
            </w:r>
          </w:p>
        </w:tc>
        <w:tc>
          <w:tcPr>
            <w:tcW w:w="983" w:type="dxa"/>
            <w:vAlign w:val="center"/>
          </w:tcPr>
          <w:p w14:paraId="0C8FBF87">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监测点名称</w:t>
            </w:r>
          </w:p>
        </w:tc>
        <w:tc>
          <w:tcPr>
            <w:tcW w:w="1575" w:type="dxa"/>
            <w:vAlign w:val="center"/>
          </w:tcPr>
          <w:p w14:paraId="2F76725E">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位置</w:t>
            </w:r>
          </w:p>
        </w:tc>
        <w:tc>
          <w:tcPr>
            <w:tcW w:w="1350" w:type="dxa"/>
            <w:vAlign w:val="center"/>
          </w:tcPr>
          <w:p w14:paraId="73D584F1">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相对园区边界距离/m</w:t>
            </w:r>
          </w:p>
        </w:tc>
        <w:tc>
          <w:tcPr>
            <w:tcW w:w="1740" w:type="dxa"/>
            <w:vAlign w:val="center"/>
          </w:tcPr>
          <w:p w14:paraId="5016F587">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监测点坐标经纬度</w:t>
            </w:r>
          </w:p>
        </w:tc>
        <w:tc>
          <w:tcPr>
            <w:tcW w:w="1185" w:type="dxa"/>
            <w:vAlign w:val="center"/>
          </w:tcPr>
          <w:p w14:paraId="0085C8CE">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w:t>
            </w:r>
          </w:p>
          <w:p w14:paraId="375B204F">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项目</w:t>
            </w:r>
          </w:p>
        </w:tc>
        <w:tc>
          <w:tcPr>
            <w:tcW w:w="1193" w:type="dxa"/>
            <w:vAlign w:val="center"/>
          </w:tcPr>
          <w:p w14:paraId="590325D7">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监测频次</w:t>
            </w:r>
          </w:p>
        </w:tc>
      </w:tr>
      <w:tr w14:paraId="70C91AAE">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0" w:type="auto"/>
            <w:vAlign w:val="center"/>
          </w:tcPr>
          <w:p w14:paraId="178D4A79">
            <w:pPr>
              <w:jc w:val="center"/>
              <w:rPr>
                <w:rFonts w:hint="default" w:ascii="Times New Roman" w:hAnsi="Times New Roman" w:eastAsia="仿宋" w:cs="Times New Roman"/>
                <w:bCs/>
                <w:color w:val="auto"/>
                <w:kern w:val="21"/>
                <w:sz w:val="24"/>
                <w:szCs w:val="24"/>
                <w:lang w:eastAsia="zh-CN"/>
              </w:rPr>
            </w:pPr>
            <w:r>
              <w:rPr>
                <w:rFonts w:hint="default" w:ascii="Times New Roman" w:hAnsi="Times New Roman" w:eastAsia="仿宋" w:cs="Times New Roman"/>
                <w:bCs/>
                <w:color w:val="auto"/>
                <w:kern w:val="21"/>
                <w:sz w:val="24"/>
                <w:szCs w:val="24"/>
              </w:rPr>
              <w:t>S</w:t>
            </w:r>
            <w:r>
              <w:rPr>
                <w:rFonts w:hint="default" w:ascii="Times New Roman" w:hAnsi="Times New Roman" w:eastAsia="仿宋" w:cs="Times New Roman"/>
                <w:bCs/>
                <w:color w:val="auto"/>
                <w:kern w:val="21"/>
                <w:sz w:val="24"/>
                <w:szCs w:val="24"/>
                <w:lang w:val="en-US" w:eastAsia="zh-CN"/>
              </w:rPr>
              <w:t>4</w:t>
            </w:r>
          </w:p>
        </w:tc>
        <w:tc>
          <w:tcPr>
            <w:tcW w:w="983" w:type="dxa"/>
            <w:vAlign w:val="center"/>
          </w:tcPr>
          <w:p w14:paraId="69355848">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太平溪底泥</w:t>
            </w:r>
          </w:p>
        </w:tc>
        <w:tc>
          <w:tcPr>
            <w:tcW w:w="1575" w:type="dxa"/>
            <w:vAlign w:val="center"/>
          </w:tcPr>
          <w:p w14:paraId="455AB308">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坨院溪汇合处太平溪500m</w:t>
            </w:r>
          </w:p>
        </w:tc>
        <w:tc>
          <w:tcPr>
            <w:tcW w:w="1350" w:type="dxa"/>
            <w:vAlign w:val="center"/>
          </w:tcPr>
          <w:p w14:paraId="2BE12583">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bCs/>
                <w:color w:val="auto"/>
                <w:kern w:val="24"/>
                <w:sz w:val="24"/>
                <w:szCs w:val="24"/>
              </w:rPr>
              <w:t>西南5500</w:t>
            </w:r>
          </w:p>
        </w:tc>
        <w:tc>
          <w:tcPr>
            <w:tcW w:w="1740" w:type="dxa"/>
            <w:vAlign w:val="center"/>
          </w:tcPr>
          <w:p w14:paraId="29AF6B79">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bCs/>
                <w:color w:val="auto"/>
                <w:kern w:val="24"/>
                <w:sz w:val="24"/>
                <w:szCs w:val="24"/>
              </w:rPr>
              <w:t>27°33'32.17"北110° 0'27.34"东</w:t>
            </w:r>
          </w:p>
        </w:tc>
        <w:tc>
          <w:tcPr>
            <w:tcW w:w="1185" w:type="dxa"/>
            <w:vMerge w:val="restart"/>
            <w:vAlign w:val="center"/>
          </w:tcPr>
          <w:p w14:paraId="5CD7DB19">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color w:val="auto"/>
                <w:sz w:val="24"/>
                <w:szCs w:val="24"/>
              </w:rPr>
              <w:t>pH、Pb、Cd、Cu、Zn、总铬、Ni、As</w:t>
            </w:r>
          </w:p>
        </w:tc>
        <w:tc>
          <w:tcPr>
            <w:tcW w:w="1193" w:type="dxa"/>
            <w:vMerge w:val="restart"/>
            <w:vAlign w:val="center"/>
          </w:tcPr>
          <w:p w14:paraId="36D0B09D">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color w:val="auto"/>
                <w:sz w:val="24"/>
                <w:szCs w:val="24"/>
              </w:rPr>
              <w:t>每年1次，每个监测点取1个样。</w:t>
            </w:r>
          </w:p>
        </w:tc>
      </w:tr>
      <w:tr w14:paraId="07B2D224">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0" w:type="auto"/>
            <w:vAlign w:val="center"/>
          </w:tcPr>
          <w:p w14:paraId="310478F0">
            <w:pPr>
              <w:jc w:val="center"/>
              <w:rPr>
                <w:rFonts w:hint="default" w:ascii="Times New Roman" w:hAnsi="Times New Roman" w:eastAsia="仿宋" w:cs="Times New Roman"/>
                <w:bCs/>
                <w:color w:val="auto"/>
                <w:kern w:val="21"/>
                <w:sz w:val="24"/>
                <w:szCs w:val="24"/>
                <w:lang w:eastAsia="zh-CN"/>
              </w:rPr>
            </w:pPr>
            <w:r>
              <w:rPr>
                <w:rFonts w:hint="default" w:ascii="Times New Roman" w:hAnsi="Times New Roman" w:eastAsia="仿宋" w:cs="Times New Roman"/>
                <w:bCs/>
                <w:color w:val="auto"/>
                <w:kern w:val="21"/>
                <w:sz w:val="24"/>
                <w:szCs w:val="24"/>
              </w:rPr>
              <w:t>S</w:t>
            </w:r>
            <w:r>
              <w:rPr>
                <w:rFonts w:hint="default" w:ascii="Times New Roman" w:hAnsi="Times New Roman" w:eastAsia="仿宋" w:cs="Times New Roman"/>
                <w:bCs/>
                <w:color w:val="auto"/>
                <w:kern w:val="21"/>
                <w:sz w:val="24"/>
                <w:szCs w:val="24"/>
                <w:lang w:val="en-US" w:eastAsia="zh-CN"/>
              </w:rPr>
              <w:t>5</w:t>
            </w:r>
          </w:p>
        </w:tc>
        <w:tc>
          <w:tcPr>
            <w:tcW w:w="983" w:type="dxa"/>
            <w:vAlign w:val="center"/>
          </w:tcPr>
          <w:p w14:paraId="66A5C9EF">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舞水底泥</w:t>
            </w:r>
          </w:p>
        </w:tc>
        <w:tc>
          <w:tcPr>
            <w:tcW w:w="1575" w:type="dxa"/>
            <w:vAlign w:val="center"/>
          </w:tcPr>
          <w:p w14:paraId="5E3DC9AD">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太平溪汇入舞水处下游500m</w:t>
            </w:r>
          </w:p>
        </w:tc>
        <w:tc>
          <w:tcPr>
            <w:tcW w:w="1350" w:type="dxa"/>
            <w:vAlign w:val="center"/>
          </w:tcPr>
          <w:p w14:paraId="22F6C3E6">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bCs/>
                <w:color w:val="auto"/>
                <w:kern w:val="24"/>
                <w:sz w:val="24"/>
                <w:szCs w:val="24"/>
              </w:rPr>
              <w:t>西南12000</w:t>
            </w:r>
          </w:p>
        </w:tc>
        <w:tc>
          <w:tcPr>
            <w:tcW w:w="1740" w:type="dxa"/>
            <w:vAlign w:val="center"/>
          </w:tcPr>
          <w:p w14:paraId="7C45B63C">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bCs/>
                <w:color w:val="auto"/>
                <w:kern w:val="24"/>
                <w:sz w:val="24"/>
                <w:szCs w:val="24"/>
              </w:rPr>
              <w:t>27°30'14.14"北109°57'29.67"东</w:t>
            </w:r>
          </w:p>
        </w:tc>
        <w:tc>
          <w:tcPr>
            <w:tcW w:w="1185" w:type="dxa"/>
            <w:vMerge w:val="continue"/>
            <w:vAlign w:val="center"/>
          </w:tcPr>
          <w:p w14:paraId="41FE01FC">
            <w:pPr>
              <w:jc w:val="center"/>
              <w:rPr>
                <w:rFonts w:hint="default" w:ascii="Times New Roman" w:hAnsi="Times New Roman" w:eastAsia="仿宋" w:cs="Times New Roman"/>
                <w:bCs/>
                <w:color w:val="auto"/>
                <w:kern w:val="24"/>
                <w:sz w:val="24"/>
                <w:szCs w:val="24"/>
              </w:rPr>
            </w:pPr>
          </w:p>
        </w:tc>
        <w:tc>
          <w:tcPr>
            <w:tcW w:w="1193" w:type="dxa"/>
            <w:vMerge w:val="continue"/>
            <w:vAlign w:val="center"/>
          </w:tcPr>
          <w:p w14:paraId="44A4867A">
            <w:pPr>
              <w:jc w:val="center"/>
              <w:rPr>
                <w:rFonts w:hint="default" w:ascii="Times New Roman" w:hAnsi="Times New Roman" w:eastAsia="仿宋" w:cs="Times New Roman"/>
                <w:bCs/>
                <w:color w:val="auto"/>
                <w:kern w:val="24"/>
                <w:sz w:val="24"/>
                <w:szCs w:val="24"/>
              </w:rPr>
            </w:pPr>
          </w:p>
        </w:tc>
      </w:tr>
      <w:tr w14:paraId="67C9547F">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0" w:type="auto"/>
            <w:vAlign w:val="center"/>
          </w:tcPr>
          <w:p w14:paraId="19219237">
            <w:pPr>
              <w:jc w:val="center"/>
              <w:rPr>
                <w:rFonts w:hint="default" w:ascii="Times New Roman" w:hAnsi="Times New Roman" w:eastAsia="仿宋" w:cs="Times New Roman"/>
                <w:bCs/>
                <w:color w:val="auto"/>
                <w:kern w:val="21"/>
                <w:sz w:val="24"/>
                <w:szCs w:val="24"/>
                <w:lang w:eastAsia="zh-CN"/>
              </w:rPr>
            </w:pPr>
            <w:r>
              <w:rPr>
                <w:rFonts w:hint="default" w:ascii="Times New Roman" w:hAnsi="Times New Roman" w:eastAsia="仿宋" w:cs="Times New Roman"/>
                <w:bCs/>
                <w:color w:val="auto"/>
                <w:kern w:val="21"/>
                <w:sz w:val="24"/>
                <w:szCs w:val="24"/>
              </w:rPr>
              <w:t>S</w:t>
            </w:r>
            <w:r>
              <w:rPr>
                <w:rFonts w:hint="default" w:ascii="Times New Roman" w:hAnsi="Times New Roman" w:eastAsia="仿宋" w:cs="Times New Roman"/>
                <w:bCs/>
                <w:color w:val="auto"/>
                <w:kern w:val="21"/>
                <w:sz w:val="24"/>
                <w:szCs w:val="24"/>
                <w:lang w:val="en-US" w:eastAsia="zh-CN"/>
              </w:rPr>
              <w:t>6</w:t>
            </w:r>
          </w:p>
        </w:tc>
        <w:tc>
          <w:tcPr>
            <w:tcW w:w="983" w:type="dxa"/>
            <w:vAlign w:val="center"/>
          </w:tcPr>
          <w:p w14:paraId="42125B9C">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坨院溪底泥</w:t>
            </w:r>
          </w:p>
        </w:tc>
        <w:tc>
          <w:tcPr>
            <w:tcW w:w="1575" w:type="dxa"/>
            <w:vAlign w:val="center"/>
          </w:tcPr>
          <w:p w14:paraId="161CB923">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坨院溪工业集中区下游</w:t>
            </w:r>
          </w:p>
        </w:tc>
        <w:tc>
          <w:tcPr>
            <w:tcW w:w="1350" w:type="dxa"/>
            <w:vAlign w:val="center"/>
          </w:tcPr>
          <w:p w14:paraId="671A8640">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color w:val="auto"/>
                <w:sz w:val="24"/>
                <w:szCs w:val="24"/>
              </w:rPr>
              <w:t>南750</w:t>
            </w:r>
          </w:p>
        </w:tc>
        <w:tc>
          <w:tcPr>
            <w:tcW w:w="1740" w:type="dxa"/>
            <w:vAlign w:val="center"/>
          </w:tcPr>
          <w:p w14:paraId="74F301B6">
            <w:pPr>
              <w:jc w:val="center"/>
              <w:rPr>
                <w:rFonts w:hint="default" w:ascii="Times New Roman" w:hAnsi="Times New Roman" w:eastAsia="仿宋" w:cs="Times New Roman"/>
                <w:bCs/>
                <w:color w:val="auto"/>
                <w:kern w:val="24"/>
                <w:sz w:val="24"/>
                <w:szCs w:val="24"/>
              </w:rPr>
            </w:pPr>
            <w:r>
              <w:rPr>
                <w:rFonts w:hint="default" w:ascii="Times New Roman" w:hAnsi="Times New Roman" w:eastAsia="仿宋" w:cs="Times New Roman"/>
                <w:bCs/>
                <w:color w:val="auto"/>
                <w:kern w:val="24"/>
                <w:sz w:val="24"/>
                <w:szCs w:val="24"/>
              </w:rPr>
              <w:t>27°34'13.99"北110° 3'2.29"东</w:t>
            </w:r>
          </w:p>
        </w:tc>
        <w:tc>
          <w:tcPr>
            <w:tcW w:w="1185" w:type="dxa"/>
            <w:vMerge w:val="continue"/>
            <w:vAlign w:val="center"/>
          </w:tcPr>
          <w:p w14:paraId="34BEC484">
            <w:pPr>
              <w:jc w:val="center"/>
              <w:rPr>
                <w:rFonts w:hint="default" w:ascii="Times New Roman" w:hAnsi="Times New Roman" w:eastAsia="仿宋" w:cs="Times New Roman"/>
                <w:bCs/>
                <w:color w:val="auto"/>
                <w:kern w:val="24"/>
                <w:sz w:val="24"/>
                <w:szCs w:val="24"/>
              </w:rPr>
            </w:pPr>
          </w:p>
        </w:tc>
        <w:tc>
          <w:tcPr>
            <w:tcW w:w="1193" w:type="dxa"/>
            <w:vMerge w:val="continue"/>
            <w:vAlign w:val="center"/>
          </w:tcPr>
          <w:p w14:paraId="32BA9F41">
            <w:pPr>
              <w:jc w:val="center"/>
              <w:rPr>
                <w:rFonts w:hint="default" w:ascii="Times New Roman" w:hAnsi="Times New Roman" w:eastAsia="仿宋" w:cs="Times New Roman"/>
                <w:bCs/>
                <w:color w:val="auto"/>
                <w:kern w:val="24"/>
                <w:sz w:val="24"/>
                <w:szCs w:val="24"/>
              </w:rPr>
            </w:pPr>
          </w:p>
        </w:tc>
      </w:tr>
    </w:tbl>
    <w:p w14:paraId="7F818654">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表2-8  地表水环境质量现状监测计划</w:t>
      </w:r>
    </w:p>
    <w:tbl>
      <w:tblPr>
        <w:tblStyle w:val="18"/>
        <w:tblW w:w="0" w:type="auto"/>
        <w:jc w:val="center"/>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3"/>
        <w:gridCol w:w="746"/>
        <w:gridCol w:w="1740"/>
        <w:gridCol w:w="1065"/>
        <w:gridCol w:w="2055"/>
        <w:gridCol w:w="1395"/>
        <w:gridCol w:w="958"/>
      </w:tblGrid>
      <w:tr w14:paraId="2A11E751">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0" w:type="auto"/>
            <w:vAlign w:val="center"/>
          </w:tcPr>
          <w:p w14:paraId="1EE8BD51">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序号</w:t>
            </w:r>
          </w:p>
        </w:tc>
        <w:tc>
          <w:tcPr>
            <w:tcW w:w="746" w:type="dxa"/>
            <w:vAlign w:val="center"/>
          </w:tcPr>
          <w:p w14:paraId="2119D688">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监测点名称</w:t>
            </w:r>
          </w:p>
        </w:tc>
        <w:tc>
          <w:tcPr>
            <w:tcW w:w="1740" w:type="dxa"/>
            <w:vAlign w:val="center"/>
          </w:tcPr>
          <w:p w14:paraId="09B60CCC">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相对于园区位置</w:t>
            </w:r>
          </w:p>
        </w:tc>
        <w:tc>
          <w:tcPr>
            <w:tcW w:w="1065" w:type="dxa"/>
            <w:vAlign w:val="center"/>
          </w:tcPr>
          <w:p w14:paraId="00AA0EEE">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相对园区边界距离/m</w:t>
            </w:r>
          </w:p>
        </w:tc>
        <w:tc>
          <w:tcPr>
            <w:tcW w:w="2055" w:type="dxa"/>
            <w:vAlign w:val="center"/>
          </w:tcPr>
          <w:p w14:paraId="1FCD5FBB">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监测点坐标经纬度</w:t>
            </w:r>
          </w:p>
        </w:tc>
        <w:tc>
          <w:tcPr>
            <w:tcW w:w="1395" w:type="dxa"/>
            <w:vAlign w:val="center"/>
          </w:tcPr>
          <w:p w14:paraId="6A72983A">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监测因子</w:t>
            </w:r>
          </w:p>
        </w:tc>
        <w:tc>
          <w:tcPr>
            <w:tcW w:w="958" w:type="dxa"/>
            <w:vAlign w:val="center"/>
          </w:tcPr>
          <w:p w14:paraId="706BE783">
            <w:pPr>
              <w:jc w:val="center"/>
              <w:rPr>
                <w:rFonts w:hint="default" w:ascii="Times New Roman" w:hAnsi="Times New Roman" w:eastAsia="仿宋" w:cs="Times New Roman"/>
                <w:b/>
                <w:color w:val="auto"/>
                <w:kern w:val="1"/>
                <w:sz w:val="24"/>
                <w:szCs w:val="24"/>
              </w:rPr>
            </w:pPr>
            <w:r>
              <w:rPr>
                <w:rFonts w:hint="default" w:ascii="Times New Roman" w:hAnsi="Times New Roman" w:eastAsia="仿宋" w:cs="Times New Roman"/>
                <w:b/>
                <w:color w:val="auto"/>
                <w:kern w:val="1"/>
                <w:sz w:val="24"/>
                <w:szCs w:val="24"/>
              </w:rPr>
              <w:t>监测频次</w:t>
            </w:r>
          </w:p>
        </w:tc>
      </w:tr>
      <w:tr w14:paraId="3C697431">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0" w:type="auto"/>
            <w:vAlign w:val="center"/>
          </w:tcPr>
          <w:p w14:paraId="26848DBF">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W1</w:t>
            </w:r>
          </w:p>
        </w:tc>
        <w:tc>
          <w:tcPr>
            <w:tcW w:w="746" w:type="dxa"/>
            <w:vAlign w:val="center"/>
          </w:tcPr>
          <w:p w14:paraId="354AC958">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坨院溪</w:t>
            </w:r>
          </w:p>
        </w:tc>
        <w:tc>
          <w:tcPr>
            <w:tcW w:w="1740" w:type="dxa"/>
            <w:vAlign w:val="center"/>
          </w:tcPr>
          <w:p w14:paraId="39BD37EA">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坨院溪工业集中区上游断面</w:t>
            </w:r>
          </w:p>
        </w:tc>
        <w:tc>
          <w:tcPr>
            <w:tcW w:w="1065" w:type="dxa"/>
            <w:vAlign w:val="center"/>
          </w:tcPr>
          <w:p w14:paraId="67B7A707">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南1100</w:t>
            </w:r>
          </w:p>
        </w:tc>
        <w:tc>
          <w:tcPr>
            <w:tcW w:w="2055" w:type="dxa"/>
            <w:vAlign w:val="center"/>
          </w:tcPr>
          <w:p w14:paraId="22CF5D60">
            <w:pPr>
              <w:jc w:val="center"/>
              <w:rPr>
                <w:rFonts w:hint="default" w:ascii="Times New Roman" w:hAnsi="Times New Roman" w:eastAsia="仿宋" w:cs="Times New Roman"/>
                <w:bCs/>
                <w:color w:val="auto"/>
                <w:spacing w:val="6"/>
                <w:kern w:val="24"/>
                <w:sz w:val="24"/>
                <w:szCs w:val="24"/>
              </w:rPr>
            </w:pPr>
            <w:r>
              <w:rPr>
                <w:rFonts w:hint="default" w:ascii="Times New Roman" w:hAnsi="Times New Roman" w:eastAsia="仿宋" w:cs="Times New Roman"/>
                <w:bCs/>
                <w:color w:val="auto"/>
                <w:spacing w:val="6"/>
                <w:kern w:val="24"/>
                <w:sz w:val="24"/>
                <w:szCs w:val="24"/>
              </w:rPr>
              <w:t>27°34'8.04"北110°3'54.24"东</w:t>
            </w:r>
          </w:p>
        </w:tc>
        <w:tc>
          <w:tcPr>
            <w:tcW w:w="1395" w:type="dxa"/>
            <w:vMerge w:val="restart"/>
            <w:vAlign w:val="center"/>
          </w:tcPr>
          <w:p w14:paraId="43F9892E">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bCs/>
                <w:color w:val="auto"/>
                <w:spacing w:val="6"/>
                <w:kern w:val="24"/>
                <w:sz w:val="24"/>
                <w:szCs w:val="24"/>
              </w:rPr>
              <w:t>pH、COD、BOD</w:t>
            </w:r>
            <w:r>
              <w:rPr>
                <w:rFonts w:hint="default" w:ascii="Times New Roman" w:hAnsi="Times New Roman" w:eastAsia="仿宋" w:cs="Times New Roman"/>
                <w:bCs/>
                <w:color w:val="auto"/>
                <w:spacing w:val="6"/>
                <w:kern w:val="24"/>
                <w:sz w:val="24"/>
                <w:szCs w:val="24"/>
                <w:vertAlign w:val="subscript"/>
              </w:rPr>
              <w:t>5</w:t>
            </w:r>
            <w:r>
              <w:rPr>
                <w:rFonts w:hint="default" w:ascii="Times New Roman" w:hAnsi="Times New Roman" w:eastAsia="仿宋" w:cs="Times New Roman"/>
                <w:bCs/>
                <w:color w:val="auto"/>
                <w:spacing w:val="6"/>
                <w:kern w:val="24"/>
                <w:sz w:val="24"/>
                <w:szCs w:val="24"/>
              </w:rPr>
              <w:t>、SS、NH</w:t>
            </w:r>
            <w:r>
              <w:rPr>
                <w:rFonts w:hint="default" w:ascii="Times New Roman" w:hAnsi="Times New Roman" w:eastAsia="仿宋" w:cs="Times New Roman"/>
                <w:bCs/>
                <w:color w:val="auto"/>
                <w:spacing w:val="6"/>
                <w:kern w:val="24"/>
                <w:sz w:val="24"/>
                <w:szCs w:val="24"/>
                <w:vertAlign w:val="subscript"/>
              </w:rPr>
              <w:t>3</w:t>
            </w:r>
            <w:r>
              <w:rPr>
                <w:rFonts w:hint="default" w:ascii="Times New Roman" w:hAnsi="Times New Roman" w:eastAsia="仿宋" w:cs="Times New Roman"/>
                <w:bCs/>
                <w:color w:val="auto"/>
                <w:spacing w:val="6"/>
                <w:kern w:val="24"/>
                <w:sz w:val="24"/>
                <w:szCs w:val="24"/>
              </w:rPr>
              <w:t>-N、石油类、Cu、Pb、Zn、Cd、As、Hg、Cr</w:t>
            </w:r>
            <w:r>
              <w:rPr>
                <w:rFonts w:hint="default" w:ascii="Times New Roman" w:hAnsi="Times New Roman" w:eastAsia="仿宋" w:cs="Times New Roman"/>
                <w:bCs/>
                <w:color w:val="auto"/>
                <w:spacing w:val="6"/>
                <w:kern w:val="24"/>
                <w:sz w:val="24"/>
                <w:szCs w:val="24"/>
                <w:vertAlign w:val="superscript"/>
              </w:rPr>
              <w:t>6+</w:t>
            </w:r>
            <w:r>
              <w:rPr>
                <w:rFonts w:hint="default" w:ascii="Times New Roman" w:hAnsi="Times New Roman" w:eastAsia="仿宋" w:cs="Times New Roman"/>
                <w:bCs/>
                <w:color w:val="auto"/>
                <w:spacing w:val="6"/>
                <w:kern w:val="24"/>
                <w:sz w:val="24"/>
                <w:szCs w:val="24"/>
              </w:rPr>
              <w:t>、硫化物、氟化物、挥发性酚、粪大肠菌群、动植物油、</w:t>
            </w:r>
            <w:r>
              <w:rPr>
                <w:rFonts w:hint="default" w:ascii="Times New Roman" w:hAnsi="Times New Roman" w:eastAsia="仿宋" w:cs="Times New Roman"/>
                <w:color w:val="auto"/>
                <w:sz w:val="24"/>
                <w:szCs w:val="24"/>
              </w:rPr>
              <w:t>共18项。</w:t>
            </w:r>
            <w:r>
              <w:rPr>
                <w:rFonts w:hint="default" w:ascii="Times New Roman" w:hAnsi="Times New Roman" w:eastAsia="仿宋" w:cs="Times New Roman"/>
                <w:bCs/>
                <w:color w:val="auto"/>
                <w:spacing w:val="6"/>
                <w:kern w:val="24"/>
                <w:sz w:val="24"/>
                <w:szCs w:val="24"/>
              </w:rPr>
              <w:t>同时监测河流平均流速、平均流量。</w:t>
            </w:r>
          </w:p>
        </w:tc>
        <w:tc>
          <w:tcPr>
            <w:tcW w:w="958" w:type="dxa"/>
            <w:vMerge w:val="restart"/>
            <w:vAlign w:val="center"/>
          </w:tcPr>
          <w:p w14:paraId="63B7D530">
            <w:pPr>
              <w:jc w:val="center"/>
              <w:rPr>
                <w:rFonts w:hint="default" w:ascii="Times New Roman" w:hAnsi="Times New Roman" w:eastAsia="仿宋" w:cs="Times New Roman"/>
                <w:bCs/>
                <w:color w:val="auto"/>
                <w:spacing w:val="6"/>
                <w:kern w:val="24"/>
                <w:sz w:val="24"/>
                <w:szCs w:val="24"/>
              </w:rPr>
            </w:pPr>
            <w:r>
              <w:rPr>
                <w:rFonts w:hint="default" w:ascii="Times New Roman" w:hAnsi="Times New Roman" w:eastAsia="仿宋" w:cs="Times New Roman"/>
                <w:bCs/>
                <w:color w:val="auto"/>
                <w:spacing w:val="6"/>
                <w:kern w:val="24"/>
                <w:sz w:val="24"/>
                <w:szCs w:val="24"/>
              </w:rPr>
              <w:t>平、枯水期各1次，连续监测2天，每天采样1次，每个断面每次取一个混合样。</w:t>
            </w:r>
          </w:p>
        </w:tc>
      </w:tr>
      <w:tr w14:paraId="4EA0046A">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0" w:type="auto"/>
            <w:vAlign w:val="center"/>
          </w:tcPr>
          <w:p w14:paraId="07C8B600">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W2</w:t>
            </w:r>
          </w:p>
        </w:tc>
        <w:tc>
          <w:tcPr>
            <w:tcW w:w="746" w:type="dxa"/>
            <w:vMerge w:val="restart"/>
            <w:vAlign w:val="center"/>
          </w:tcPr>
          <w:p w14:paraId="636745BC">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太平溪</w:t>
            </w:r>
          </w:p>
        </w:tc>
        <w:tc>
          <w:tcPr>
            <w:tcW w:w="1740" w:type="dxa"/>
            <w:vAlign w:val="center"/>
          </w:tcPr>
          <w:p w14:paraId="708C7A7C">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坨院溪汇入口上游500m</w:t>
            </w:r>
          </w:p>
        </w:tc>
        <w:tc>
          <w:tcPr>
            <w:tcW w:w="1065" w:type="dxa"/>
            <w:vAlign w:val="center"/>
          </w:tcPr>
          <w:p w14:paraId="54DE07F6">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西南4200</w:t>
            </w:r>
          </w:p>
        </w:tc>
        <w:tc>
          <w:tcPr>
            <w:tcW w:w="2055" w:type="dxa"/>
            <w:vAlign w:val="center"/>
          </w:tcPr>
          <w:p w14:paraId="6616AF1A">
            <w:pPr>
              <w:jc w:val="center"/>
              <w:rPr>
                <w:rFonts w:hint="default" w:ascii="Times New Roman" w:hAnsi="Times New Roman" w:eastAsia="仿宋" w:cs="Times New Roman"/>
                <w:bCs/>
                <w:color w:val="auto"/>
                <w:spacing w:val="6"/>
                <w:kern w:val="24"/>
                <w:sz w:val="24"/>
                <w:szCs w:val="24"/>
              </w:rPr>
            </w:pPr>
            <w:r>
              <w:rPr>
                <w:rFonts w:hint="default" w:ascii="Times New Roman" w:hAnsi="Times New Roman" w:eastAsia="仿宋" w:cs="Times New Roman"/>
                <w:bCs/>
                <w:color w:val="auto"/>
                <w:spacing w:val="6"/>
                <w:kern w:val="24"/>
                <w:sz w:val="24"/>
                <w:szCs w:val="24"/>
              </w:rPr>
              <w:t>27°33'58.16"北110°0'42.11"东</w:t>
            </w:r>
          </w:p>
        </w:tc>
        <w:tc>
          <w:tcPr>
            <w:tcW w:w="1395" w:type="dxa"/>
            <w:vMerge w:val="continue"/>
            <w:vAlign w:val="center"/>
          </w:tcPr>
          <w:p w14:paraId="7AB458F1">
            <w:pPr>
              <w:jc w:val="center"/>
              <w:rPr>
                <w:rFonts w:hint="default" w:ascii="Times New Roman" w:hAnsi="Times New Roman" w:eastAsia="仿宋" w:cs="Times New Roman"/>
                <w:b/>
                <w:color w:val="auto"/>
                <w:kern w:val="1"/>
                <w:sz w:val="24"/>
                <w:szCs w:val="24"/>
              </w:rPr>
            </w:pPr>
          </w:p>
        </w:tc>
        <w:tc>
          <w:tcPr>
            <w:tcW w:w="958" w:type="dxa"/>
            <w:vMerge w:val="continue"/>
            <w:vAlign w:val="center"/>
          </w:tcPr>
          <w:p w14:paraId="4D58F92C">
            <w:pPr>
              <w:jc w:val="center"/>
              <w:rPr>
                <w:rFonts w:hint="default" w:ascii="Times New Roman" w:hAnsi="Times New Roman" w:eastAsia="仿宋" w:cs="Times New Roman"/>
                <w:b/>
                <w:color w:val="auto"/>
                <w:kern w:val="1"/>
                <w:sz w:val="24"/>
                <w:szCs w:val="24"/>
              </w:rPr>
            </w:pPr>
          </w:p>
        </w:tc>
      </w:tr>
      <w:tr w14:paraId="151AE8E3">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0" w:type="auto"/>
            <w:vAlign w:val="center"/>
          </w:tcPr>
          <w:p w14:paraId="37E4E2C1">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W3</w:t>
            </w:r>
          </w:p>
        </w:tc>
        <w:tc>
          <w:tcPr>
            <w:tcW w:w="746" w:type="dxa"/>
            <w:vMerge w:val="continue"/>
            <w:vAlign w:val="center"/>
          </w:tcPr>
          <w:p w14:paraId="2542D439">
            <w:pPr>
              <w:jc w:val="center"/>
              <w:rPr>
                <w:rFonts w:hint="default" w:ascii="Times New Roman" w:hAnsi="Times New Roman" w:eastAsia="仿宋" w:cs="Times New Roman"/>
                <w:bCs/>
                <w:color w:val="auto"/>
                <w:sz w:val="24"/>
                <w:szCs w:val="24"/>
              </w:rPr>
            </w:pPr>
          </w:p>
        </w:tc>
        <w:tc>
          <w:tcPr>
            <w:tcW w:w="1740" w:type="dxa"/>
            <w:vAlign w:val="center"/>
          </w:tcPr>
          <w:p w14:paraId="1EB619E5">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坨院溪汇入口下游500m</w:t>
            </w:r>
          </w:p>
        </w:tc>
        <w:tc>
          <w:tcPr>
            <w:tcW w:w="1065" w:type="dxa"/>
            <w:vAlign w:val="center"/>
          </w:tcPr>
          <w:p w14:paraId="0C63DF43">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西南5000</w:t>
            </w:r>
          </w:p>
        </w:tc>
        <w:tc>
          <w:tcPr>
            <w:tcW w:w="2055" w:type="dxa"/>
            <w:vAlign w:val="center"/>
          </w:tcPr>
          <w:p w14:paraId="7C74C6E2">
            <w:pPr>
              <w:jc w:val="center"/>
              <w:rPr>
                <w:rFonts w:hint="default" w:ascii="Times New Roman" w:hAnsi="Times New Roman" w:eastAsia="仿宋" w:cs="Times New Roman"/>
                <w:bCs/>
                <w:color w:val="auto"/>
                <w:spacing w:val="6"/>
                <w:kern w:val="24"/>
                <w:sz w:val="24"/>
                <w:szCs w:val="24"/>
              </w:rPr>
            </w:pPr>
            <w:r>
              <w:rPr>
                <w:rFonts w:hint="default" w:ascii="Times New Roman" w:hAnsi="Times New Roman" w:eastAsia="仿宋" w:cs="Times New Roman"/>
                <w:bCs/>
                <w:color w:val="auto"/>
                <w:spacing w:val="6"/>
                <w:kern w:val="24"/>
                <w:sz w:val="24"/>
                <w:szCs w:val="24"/>
              </w:rPr>
              <w:t>27°33'32.97"北110°0'29.72"东</w:t>
            </w:r>
          </w:p>
        </w:tc>
        <w:tc>
          <w:tcPr>
            <w:tcW w:w="1395" w:type="dxa"/>
            <w:vMerge w:val="continue"/>
            <w:vAlign w:val="center"/>
          </w:tcPr>
          <w:p w14:paraId="09A13ECF">
            <w:pPr>
              <w:jc w:val="center"/>
              <w:rPr>
                <w:rFonts w:hint="default" w:ascii="Times New Roman" w:hAnsi="Times New Roman" w:eastAsia="仿宋" w:cs="Times New Roman"/>
                <w:b/>
                <w:color w:val="auto"/>
                <w:kern w:val="1"/>
                <w:sz w:val="24"/>
                <w:szCs w:val="24"/>
              </w:rPr>
            </w:pPr>
          </w:p>
        </w:tc>
        <w:tc>
          <w:tcPr>
            <w:tcW w:w="958" w:type="dxa"/>
            <w:vMerge w:val="continue"/>
            <w:vAlign w:val="center"/>
          </w:tcPr>
          <w:p w14:paraId="0970B9C0">
            <w:pPr>
              <w:jc w:val="center"/>
              <w:rPr>
                <w:rFonts w:hint="default" w:ascii="Times New Roman" w:hAnsi="Times New Roman" w:eastAsia="仿宋" w:cs="Times New Roman"/>
                <w:b/>
                <w:color w:val="auto"/>
                <w:kern w:val="1"/>
                <w:sz w:val="24"/>
                <w:szCs w:val="24"/>
              </w:rPr>
            </w:pPr>
          </w:p>
        </w:tc>
      </w:tr>
      <w:tr w14:paraId="437865F8">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0" w:type="auto"/>
            <w:vAlign w:val="center"/>
          </w:tcPr>
          <w:p w14:paraId="24E483EE">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W4</w:t>
            </w:r>
          </w:p>
        </w:tc>
        <w:tc>
          <w:tcPr>
            <w:tcW w:w="746" w:type="dxa"/>
            <w:vMerge w:val="continue"/>
            <w:vAlign w:val="center"/>
          </w:tcPr>
          <w:p w14:paraId="0AC9A271">
            <w:pPr>
              <w:jc w:val="center"/>
              <w:rPr>
                <w:rFonts w:hint="default" w:ascii="Times New Roman" w:hAnsi="Times New Roman" w:eastAsia="仿宋" w:cs="Times New Roman"/>
                <w:bCs/>
                <w:color w:val="auto"/>
                <w:sz w:val="24"/>
                <w:szCs w:val="24"/>
              </w:rPr>
            </w:pPr>
          </w:p>
        </w:tc>
        <w:tc>
          <w:tcPr>
            <w:tcW w:w="1740" w:type="dxa"/>
            <w:vAlign w:val="center"/>
          </w:tcPr>
          <w:p w14:paraId="0C237FE5">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怀化市污水处理厂上游500m</w:t>
            </w:r>
          </w:p>
        </w:tc>
        <w:tc>
          <w:tcPr>
            <w:tcW w:w="1065" w:type="dxa"/>
            <w:vAlign w:val="center"/>
          </w:tcPr>
          <w:p w14:paraId="3FFA05C1">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西南11000</w:t>
            </w:r>
          </w:p>
        </w:tc>
        <w:tc>
          <w:tcPr>
            <w:tcW w:w="2055" w:type="dxa"/>
            <w:vAlign w:val="center"/>
          </w:tcPr>
          <w:p w14:paraId="4967083E">
            <w:pPr>
              <w:jc w:val="center"/>
              <w:rPr>
                <w:rFonts w:hint="default" w:ascii="Times New Roman" w:hAnsi="Times New Roman" w:eastAsia="仿宋" w:cs="Times New Roman"/>
                <w:bCs/>
                <w:color w:val="auto"/>
                <w:spacing w:val="6"/>
                <w:kern w:val="24"/>
                <w:sz w:val="24"/>
                <w:szCs w:val="24"/>
              </w:rPr>
            </w:pPr>
            <w:r>
              <w:rPr>
                <w:rFonts w:hint="default" w:ascii="Times New Roman" w:hAnsi="Times New Roman" w:eastAsia="仿宋" w:cs="Times New Roman"/>
                <w:bCs/>
                <w:color w:val="auto"/>
                <w:spacing w:val="6"/>
                <w:kern w:val="24"/>
                <w:sz w:val="24"/>
                <w:szCs w:val="24"/>
              </w:rPr>
              <w:t>27°31'34.93"北109°57'54.98"东</w:t>
            </w:r>
          </w:p>
        </w:tc>
        <w:tc>
          <w:tcPr>
            <w:tcW w:w="1395" w:type="dxa"/>
            <w:vMerge w:val="continue"/>
            <w:vAlign w:val="center"/>
          </w:tcPr>
          <w:p w14:paraId="728604B2">
            <w:pPr>
              <w:jc w:val="center"/>
              <w:rPr>
                <w:rFonts w:hint="default" w:ascii="Times New Roman" w:hAnsi="Times New Roman" w:eastAsia="仿宋" w:cs="Times New Roman"/>
                <w:b/>
                <w:color w:val="auto"/>
                <w:kern w:val="1"/>
                <w:sz w:val="24"/>
                <w:szCs w:val="24"/>
              </w:rPr>
            </w:pPr>
          </w:p>
        </w:tc>
        <w:tc>
          <w:tcPr>
            <w:tcW w:w="958" w:type="dxa"/>
            <w:vMerge w:val="continue"/>
            <w:vAlign w:val="center"/>
          </w:tcPr>
          <w:p w14:paraId="4BE4A2DA">
            <w:pPr>
              <w:jc w:val="center"/>
              <w:rPr>
                <w:rFonts w:hint="default" w:ascii="Times New Roman" w:hAnsi="Times New Roman" w:eastAsia="仿宋" w:cs="Times New Roman"/>
                <w:b/>
                <w:color w:val="auto"/>
                <w:kern w:val="1"/>
                <w:sz w:val="24"/>
                <w:szCs w:val="24"/>
              </w:rPr>
            </w:pPr>
          </w:p>
        </w:tc>
      </w:tr>
      <w:tr w14:paraId="0D289364">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6" w:hRule="atLeast"/>
          <w:jc w:val="center"/>
        </w:trPr>
        <w:tc>
          <w:tcPr>
            <w:tcW w:w="0" w:type="auto"/>
            <w:vAlign w:val="center"/>
          </w:tcPr>
          <w:p w14:paraId="163D5D24">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W5</w:t>
            </w:r>
          </w:p>
        </w:tc>
        <w:tc>
          <w:tcPr>
            <w:tcW w:w="746" w:type="dxa"/>
            <w:vMerge w:val="restart"/>
            <w:vAlign w:val="center"/>
          </w:tcPr>
          <w:p w14:paraId="58D4827C">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舞水</w:t>
            </w:r>
          </w:p>
        </w:tc>
        <w:tc>
          <w:tcPr>
            <w:tcW w:w="1740" w:type="dxa"/>
            <w:vAlign w:val="center"/>
          </w:tcPr>
          <w:p w14:paraId="5F0EEED8">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太平溪汇入舞水处上游500m</w:t>
            </w:r>
          </w:p>
        </w:tc>
        <w:tc>
          <w:tcPr>
            <w:tcW w:w="1065" w:type="dxa"/>
            <w:vAlign w:val="center"/>
          </w:tcPr>
          <w:p w14:paraId="7D8ACF37">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西南12000</w:t>
            </w:r>
          </w:p>
        </w:tc>
        <w:tc>
          <w:tcPr>
            <w:tcW w:w="2055" w:type="dxa"/>
            <w:vAlign w:val="center"/>
          </w:tcPr>
          <w:p w14:paraId="7C20523A">
            <w:pPr>
              <w:jc w:val="center"/>
              <w:rPr>
                <w:rFonts w:hint="default" w:ascii="Times New Roman" w:hAnsi="Times New Roman" w:eastAsia="仿宋" w:cs="Times New Roman"/>
                <w:bCs/>
                <w:color w:val="auto"/>
                <w:spacing w:val="6"/>
                <w:kern w:val="24"/>
                <w:sz w:val="24"/>
                <w:szCs w:val="24"/>
              </w:rPr>
            </w:pPr>
            <w:r>
              <w:rPr>
                <w:rFonts w:hint="default" w:ascii="Times New Roman" w:hAnsi="Times New Roman" w:eastAsia="仿宋" w:cs="Times New Roman"/>
                <w:bCs/>
                <w:color w:val="auto"/>
                <w:spacing w:val="6"/>
                <w:kern w:val="24"/>
                <w:sz w:val="24"/>
                <w:szCs w:val="24"/>
              </w:rPr>
              <w:t>27°30'45.09"北109°57'20.93"东</w:t>
            </w:r>
          </w:p>
        </w:tc>
        <w:tc>
          <w:tcPr>
            <w:tcW w:w="1395" w:type="dxa"/>
            <w:vMerge w:val="continue"/>
            <w:vAlign w:val="center"/>
          </w:tcPr>
          <w:p w14:paraId="08DB3C0B">
            <w:pPr>
              <w:jc w:val="center"/>
              <w:rPr>
                <w:rFonts w:hint="default" w:ascii="Times New Roman" w:hAnsi="Times New Roman" w:eastAsia="仿宋" w:cs="Times New Roman"/>
                <w:b/>
                <w:color w:val="auto"/>
                <w:kern w:val="1"/>
                <w:sz w:val="24"/>
                <w:szCs w:val="24"/>
              </w:rPr>
            </w:pPr>
          </w:p>
        </w:tc>
        <w:tc>
          <w:tcPr>
            <w:tcW w:w="958" w:type="dxa"/>
            <w:vMerge w:val="continue"/>
            <w:vAlign w:val="center"/>
          </w:tcPr>
          <w:p w14:paraId="46B0D556">
            <w:pPr>
              <w:jc w:val="center"/>
              <w:rPr>
                <w:rFonts w:hint="default" w:ascii="Times New Roman" w:hAnsi="Times New Roman" w:eastAsia="仿宋" w:cs="Times New Roman"/>
                <w:b/>
                <w:color w:val="auto"/>
                <w:kern w:val="1"/>
                <w:sz w:val="24"/>
                <w:szCs w:val="24"/>
              </w:rPr>
            </w:pPr>
          </w:p>
        </w:tc>
      </w:tr>
      <w:tr w14:paraId="4BF45C4C">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6" w:hRule="atLeast"/>
          <w:jc w:val="center"/>
        </w:trPr>
        <w:tc>
          <w:tcPr>
            <w:tcW w:w="0" w:type="auto"/>
            <w:vAlign w:val="center"/>
          </w:tcPr>
          <w:p w14:paraId="26E586AB">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W6</w:t>
            </w:r>
          </w:p>
        </w:tc>
        <w:tc>
          <w:tcPr>
            <w:tcW w:w="746" w:type="dxa"/>
            <w:vMerge w:val="continue"/>
            <w:vAlign w:val="center"/>
          </w:tcPr>
          <w:p w14:paraId="4AFC715F">
            <w:pPr>
              <w:jc w:val="center"/>
              <w:rPr>
                <w:rFonts w:hint="default" w:ascii="Times New Roman" w:hAnsi="Times New Roman" w:eastAsia="仿宋" w:cs="Times New Roman"/>
                <w:bCs/>
                <w:color w:val="auto"/>
                <w:sz w:val="24"/>
                <w:szCs w:val="24"/>
              </w:rPr>
            </w:pPr>
          </w:p>
        </w:tc>
        <w:tc>
          <w:tcPr>
            <w:tcW w:w="1740" w:type="dxa"/>
            <w:vAlign w:val="center"/>
          </w:tcPr>
          <w:p w14:paraId="29BD3C1E">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太平溪汇入舞水处下游2000m</w:t>
            </w:r>
          </w:p>
        </w:tc>
        <w:tc>
          <w:tcPr>
            <w:tcW w:w="1065" w:type="dxa"/>
            <w:vAlign w:val="center"/>
          </w:tcPr>
          <w:p w14:paraId="7B776ADC">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西南14000</w:t>
            </w:r>
          </w:p>
        </w:tc>
        <w:tc>
          <w:tcPr>
            <w:tcW w:w="2055" w:type="dxa"/>
            <w:vAlign w:val="center"/>
          </w:tcPr>
          <w:p w14:paraId="3BBCB40D">
            <w:pPr>
              <w:jc w:val="center"/>
              <w:rPr>
                <w:rFonts w:hint="default" w:ascii="Times New Roman" w:hAnsi="Times New Roman" w:eastAsia="仿宋" w:cs="Times New Roman"/>
                <w:bCs/>
                <w:color w:val="auto"/>
                <w:spacing w:val="6"/>
                <w:kern w:val="24"/>
                <w:sz w:val="24"/>
                <w:szCs w:val="24"/>
              </w:rPr>
            </w:pPr>
            <w:r>
              <w:rPr>
                <w:rFonts w:hint="default" w:ascii="Times New Roman" w:hAnsi="Times New Roman" w:eastAsia="仿宋" w:cs="Times New Roman"/>
                <w:bCs/>
                <w:color w:val="auto"/>
                <w:spacing w:val="6"/>
                <w:kern w:val="24"/>
                <w:sz w:val="24"/>
                <w:szCs w:val="24"/>
              </w:rPr>
              <w:t>27°29'43.79"北109°56'47.81"东</w:t>
            </w:r>
          </w:p>
        </w:tc>
        <w:tc>
          <w:tcPr>
            <w:tcW w:w="1395" w:type="dxa"/>
            <w:vMerge w:val="continue"/>
            <w:vAlign w:val="center"/>
          </w:tcPr>
          <w:p w14:paraId="3F410F27">
            <w:pPr>
              <w:jc w:val="center"/>
              <w:rPr>
                <w:rFonts w:hint="default" w:ascii="Times New Roman" w:hAnsi="Times New Roman" w:eastAsia="仿宋" w:cs="Times New Roman"/>
                <w:b/>
                <w:color w:val="auto"/>
                <w:kern w:val="1"/>
                <w:sz w:val="24"/>
                <w:szCs w:val="24"/>
              </w:rPr>
            </w:pPr>
          </w:p>
        </w:tc>
        <w:tc>
          <w:tcPr>
            <w:tcW w:w="958" w:type="dxa"/>
            <w:vMerge w:val="continue"/>
            <w:vAlign w:val="center"/>
          </w:tcPr>
          <w:p w14:paraId="1A2221B4">
            <w:pPr>
              <w:jc w:val="center"/>
              <w:rPr>
                <w:rFonts w:hint="default" w:ascii="Times New Roman" w:hAnsi="Times New Roman" w:eastAsia="仿宋" w:cs="Times New Roman"/>
                <w:b/>
                <w:color w:val="auto"/>
                <w:kern w:val="1"/>
                <w:sz w:val="24"/>
                <w:szCs w:val="24"/>
              </w:rPr>
            </w:pPr>
          </w:p>
        </w:tc>
      </w:tr>
      <w:tr w14:paraId="787B9BF3">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0" w:type="auto"/>
            <w:vAlign w:val="center"/>
          </w:tcPr>
          <w:p w14:paraId="1E1CD5B8">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W7</w:t>
            </w:r>
          </w:p>
        </w:tc>
        <w:tc>
          <w:tcPr>
            <w:tcW w:w="746" w:type="dxa"/>
            <w:vMerge w:val="continue"/>
            <w:vAlign w:val="center"/>
          </w:tcPr>
          <w:p w14:paraId="2517D3A4">
            <w:pPr>
              <w:jc w:val="center"/>
              <w:rPr>
                <w:rFonts w:hint="default" w:ascii="Times New Roman" w:hAnsi="Times New Roman" w:eastAsia="仿宋" w:cs="Times New Roman"/>
                <w:bCs/>
                <w:color w:val="auto"/>
                <w:sz w:val="24"/>
                <w:szCs w:val="24"/>
              </w:rPr>
            </w:pPr>
          </w:p>
        </w:tc>
        <w:tc>
          <w:tcPr>
            <w:tcW w:w="1740" w:type="dxa"/>
            <w:vAlign w:val="center"/>
          </w:tcPr>
          <w:p w14:paraId="2255D64B">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三角滩电站大坝处断面</w:t>
            </w:r>
          </w:p>
        </w:tc>
        <w:tc>
          <w:tcPr>
            <w:tcW w:w="1065" w:type="dxa"/>
            <w:vAlign w:val="center"/>
          </w:tcPr>
          <w:p w14:paraId="21454D28">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西南19000</w:t>
            </w:r>
          </w:p>
        </w:tc>
        <w:tc>
          <w:tcPr>
            <w:tcW w:w="2055" w:type="dxa"/>
            <w:vAlign w:val="center"/>
          </w:tcPr>
          <w:p w14:paraId="09534800">
            <w:pPr>
              <w:jc w:val="center"/>
              <w:rPr>
                <w:rFonts w:hint="default" w:ascii="Times New Roman" w:hAnsi="Times New Roman" w:eastAsia="仿宋" w:cs="Times New Roman"/>
                <w:bCs/>
                <w:color w:val="auto"/>
                <w:spacing w:val="6"/>
                <w:kern w:val="24"/>
                <w:sz w:val="24"/>
                <w:szCs w:val="24"/>
              </w:rPr>
            </w:pPr>
            <w:r>
              <w:rPr>
                <w:rFonts w:hint="default" w:ascii="Times New Roman" w:hAnsi="Times New Roman" w:eastAsia="仿宋" w:cs="Times New Roman"/>
                <w:bCs/>
                <w:color w:val="auto"/>
                <w:spacing w:val="6"/>
                <w:kern w:val="24"/>
                <w:sz w:val="24"/>
                <w:szCs w:val="24"/>
              </w:rPr>
              <w:t>27°27'1.46"北109°55'14.09"东</w:t>
            </w:r>
          </w:p>
        </w:tc>
        <w:tc>
          <w:tcPr>
            <w:tcW w:w="1395" w:type="dxa"/>
            <w:vMerge w:val="continue"/>
            <w:vAlign w:val="center"/>
          </w:tcPr>
          <w:p w14:paraId="5D2A3071">
            <w:pPr>
              <w:jc w:val="center"/>
              <w:rPr>
                <w:rFonts w:hint="default" w:ascii="Times New Roman" w:hAnsi="Times New Roman" w:eastAsia="仿宋" w:cs="Times New Roman"/>
                <w:b/>
                <w:color w:val="auto"/>
                <w:kern w:val="1"/>
                <w:sz w:val="24"/>
                <w:szCs w:val="24"/>
              </w:rPr>
            </w:pPr>
          </w:p>
        </w:tc>
        <w:tc>
          <w:tcPr>
            <w:tcW w:w="958" w:type="dxa"/>
            <w:vMerge w:val="continue"/>
            <w:vAlign w:val="center"/>
          </w:tcPr>
          <w:p w14:paraId="140F0A2F">
            <w:pPr>
              <w:jc w:val="center"/>
              <w:rPr>
                <w:rFonts w:hint="default" w:ascii="Times New Roman" w:hAnsi="Times New Roman" w:eastAsia="仿宋" w:cs="Times New Roman"/>
                <w:b/>
                <w:color w:val="auto"/>
                <w:kern w:val="1"/>
                <w:sz w:val="24"/>
                <w:szCs w:val="24"/>
              </w:rPr>
            </w:pPr>
          </w:p>
        </w:tc>
      </w:tr>
      <w:tr w14:paraId="232C542A">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0" w:type="auto"/>
            <w:vAlign w:val="center"/>
          </w:tcPr>
          <w:p w14:paraId="0CE78752">
            <w:pPr>
              <w:jc w:val="center"/>
              <w:rPr>
                <w:rFonts w:hint="default" w:ascii="Times New Roman" w:hAnsi="Times New Roman" w:eastAsia="仿宋" w:cs="Times New Roman"/>
                <w:bCs/>
                <w:color w:val="auto"/>
                <w:kern w:val="1"/>
                <w:sz w:val="24"/>
                <w:szCs w:val="24"/>
              </w:rPr>
            </w:pPr>
            <w:r>
              <w:rPr>
                <w:rFonts w:hint="default" w:ascii="Times New Roman" w:hAnsi="Times New Roman" w:eastAsia="仿宋" w:cs="Times New Roman"/>
                <w:bCs/>
                <w:color w:val="auto"/>
                <w:kern w:val="1"/>
                <w:sz w:val="24"/>
                <w:szCs w:val="24"/>
              </w:rPr>
              <w:t>W8</w:t>
            </w:r>
          </w:p>
        </w:tc>
        <w:tc>
          <w:tcPr>
            <w:tcW w:w="746" w:type="dxa"/>
            <w:vAlign w:val="center"/>
          </w:tcPr>
          <w:p w14:paraId="089F7BA8">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坨院溪</w:t>
            </w:r>
          </w:p>
        </w:tc>
        <w:tc>
          <w:tcPr>
            <w:tcW w:w="1740" w:type="dxa"/>
            <w:vAlign w:val="center"/>
          </w:tcPr>
          <w:p w14:paraId="2FF9F453">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坨院溪工业集中区下游断面</w:t>
            </w:r>
          </w:p>
        </w:tc>
        <w:tc>
          <w:tcPr>
            <w:tcW w:w="1065" w:type="dxa"/>
            <w:vAlign w:val="center"/>
          </w:tcPr>
          <w:p w14:paraId="5B3D22A7">
            <w:pPr>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南750</w:t>
            </w:r>
          </w:p>
        </w:tc>
        <w:tc>
          <w:tcPr>
            <w:tcW w:w="2055" w:type="dxa"/>
            <w:vAlign w:val="center"/>
          </w:tcPr>
          <w:p w14:paraId="4BC51C33">
            <w:pPr>
              <w:jc w:val="center"/>
              <w:rPr>
                <w:rFonts w:hint="default" w:ascii="Times New Roman" w:hAnsi="Times New Roman" w:eastAsia="仿宋" w:cs="Times New Roman"/>
                <w:bCs/>
                <w:color w:val="auto"/>
                <w:spacing w:val="6"/>
                <w:kern w:val="24"/>
                <w:sz w:val="24"/>
                <w:szCs w:val="24"/>
              </w:rPr>
            </w:pPr>
            <w:r>
              <w:rPr>
                <w:rFonts w:hint="default" w:ascii="Times New Roman" w:hAnsi="Times New Roman" w:eastAsia="仿宋" w:cs="Times New Roman"/>
                <w:bCs/>
                <w:color w:val="auto"/>
                <w:spacing w:val="6"/>
                <w:kern w:val="24"/>
                <w:sz w:val="24"/>
                <w:szCs w:val="24"/>
              </w:rPr>
              <w:t>27°34'13.99"北110° 3'2.29"东</w:t>
            </w:r>
          </w:p>
        </w:tc>
        <w:tc>
          <w:tcPr>
            <w:tcW w:w="1395" w:type="dxa"/>
            <w:vMerge w:val="continue"/>
            <w:vAlign w:val="center"/>
          </w:tcPr>
          <w:p w14:paraId="4B87B610">
            <w:pPr>
              <w:jc w:val="center"/>
              <w:rPr>
                <w:rFonts w:hint="default" w:ascii="Times New Roman" w:hAnsi="Times New Roman" w:eastAsia="仿宋" w:cs="Times New Roman"/>
                <w:b/>
                <w:color w:val="auto"/>
                <w:kern w:val="1"/>
                <w:sz w:val="24"/>
                <w:szCs w:val="24"/>
              </w:rPr>
            </w:pPr>
          </w:p>
        </w:tc>
        <w:tc>
          <w:tcPr>
            <w:tcW w:w="958" w:type="dxa"/>
            <w:vMerge w:val="continue"/>
            <w:vAlign w:val="center"/>
          </w:tcPr>
          <w:p w14:paraId="41C52F9C">
            <w:pPr>
              <w:jc w:val="center"/>
              <w:rPr>
                <w:rFonts w:hint="default" w:ascii="Times New Roman" w:hAnsi="Times New Roman" w:eastAsia="仿宋" w:cs="Times New Roman"/>
                <w:b/>
                <w:color w:val="auto"/>
                <w:kern w:val="1"/>
                <w:sz w:val="24"/>
                <w:szCs w:val="24"/>
              </w:rPr>
            </w:pPr>
          </w:p>
        </w:tc>
      </w:tr>
    </w:tbl>
    <w:p w14:paraId="27E1B621">
      <w:pPr>
        <w:pStyle w:val="2"/>
        <w:keepNext w:val="0"/>
        <w:keepLines w:val="0"/>
        <w:pageBreakBefore w:val="0"/>
        <w:widowControl w:val="0"/>
        <w:kinsoku/>
        <w:wordWrap/>
        <w:overflowPunct/>
        <w:topLinePunct w:val="0"/>
        <w:autoSpaceDE/>
        <w:autoSpaceDN/>
        <w:bidi w:val="0"/>
        <w:adjustRightInd/>
        <w:snapToGrid/>
        <w:spacing w:after="0" w:line="360" w:lineRule="auto"/>
        <w:ind w:leftChars="0" w:firstLine="0" w:firstLineChars="0"/>
        <w:textAlignment w:val="auto"/>
        <w:rPr>
          <w:rFonts w:hint="default" w:ascii="Times New Roman" w:hAnsi="Times New Roman" w:eastAsia="仿宋" w:cs="Times New Roman"/>
          <w:b/>
          <w:color w:val="auto"/>
          <w:sz w:val="28"/>
          <w:szCs w:val="28"/>
        </w:rPr>
      </w:pPr>
      <w:r>
        <w:rPr>
          <w:rFonts w:hint="default" w:ascii="Times New Roman" w:hAnsi="Times New Roman" w:eastAsia="仿宋" w:cs="Times New Roman"/>
          <w:b/>
          <w:color w:val="auto"/>
          <w:sz w:val="28"/>
          <w:szCs w:val="28"/>
        </w:rPr>
        <w:t>（2）落实情况</w:t>
      </w:r>
    </w:p>
    <w:p w14:paraId="0C725B9C">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highlight w:val="yellow"/>
        </w:rPr>
      </w:pP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sz w:val="28"/>
          <w:szCs w:val="28"/>
        </w:rPr>
        <w:t>本年度对区域环境质量监测已按照园区环境影响跟踪评价报告监测计划要求落实到位，委托有资质监测单位于202</w:t>
      </w:r>
      <w:r>
        <w:rPr>
          <w:rFonts w:hint="eastAsia" w:ascii="Times New Roman" w:hAnsi="Times New Roman" w:eastAsia="仿宋" w:cs="Times New Roman"/>
          <w:color w:val="auto"/>
          <w:sz w:val="28"/>
          <w:szCs w:val="28"/>
          <w:lang w:val="en-US" w:eastAsia="zh-CN"/>
        </w:rPr>
        <w:t>5</w:t>
      </w:r>
      <w:r>
        <w:rPr>
          <w:rFonts w:hint="default" w:ascii="Times New Roman" w:hAnsi="Times New Roman" w:eastAsia="仿宋" w:cs="Times New Roman"/>
          <w:color w:val="auto"/>
          <w:sz w:val="28"/>
          <w:szCs w:val="28"/>
        </w:rPr>
        <w:t>年</w:t>
      </w:r>
      <w:r>
        <w:rPr>
          <w:rFonts w:hint="default" w:ascii="Times New Roman" w:hAnsi="Times New Roman" w:eastAsia="仿宋" w:cs="Times New Roman"/>
          <w:color w:val="auto"/>
          <w:sz w:val="28"/>
          <w:szCs w:val="28"/>
          <w:lang w:val="en-US" w:eastAsia="zh-CN"/>
        </w:rPr>
        <w:t>6</w:t>
      </w:r>
      <w:r>
        <w:rPr>
          <w:rFonts w:hint="default" w:ascii="Times New Roman" w:hAnsi="Times New Roman" w:eastAsia="仿宋" w:cs="Times New Roman"/>
          <w:color w:val="auto"/>
          <w:sz w:val="28"/>
          <w:szCs w:val="28"/>
        </w:rPr>
        <w:t>月份对园区环境质量开展了自行监测</w:t>
      </w:r>
      <w:r>
        <w:rPr>
          <w:rFonts w:hint="default" w:ascii="Times New Roman" w:hAnsi="Times New Roman" w:eastAsia="仿宋" w:cs="Times New Roman"/>
          <w:color w:val="auto"/>
          <w:sz w:val="28"/>
          <w:szCs w:val="28"/>
          <w:highlight w:val="none"/>
        </w:rPr>
        <w:t>。</w:t>
      </w:r>
    </w:p>
    <w:p w14:paraId="0835C721">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园区2025年度环境质量自行监测结果如下：</w:t>
      </w:r>
    </w:p>
    <w:p w14:paraId="7E543F63">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1、环境空气</w:t>
      </w:r>
    </w:p>
    <w:p w14:paraId="1F8C169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1）监测点位。本次环境空气质量监测在怀化高新技术产业开发区鹤城片区设6个点位（点位名称分别为：G1阳塘村3组、G2阳塘村10组、G3鹤城区政府、G4城东新区、G5大桥村、G6坨院村），G1、G2、G3、G4监测因子为TVOC、二甲苯；G5、G6监测因子为TVOC。共连续监测3天。</w:t>
      </w:r>
    </w:p>
    <w:p w14:paraId="6946BA4B">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（2）监测结果。监测结果表明，监测时间段内TVOC、二甲苯满足《环境影响评价技术导则 大气环境》（HJ2.2-2018）表D. 1其他污染物空气质量浓度参考限值要求。</w:t>
      </w:r>
    </w:p>
    <w:p w14:paraId="19A05166">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2、声环境</w:t>
      </w:r>
    </w:p>
    <w:p w14:paraId="59530BE1">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（1）监测点位。本次环境噪声监测在</w:t>
      </w: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b w:val="0"/>
          <w:bCs/>
          <w:color w:val="auto"/>
          <w:sz w:val="28"/>
          <w:szCs w:val="28"/>
          <w:lang w:val="en-US" w:eastAsia="zh-CN"/>
        </w:rPr>
        <w:t>共设置6个点位，点位名称分别为：N1东边界大桥村居民点、N2南边界坨院村居民点、N3西边界金海小区居民点、N4北边界、N5园区内南侧坨院村居民点、N6园区内西侧金海村蒋家组居民点。所有点位均昼夜监测连续等效A声级，连续监测2天。</w:t>
      </w:r>
    </w:p>
    <w:p w14:paraId="21B21E96">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（2）监测结果。监测结果表明，监测时间内所有点位昼夜噪声监测值均符合《声环境质量标准》（GB3096-2008）2类标准要求。</w:t>
      </w:r>
    </w:p>
    <w:p w14:paraId="4C718A78">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3、地表水环境</w:t>
      </w:r>
    </w:p>
    <w:p w14:paraId="63E6744D">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（1）监测点位。本次地表水环境监测在</w:t>
      </w: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b w:val="0"/>
          <w:bCs/>
          <w:color w:val="auto"/>
          <w:sz w:val="28"/>
          <w:szCs w:val="28"/>
          <w:lang w:val="en-US" w:eastAsia="zh-CN"/>
        </w:rPr>
        <w:t>共设置8个相关断面（断面名称分别为：W1坨院溪工业集中区上游断面、W2太平溪坨院溪汇入口上游500m、W3太平溪坨院溪汇入口下游500m、W4太平溪怀化市污水处理厂上游500m、W5太平溪汇入舞水处上游500m、W6太平溪汇入舞水处下游2000m、W7舞水三角滩电站大坝处断面、W8 坨院溪工业集中区下游断面）。监测因子包括pH、水温、水深、流量、化学需氧量、五日生化需氧量、悬浮物、氨氮、氟化物、硫化物、铜、锌、砷、镉、铅、六价铬、汞、挥发酚、粪大肠菌群、石油类、动植物油，连续监测2天。</w:t>
      </w:r>
    </w:p>
    <w:p w14:paraId="52F0614E">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（2）监测结果。监测结果表明，监测时间段内各监测断面监测项目均能满足《地表水环境质量标准》（GB3838-2002）III类标准。</w:t>
      </w:r>
    </w:p>
    <w:p w14:paraId="59C7ED0A">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4、地下水环境</w:t>
      </w:r>
    </w:p>
    <w:p w14:paraId="09679BE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（1）监测点位。本次地下水环境质量监测，在</w:t>
      </w: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b w:val="0"/>
          <w:bCs/>
          <w:color w:val="auto"/>
          <w:sz w:val="28"/>
          <w:szCs w:val="28"/>
          <w:lang w:val="en-US" w:eastAsia="zh-CN"/>
        </w:rPr>
        <w:t>共设置5个点位（监测点位分别为：D1阳塘村10组水井、D2坨院村水井、D3岩添村水井、D4阳塘村3组水井、D5大桥村水井）。监测因子包括pH、总硬度、氨氮、六价铬、钙、钾、镁、钠、锌、镉、铅、菌落总数、高锰酸盐指数、氯化物、硝酸盐、硫酸盐、碳酸根、碳酸氢根。</w:t>
      </w:r>
    </w:p>
    <w:p w14:paraId="7D60642A">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（2）监测结果。监测结果表明，各监测点位监测项目均能满足《地下水质量标准》（GB/T 14848-2017）表1中Ⅲ类标准限值要求。</w:t>
      </w:r>
    </w:p>
    <w:p w14:paraId="7AB41576">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5、土壤环境</w:t>
      </w:r>
    </w:p>
    <w:p w14:paraId="5CA99FE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（1）监测点位。本次土壤环境监测在</w:t>
      </w: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b w:val="0"/>
          <w:bCs/>
          <w:color w:val="auto"/>
          <w:sz w:val="28"/>
          <w:szCs w:val="28"/>
          <w:lang w:val="en-US" w:eastAsia="zh-CN"/>
        </w:rPr>
        <w:t>内设置6个点（点位分别为：S1阳塘村10组自然山土、S2岩添村农田、S3岩添村自然土）。其中S1监测因子包括《土壤环境质量 建设用地土壤污染风险管控标准（试行）》（GB36600-2018）中的45项基本项目，S2-S3监测因子包括《土壤环境质量农用地土壤污染风险管控标准（试行）》（GB15618-2018）中的8项基本项目及pH。</w:t>
      </w:r>
    </w:p>
    <w:p w14:paraId="7AF721C3">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（2）监测结果。监测结果表明，</w:t>
      </w: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b w:val="0"/>
          <w:bCs/>
          <w:color w:val="auto"/>
          <w:sz w:val="28"/>
          <w:szCs w:val="28"/>
          <w:lang w:val="en-US" w:eastAsia="zh-CN"/>
        </w:rPr>
        <w:t>内土壤环境监测点位各监测指标均能满足《土壤环境质量 农用地土壤污染风险管控标准（试行）》（GB 15618-2018）风险筛选值、《土壤环境质量 建设用地土壤污染风险管控标准（试行）》（GB36600-2018）风险筛选值第二类用地标准限值。</w:t>
      </w:r>
    </w:p>
    <w:p w14:paraId="3454FD7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outlineLvl w:val="1"/>
        <w:rPr>
          <w:rFonts w:hint="default" w:ascii="Times New Roman" w:hAnsi="Times New Roman" w:eastAsia="仿宋" w:cs="Times New Roman"/>
          <w:b/>
          <w:color w:val="auto"/>
          <w:sz w:val="28"/>
          <w:szCs w:val="28"/>
        </w:rPr>
      </w:pPr>
      <w:bookmarkStart w:id="4" w:name="_Toc13981"/>
      <w:r>
        <w:rPr>
          <w:rFonts w:hint="default" w:ascii="Times New Roman" w:hAnsi="Times New Roman" w:eastAsia="仿宋" w:cs="Times New Roman"/>
          <w:b/>
          <w:color w:val="auto"/>
          <w:sz w:val="28"/>
          <w:szCs w:val="28"/>
        </w:rPr>
        <w:t>（二）“三线一单”落地应用情况</w:t>
      </w:r>
      <w:bookmarkEnd w:id="4"/>
    </w:p>
    <w:p w14:paraId="0DDB0E99">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《湖南省人民政府关于实施“三线一单”生态环境分区管控的意见》、《湖南省“三线一单”生态环境总体管控要求</w:t>
      </w:r>
      <w:r>
        <w:rPr>
          <w:rFonts w:hint="eastAsia" w:ascii="Times New Roman" w:hAnsi="Times New Roman" w:eastAsia="仿宋" w:cs="Times New Roman"/>
          <w:color w:val="auto"/>
          <w:sz w:val="28"/>
          <w:szCs w:val="28"/>
          <w:lang w:val="en-US" w:eastAsia="zh-CN"/>
        </w:rPr>
        <w:t>及</w:t>
      </w:r>
      <w:r>
        <w:rPr>
          <w:rFonts w:hint="default" w:ascii="Times New Roman" w:hAnsi="Times New Roman" w:eastAsia="仿宋" w:cs="Times New Roman"/>
          <w:color w:val="auto"/>
          <w:sz w:val="28"/>
          <w:szCs w:val="28"/>
        </w:rPr>
        <w:t>省级以上产业园区生态环境准入清单》等相关文件，明确了</w:t>
      </w: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sz w:val="28"/>
          <w:szCs w:val="28"/>
        </w:rPr>
        <w:t xml:space="preserve"> “三线一单”生态环境管控要求，见下表。</w:t>
      </w:r>
    </w:p>
    <w:p w14:paraId="2DF3C8D3">
      <w:pPr>
        <w:pStyle w:val="2"/>
        <w:snapToGrid w:val="0"/>
        <w:spacing w:after="0" w:line="360" w:lineRule="auto"/>
        <w:ind w:left="0" w:leftChars="0" w:firstLine="480"/>
        <w:rPr>
          <w:rFonts w:hint="default" w:ascii="Times New Roman" w:hAnsi="Times New Roman" w:eastAsia="仿宋" w:cs="Times New Roman"/>
          <w:color w:val="auto"/>
          <w:sz w:val="28"/>
          <w:szCs w:val="28"/>
        </w:rPr>
        <w:sectPr>
          <w:footerReference r:id="rId5" w:type="default"/>
          <w:pgSz w:w="11906" w:h="16838"/>
          <w:pgMar w:top="1440" w:right="1800" w:bottom="1440" w:left="1800" w:header="851" w:footer="992" w:gutter="0"/>
          <w:pgNumType w:start="1"/>
          <w:cols w:space="720" w:num="1"/>
          <w:docGrid w:type="lines" w:linePitch="312" w:charSpace="0"/>
        </w:sectPr>
      </w:pPr>
    </w:p>
    <w:p w14:paraId="2A01C6BE">
      <w:pPr>
        <w:pStyle w:val="2"/>
        <w:snapToGrid w:val="0"/>
        <w:spacing w:after="0"/>
        <w:ind w:left="0" w:leftChars="0" w:firstLine="2168" w:firstLineChars="900"/>
        <w:jc w:val="center"/>
        <w:rPr>
          <w:rFonts w:hint="default" w:ascii="Times New Roman" w:hAnsi="Times New Roman" w:eastAsia="仿宋" w:cs="Times New Roman"/>
          <w:b/>
          <w:color w:val="auto"/>
          <w:sz w:val="22"/>
          <w:szCs w:val="28"/>
        </w:rPr>
      </w:pPr>
      <w:r>
        <w:rPr>
          <w:rFonts w:hint="default" w:ascii="Times New Roman" w:hAnsi="Times New Roman" w:eastAsia="仿宋" w:cs="Times New Roman"/>
          <w:b/>
          <w:color w:val="auto"/>
          <w:sz w:val="24"/>
          <w:szCs w:val="32"/>
        </w:rPr>
        <w:t xml:space="preserve">表2-9  </w:t>
      </w:r>
      <w:r>
        <w:rPr>
          <w:rFonts w:hint="default" w:ascii="Times New Roman" w:hAnsi="Times New Roman" w:eastAsia="仿宋" w:cs="Times New Roman"/>
          <w:b/>
          <w:color w:val="auto"/>
          <w:sz w:val="24"/>
          <w:szCs w:val="32"/>
          <w:lang w:val="en-US" w:eastAsia="zh-CN"/>
        </w:rPr>
        <w:t xml:space="preserve"> 怀化高新技术产业开发区鹤城片区</w:t>
      </w:r>
      <w:r>
        <w:rPr>
          <w:rFonts w:hint="default" w:ascii="Times New Roman" w:hAnsi="Times New Roman" w:eastAsia="仿宋" w:cs="Times New Roman"/>
          <w:b/>
          <w:color w:val="auto"/>
          <w:sz w:val="24"/>
          <w:szCs w:val="32"/>
        </w:rPr>
        <w:t>“三线一单”环境管控要求</w:t>
      </w:r>
    </w:p>
    <w:tbl>
      <w:tblPr>
        <w:tblStyle w:val="19"/>
        <w:tblW w:w="0" w:type="auto"/>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6"/>
        <w:gridCol w:w="1114"/>
        <w:gridCol w:w="457"/>
        <w:gridCol w:w="563"/>
        <w:gridCol w:w="564"/>
        <w:gridCol w:w="702"/>
        <w:gridCol w:w="1109"/>
        <w:gridCol w:w="1121"/>
        <w:gridCol w:w="1403"/>
        <w:gridCol w:w="3888"/>
        <w:gridCol w:w="2117"/>
      </w:tblGrid>
      <w:tr w14:paraId="3B082BF1">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101" w:type="dxa"/>
            <w:vMerge w:val="restart"/>
            <w:noWrap w:val="0"/>
            <w:vAlign w:val="center"/>
          </w:tcPr>
          <w:p w14:paraId="02ED5DC7">
            <w:pPr>
              <w:widowControl w:val="0"/>
              <w:snapToGrid w:val="0"/>
              <w:spacing w:after="0"/>
              <w:ind w:left="0" w:leftChars="0" w:firstLine="0" w:firstLineChars="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环境管控单元编码</w:t>
            </w:r>
          </w:p>
        </w:tc>
        <w:tc>
          <w:tcPr>
            <w:tcW w:w="1134" w:type="dxa"/>
            <w:vMerge w:val="restart"/>
            <w:noWrap w:val="0"/>
            <w:vAlign w:val="center"/>
          </w:tcPr>
          <w:p w14:paraId="73F16B3B">
            <w:pPr>
              <w:widowControl w:val="0"/>
              <w:snapToGrid w:val="0"/>
              <w:spacing w:after="0"/>
              <w:ind w:left="0" w:leftChars="0" w:firstLine="0" w:firstLineChars="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单元名称</w:t>
            </w:r>
          </w:p>
        </w:tc>
        <w:tc>
          <w:tcPr>
            <w:tcW w:w="1559" w:type="dxa"/>
            <w:gridSpan w:val="3"/>
            <w:noWrap w:val="0"/>
            <w:vAlign w:val="center"/>
          </w:tcPr>
          <w:p w14:paraId="3DBB2321">
            <w:pPr>
              <w:widowControl w:val="0"/>
              <w:snapToGrid w:val="0"/>
              <w:spacing w:after="0"/>
              <w:ind w:left="0" w:leftChars="0" w:firstLine="0" w:firstLineChars="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行政区划</w:t>
            </w:r>
          </w:p>
        </w:tc>
        <w:tc>
          <w:tcPr>
            <w:tcW w:w="709" w:type="dxa"/>
            <w:vMerge w:val="restart"/>
            <w:noWrap w:val="0"/>
            <w:vAlign w:val="center"/>
          </w:tcPr>
          <w:p w14:paraId="03A0EE75">
            <w:pPr>
              <w:widowControl w:val="0"/>
              <w:snapToGrid w:val="0"/>
              <w:spacing w:after="0"/>
              <w:ind w:left="0" w:leftChars="0" w:firstLine="0" w:firstLineChars="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单元</w:t>
            </w:r>
          </w:p>
          <w:p w14:paraId="4BC0FF9C">
            <w:pPr>
              <w:widowControl w:val="0"/>
              <w:snapToGrid w:val="0"/>
              <w:spacing w:after="0"/>
              <w:ind w:left="0" w:leftChars="0" w:firstLine="0" w:firstLineChars="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分类</w:t>
            </w:r>
          </w:p>
        </w:tc>
        <w:tc>
          <w:tcPr>
            <w:tcW w:w="992" w:type="dxa"/>
            <w:vMerge w:val="restart"/>
            <w:noWrap w:val="0"/>
            <w:vAlign w:val="center"/>
          </w:tcPr>
          <w:p w14:paraId="0A4E93E9">
            <w:pPr>
              <w:widowControl w:val="0"/>
              <w:snapToGrid w:val="0"/>
              <w:spacing w:after="0"/>
              <w:ind w:left="0" w:leftChars="0" w:firstLine="0" w:firstLineChars="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单元面积（km</w:t>
            </w:r>
            <w:r>
              <w:rPr>
                <w:rFonts w:hint="default" w:ascii="Times New Roman" w:hAnsi="Times New Roman" w:eastAsia="仿宋" w:cs="Times New Roman"/>
                <w:b/>
                <w:bCs/>
                <w:color w:val="auto"/>
                <w:kern w:val="2"/>
                <w:sz w:val="24"/>
                <w:szCs w:val="24"/>
                <w:vertAlign w:val="superscript"/>
                <w:lang w:val="en-US" w:eastAsia="zh-CN" w:bidi="ar-SA"/>
              </w:rPr>
              <w:t>2</w:t>
            </w:r>
            <w:r>
              <w:rPr>
                <w:rFonts w:hint="default" w:ascii="Times New Roman" w:hAnsi="Times New Roman" w:eastAsia="仿宋" w:cs="Times New Roman"/>
                <w:b/>
                <w:bCs/>
                <w:color w:val="auto"/>
                <w:kern w:val="2"/>
                <w:sz w:val="24"/>
                <w:szCs w:val="24"/>
                <w:lang w:val="en-US" w:eastAsia="zh-CN" w:bidi="ar-SA"/>
              </w:rPr>
              <w:t>）</w:t>
            </w:r>
          </w:p>
        </w:tc>
        <w:tc>
          <w:tcPr>
            <w:tcW w:w="1134" w:type="dxa"/>
            <w:vMerge w:val="restart"/>
            <w:noWrap w:val="0"/>
            <w:vAlign w:val="center"/>
          </w:tcPr>
          <w:p w14:paraId="1DDB40D7">
            <w:pPr>
              <w:widowControl w:val="0"/>
              <w:snapToGrid w:val="0"/>
              <w:spacing w:after="0"/>
              <w:ind w:left="0" w:leftChars="0" w:firstLine="0" w:firstLineChars="0"/>
              <w:jc w:val="both"/>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涉及乡镇（街道）</w:t>
            </w:r>
          </w:p>
        </w:tc>
        <w:tc>
          <w:tcPr>
            <w:tcW w:w="1417" w:type="dxa"/>
            <w:vMerge w:val="restart"/>
            <w:noWrap w:val="0"/>
            <w:vAlign w:val="center"/>
          </w:tcPr>
          <w:p w14:paraId="0A26CD38">
            <w:pPr>
              <w:widowControl w:val="0"/>
              <w:snapToGrid w:val="0"/>
              <w:spacing w:after="0"/>
              <w:ind w:left="0" w:leftChars="0" w:firstLine="0" w:firstLineChars="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区域主体功能定位</w:t>
            </w:r>
          </w:p>
        </w:tc>
        <w:tc>
          <w:tcPr>
            <w:tcW w:w="3969" w:type="dxa"/>
            <w:vMerge w:val="restart"/>
            <w:noWrap w:val="0"/>
            <w:vAlign w:val="center"/>
          </w:tcPr>
          <w:p w14:paraId="2A40F816">
            <w:pPr>
              <w:widowControl w:val="0"/>
              <w:snapToGrid w:val="0"/>
              <w:spacing w:after="0"/>
              <w:ind w:left="0" w:leftChars="0" w:firstLine="0" w:firstLineChars="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主导产业</w:t>
            </w:r>
          </w:p>
        </w:tc>
        <w:tc>
          <w:tcPr>
            <w:tcW w:w="2159" w:type="dxa"/>
            <w:vMerge w:val="restart"/>
            <w:noWrap w:val="0"/>
            <w:vAlign w:val="center"/>
          </w:tcPr>
          <w:p w14:paraId="4FC09E2F">
            <w:pPr>
              <w:widowControl w:val="0"/>
              <w:snapToGrid w:val="0"/>
              <w:spacing w:after="0"/>
              <w:ind w:left="0" w:leftChars="0" w:firstLine="0" w:firstLineChars="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主要环境问题和重要敏感目标</w:t>
            </w:r>
          </w:p>
        </w:tc>
      </w:tr>
      <w:tr w14:paraId="72AE45FA">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101" w:type="dxa"/>
            <w:vMerge w:val="continue"/>
            <w:noWrap w:val="0"/>
            <w:vAlign w:val="center"/>
          </w:tcPr>
          <w:p w14:paraId="73961282">
            <w:pPr>
              <w:widowControl w:val="0"/>
              <w:snapToGrid w:val="0"/>
              <w:spacing w:after="0"/>
              <w:ind w:left="0" w:leftChars="0" w:firstLine="0" w:firstLineChars="0"/>
              <w:jc w:val="center"/>
              <w:rPr>
                <w:rFonts w:hint="default" w:ascii="Times New Roman" w:hAnsi="Times New Roman" w:eastAsia="仿宋" w:cs="Times New Roman"/>
                <w:color w:val="auto"/>
                <w:kern w:val="2"/>
                <w:sz w:val="24"/>
                <w:szCs w:val="24"/>
                <w:lang w:val="en-US" w:eastAsia="zh-CN" w:bidi="ar-SA"/>
              </w:rPr>
            </w:pPr>
          </w:p>
        </w:tc>
        <w:tc>
          <w:tcPr>
            <w:tcW w:w="1134" w:type="dxa"/>
            <w:vMerge w:val="continue"/>
            <w:noWrap w:val="0"/>
            <w:vAlign w:val="center"/>
          </w:tcPr>
          <w:p w14:paraId="4D4F9854">
            <w:pPr>
              <w:widowControl w:val="0"/>
              <w:snapToGrid w:val="0"/>
              <w:spacing w:after="0"/>
              <w:ind w:left="0" w:leftChars="0" w:firstLine="0" w:firstLineChars="0"/>
              <w:jc w:val="center"/>
              <w:rPr>
                <w:rFonts w:hint="default" w:ascii="Times New Roman" w:hAnsi="Times New Roman" w:eastAsia="仿宋" w:cs="Times New Roman"/>
                <w:color w:val="auto"/>
                <w:kern w:val="2"/>
                <w:sz w:val="24"/>
                <w:szCs w:val="24"/>
                <w:lang w:val="en-US" w:eastAsia="zh-CN" w:bidi="ar-SA"/>
              </w:rPr>
            </w:pPr>
          </w:p>
        </w:tc>
        <w:tc>
          <w:tcPr>
            <w:tcW w:w="426" w:type="dxa"/>
            <w:noWrap w:val="0"/>
            <w:vAlign w:val="center"/>
          </w:tcPr>
          <w:p w14:paraId="4B25EED7">
            <w:pPr>
              <w:widowControl w:val="0"/>
              <w:snapToGrid w:val="0"/>
              <w:spacing w:after="0"/>
              <w:ind w:left="0" w:leftChars="0" w:firstLine="0" w:firstLineChars="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省</w:t>
            </w:r>
          </w:p>
        </w:tc>
        <w:tc>
          <w:tcPr>
            <w:tcW w:w="566" w:type="dxa"/>
            <w:noWrap w:val="0"/>
            <w:vAlign w:val="center"/>
          </w:tcPr>
          <w:p w14:paraId="17FE8C0C">
            <w:pPr>
              <w:widowControl w:val="0"/>
              <w:snapToGrid w:val="0"/>
              <w:spacing w:after="0"/>
              <w:ind w:left="0" w:leftChars="0" w:firstLine="0" w:firstLineChars="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市</w:t>
            </w:r>
          </w:p>
        </w:tc>
        <w:tc>
          <w:tcPr>
            <w:tcW w:w="567" w:type="dxa"/>
            <w:noWrap w:val="0"/>
            <w:vAlign w:val="center"/>
          </w:tcPr>
          <w:p w14:paraId="649E4B30">
            <w:pPr>
              <w:widowControl w:val="0"/>
              <w:snapToGrid w:val="0"/>
              <w:spacing w:after="0"/>
              <w:ind w:left="0" w:leftChars="0" w:firstLine="0" w:firstLineChars="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县</w:t>
            </w:r>
          </w:p>
        </w:tc>
        <w:tc>
          <w:tcPr>
            <w:tcW w:w="709" w:type="dxa"/>
            <w:vMerge w:val="continue"/>
            <w:noWrap w:val="0"/>
            <w:vAlign w:val="center"/>
          </w:tcPr>
          <w:p w14:paraId="31D06C0F">
            <w:pPr>
              <w:widowControl w:val="0"/>
              <w:snapToGrid w:val="0"/>
              <w:spacing w:after="0"/>
              <w:ind w:left="0" w:leftChars="0" w:firstLine="0" w:firstLineChars="0"/>
              <w:jc w:val="center"/>
              <w:rPr>
                <w:rFonts w:hint="default" w:ascii="Times New Roman" w:hAnsi="Times New Roman" w:eastAsia="仿宋" w:cs="Times New Roman"/>
                <w:color w:val="auto"/>
                <w:kern w:val="2"/>
                <w:sz w:val="24"/>
                <w:szCs w:val="24"/>
                <w:lang w:val="en-US" w:eastAsia="zh-CN" w:bidi="ar-SA"/>
              </w:rPr>
            </w:pPr>
          </w:p>
        </w:tc>
        <w:tc>
          <w:tcPr>
            <w:tcW w:w="992" w:type="dxa"/>
            <w:vMerge w:val="continue"/>
            <w:noWrap w:val="0"/>
            <w:vAlign w:val="center"/>
          </w:tcPr>
          <w:p w14:paraId="6F7BCB3E">
            <w:pPr>
              <w:widowControl w:val="0"/>
              <w:snapToGrid w:val="0"/>
              <w:spacing w:after="0"/>
              <w:ind w:left="0" w:leftChars="0" w:firstLine="0" w:firstLineChars="0"/>
              <w:jc w:val="center"/>
              <w:rPr>
                <w:rFonts w:hint="default" w:ascii="Times New Roman" w:hAnsi="Times New Roman" w:eastAsia="仿宋" w:cs="Times New Roman"/>
                <w:color w:val="auto"/>
                <w:kern w:val="2"/>
                <w:sz w:val="24"/>
                <w:szCs w:val="24"/>
                <w:lang w:val="en-US" w:eastAsia="zh-CN" w:bidi="ar-SA"/>
              </w:rPr>
            </w:pPr>
          </w:p>
        </w:tc>
        <w:tc>
          <w:tcPr>
            <w:tcW w:w="1134" w:type="dxa"/>
            <w:vMerge w:val="continue"/>
            <w:noWrap w:val="0"/>
            <w:vAlign w:val="center"/>
          </w:tcPr>
          <w:p w14:paraId="4B6CA88B">
            <w:pPr>
              <w:widowControl w:val="0"/>
              <w:snapToGrid w:val="0"/>
              <w:spacing w:after="0"/>
              <w:ind w:left="0" w:leftChars="0" w:firstLine="0" w:firstLineChars="0"/>
              <w:jc w:val="center"/>
              <w:rPr>
                <w:rFonts w:hint="default" w:ascii="Times New Roman" w:hAnsi="Times New Roman" w:eastAsia="仿宋" w:cs="Times New Roman"/>
                <w:color w:val="auto"/>
                <w:kern w:val="2"/>
                <w:sz w:val="24"/>
                <w:szCs w:val="24"/>
                <w:lang w:val="en-US" w:eastAsia="zh-CN" w:bidi="ar-SA"/>
              </w:rPr>
            </w:pPr>
          </w:p>
        </w:tc>
        <w:tc>
          <w:tcPr>
            <w:tcW w:w="1417" w:type="dxa"/>
            <w:vMerge w:val="continue"/>
            <w:noWrap w:val="0"/>
            <w:vAlign w:val="center"/>
          </w:tcPr>
          <w:p w14:paraId="1CF7436F">
            <w:pPr>
              <w:widowControl w:val="0"/>
              <w:snapToGrid w:val="0"/>
              <w:spacing w:after="0"/>
              <w:ind w:left="0" w:leftChars="0" w:firstLine="0" w:firstLineChars="0"/>
              <w:jc w:val="center"/>
              <w:rPr>
                <w:rFonts w:hint="default" w:ascii="Times New Roman" w:hAnsi="Times New Roman" w:eastAsia="仿宋" w:cs="Times New Roman"/>
                <w:color w:val="auto"/>
                <w:kern w:val="2"/>
                <w:sz w:val="24"/>
                <w:szCs w:val="24"/>
                <w:lang w:val="en-US" w:eastAsia="zh-CN" w:bidi="ar-SA"/>
              </w:rPr>
            </w:pPr>
          </w:p>
        </w:tc>
        <w:tc>
          <w:tcPr>
            <w:tcW w:w="3969" w:type="dxa"/>
            <w:vMerge w:val="continue"/>
            <w:noWrap w:val="0"/>
            <w:vAlign w:val="center"/>
          </w:tcPr>
          <w:p w14:paraId="6662533D">
            <w:pPr>
              <w:widowControl w:val="0"/>
              <w:snapToGrid w:val="0"/>
              <w:spacing w:after="0"/>
              <w:ind w:left="0" w:leftChars="0" w:firstLine="0" w:firstLineChars="0"/>
              <w:jc w:val="center"/>
              <w:rPr>
                <w:rFonts w:hint="default" w:ascii="Times New Roman" w:hAnsi="Times New Roman" w:eastAsia="仿宋" w:cs="Times New Roman"/>
                <w:color w:val="auto"/>
                <w:kern w:val="2"/>
                <w:sz w:val="24"/>
                <w:szCs w:val="24"/>
                <w:lang w:val="en-US" w:eastAsia="zh-CN" w:bidi="ar-SA"/>
              </w:rPr>
            </w:pPr>
          </w:p>
        </w:tc>
        <w:tc>
          <w:tcPr>
            <w:tcW w:w="2159" w:type="dxa"/>
            <w:vMerge w:val="continue"/>
            <w:noWrap w:val="0"/>
            <w:vAlign w:val="center"/>
          </w:tcPr>
          <w:p w14:paraId="5D1D9144">
            <w:pPr>
              <w:widowControl w:val="0"/>
              <w:snapToGrid w:val="0"/>
              <w:spacing w:after="0"/>
              <w:ind w:left="0" w:leftChars="0" w:firstLine="0" w:firstLineChars="0"/>
              <w:jc w:val="center"/>
              <w:rPr>
                <w:rFonts w:hint="default" w:ascii="Times New Roman" w:hAnsi="Times New Roman" w:eastAsia="仿宋" w:cs="Times New Roman"/>
                <w:color w:val="auto"/>
                <w:kern w:val="2"/>
                <w:sz w:val="24"/>
                <w:szCs w:val="24"/>
                <w:lang w:val="en-US" w:eastAsia="zh-CN" w:bidi="ar-SA"/>
              </w:rPr>
            </w:pPr>
          </w:p>
        </w:tc>
      </w:tr>
      <w:tr w14:paraId="214E8DB9">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1101" w:type="dxa"/>
            <w:noWrap w:val="0"/>
            <w:vAlign w:val="center"/>
          </w:tcPr>
          <w:p w14:paraId="72993801">
            <w:pPr>
              <w:widowControl w:val="0"/>
              <w:snapToGrid w:val="0"/>
              <w:spacing w:after="0"/>
              <w:ind w:left="0" w:leftChars="0"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ZH43120 220002</w:t>
            </w:r>
          </w:p>
        </w:tc>
        <w:tc>
          <w:tcPr>
            <w:tcW w:w="1134" w:type="dxa"/>
            <w:noWrap w:val="0"/>
            <w:vAlign w:val="center"/>
          </w:tcPr>
          <w:p w14:paraId="58D1A922">
            <w:pPr>
              <w:widowControl w:val="0"/>
              <w:snapToGrid w:val="0"/>
              <w:spacing w:after="0"/>
              <w:ind w:left="0" w:leftChars="0"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鹤城工业集中区</w:t>
            </w:r>
          </w:p>
        </w:tc>
        <w:tc>
          <w:tcPr>
            <w:tcW w:w="426" w:type="dxa"/>
            <w:noWrap w:val="0"/>
            <w:vAlign w:val="center"/>
          </w:tcPr>
          <w:p w14:paraId="7935027A">
            <w:pPr>
              <w:widowControl w:val="0"/>
              <w:snapToGrid w:val="0"/>
              <w:spacing w:after="0"/>
              <w:ind w:left="0" w:leftChars="0"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湖南省</w:t>
            </w:r>
          </w:p>
        </w:tc>
        <w:tc>
          <w:tcPr>
            <w:tcW w:w="566" w:type="dxa"/>
            <w:noWrap w:val="0"/>
            <w:vAlign w:val="center"/>
          </w:tcPr>
          <w:p w14:paraId="6B59763D">
            <w:pPr>
              <w:widowControl w:val="0"/>
              <w:snapToGrid w:val="0"/>
              <w:spacing w:after="0"/>
              <w:ind w:left="0" w:leftChars="0"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怀化市</w:t>
            </w:r>
          </w:p>
        </w:tc>
        <w:tc>
          <w:tcPr>
            <w:tcW w:w="567" w:type="dxa"/>
            <w:noWrap w:val="0"/>
            <w:vAlign w:val="center"/>
          </w:tcPr>
          <w:p w14:paraId="5C60EDAC">
            <w:pPr>
              <w:widowControl w:val="0"/>
              <w:snapToGrid w:val="0"/>
              <w:spacing w:after="0"/>
              <w:ind w:left="0" w:leftChars="0"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鹤城区</w:t>
            </w:r>
          </w:p>
        </w:tc>
        <w:tc>
          <w:tcPr>
            <w:tcW w:w="709" w:type="dxa"/>
            <w:noWrap w:val="0"/>
            <w:vAlign w:val="center"/>
          </w:tcPr>
          <w:p w14:paraId="5EBB616C">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重点管控单元</w:t>
            </w:r>
          </w:p>
        </w:tc>
        <w:tc>
          <w:tcPr>
            <w:tcW w:w="992" w:type="dxa"/>
            <w:noWrap w:val="0"/>
            <w:vAlign w:val="center"/>
          </w:tcPr>
          <w:p w14:paraId="22D91A58">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核准范围：2.098</w:t>
            </w:r>
          </w:p>
        </w:tc>
        <w:tc>
          <w:tcPr>
            <w:tcW w:w="1134" w:type="dxa"/>
            <w:noWrap w:val="0"/>
            <w:vAlign w:val="center"/>
          </w:tcPr>
          <w:p w14:paraId="1FD151FC">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核准范围 （一区一 园）涉及坨院街道</w:t>
            </w:r>
          </w:p>
        </w:tc>
        <w:tc>
          <w:tcPr>
            <w:tcW w:w="1417" w:type="dxa"/>
            <w:noWrap w:val="0"/>
            <w:vAlign w:val="center"/>
          </w:tcPr>
          <w:p w14:paraId="7F87A87E">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省级重点开发区域 （2015 年 开始享受重点生态功能区生态补偿）</w:t>
            </w:r>
          </w:p>
        </w:tc>
        <w:tc>
          <w:tcPr>
            <w:tcW w:w="3969" w:type="dxa"/>
            <w:noWrap w:val="0"/>
            <w:vAlign w:val="top"/>
          </w:tcPr>
          <w:p w14:paraId="4F4B937E">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湘环评函〔2014〕71 号：机械设备制造业、医药产业（以中药饮片和医疗配套器械生产、研发为主，不涉及化学合成药生产）、绿色食品、现代物流；</w:t>
            </w:r>
          </w:p>
          <w:p w14:paraId="571FA431">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湘发改地区〔2012〕2054 号：通用设备制造、医药制造；</w:t>
            </w:r>
          </w:p>
          <w:p w14:paraId="6A1648ED">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湘园区〔2016〕4 号：通用设备制造产业（金属加工机械制造）；</w:t>
            </w:r>
          </w:p>
        </w:tc>
        <w:tc>
          <w:tcPr>
            <w:tcW w:w="2159" w:type="dxa"/>
            <w:noWrap w:val="0"/>
            <w:vAlign w:val="center"/>
          </w:tcPr>
          <w:p w14:paraId="62CEF4C3">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32"/>
                <w:lang w:val="en-US" w:eastAsia="zh-CN" w:bidi="ar-SA"/>
              </w:rPr>
            </w:pPr>
            <w:r>
              <w:rPr>
                <w:rFonts w:hint="default" w:ascii="Times New Roman" w:hAnsi="Times New Roman" w:eastAsia="仿宋" w:cs="Times New Roman"/>
                <w:color w:val="auto"/>
                <w:kern w:val="2"/>
                <w:sz w:val="24"/>
                <w:szCs w:val="32"/>
                <w:lang w:val="en-US" w:eastAsia="zh-CN" w:bidi="ar-SA"/>
              </w:rPr>
              <w:t>1.因水量受限，园区污水处理设施暂无法正常运营；</w:t>
            </w:r>
          </w:p>
          <w:p w14:paraId="307C0D01">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32"/>
                <w:lang w:val="en-US" w:eastAsia="zh-CN" w:bidi="ar-SA"/>
              </w:rPr>
              <w:t>2.园区位于怀化市主城区上风向。</w:t>
            </w:r>
          </w:p>
        </w:tc>
      </w:tr>
      <w:tr w14:paraId="78C17829">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101" w:type="dxa"/>
            <w:noWrap w:val="0"/>
            <w:vAlign w:val="center"/>
          </w:tcPr>
          <w:p w14:paraId="5F0E09E5">
            <w:pPr>
              <w:widowControl w:val="0"/>
              <w:snapToGrid w:val="0"/>
              <w:spacing w:after="0"/>
              <w:ind w:left="0" w:leftChars="0"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管控维度</w:t>
            </w:r>
          </w:p>
        </w:tc>
        <w:tc>
          <w:tcPr>
            <w:tcW w:w="13073" w:type="dxa"/>
            <w:gridSpan w:val="10"/>
            <w:noWrap w:val="0"/>
            <w:vAlign w:val="center"/>
          </w:tcPr>
          <w:p w14:paraId="76AA45E7">
            <w:pPr>
              <w:widowControl w:val="0"/>
              <w:snapToGrid w:val="0"/>
              <w:spacing w:after="0"/>
              <w:ind w:left="0" w:leftChars="0" w:firstLine="0" w:firstLineChars="0"/>
              <w:jc w:val="center"/>
              <w:rPr>
                <w:rFonts w:hint="default" w:ascii="Times New Roman" w:hAnsi="Times New Roman" w:eastAsia="仿宋" w:cs="Times New Roman"/>
                <w:b/>
                <w:color w:val="auto"/>
                <w:kern w:val="2"/>
                <w:sz w:val="24"/>
                <w:szCs w:val="24"/>
                <w:lang w:val="en-US" w:eastAsia="zh-CN" w:bidi="ar-SA"/>
              </w:rPr>
            </w:pPr>
            <w:r>
              <w:rPr>
                <w:rFonts w:hint="default" w:ascii="Times New Roman" w:hAnsi="Times New Roman" w:eastAsia="仿宋" w:cs="Times New Roman"/>
                <w:b/>
                <w:color w:val="auto"/>
                <w:kern w:val="2"/>
                <w:sz w:val="24"/>
                <w:szCs w:val="24"/>
                <w:lang w:val="en-US" w:eastAsia="zh-CN" w:bidi="ar-SA"/>
              </w:rPr>
              <w:t>管 控 要 求</w:t>
            </w:r>
          </w:p>
        </w:tc>
      </w:tr>
      <w:tr w14:paraId="79D4B600">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101" w:type="dxa"/>
            <w:noWrap w:val="0"/>
            <w:vAlign w:val="center"/>
          </w:tcPr>
          <w:p w14:paraId="20271FAE">
            <w:pPr>
              <w:widowControl w:val="0"/>
              <w:snapToGrid w:val="0"/>
              <w:spacing w:after="0"/>
              <w:ind w:left="0" w:leftChars="0"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1.空间布局约束</w:t>
            </w:r>
          </w:p>
        </w:tc>
        <w:tc>
          <w:tcPr>
            <w:tcW w:w="13073" w:type="dxa"/>
            <w:gridSpan w:val="10"/>
            <w:noWrap w:val="0"/>
            <w:vAlign w:val="top"/>
          </w:tcPr>
          <w:p w14:paraId="3B4ABFC6">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1.1）禁止引进三类工业及排放污染物涉及重金属、持久性有机物等的企业；医药产业以中药饮片和医疗配套器械生产、研发为主，不涉及化学合成药生产；机械行业中不得引进电镀及大型喷涂企业，严格限制气型污染企业入驻，减轻对集中区下风向怀化市主城区的影响。</w:t>
            </w:r>
          </w:p>
        </w:tc>
      </w:tr>
      <w:tr w14:paraId="6B7429EC">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101" w:type="dxa"/>
            <w:noWrap w:val="0"/>
            <w:vAlign w:val="center"/>
          </w:tcPr>
          <w:p w14:paraId="0789A3EC">
            <w:pPr>
              <w:widowControl w:val="0"/>
              <w:snapToGrid w:val="0"/>
              <w:spacing w:after="0"/>
              <w:ind w:left="0" w:leftChars="0"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2.污染物排放</w:t>
            </w:r>
          </w:p>
        </w:tc>
        <w:tc>
          <w:tcPr>
            <w:tcW w:w="13073" w:type="dxa"/>
            <w:gridSpan w:val="10"/>
            <w:noWrap w:val="0"/>
            <w:vAlign w:val="top"/>
          </w:tcPr>
          <w:p w14:paraId="1A4B7C68">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 xml:space="preserve">（2.1）废水： </w:t>
            </w:r>
          </w:p>
          <w:p w14:paraId="4A97C302">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2.1.1）集中区排水实施雨污分流，集中区阳塘路与怀东路交汇处西南角的区域及怀东路北侧区域污水经鹤城工业集中区污水处理厂处理达标后经怀东路南侧市政污水管网排入坨院溪，再汇入太平溪，再汇入㵲水；远期待阳塘路污水管网建设完成后，该区域废水经预处理达到城市污水处理厂截污</w:t>
            </w:r>
            <w:r>
              <w:rPr>
                <w:rFonts w:hint="eastAsia" w:ascii="Times New Roman" w:hAnsi="Times New Roman" w:eastAsia="仿宋" w:cs="Times New Roman"/>
                <w:color w:val="auto"/>
                <w:kern w:val="2"/>
                <w:sz w:val="24"/>
                <w:szCs w:val="24"/>
                <w:lang w:val="en-US" w:eastAsia="zh-CN" w:bidi="ar-SA"/>
              </w:rPr>
              <w:t>管网</w:t>
            </w:r>
            <w:r>
              <w:rPr>
                <w:rFonts w:hint="default" w:ascii="Times New Roman" w:hAnsi="Times New Roman" w:eastAsia="仿宋" w:cs="Times New Roman"/>
                <w:color w:val="auto"/>
                <w:kern w:val="2"/>
                <w:sz w:val="24"/>
                <w:szCs w:val="24"/>
                <w:lang w:val="en-US" w:eastAsia="zh-CN" w:bidi="ar-SA"/>
              </w:rPr>
              <w:t xml:space="preserve">接纳标准后，污水进怀化市城东污水处理厂处理达标后排入太平溪，汇入㵲水。其他部分区域依托怀化市城东污水处理厂处理达标后排入太平溪，汇入㵲水。 </w:t>
            </w:r>
          </w:p>
          <w:p w14:paraId="2311EB33">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 xml:space="preserve">（2.1.2）工业集中区已开发区域（即石门路沿线地区）建设有雨水管网，企业雨水经石门路雨水管网排入太平溪，最终进入㵲水河。未开发区域根据地形分散自流就近排入太平溪及坨院溪，最终进入㵲水河。 </w:t>
            </w:r>
          </w:p>
          <w:p w14:paraId="1F3BE262">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 xml:space="preserve">（2.2）废气： </w:t>
            </w:r>
          </w:p>
          <w:p w14:paraId="1BCC118E">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2.2.1）集中区内禁止新建燃煤企业，对现有燃煤企业推行清洁能源改造，减少燃料结构型污染。建立集中区清洁生产管理考核机制，对各企业工艺废气产出的生产节点，应配置废气收集与处理净化装置，确保达标排放；加强生产工艺研究与技术改进，采取有效措施，减少入园企业工艺废气的无组织排放。</w:t>
            </w:r>
          </w:p>
          <w:p w14:paraId="63DAF9A9">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 xml:space="preserve">（2.2.2）加快推进纺织等行业挥发性有机物（VOCs）综合治理。 </w:t>
            </w:r>
          </w:p>
          <w:p w14:paraId="418CF258">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 xml:space="preserve">（2.2.3）园区内有关行业及涉锅炉大气污染物排放应满足《湖南省生态环境厅关于执行污染物特别排放限值（第一批）的公告》中的要求； </w:t>
            </w:r>
          </w:p>
          <w:p w14:paraId="57DD25BB">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2.3）固体废弃物：做好集中区工业固体废物和生活垃圾的分类收集、转运、综合利用和无害化处理，建立统一的固废收集、贮存、运输、综合利用和安全处置的运营管理体系。推行清洁生产，减少固体废物产生量；加强固体废物的资源化进程，提高综合利用率；规范固体废物处理措施，严防二次污染。</w:t>
            </w:r>
          </w:p>
        </w:tc>
      </w:tr>
      <w:tr w14:paraId="3507E6BD">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14:paraId="05EE6B3F">
            <w:pPr>
              <w:widowControl w:val="0"/>
              <w:snapToGrid w:val="0"/>
              <w:spacing w:after="0"/>
              <w:ind w:left="0" w:leftChars="0"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3、环境风险防控</w:t>
            </w:r>
          </w:p>
        </w:tc>
        <w:tc>
          <w:tcPr>
            <w:tcW w:w="13073" w:type="dxa"/>
            <w:gridSpan w:val="10"/>
            <w:noWrap w:val="0"/>
            <w:vAlign w:val="top"/>
          </w:tcPr>
          <w:p w14:paraId="1F8F13DD">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 xml:space="preserve">（3.1）园区应建立健全环境风险防控体系，加强区内重要风险源管控。加强园区危险化学品储运的环境风险管理，严格落实应急响应联动机制，确保区域环境安全。强化园区环境监督管理，根据怀化市鹤城工业集中区突发环境事件应急预案要求，健全环境风险事故防范措施，严防环境风险事故发生。 </w:t>
            </w:r>
          </w:p>
          <w:p w14:paraId="3DC8B3F8">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 xml:space="preserve">（3.2）园区可能发生突发环境事件的污染物排放企业，生产、储存、运输、使用危险化学品的企业，产生、收集、贮存、运输、利用、处置危险废物的企业等应当编制和实施环境应急预案；鼓励其他企业制定单独的环境应急预案，或在突发事件应急预案中制定环境应急预案专章，并备案。 </w:t>
            </w:r>
          </w:p>
          <w:p w14:paraId="31ADE26E">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 xml:space="preserve">（3.3）建设用地土壤风险防控：加强对建设用地土壤环境状况调查、风险评估和污染地块治理与修复活动的监管。 </w:t>
            </w:r>
          </w:p>
          <w:p w14:paraId="086956E8">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（3.4）农用地风险防控：防控企业污染，已建成的相关企业应当按照有关标准、规定采取措施，防止对耕地造成污染。</w:t>
            </w:r>
          </w:p>
        </w:tc>
      </w:tr>
      <w:tr w14:paraId="4DADB98A">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14:paraId="13E2C8C7">
            <w:pPr>
              <w:widowControl w:val="0"/>
              <w:snapToGrid w:val="0"/>
              <w:spacing w:after="0"/>
              <w:ind w:left="0" w:leftChars="0"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4.资源开发效率要求</w:t>
            </w:r>
          </w:p>
        </w:tc>
        <w:tc>
          <w:tcPr>
            <w:tcW w:w="13073" w:type="dxa"/>
            <w:gridSpan w:val="10"/>
            <w:noWrap w:val="0"/>
            <w:vAlign w:val="top"/>
          </w:tcPr>
          <w:p w14:paraId="795C79BD">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 xml:space="preserve">（4.1）能源： </w:t>
            </w:r>
          </w:p>
          <w:p w14:paraId="7ABFBDD4">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 xml:space="preserve">（4.1.1）园区采用燃气为生活主要能源，工业用能以电能和天然气为主，分别占比 40%和 60%。 </w:t>
            </w:r>
          </w:p>
          <w:p w14:paraId="0EFCE971">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 xml:space="preserve">（4.1.2）实施能源消耗总量和强度双控行动，逐步建立用能预算管理体系，编制用能预算管理方案。 </w:t>
            </w:r>
          </w:p>
          <w:p w14:paraId="19A3E179">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 xml:space="preserve">（4.1.3）到 2020 年，单位GDP能耗0.1164吨标准煤/万元，单位增加值能耗0.166吨标准煤/万元。到2025年，单位GDP 能耗 0.1014吨标准煤/万元，单位增加值能耗 0.144吨标准煤/万元。 </w:t>
            </w:r>
          </w:p>
          <w:p w14:paraId="7EB72DB1">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 xml:space="preserve">（4.2）水资源： </w:t>
            </w:r>
          </w:p>
          <w:p w14:paraId="00272E70">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 xml:space="preserve">（4.2.1）园区供水主要依托市政管网供水，严禁擅自开采地下水资源。工业集中区各企业要加强中水回用及水的循环利用，对水资源消耗量大、水循环利用率低的企业做出限制。 </w:t>
            </w:r>
          </w:p>
          <w:p w14:paraId="69978B52">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 xml:space="preserve">（4.2.2）加强水资源管理，切实合理开发利用和节约保护水资源。到2020年，鹤城区水资源开发利用总量控制在 1.68 亿立方米以下，万元工业增加值用水量控制在 72 立方米/万元以下。 </w:t>
            </w:r>
          </w:p>
          <w:p w14:paraId="121A2F03">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 xml:space="preserve">（4.3）土地资源： </w:t>
            </w:r>
          </w:p>
          <w:p w14:paraId="441693D2">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（4.3.1）坚持最严格的节约用地制度，盘活存量建设用地，提升土地产出效益，全面实施节约集约用地战略。</w:t>
            </w:r>
          </w:p>
          <w:p w14:paraId="11CEDF97">
            <w:pPr>
              <w:widowControl w:val="0"/>
              <w:snapToGrid w:val="0"/>
              <w:spacing w:after="0"/>
              <w:ind w:left="0" w:leftChars="0" w:firstLine="0" w:firstLineChars="0"/>
              <w:jc w:val="both"/>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（4.3.2）园区项目引进严格运用用地指标，严格节约集约用地，园区工业项目投资强度执行《湖南省建设用地指标》（2020 版）10 等区域控制指标要求。</w:t>
            </w:r>
          </w:p>
        </w:tc>
      </w:tr>
    </w:tbl>
    <w:p w14:paraId="75F54663">
      <w:pPr>
        <w:pStyle w:val="2"/>
        <w:snapToGrid w:val="0"/>
        <w:spacing w:after="0"/>
        <w:ind w:left="0" w:leftChars="0" w:firstLine="1988" w:firstLineChars="900"/>
        <w:jc w:val="center"/>
        <w:rPr>
          <w:rFonts w:hint="default" w:ascii="Times New Roman" w:hAnsi="Times New Roman" w:eastAsia="仿宋" w:cs="Times New Roman"/>
          <w:b/>
          <w:color w:val="auto"/>
          <w:sz w:val="22"/>
          <w:szCs w:val="28"/>
        </w:rPr>
      </w:pPr>
    </w:p>
    <w:p w14:paraId="0A02BE10">
      <w:pPr>
        <w:pStyle w:val="2"/>
        <w:snapToGrid w:val="0"/>
        <w:spacing w:before="190" w:beforeLines="50" w:after="0" w:line="360" w:lineRule="auto"/>
        <w:ind w:left="0" w:leftChars="0" w:firstLine="480"/>
        <w:rPr>
          <w:rFonts w:hint="default" w:ascii="Times New Roman" w:hAnsi="Times New Roman" w:eastAsia="仿宋" w:cs="Times New Roman"/>
          <w:color w:val="auto"/>
          <w:sz w:val="28"/>
          <w:szCs w:val="28"/>
        </w:rPr>
      </w:pPr>
    </w:p>
    <w:p w14:paraId="2C66D625">
      <w:pPr>
        <w:pStyle w:val="2"/>
        <w:snapToGrid w:val="0"/>
        <w:spacing w:before="190" w:beforeLines="50" w:after="0" w:line="360" w:lineRule="auto"/>
        <w:ind w:left="0" w:leftChars="0" w:firstLine="480"/>
        <w:rPr>
          <w:rFonts w:hint="default" w:ascii="Times New Roman" w:hAnsi="Times New Roman" w:eastAsia="仿宋" w:cs="Times New Roman"/>
          <w:color w:val="auto"/>
          <w:sz w:val="28"/>
          <w:szCs w:val="28"/>
        </w:rPr>
        <w:sectPr>
          <w:pgSz w:w="16838" w:h="11906" w:orient="landscape"/>
          <w:pgMar w:top="1800" w:right="1440" w:bottom="1800" w:left="1440" w:header="851" w:footer="992" w:gutter="0"/>
          <w:pgNumType w:fmt="decimal"/>
          <w:cols w:space="720" w:num="1"/>
          <w:docGrid w:type="lines" w:linePitch="381" w:charSpace="0"/>
        </w:sectPr>
      </w:pPr>
    </w:p>
    <w:p w14:paraId="71110F80">
      <w:pPr>
        <w:pStyle w:val="2"/>
        <w:keepNext w:val="0"/>
        <w:keepLines w:val="0"/>
        <w:pageBreakBefore w:val="0"/>
        <w:widowControl w:val="0"/>
        <w:kinsoku/>
        <w:wordWrap/>
        <w:overflowPunct/>
        <w:topLinePunct w:val="0"/>
        <w:autoSpaceDE/>
        <w:autoSpaceDN/>
        <w:bidi w:val="0"/>
        <w:adjustRightInd/>
        <w:snapToGrid w:val="0"/>
        <w:spacing w:after="0" w:line="360" w:lineRule="auto"/>
        <w:ind w:left="0" w:leftChars="0" w:firstLine="560" w:firstLineChars="200"/>
        <w:textAlignment w:val="auto"/>
        <w:rPr>
          <w:rFonts w:hint="default" w:ascii="Times New Roman" w:hAnsi="Times New Roman" w:eastAsia="仿宋" w:cs="Times New Roman"/>
          <w:color w:val="auto"/>
          <w:sz w:val="28"/>
          <w:szCs w:val="24"/>
        </w:rPr>
      </w:pPr>
      <w:r>
        <w:rPr>
          <w:rFonts w:hint="default" w:ascii="Times New Roman" w:hAnsi="Times New Roman" w:eastAsia="仿宋" w:cs="Times New Roman"/>
          <w:color w:val="auto"/>
          <w:sz w:val="28"/>
          <w:szCs w:val="24"/>
        </w:rPr>
        <w:t>202</w:t>
      </w:r>
      <w:r>
        <w:rPr>
          <w:rFonts w:hint="eastAsia" w:ascii="Times New Roman" w:hAnsi="Times New Roman" w:eastAsia="仿宋" w:cs="Times New Roman"/>
          <w:color w:val="auto"/>
          <w:sz w:val="28"/>
          <w:szCs w:val="24"/>
          <w:lang w:val="en-US" w:eastAsia="zh-CN"/>
        </w:rPr>
        <w:t>5</w:t>
      </w:r>
      <w:r>
        <w:rPr>
          <w:rFonts w:hint="default" w:ascii="Times New Roman" w:hAnsi="Times New Roman" w:eastAsia="仿宋" w:cs="Times New Roman"/>
          <w:color w:val="auto"/>
          <w:sz w:val="28"/>
          <w:szCs w:val="24"/>
        </w:rPr>
        <w:t>年度，</w:t>
      </w: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sz w:val="28"/>
          <w:szCs w:val="24"/>
        </w:rPr>
        <w:t>“三线一单”落地应用情况见下表：</w:t>
      </w:r>
    </w:p>
    <w:p w14:paraId="26DCFE90">
      <w:pPr>
        <w:pStyle w:val="2"/>
        <w:snapToGrid w:val="0"/>
        <w:spacing w:after="0"/>
        <w:ind w:left="0" w:leftChars="0" w:firstLine="0" w:firstLineChars="0"/>
        <w:jc w:val="center"/>
        <w:rPr>
          <w:rFonts w:hint="default" w:ascii="Times New Roman" w:hAnsi="Times New Roman" w:eastAsia="仿宋" w:cs="Times New Roman"/>
          <w:b/>
          <w:color w:val="auto"/>
          <w:sz w:val="22"/>
          <w:szCs w:val="28"/>
        </w:rPr>
      </w:pPr>
      <w:r>
        <w:rPr>
          <w:rFonts w:hint="default" w:ascii="Times New Roman" w:hAnsi="Times New Roman" w:eastAsia="仿宋" w:cs="Times New Roman"/>
          <w:b/>
          <w:color w:val="auto"/>
          <w:sz w:val="22"/>
          <w:szCs w:val="28"/>
        </w:rPr>
        <w:t xml:space="preserve">表2-10  </w:t>
      </w:r>
      <w:r>
        <w:rPr>
          <w:rFonts w:hint="default" w:ascii="Times New Roman" w:hAnsi="Times New Roman" w:eastAsia="仿宋" w:cs="Times New Roman"/>
          <w:b/>
          <w:color w:val="auto"/>
          <w:sz w:val="22"/>
          <w:szCs w:val="28"/>
          <w:lang w:val="en-US" w:eastAsia="zh-CN"/>
        </w:rPr>
        <w:t>怀化高新技术产业开发区鹤城片区</w:t>
      </w:r>
      <w:r>
        <w:rPr>
          <w:rFonts w:hint="default" w:ascii="Times New Roman" w:hAnsi="Times New Roman" w:eastAsia="仿宋" w:cs="Times New Roman"/>
          <w:b/>
          <w:color w:val="auto"/>
          <w:sz w:val="22"/>
          <w:szCs w:val="28"/>
        </w:rPr>
        <w:t>“三线一单”落地应用情况一览表</w:t>
      </w:r>
    </w:p>
    <w:tbl>
      <w:tblPr>
        <w:tblStyle w:val="19"/>
        <w:tblW w:w="0" w:type="auto"/>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529"/>
        <w:gridCol w:w="275"/>
        <w:gridCol w:w="436"/>
        <w:gridCol w:w="4174"/>
        <w:gridCol w:w="2671"/>
      </w:tblGrid>
      <w:tr w14:paraId="27C5EF28">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427" w:type="dxa"/>
            <w:noWrap w:val="0"/>
            <w:vAlign w:val="center"/>
          </w:tcPr>
          <w:p w14:paraId="08FA2D88">
            <w:pPr>
              <w:widowControl w:val="0"/>
              <w:snapToGrid w:val="0"/>
              <w:spacing w:after="0"/>
              <w:ind w:left="0" w:leftChars="0" w:firstLine="0" w:firstLineChars="0"/>
              <w:jc w:val="center"/>
              <w:rPr>
                <w:rFonts w:hint="default" w:ascii="Times New Roman" w:hAnsi="Times New Roman" w:eastAsia="仿宋" w:cs="Times New Roman"/>
                <w:b/>
                <w:color w:val="auto"/>
                <w:kern w:val="2"/>
                <w:sz w:val="22"/>
                <w:szCs w:val="22"/>
                <w:lang w:val="en-US" w:eastAsia="zh-CN" w:bidi="ar-SA"/>
              </w:rPr>
            </w:pPr>
            <w:r>
              <w:rPr>
                <w:rFonts w:hint="default" w:ascii="Times New Roman" w:hAnsi="Times New Roman" w:eastAsia="仿宋" w:cs="Times New Roman"/>
                <w:b/>
                <w:color w:val="auto"/>
                <w:kern w:val="2"/>
                <w:sz w:val="22"/>
                <w:szCs w:val="22"/>
                <w:lang w:val="en-US" w:eastAsia="zh-CN" w:bidi="ar-SA"/>
              </w:rPr>
              <w:t>序号</w:t>
            </w:r>
          </w:p>
        </w:tc>
        <w:tc>
          <w:tcPr>
            <w:tcW w:w="1231" w:type="dxa"/>
            <w:gridSpan w:val="3"/>
            <w:noWrap w:val="0"/>
            <w:vAlign w:val="center"/>
          </w:tcPr>
          <w:p w14:paraId="6060231B">
            <w:pPr>
              <w:widowControl w:val="0"/>
              <w:snapToGrid w:val="0"/>
              <w:spacing w:after="0"/>
              <w:ind w:left="0" w:leftChars="0" w:firstLine="0" w:firstLineChars="0"/>
              <w:jc w:val="center"/>
              <w:rPr>
                <w:rFonts w:hint="default" w:ascii="Times New Roman" w:hAnsi="Times New Roman" w:eastAsia="仿宋" w:cs="Times New Roman"/>
                <w:b/>
                <w:color w:val="auto"/>
                <w:kern w:val="2"/>
                <w:sz w:val="22"/>
                <w:szCs w:val="22"/>
                <w:lang w:val="en-US" w:eastAsia="zh-CN" w:bidi="ar-SA"/>
              </w:rPr>
            </w:pPr>
            <w:r>
              <w:rPr>
                <w:rFonts w:hint="default" w:ascii="Times New Roman" w:hAnsi="Times New Roman" w:eastAsia="仿宋" w:cs="Times New Roman"/>
                <w:b/>
                <w:color w:val="auto"/>
                <w:kern w:val="2"/>
                <w:sz w:val="22"/>
                <w:szCs w:val="22"/>
                <w:lang w:val="en-US" w:eastAsia="zh-CN" w:bidi="ar-SA"/>
              </w:rPr>
              <w:t>管控维度</w:t>
            </w:r>
          </w:p>
        </w:tc>
        <w:tc>
          <w:tcPr>
            <w:tcW w:w="4186" w:type="dxa"/>
            <w:noWrap w:val="0"/>
            <w:vAlign w:val="center"/>
          </w:tcPr>
          <w:p w14:paraId="323D5473">
            <w:pPr>
              <w:widowControl w:val="0"/>
              <w:snapToGrid w:val="0"/>
              <w:spacing w:after="0"/>
              <w:ind w:left="0" w:leftChars="0" w:firstLine="0" w:firstLineChars="0"/>
              <w:jc w:val="center"/>
              <w:rPr>
                <w:rFonts w:hint="default" w:ascii="Times New Roman" w:hAnsi="Times New Roman" w:eastAsia="仿宋" w:cs="Times New Roman"/>
                <w:b/>
                <w:color w:val="auto"/>
                <w:kern w:val="2"/>
                <w:sz w:val="22"/>
                <w:szCs w:val="22"/>
                <w:lang w:val="en-US" w:eastAsia="zh-CN" w:bidi="ar-SA"/>
              </w:rPr>
            </w:pPr>
            <w:r>
              <w:rPr>
                <w:rFonts w:hint="default" w:ascii="Times New Roman" w:hAnsi="Times New Roman" w:eastAsia="仿宋" w:cs="Times New Roman"/>
                <w:b/>
                <w:color w:val="auto"/>
                <w:kern w:val="2"/>
                <w:sz w:val="22"/>
                <w:szCs w:val="22"/>
                <w:lang w:val="en-US" w:eastAsia="zh-CN" w:bidi="ar-SA"/>
              </w:rPr>
              <w:t>管控要求</w:t>
            </w:r>
          </w:p>
        </w:tc>
        <w:tc>
          <w:tcPr>
            <w:tcW w:w="2678" w:type="dxa"/>
            <w:noWrap w:val="0"/>
            <w:vAlign w:val="center"/>
          </w:tcPr>
          <w:p w14:paraId="40C016C8">
            <w:pPr>
              <w:widowControl w:val="0"/>
              <w:snapToGrid w:val="0"/>
              <w:spacing w:after="0"/>
              <w:ind w:left="0" w:leftChars="0" w:firstLine="0" w:firstLineChars="0"/>
              <w:jc w:val="center"/>
              <w:rPr>
                <w:rFonts w:hint="default" w:ascii="Times New Roman" w:hAnsi="Times New Roman" w:eastAsia="仿宋" w:cs="Times New Roman"/>
                <w:b/>
                <w:color w:val="auto"/>
                <w:kern w:val="2"/>
                <w:sz w:val="22"/>
                <w:szCs w:val="22"/>
                <w:lang w:val="en-US" w:eastAsia="zh-CN" w:bidi="ar-SA"/>
              </w:rPr>
            </w:pPr>
            <w:r>
              <w:rPr>
                <w:rFonts w:hint="default" w:ascii="Times New Roman" w:hAnsi="Times New Roman" w:eastAsia="仿宋" w:cs="Times New Roman"/>
                <w:b/>
                <w:color w:val="auto"/>
                <w:kern w:val="2"/>
                <w:sz w:val="22"/>
                <w:szCs w:val="22"/>
                <w:lang w:val="en-US" w:eastAsia="zh-CN" w:bidi="ar-SA"/>
              </w:rPr>
              <w:t>落地应用情况</w:t>
            </w:r>
          </w:p>
        </w:tc>
      </w:tr>
      <w:tr w14:paraId="5D1F3621">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427" w:type="dxa"/>
            <w:noWrap w:val="0"/>
            <w:vAlign w:val="center"/>
          </w:tcPr>
          <w:p w14:paraId="43C3C4D0">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1</w:t>
            </w:r>
          </w:p>
        </w:tc>
        <w:tc>
          <w:tcPr>
            <w:tcW w:w="1231" w:type="dxa"/>
            <w:gridSpan w:val="3"/>
            <w:noWrap w:val="0"/>
            <w:vAlign w:val="center"/>
          </w:tcPr>
          <w:p w14:paraId="77C4B18E">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空间布局约束</w:t>
            </w:r>
          </w:p>
        </w:tc>
        <w:tc>
          <w:tcPr>
            <w:tcW w:w="4186" w:type="dxa"/>
            <w:noWrap w:val="0"/>
            <w:vAlign w:val="center"/>
          </w:tcPr>
          <w:p w14:paraId="42B678F5">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禁止引进三类工业及排放污染物涉及重金属、持久性有机物等企业；医药产业以中药饮片和医疗配套器械生产、研发为主，不涉及化学合成药生产；机械行业中不得引进电镀及大型喷涂企业，严格限制气型污染企业入驻，减轻对集中区下风向怀化市主城区的影响。</w:t>
            </w:r>
          </w:p>
        </w:tc>
        <w:tc>
          <w:tcPr>
            <w:tcW w:w="2678" w:type="dxa"/>
            <w:noWrap w:val="0"/>
            <w:vAlign w:val="center"/>
          </w:tcPr>
          <w:p w14:paraId="35F5EA7A">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园区招商执行环境准入，均未引进三类工业及排放污染物涉及重金属、持久性有机物等企业。未引进电镀及大型喷涂企业，气型污染企业。片区二引入医药企业主要为中药饮片加工，符合环境准入要求。</w:t>
            </w:r>
          </w:p>
        </w:tc>
      </w:tr>
      <w:tr w14:paraId="7B5A048B">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0" w:hRule="atLeast"/>
        </w:trPr>
        <w:tc>
          <w:tcPr>
            <w:tcW w:w="427" w:type="dxa"/>
            <w:vMerge w:val="restart"/>
            <w:noWrap w:val="0"/>
            <w:vAlign w:val="center"/>
          </w:tcPr>
          <w:p w14:paraId="23C074EB">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2</w:t>
            </w:r>
          </w:p>
        </w:tc>
        <w:tc>
          <w:tcPr>
            <w:tcW w:w="529" w:type="dxa"/>
            <w:vMerge w:val="restart"/>
            <w:noWrap w:val="0"/>
            <w:vAlign w:val="center"/>
          </w:tcPr>
          <w:p w14:paraId="00C5DB42">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污染物排放管控</w:t>
            </w:r>
          </w:p>
        </w:tc>
        <w:tc>
          <w:tcPr>
            <w:tcW w:w="702" w:type="dxa"/>
            <w:gridSpan w:val="2"/>
            <w:vMerge w:val="restart"/>
            <w:noWrap w:val="0"/>
            <w:vAlign w:val="center"/>
          </w:tcPr>
          <w:p w14:paraId="7F74DD4F">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废水</w:t>
            </w:r>
          </w:p>
        </w:tc>
        <w:tc>
          <w:tcPr>
            <w:tcW w:w="4186" w:type="dxa"/>
            <w:noWrap w:val="0"/>
            <w:vAlign w:val="center"/>
          </w:tcPr>
          <w:p w14:paraId="219A3595">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集中区排水实施雨污分流，集中区阳塘路与怀东路交汇处西南角的区域及怀东路北侧区域污水经鹤城工业集中区污水处理厂处理达标后经怀东路南侧市政污水管网排入坨院溪，再汇入太平溪，再汇入㵲水；远期待阳塘路污水管网建设完成后，该区域废水经预处理达 到城市污水处理厂截污官网接纳标准后，污水进怀化市城东污水处理厂处理达标后排入太平溪，汇入㵲水。其他部分区域依托怀化市城东污水处理厂处理达标后排入太平溪，汇入㵲水。</w:t>
            </w:r>
          </w:p>
        </w:tc>
        <w:tc>
          <w:tcPr>
            <w:tcW w:w="2678" w:type="dxa"/>
            <w:noWrap w:val="0"/>
            <w:vAlign w:val="center"/>
          </w:tcPr>
          <w:p w14:paraId="752D68A9">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both"/>
              <w:textAlignment w:val="auto"/>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园区排水执行雨污分流。园区已建成区雨、污水管网覆盖率为100%，因园区地势中间高，两端低的原因，以园区新园路为界，分为东、西两个片区进入不同的集中污水处理设施进行处理。东部靠近泸阳区域，污水均接入怀化高新技术产业开发区鹤城片区污水处理厂，处理达标污水排入坨院溪，再汇入太平溪，最终汇入㵲水。西部靠近主城区主要依托怀化市城东污水处理厂，处理达标后排入太平溪，汇入㵲水。</w:t>
            </w:r>
          </w:p>
        </w:tc>
      </w:tr>
      <w:tr w14:paraId="404A5AA3">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trPr>
        <w:tc>
          <w:tcPr>
            <w:tcW w:w="427" w:type="dxa"/>
            <w:vMerge w:val="continue"/>
            <w:noWrap w:val="0"/>
            <w:vAlign w:val="center"/>
          </w:tcPr>
          <w:p w14:paraId="3842CF34">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p>
        </w:tc>
        <w:tc>
          <w:tcPr>
            <w:tcW w:w="529" w:type="dxa"/>
            <w:vMerge w:val="continue"/>
            <w:noWrap w:val="0"/>
            <w:vAlign w:val="center"/>
          </w:tcPr>
          <w:p w14:paraId="452D8AFC">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p>
        </w:tc>
        <w:tc>
          <w:tcPr>
            <w:tcW w:w="702" w:type="dxa"/>
            <w:gridSpan w:val="2"/>
            <w:vMerge w:val="continue"/>
            <w:noWrap w:val="0"/>
            <w:vAlign w:val="center"/>
          </w:tcPr>
          <w:p w14:paraId="1F99AC73">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p>
        </w:tc>
        <w:tc>
          <w:tcPr>
            <w:tcW w:w="4186" w:type="dxa"/>
            <w:noWrap w:val="0"/>
            <w:vAlign w:val="center"/>
          </w:tcPr>
          <w:p w14:paraId="443766D2">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工业集中区已开发区域（即石门路沿线地区）建设有雨水管网，企业雨水经石门路雨水管网排入太平溪，最终进入㵲水河。未开发区域根据地形分散自流就近排入太平溪及坨院溪，最终进入㵲水河。</w:t>
            </w:r>
          </w:p>
        </w:tc>
        <w:tc>
          <w:tcPr>
            <w:tcW w:w="2678" w:type="dxa"/>
            <w:noWrap w:val="0"/>
            <w:vAlign w:val="center"/>
          </w:tcPr>
          <w:p w14:paraId="24713FC3">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园区沿石门路沿线建设有雨水管网，企业雨水经石门路雨水管网排入太平溪，最终进入㵲水河。未开发区域根据地形分散自流就近排入太平溪及坨院溪，最终进入㵲水河。</w:t>
            </w:r>
          </w:p>
        </w:tc>
      </w:tr>
      <w:tr w14:paraId="389DD414">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trPr>
        <w:tc>
          <w:tcPr>
            <w:tcW w:w="427" w:type="dxa"/>
            <w:vMerge w:val="continue"/>
            <w:noWrap w:val="0"/>
            <w:vAlign w:val="center"/>
          </w:tcPr>
          <w:p w14:paraId="43C261F6">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p>
        </w:tc>
        <w:tc>
          <w:tcPr>
            <w:tcW w:w="529" w:type="dxa"/>
            <w:vMerge w:val="continue"/>
            <w:noWrap w:val="0"/>
            <w:vAlign w:val="center"/>
          </w:tcPr>
          <w:p w14:paraId="74C49084">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p>
        </w:tc>
        <w:tc>
          <w:tcPr>
            <w:tcW w:w="702" w:type="dxa"/>
            <w:gridSpan w:val="2"/>
            <w:vMerge w:val="restart"/>
            <w:noWrap w:val="0"/>
            <w:vAlign w:val="center"/>
          </w:tcPr>
          <w:p w14:paraId="5B96B82F">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废气</w:t>
            </w:r>
          </w:p>
        </w:tc>
        <w:tc>
          <w:tcPr>
            <w:tcW w:w="4186" w:type="dxa"/>
            <w:noWrap w:val="0"/>
            <w:vAlign w:val="center"/>
          </w:tcPr>
          <w:p w14:paraId="48CB166B">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集中区内禁止新建燃煤企业，对现有燃煤企业推行清洁能源改造，减少燃料结构型污染。建立集中区清洁生产管理考核机制，对各企业工艺废气产出的生产节点，应配置废气收集与处理净化装置，确保达标排放；加强生产工艺研究与技术改进，采取有效措施，减少入园企业工艺废气的无组织排放。</w:t>
            </w:r>
          </w:p>
        </w:tc>
        <w:tc>
          <w:tcPr>
            <w:tcW w:w="2678" w:type="dxa"/>
            <w:noWrap w:val="0"/>
            <w:vAlign w:val="center"/>
          </w:tcPr>
          <w:p w14:paraId="0421B6B6">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both"/>
              <w:textAlignment w:val="auto"/>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园区不涉及燃煤企业。园区各企业均按照环保要求设置了废气污染防治措施，确保废气达标排放，同时，加强车间内无组织废气收集，减少入园企业工艺废气的无组织排放。</w:t>
            </w:r>
          </w:p>
        </w:tc>
      </w:tr>
      <w:tr w14:paraId="4742C64E">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427" w:type="dxa"/>
            <w:vMerge w:val="continue"/>
            <w:noWrap w:val="0"/>
            <w:vAlign w:val="center"/>
          </w:tcPr>
          <w:p w14:paraId="3ED37027">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p>
        </w:tc>
        <w:tc>
          <w:tcPr>
            <w:tcW w:w="529" w:type="dxa"/>
            <w:vMerge w:val="continue"/>
            <w:noWrap w:val="0"/>
            <w:vAlign w:val="center"/>
          </w:tcPr>
          <w:p w14:paraId="359805E4">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p>
        </w:tc>
        <w:tc>
          <w:tcPr>
            <w:tcW w:w="702" w:type="dxa"/>
            <w:gridSpan w:val="2"/>
            <w:vMerge w:val="continue"/>
            <w:noWrap w:val="0"/>
            <w:vAlign w:val="center"/>
          </w:tcPr>
          <w:p w14:paraId="5D668B15">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p>
        </w:tc>
        <w:tc>
          <w:tcPr>
            <w:tcW w:w="4186" w:type="dxa"/>
            <w:noWrap w:val="0"/>
            <w:vAlign w:val="center"/>
          </w:tcPr>
          <w:p w14:paraId="6183A30E">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加快推进纺织等行业挥发性有机物（VOCs）综合治理。</w:t>
            </w:r>
          </w:p>
        </w:tc>
        <w:tc>
          <w:tcPr>
            <w:tcW w:w="2678" w:type="dxa"/>
            <w:noWrap w:val="0"/>
            <w:vAlign w:val="center"/>
          </w:tcPr>
          <w:p w14:paraId="1D2EFB00">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目前未引进纺织等行业。</w:t>
            </w:r>
          </w:p>
        </w:tc>
      </w:tr>
      <w:tr w14:paraId="472C26D0">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427" w:type="dxa"/>
            <w:vMerge w:val="continue"/>
            <w:noWrap w:val="0"/>
            <w:vAlign w:val="center"/>
          </w:tcPr>
          <w:p w14:paraId="6353E9B5">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p>
        </w:tc>
        <w:tc>
          <w:tcPr>
            <w:tcW w:w="529" w:type="dxa"/>
            <w:vMerge w:val="continue"/>
            <w:noWrap w:val="0"/>
            <w:vAlign w:val="center"/>
          </w:tcPr>
          <w:p w14:paraId="4A131F76">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p>
        </w:tc>
        <w:tc>
          <w:tcPr>
            <w:tcW w:w="702" w:type="dxa"/>
            <w:gridSpan w:val="2"/>
            <w:vMerge w:val="continue"/>
            <w:noWrap w:val="0"/>
            <w:vAlign w:val="center"/>
          </w:tcPr>
          <w:p w14:paraId="100A259F">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p>
        </w:tc>
        <w:tc>
          <w:tcPr>
            <w:tcW w:w="4186" w:type="dxa"/>
            <w:noWrap w:val="0"/>
            <w:vAlign w:val="center"/>
          </w:tcPr>
          <w:p w14:paraId="199C277C">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园区内有关行业及涉锅炉大气污染物排放应满足《湖南省生态环境厅关于执行污染物特别排放限值（第一批）的公告》中的要求。</w:t>
            </w:r>
          </w:p>
        </w:tc>
        <w:tc>
          <w:tcPr>
            <w:tcW w:w="2678" w:type="dxa"/>
            <w:noWrap w:val="0"/>
            <w:vAlign w:val="center"/>
          </w:tcPr>
          <w:p w14:paraId="7A3B61A2">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目</w:t>
            </w:r>
            <w:r>
              <w:rPr>
                <w:rFonts w:hint="default" w:ascii="Times New Roman" w:hAnsi="Times New Roman" w:eastAsia="仿宋" w:cs="Times New Roman"/>
                <w:color w:val="auto"/>
                <w:kern w:val="2"/>
                <w:sz w:val="22"/>
                <w:szCs w:val="22"/>
                <w:highlight w:val="none"/>
                <w:lang w:val="en-US" w:eastAsia="zh-CN" w:bidi="ar-SA"/>
              </w:rPr>
              <w:t>前园区入园企业均未使用锅炉。</w:t>
            </w:r>
          </w:p>
        </w:tc>
      </w:tr>
      <w:tr w14:paraId="10368B0A">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27" w:type="dxa"/>
            <w:vMerge w:val="continue"/>
            <w:noWrap w:val="0"/>
            <w:vAlign w:val="center"/>
          </w:tcPr>
          <w:p w14:paraId="7945611A">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p>
        </w:tc>
        <w:tc>
          <w:tcPr>
            <w:tcW w:w="529" w:type="dxa"/>
            <w:vMerge w:val="continue"/>
            <w:noWrap w:val="0"/>
            <w:vAlign w:val="center"/>
          </w:tcPr>
          <w:p w14:paraId="486C7C24">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p>
        </w:tc>
        <w:tc>
          <w:tcPr>
            <w:tcW w:w="702" w:type="dxa"/>
            <w:gridSpan w:val="2"/>
            <w:noWrap w:val="0"/>
            <w:vAlign w:val="center"/>
          </w:tcPr>
          <w:p w14:paraId="7F0B3AAC">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固废</w:t>
            </w:r>
          </w:p>
        </w:tc>
        <w:tc>
          <w:tcPr>
            <w:tcW w:w="4186" w:type="dxa"/>
            <w:noWrap w:val="0"/>
            <w:vAlign w:val="center"/>
          </w:tcPr>
          <w:p w14:paraId="08DDD884">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做好集中区工业固体废物和生活垃圾的分类收集、转运、综合利用和无害化处理，建立统一的固废收集、贮存、运输、综合利用和安全处置的运营管理体系。推行清洁生产，减少固体废物产生量；加强固体废物的资源化进程，提高综合利用率；规范固体废物处理措施， 严防二次污染。</w:t>
            </w:r>
          </w:p>
        </w:tc>
        <w:tc>
          <w:tcPr>
            <w:tcW w:w="2678" w:type="dxa"/>
            <w:noWrap w:val="0"/>
            <w:vAlign w:val="center"/>
          </w:tcPr>
          <w:p w14:paraId="13A86FBA">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入园企业工业固废基本得到综合利用或妥善处置。生活垃圾均由环卫部门清运。园区制定固废监管制度，并落实了监管要求，及时对发现的园区企业固废不规范处理处置情况下达整改要求，并监督整改实施。</w:t>
            </w:r>
          </w:p>
        </w:tc>
      </w:tr>
      <w:tr w14:paraId="6F0E52A2">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427" w:type="dxa"/>
            <w:noWrap w:val="0"/>
            <w:vAlign w:val="center"/>
          </w:tcPr>
          <w:p w14:paraId="3E4C2CAE">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3</w:t>
            </w:r>
          </w:p>
        </w:tc>
        <w:tc>
          <w:tcPr>
            <w:tcW w:w="1231" w:type="dxa"/>
            <w:gridSpan w:val="3"/>
            <w:noWrap w:val="0"/>
            <w:vAlign w:val="center"/>
          </w:tcPr>
          <w:p w14:paraId="3EF1C02F">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环境风险防控</w:t>
            </w:r>
          </w:p>
        </w:tc>
        <w:tc>
          <w:tcPr>
            <w:tcW w:w="4186" w:type="dxa"/>
            <w:noWrap w:val="0"/>
            <w:vAlign w:val="center"/>
          </w:tcPr>
          <w:p w14:paraId="73D5E0E8">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1、园区应建立健全环境风险防控体系，加强区内重要风险源管控。加强园区危险化学品储运的环境风险管理，严格落实应急响应联动机制，确保区域环境安全。强化园区环境监督管理，根据怀化市鹤城工业集中区突发环境事件应急预案要求，健全环境风险事故防范措施，严防环境风险事故发生。</w:t>
            </w:r>
          </w:p>
          <w:p w14:paraId="24AF7A91">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 xml:space="preserve">2、园区可能发生突发环境事件的污染物排放企业，生产、储存、运输、使用危险化学品的企业，产生、收集、贮存、运输、利用、处置危险废物的企业等应当编制和实施环境应急预案；鼓励其他企业制定单独的环境应急预案，或在突发事件应急预案中制定环境应急预案专章，并备案。 </w:t>
            </w:r>
          </w:p>
          <w:p w14:paraId="2D68D855">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 xml:space="preserve">3、建设用地土壤风险防控：加强对建设用地土壤环境状况调查、风险评估和污染地块治理与修复活动的监管。 </w:t>
            </w:r>
          </w:p>
          <w:p w14:paraId="2A215540">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4、农用地风险防控：防控企业污染，已建成的相关企业应当按照有关标准、规定采取措施，防止对耕地造成污染。</w:t>
            </w:r>
          </w:p>
        </w:tc>
        <w:tc>
          <w:tcPr>
            <w:tcW w:w="2678" w:type="dxa"/>
            <w:noWrap w:val="0"/>
            <w:vAlign w:val="center"/>
          </w:tcPr>
          <w:p w14:paraId="5091C5CB">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1、已按照《怀化市鹤城产业开发区突发环境事件应急预案》（2021年修订本）的要求落实到位，加强了环境风险事故的防范和应急管理。</w:t>
            </w:r>
          </w:p>
          <w:p w14:paraId="6B46D1CE">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highlight w:val="yellow"/>
                <w:lang w:val="en-US" w:eastAsia="zh-CN" w:bidi="ar-SA"/>
              </w:rPr>
            </w:pPr>
            <w:r>
              <w:rPr>
                <w:rFonts w:hint="default" w:ascii="Times New Roman" w:hAnsi="Times New Roman" w:eastAsia="仿宋" w:cs="Times New Roman"/>
                <w:color w:val="auto"/>
                <w:kern w:val="2"/>
                <w:sz w:val="22"/>
                <w:szCs w:val="22"/>
                <w:lang w:val="en-US" w:eastAsia="zh-CN" w:bidi="ar-SA"/>
              </w:rPr>
              <w:t>2、园区已督促可能发生突发环境事件的企业进行环境应急预案编制，部分企业完成了备案。</w:t>
            </w:r>
          </w:p>
          <w:p w14:paraId="2E2EE876">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3、园区无污染地块，无重点监管企业。</w:t>
            </w:r>
          </w:p>
          <w:p w14:paraId="286247C9">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4、园区严格防控企业污染农用地，做到废水应收尽收、废气达标排放、固废妥善处置。</w:t>
            </w:r>
          </w:p>
        </w:tc>
      </w:tr>
      <w:tr w14:paraId="4B10D0AD">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427" w:type="dxa"/>
            <w:vMerge w:val="restart"/>
            <w:noWrap w:val="0"/>
            <w:vAlign w:val="center"/>
          </w:tcPr>
          <w:p w14:paraId="57BD3394">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4</w:t>
            </w:r>
          </w:p>
        </w:tc>
        <w:tc>
          <w:tcPr>
            <w:tcW w:w="805" w:type="dxa"/>
            <w:gridSpan w:val="2"/>
            <w:vMerge w:val="restart"/>
            <w:noWrap w:val="0"/>
            <w:vAlign w:val="center"/>
          </w:tcPr>
          <w:p w14:paraId="41638679">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资源开发 效率要求</w:t>
            </w:r>
          </w:p>
        </w:tc>
        <w:tc>
          <w:tcPr>
            <w:tcW w:w="426" w:type="dxa"/>
            <w:noWrap w:val="0"/>
            <w:vAlign w:val="center"/>
          </w:tcPr>
          <w:p w14:paraId="0C808E70">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能源</w:t>
            </w:r>
          </w:p>
        </w:tc>
        <w:tc>
          <w:tcPr>
            <w:tcW w:w="4186" w:type="dxa"/>
            <w:noWrap w:val="0"/>
            <w:vAlign w:val="center"/>
          </w:tcPr>
          <w:p w14:paraId="0C1D450E">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 xml:space="preserve">1、园区采用燃气为生活主要能源，工业用能以电能和天然气为主，分别占比 40%和 60%。 </w:t>
            </w:r>
          </w:p>
          <w:p w14:paraId="723E4660">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 xml:space="preserve">2、实施能源消耗总量和强度双控行动，逐步建立用能预算管理体系，编制用能预算管理方案。 </w:t>
            </w:r>
          </w:p>
          <w:p w14:paraId="765AD6E5">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3、到 2020 年，单位 GDP 能耗0.1164 吨标准煤/万元，单位增加值能耗0.166 吨标准煤/万元。到 2025 年，单位 GDP 能耗 0.1014 吨标准煤/万元，单位增加值能耗 0.144 吨标准煤/万元。</w:t>
            </w:r>
          </w:p>
        </w:tc>
        <w:tc>
          <w:tcPr>
            <w:tcW w:w="2678" w:type="dxa"/>
            <w:noWrap w:val="0"/>
            <w:vAlign w:val="center"/>
          </w:tcPr>
          <w:p w14:paraId="46408702">
            <w:pPr>
              <w:widowControl w:val="0"/>
              <w:wordWrap w:val="0"/>
              <w:spacing w:before="0" w:after="0"/>
              <w:jc w:val="both"/>
              <w:outlineLvl w:val="9"/>
              <w:rPr>
                <w:rFonts w:hint="default" w:ascii="Times New Roman" w:hAnsi="Times New Roman" w:eastAsia="仿宋" w:cs="Times New Roman"/>
                <w:b w:val="0"/>
                <w:bCs w:val="0"/>
                <w:color w:val="auto"/>
                <w:kern w:val="2"/>
                <w:sz w:val="22"/>
                <w:szCs w:val="22"/>
                <w:lang w:val="en-US" w:eastAsia="zh-CN" w:bidi="ar-SA"/>
              </w:rPr>
            </w:pPr>
            <w:bookmarkStart w:id="5" w:name="_Toc10601"/>
            <w:r>
              <w:rPr>
                <w:rFonts w:hint="default" w:ascii="Times New Roman" w:hAnsi="Times New Roman" w:eastAsia="仿宋" w:cs="Times New Roman"/>
                <w:b w:val="0"/>
                <w:bCs w:val="0"/>
                <w:color w:val="auto"/>
                <w:kern w:val="2"/>
                <w:sz w:val="22"/>
                <w:szCs w:val="22"/>
                <w:lang w:val="en-US" w:eastAsia="zh-CN" w:bidi="ar-SA"/>
              </w:rPr>
              <w:t>园区目前无燃煤企业，不涉及高污染燃料。企业采用电等清洁能源。</w:t>
            </w:r>
            <w:bookmarkEnd w:id="5"/>
          </w:p>
        </w:tc>
      </w:tr>
      <w:tr w14:paraId="25703965">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427" w:type="dxa"/>
            <w:vMerge w:val="continue"/>
            <w:noWrap w:val="0"/>
            <w:vAlign w:val="center"/>
          </w:tcPr>
          <w:p w14:paraId="71CC3CC1">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p>
        </w:tc>
        <w:tc>
          <w:tcPr>
            <w:tcW w:w="805" w:type="dxa"/>
            <w:gridSpan w:val="2"/>
            <w:vMerge w:val="continue"/>
            <w:noWrap w:val="0"/>
            <w:vAlign w:val="center"/>
          </w:tcPr>
          <w:p w14:paraId="0D9DEEE6">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p>
        </w:tc>
        <w:tc>
          <w:tcPr>
            <w:tcW w:w="426" w:type="dxa"/>
            <w:noWrap w:val="0"/>
            <w:vAlign w:val="center"/>
          </w:tcPr>
          <w:p w14:paraId="1408F121">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水资源</w:t>
            </w:r>
          </w:p>
        </w:tc>
        <w:tc>
          <w:tcPr>
            <w:tcW w:w="4186" w:type="dxa"/>
            <w:noWrap w:val="0"/>
            <w:vAlign w:val="center"/>
          </w:tcPr>
          <w:p w14:paraId="204330C6">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 xml:space="preserve">1、园区供水主要依托市政管网供水，严禁擅自开采地下水资源。工业集中区各企业要加强中水回用及水的循环利用，对水资源消耗量大、水循环利用率低的企业做出限制。 </w:t>
            </w:r>
          </w:p>
          <w:p w14:paraId="6560DEA1">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2、加强水资源管理，切实合理开发利用和节约保护水资源。到2020 年，鹤城区水资源开发利用总量控制在1.68 亿立方米以下，万元工业增加值用水量控制在 72 立方米/万元以下。</w:t>
            </w:r>
          </w:p>
        </w:tc>
        <w:tc>
          <w:tcPr>
            <w:tcW w:w="2678" w:type="dxa"/>
            <w:noWrap w:val="0"/>
            <w:vAlign w:val="center"/>
          </w:tcPr>
          <w:p w14:paraId="5C110A6A">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园区供水主要依托市政管网供水，未开采地下水。园区未引进水资源消耗量大的企业。</w:t>
            </w:r>
          </w:p>
        </w:tc>
      </w:tr>
      <w:tr w14:paraId="34087447">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427" w:type="dxa"/>
            <w:vMerge w:val="continue"/>
            <w:noWrap w:val="0"/>
            <w:vAlign w:val="center"/>
          </w:tcPr>
          <w:p w14:paraId="26CC8E19">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p>
        </w:tc>
        <w:tc>
          <w:tcPr>
            <w:tcW w:w="805" w:type="dxa"/>
            <w:gridSpan w:val="2"/>
            <w:vMerge w:val="continue"/>
            <w:noWrap w:val="0"/>
            <w:vAlign w:val="center"/>
          </w:tcPr>
          <w:p w14:paraId="58D5F154">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p>
        </w:tc>
        <w:tc>
          <w:tcPr>
            <w:tcW w:w="426" w:type="dxa"/>
            <w:noWrap w:val="0"/>
            <w:vAlign w:val="center"/>
          </w:tcPr>
          <w:p w14:paraId="23A43993">
            <w:pPr>
              <w:widowControl w:val="0"/>
              <w:snapToGrid w:val="0"/>
              <w:spacing w:after="0"/>
              <w:ind w:left="0" w:leftChars="0" w:firstLine="0" w:firstLineChars="0"/>
              <w:jc w:val="center"/>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土地资源</w:t>
            </w:r>
          </w:p>
        </w:tc>
        <w:tc>
          <w:tcPr>
            <w:tcW w:w="4186" w:type="dxa"/>
            <w:noWrap w:val="0"/>
            <w:vAlign w:val="center"/>
          </w:tcPr>
          <w:p w14:paraId="1EB26861">
            <w:pPr>
              <w:widowControl w:val="0"/>
              <w:numPr>
                <w:ilvl w:val="0"/>
                <w:numId w:val="1"/>
              </w:numPr>
              <w:snapToGrid w:val="0"/>
              <w:spacing w:after="0"/>
              <w:ind w:left="360" w:leftChars="0" w:hanging="36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坚持最严格的节约用地制度，盘活存量</w:t>
            </w:r>
          </w:p>
          <w:p w14:paraId="6B874DFA">
            <w:pPr>
              <w:widowControl w:val="0"/>
              <w:numPr>
                <w:ilvl w:val="0"/>
                <w:numId w:val="0"/>
              </w:numPr>
              <w:snapToGrid w:val="0"/>
              <w:spacing w:after="0"/>
              <w:ind w:left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建设用地，提升土地产出效益，全面实施节约集约用地战略。</w:t>
            </w:r>
          </w:p>
          <w:p w14:paraId="697B1E19">
            <w:pPr>
              <w:widowControl w:val="0"/>
              <w:numPr>
                <w:ilvl w:val="0"/>
                <w:numId w:val="1"/>
              </w:numPr>
              <w:snapToGrid w:val="0"/>
              <w:spacing w:after="0"/>
              <w:ind w:left="360" w:leftChars="0" w:hanging="36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园区项目引进严格运用用地指标，严格</w:t>
            </w:r>
          </w:p>
          <w:p w14:paraId="6369501D">
            <w:pPr>
              <w:widowControl w:val="0"/>
              <w:numPr>
                <w:ilvl w:val="0"/>
                <w:numId w:val="0"/>
              </w:numPr>
              <w:snapToGrid w:val="0"/>
              <w:spacing w:after="0"/>
              <w:ind w:left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节约集约用地，园区工业项目投资强度执行《湖南省建设用地指标》 （2020 版）10 等区域控制指标要求。</w:t>
            </w:r>
          </w:p>
        </w:tc>
        <w:tc>
          <w:tcPr>
            <w:tcW w:w="2678" w:type="dxa"/>
            <w:noWrap w:val="0"/>
            <w:vAlign w:val="center"/>
          </w:tcPr>
          <w:p w14:paraId="56F85591">
            <w:pPr>
              <w:widowControl w:val="0"/>
              <w:snapToGrid w:val="0"/>
              <w:spacing w:after="0"/>
              <w:ind w:left="0" w:leftChars="0" w:firstLine="0" w:firstLineChars="0"/>
              <w:jc w:val="both"/>
              <w:rPr>
                <w:rFonts w:hint="default" w:ascii="Times New Roman" w:hAnsi="Times New Roman" w:eastAsia="仿宋" w:cs="Times New Roman"/>
                <w:color w:val="auto"/>
                <w:kern w:val="2"/>
                <w:sz w:val="22"/>
                <w:szCs w:val="22"/>
                <w:lang w:val="en-US" w:eastAsia="zh-CN" w:bidi="ar-SA"/>
              </w:rPr>
            </w:pPr>
            <w:r>
              <w:rPr>
                <w:rFonts w:hint="default" w:ascii="Times New Roman" w:hAnsi="Times New Roman" w:eastAsia="仿宋" w:cs="Times New Roman"/>
                <w:color w:val="auto"/>
                <w:kern w:val="2"/>
                <w:sz w:val="22"/>
                <w:szCs w:val="22"/>
                <w:lang w:val="en-US" w:eastAsia="zh-CN" w:bidi="ar-SA"/>
              </w:rPr>
              <w:t>严格按照园区用地规划布局实施，未有超出规划范围的开发活动。</w:t>
            </w:r>
          </w:p>
        </w:tc>
      </w:tr>
    </w:tbl>
    <w:p w14:paraId="7A8DB361">
      <w:pPr>
        <w:pStyle w:val="2"/>
        <w:keepNext w:val="0"/>
        <w:keepLines w:val="0"/>
        <w:pageBreakBefore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202</w:t>
      </w:r>
      <w:r>
        <w:rPr>
          <w:rFonts w:hint="eastAsia" w:ascii="Times New Roman" w:hAnsi="Times New Roman" w:eastAsia="仿宋" w:cs="Times New Roman"/>
          <w:color w:val="auto"/>
          <w:sz w:val="28"/>
          <w:szCs w:val="28"/>
          <w:lang w:val="en-US" w:eastAsia="zh-CN"/>
        </w:rPr>
        <w:t>5</w:t>
      </w:r>
      <w:r>
        <w:rPr>
          <w:rFonts w:hint="default" w:ascii="Times New Roman" w:hAnsi="Times New Roman" w:eastAsia="仿宋" w:cs="Times New Roman"/>
          <w:color w:val="auto"/>
          <w:sz w:val="28"/>
          <w:szCs w:val="28"/>
        </w:rPr>
        <w:t>年度，</w:t>
      </w: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sz w:val="28"/>
          <w:szCs w:val="28"/>
        </w:rPr>
        <w:t>根据《湖南省人民政府关于实施“三线一单”生态环境分区管控的意见》、《湖南省“三线一单”生态环境总体管控要求</w:t>
      </w:r>
      <w:r>
        <w:rPr>
          <w:rFonts w:hint="eastAsia" w:ascii="Times New Roman" w:hAnsi="Times New Roman" w:eastAsia="仿宋" w:cs="Times New Roman"/>
          <w:color w:val="auto"/>
          <w:sz w:val="28"/>
          <w:szCs w:val="28"/>
          <w:lang w:val="en-US" w:eastAsia="zh-CN"/>
        </w:rPr>
        <w:t>及</w:t>
      </w:r>
      <w:r>
        <w:rPr>
          <w:rFonts w:hint="default" w:ascii="Times New Roman" w:hAnsi="Times New Roman" w:eastAsia="仿宋" w:cs="Times New Roman"/>
          <w:color w:val="auto"/>
          <w:sz w:val="28"/>
          <w:szCs w:val="28"/>
        </w:rPr>
        <w:t>省级以上产业园区生态环境准入清单》开展自查并严格落实和执行“三线一单”的相关管控要求，在园区招商引资过程中，用“线”管住空间布局、用“单”规范发展行为，禁止高污染、高耗能企业进入，推动绿色高质量项目加快落地，不断优化产业结构和空间布局。园区未引进三类工业及排放污染物涉及重金属、持久性有机物等企业。未引进电镀及大型喷涂企业，气型污染企业。在环境风险防控方面，按照《鹤城产业开发区突发环境事件应急预案》（2021年修订版）要求落实到位，加强了环境风险事故的防范和应急管理。在资源开发效率方面，积极推广清洁能源，以电能为主要能源，园区内无燃煤企业。</w:t>
      </w:r>
    </w:p>
    <w:p w14:paraId="3073FA6A">
      <w:pPr>
        <w:pStyle w:val="2"/>
        <w:keepNext w:val="0"/>
        <w:keepLines w:val="0"/>
        <w:pageBreakBefore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目前，园区主要在项目入园、企业选址、环评审批、排污许可、日常环境监管工作推进等方面对照</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三线一单</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生态环境管控要求落实应用，下一步将主要在规划布局、项目准入、挥发性有机物治理、固废规范化管理处置等方面继续大力推进。</w:t>
      </w:r>
    </w:p>
    <w:p w14:paraId="5997F534">
      <w:pPr>
        <w:pStyle w:val="2"/>
        <w:keepNext w:val="0"/>
        <w:keepLines w:val="0"/>
        <w:pageBreakBefore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default" w:ascii="Times New Roman" w:hAnsi="Times New Roman" w:eastAsia="仿宋" w:cs="Times New Roman"/>
          <w:color w:val="auto"/>
          <w:sz w:val="28"/>
          <w:szCs w:val="28"/>
        </w:rPr>
      </w:pPr>
      <w:bookmarkStart w:id="6" w:name="_Toc21115"/>
      <w:r>
        <w:rPr>
          <w:rFonts w:hint="default" w:ascii="Times New Roman" w:hAnsi="Times New Roman" w:eastAsia="仿宋" w:cs="Times New Roman"/>
          <w:b/>
          <w:color w:val="auto"/>
          <w:sz w:val="28"/>
          <w:szCs w:val="28"/>
        </w:rPr>
        <w:t>（三）水环境管理</w:t>
      </w:r>
      <w:bookmarkEnd w:id="6"/>
    </w:p>
    <w:p w14:paraId="79C67440">
      <w:pPr>
        <w:pStyle w:val="2"/>
        <w:keepNext w:val="0"/>
        <w:keepLines w:val="0"/>
        <w:pageBreakBefore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园区已建成企业污水管网覆盖率为100%，雨水管覆盖率100%，因园区地势中间高，两端低的原因，配套集中污水处理设施有2个，以新园路为界，分为东、西两个片区进入不同的集中污水处理设施进行处理。</w:t>
      </w:r>
    </w:p>
    <w:p w14:paraId="1DB7F86E">
      <w:pPr>
        <w:pStyle w:val="2"/>
        <w:keepNext w:val="0"/>
        <w:keepLines w:val="0"/>
        <w:pageBreakBefore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东部靠近泸阳区域，污水均接入</w:t>
      </w: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sz w:val="28"/>
          <w:szCs w:val="28"/>
        </w:rPr>
        <w:t>污水处理厂。</w:t>
      </w: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sz w:val="28"/>
          <w:szCs w:val="28"/>
        </w:rPr>
        <w:t>污水处理厂设计处理规模300m</w:t>
      </w:r>
      <w:r>
        <w:rPr>
          <w:rFonts w:hint="default" w:ascii="Times New Roman" w:hAnsi="Times New Roman" w:eastAsia="仿宋" w:cs="Times New Roman"/>
          <w:color w:val="auto"/>
          <w:sz w:val="28"/>
          <w:szCs w:val="28"/>
          <w:vertAlign w:val="superscript"/>
        </w:rPr>
        <w:t>3</w:t>
      </w:r>
      <w:r>
        <w:rPr>
          <w:rFonts w:hint="default" w:ascii="Times New Roman" w:hAnsi="Times New Roman" w:eastAsia="仿宋" w:cs="Times New Roman"/>
          <w:color w:val="auto"/>
          <w:sz w:val="28"/>
          <w:szCs w:val="28"/>
        </w:rPr>
        <w:t>/d，实际处理规模约为</w:t>
      </w:r>
      <w:r>
        <w:rPr>
          <w:rFonts w:hint="eastAsia" w:ascii="Times New Roman" w:hAnsi="Times New Roman" w:eastAsia="仿宋" w:cs="Times New Roman"/>
          <w:color w:val="auto"/>
          <w:sz w:val="28"/>
          <w:szCs w:val="28"/>
          <w:lang w:val="en-US" w:eastAsia="zh-CN"/>
        </w:rPr>
        <w:t>5400</w:t>
      </w:r>
      <w:r>
        <w:rPr>
          <w:rFonts w:hint="default" w:ascii="Times New Roman" w:hAnsi="Times New Roman" w:eastAsia="仿宋" w:cs="Times New Roman"/>
          <w:color w:val="auto"/>
          <w:sz w:val="28"/>
          <w:szCs w:val="28"/>
        </w:rPr>
        <w:t>t/a，污水处理工艺为</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预处理+一体化生化处理池（AAO工艺）+后处理</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，在线监测达标率为100%。</w:t>
      </w:r>
    </w:p>
    <w:p w14:paraId="6E88FEFC">
      <w:pPr>
        <w:pStyle w:val="2"/>
        <w:keepNext w:val="0"/>
        <w:keepLines w:val="0"/>
        <w:pageBreakBefore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西部靠近主城区主要依托怀化市城东污水处理厂，该污水处理厂一期设计处理规模5万m³/d，实际处理量3万m³/d，主要工艺为</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A</w:t>
      </w:r>
      <w:r>
        <w:rPr>
          <w:rFonts w:hint="default" w:ascii="Times New Roman" w:hAnsi="Times New Roman" w:eastAsia="仿宋" w:cs="Times New Roman"/>
          <w:color w:val="auto"/>
          <w:sz w:val="28"/>
          <w:szCs w:val="28"/>
          <w:vertAlign w:val="superscript"/>
        </w:rPr>
        <w:t>2</w:t>
      </w:r>
      <w:r>
        <w:rPr>
          <w:rFonts w:hint="default" w:ascii="Times New Roman" w:hAnsi="Times New Roman" w:eastAsia="仿宋" w:cs="Times New Roman"/>
          <w:color w:val="auto"/>
          <w:sz w:val="28"/>
          <w:szCs w:val="28"/>
        </w:rPr>
        <w:t>/O+深度处理+消毒</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工艺，其中深度处理为</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高效沉淀+滤布滤池</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工艺，污泥处理采用“污泥浓缩+改性调理+机械压滤脱水”工艺，在线监测达标率</w:t>
      </w:r>
      <w:r>
        <w:rPr>
          <w:rFonts w:hint="default" w:ascii="Times New Roman" w:hAnsi="Times New Roman" w:eastAsia="仿宋" w:cs="Times New Roman"/>
          <w:color w:val="auto"/>
          <w:sz w:val="28"/>
          <w:szCs w:val="28"/>
          <w:u w:color="000000"/>
        </w:rPr>
        <w:t>100</w:t>
      </w:r>
      <w:r>
        <w:rPr>
          <w:rFonts w:hint="default" w:ascii="Times New Roman" w:hAnsi="Times New Roman" w:eastAsia="仿宋" w:cs="Times New Roman"/>
          <w:color w:val="auto"/>
          <w:sz w:val="28"/>
          <w:szCs w:val="28"/>
        </w:rPr>
        <w:t>%。园区雨水管覆盖率100%。</w:t>
      </w:r>
    </w:p>
    <w:p w14:paraId="3F7C6E2E">
      <w:pPr>
        <w:pStyle w:val="2"/>
        <w:keepNext w:val="0"/>
        <w:keepLines w:val="0"/>
        <w:pageBreakBefore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园区内涉及工业废水外排企业数量为</w:t>
      </w:r>
      <w:r>
        <w:rPr>
          <w:rFonts w:hint="eastAsia" w:ascii="Times New Roman" w:hAnsi="Times New Roman" w:eastAsia="仿宋" w:cs="Times New Roman"/>
          <w:color w:val="auto"/>
          <w:sz w:val="28"/>
          <w:szCs w:val="28"/>
          <w:lang w:val="en-US" w:eastAsia="zh-CN"/>
        </w:rPr>
        <w:t>2</w:t>
      </w:r>
      <w:r>
        <w:rPr>
          <w:rFonts w:hint="default" w:ascii="Times New Roman" w:hAnsi="Times New Roman" w:eastAsia="仿宋" w:cs="Times New Roman"/>
          <w:color w:val="auto"/>
          <w:sz w:val="28"/>
          <w:szCs w:val="28"/>
        </w:rPr>
        <w:t>个，工业废水总排放量</w:t>
      </w:r>
      <w:r>
        <w:rPr>
          <w:rFonts w:hint="default" w:ascii="Times New Roman" w:hAnsi="Times New Roman" w:eastAsia="仿宋" w:cs="Times New Roman"/>
          <w:color w:val="auto"/>
          <w:sz w:val="28"/>
          <w:szCs w:val="28"/>
          <w:lang w:val="en-US" w:eastAsia="zh-CN"/>
        </w:rPr>
        <w:t>约</w:t>
      </w:r>
      <w:r>
        <w:rPr>
          <w:rFonts w:hint="default" w:ascii="Times New Roman" w:hAnsi="Times New Roman" w:eastAsia="仿宋" w:cs="Times New Roman"/>
          <w:color w:val="auto"/>
          <w:sz w:val="28"/>
          <w:szCs w:val="28"/>
        </w:rPr>
        <w:t>为</w:t>
      </w:r>
      <w:r>
        <w:rPr>
          <w:rFonts w:hint="eastAsia" w:ascii="Times New Roman" w:hAnsi="Times New Roman" w:eastAsia="仿宋" w:cs="Times New Roman"/>
          <w:color w:val="auto"/>
          <w:sz w:val="28"/>
          <w:szCs w:val="28"/>
          <w:lang w:val="en-US" w:eastAsia="zh-CN"/>
        </w:rPr>
        <w:t>6</w:t>
      </w:r>
      <w:r>
        <w:rPr>
          <w:rFonts w:hint="default" w:ascii="Times New Roman" w:hAnsi="Times New Roman" w:eastAsia="仿宋" w:cs="Times New Roman"/>
          <w:color w:val="auto"/>
          <w:sz w:val="28"/>
          <w:szCs w:val="28"/>
        </w:rPr>
        <w:t>m</w:t>
      </w:r>
      <w:r>
        <w:rPr>
          <w:rFonts w:hint="default" w:ascii="Times New Roman" w:hAnsi="Times New Roman" w:eastAsia="仿宋" w:cs="Times New Roman"/>
          <w:color w:val="auto"/>
          <w:sz w:val="28"/>
          <w:szCs w:val="28"/>
          <w:vertAlign w:val="superscript"/>
          <w:lang w:val="en-US" w:eastAsia="zh-CN"/>
        </w:rPr>
        <w:t>3</w:t>
      </w:r>
      <w:r>
        <w:rPr>
          <w:rFonts w:hint="default" w:ascii="Times New Roman" w:hAnsi="Times New Roman" w:eastAsia="仿宋" w:cs="Times New Roman"/>
          <w:color w:val="auto"/>
          <w:sz w:val="28"/>
          <w:szCs w:val="28"/>
        </w:rPr>
        <w:t>/d，外排污水纳管企业数量为</w:t>
      </w:r>
      <w:r>
        <w:rPr>
          <w:rFonts w:hint="eastAsia" w:ascii="Times New Roman" w:hAnsi="Times New Roman" w:eastAsia="仿宋" w:cs="Times New Roman"/>
          <w:color w:val="auto"/>
          <w:sz w:val="28"/>
          <w:szCs w:val="28"/>
          <w:lang w:val="en-US" w:eastAsia="zh-CN"/>
        </w:rPr>
        <w:t>2</w:t>
      </w:r>
      <w:r>
        <w:rPr>
          <w:rFonts w:hint="default" w:ascii="Times New Roman" w:hAnsi="Times New Roman" w:eastAsia="仿宋" w:cs="Times New Roman"/>
          <w:color w:val="auto"/>
          <w:sz w:val="28"/>
          <w:szCs w:val="28"/>
        </w:rPr>
        <w:t>个（</w:t>
      </w:r>
      <w:r>
        <w:rPr>
          <w:rFonts w:hint="default" w:ascii="Times New Roman" w:hAnsi="Times New Roman" w:eastAsia="仿宋" w:cs="Times New Roman"/>
          <w:color w:val="auto"/>
          <w:sz w:val="28"/>
          <w:szCs w:val="28"/>
          <w:lang w:val="en-US" w:eastAsia="zh-CN"/>
        </w:rPr>
        <w:t>涉工业废水外排企业</w:t>
      </w:r>
      <w:r>
        <w:rPr>
          <w:rFonts w:hint="default" w:ascii="Times New Roman" w:hAnsi="Times New Roman" w:eastAsia="仿宋" w:cs="Times New Roman"/>
          <w:color w:val="auto"/>
          <w:sz w:val="28"/>
          <w:szCs w:val="28"/>
        </w:rPr>
        <w:t>），污水集中处理比例为100%。园区不涉及一类污染物排放企业。</w:t>
      </w:r>
    </w:p>
    <w:p w14:paraId="10267A43">
      <w:pPr>
        <w:pStyle w:val="2"/>
        <w:keepNext w:val="0"/>
        <w:keepLines w:val="0"/>
        <w:pageBreakBefore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sz w:val="28"/>
          <w:szCs w:val="28"/>
        </w:rPr>
        <w:t>年度水污染物总排放量：化</w:t>
      </w:r>
      <w:r>
        <w:rPr>
          <w:rFonts w:hint="default" w:ascii="Times New Roman" w:hAnsi="Times New Roman" w:eastAsia="仿宋" w:cs="Times New Roman"/>
          <w:color w:val="auto"/>
          <w:sz w:val="28"/>
          <w:szCs w:val="28"/>
          <w:highlight w:val="none"/>
        </w:rPr>
        <w:t>学需氧量</w:t>
      </w:r>
      <w:r>
        <w:rPr>
          <w:rFonts w:hint="eastAsia" w:ascii="Times New Roman" w:hAnsi="Times New Roman" w:eastAsia="仿宋" w:cs="Times New Roman"/>
          <w:color w:val="auto"/>
          <w:sz w:val="28"/>
          <w:szCs w:val="28"/>
          <w:highlight w:val="none"/>
          <w:u w:color="000000"/>
          <w:lang w:val="en-US" w:eastAsia="zh-CN"/>
        </w:rPr>
        <w:t>0.27</w:t>
      </w:r>
      <w:r>
        <w:rPr>
          <w:rFonts w:hint="default" w:ascii="Times New Roman" w:hAnsi="Times New Roman" w:eastAsia="仿宋" w:cs="Times New Roman"/>
          <w:color w:val="auto"/>
          <w:sz w:val="28"/>
          <w:szCs w:val="28"/>
          <w:highlight w:val="none"/>
        </w:rPr>
        <w:t>t/a，氨氮</w:t>
      </w:r>
      <w:r>
        <w:rPr>
          <w:rFonts w:hint="default" w:ascii="Times New Roman" w:hAnsi="Times New Roman" w:eastAsia="仿宋" w:cs="Times New Roman"/>
          <w:color w:val="auto"/>
          <w:sz w:val="28"/>
          <w:szCs w:val="28"/>
          <w:highlight w:val="none"/>
          <w:lang w:val="en-US" w:eastAsia="zh-CN"/>
        </w:rPr>
        <w:t>0.</w:t>
      </w:r>
      <w:r>
        <w:rPr>
          <w:rFonts w:hint="eastAsia" w:ascii="Times New Roman" w:hAnsi="Times New Roman" w:eastAsia="仿宋" w:cs="Times New Roman"/>
          <w:color w:val="auto"/>
          <w:sz w:val="28"/>
          <w:szCs w:val="28"/>
          <w:highlight w:val="none"/>
          <w:lang w:val="en-US" w:eastAsia="zh-CN"/>
        </w:rPr>
        <w:t>0</w:t>
      </w:r>
      <w:r>
        <w:rPr>
          <w:rFonts w:hint="default" w:ascii="Times New Roman" w:hAnsi="Times New Roman" w:eastAsia="仿宋" w:cs="Times New Roman"/>
          <w:color w:val="auto"/>
          <w:sz w:val="28"/>
          <w:szCs w:val="28"/>
          <w:highlight w:val="none"/>
          <w:lang w:val="en-US" w:eastAsia="zh-CN"/>
        </w:rPr>
        <w:t>2</w:t>
      </w:r>
      <w:r>
        <w:rPr>
          <w:rFonts w:hint="eastAsia" w:ascii="Times New Roman" w:hAnsi="Times New Roman" w:eastAsia="仿宋" w:cs="Times New Roman"/>
          <w:color w:val="auto"/>
          <w:sz w:val="28"/>
          <w:szCs w:val="28"/>
          <w:highlight w:val="none"/>
          <w:lang w:val="en-US" w:eastAsia="zh-CN"/>
        </w:rPr>
        <w:t>7</w:t>
      </w:r>
      <w:r>
        <w:rPr>
          <w:rFonts w:hint="default" w:ascii="Times New Roman" w:hAnsi="Times New Roman" w:eastAsia="仿宋" w:cs="Times New Roman"/>
          <w:color w:val="auto"/>
          <w:sz w:val="28"/>
          <w:szCs w:val="28"/>
          <w:highlight w:val="none"/>
        </w:rPr>
        <w:t>t/a。</w:t>
      </w:r>
      <w:r>
        <w:rPr>
          <w:rFonts w:hint="default" w:ascii="Times New Roman" w:hAnsi="Times New Roman" w:eastAsia="仿宋" w:cs="Times New Roman"/>
          <w:color w:val="auto"/>
          <w:sz w:val="28"/>
          <w:szCs w:val="28"/>
        </w:rPr>
        <w:t>不涉及其他重金属等污染因子。</w:t>
      </w:r>
    </w:p>
    <w:p w14:paraId="055D19E0">
      <w:pPr>
        <w:pStyle w:val="2"/>
        <w:keepNext w:val="0"/>
        <w:keepLines w:val="0"/>
        <w:pageBreakBefore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排污口下游最近的地表水水质管控断面为池回断面，水功能区划</w:t>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 3 \* ROMAN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III</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color w:val="auto"/>
          <w:sz w:val="28"/>
          <w:szCs w:val="28"/>
        </w:rPr>
        <w:t>类，监测达标率100%。无超标因子。</w:t>
      </w:r>
    </w:p>
    <w:p w14:paraId="42191F13">
      <w:pPr>
        <w:pStyle w:val="2"/>
        <w:keepNext w:val="0"/>
        <w:keepLines w:val="0"/>
        <w:pageBreakBefore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目前，园区无</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双源</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地下水监测；园区不涉及黑臭水体问题。</w:t>
      </w:r>
    </w:p>
    <w:p w14:paraId="20877586">
      <w:pPr>
        <w:pStyle w:val="2"/>
        <w:keepNext w:val="0"/>
        <w:keepLines w:val="0"/>
        <w:pageBreakBefore w:val="0"/>
        <w:kinsoku/>
        <w:wordWrap/>
        <w:overflowPunct/>
        <w:topLinePunct w:val="0"/>
        <w:autoSpaceDE/>
        <w:autoSpaceDN/>
        <w:bidi w:val="0"/>
        <w:adjustRightInd/>
        <w:snapToGrid/>
        <w:spacing w:after="0" w:line="360" w:lineRule="auto"/>
        <w:ind w:left="0" w:leftChars="0" w:firstLine="281" w:firstLineChars="100"/>
        <w:textAlignment w:val="auto"/>
        <w:outlineLvl w:val="1"/>
        <w:rPr>
          <w:rFonts w:hint="default" w:ascii="Times New Roman" w:hAnsi="Times New Roman" w:eastAsia="仿宋" w:cs="Times New Roman"/>
          <w:b/>
          <w:color w:val="auto"/>
          <w:sz w:val="28"/>
          <w:szCs w:val="28"/>
        </w:rPr>
      </w:pPr>
      <w:bookmarkStart w:id="7" w:name="_Toc30572"/>
      <w:r>
        <w:rPr>
          <w:rFonts w:hint="default" w:ascii="Times New Roman" w:hAnsi="Times New Roman" w:eastAsia="仿宋" w:cs="Times New Roman"/>
          <w:b/>
          <w:color w:val="auto"/>
          <w:sz w:val="28"/>
          <w:szCs w:val="28"/>
        </w:rPr>
        <w:t>（四）大气环境管理</w:t>
      </w:r>
      <w:bookmarkEnd w:id="7"/>
    </w:p>
    <w:p w14:paraId="797BFC11">
      <w:pPr>
        <w:pStyle w:val="15"/>
        <w:keepNext w:val="0"/>
        <w:keepLines w:val="0"/>
        <w:pageBreakBefore w:val="0"/>
        <w:widowControl/>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园区内涉及工业废气外排企业数量</w:t>
      </w:r>
      <w:r>
        <w:rPr>
          <w:rFonts w:hint="eastAsia" w:ascii="Times New Roman" w:hAnsi="Times New Roman" w:eastAsia="仿宋" w:cs="Times New Roman"/>
          <w:color w:val="auto"/>
          <w:sz w:val="28"/>
          <w:szCs w:val="28"/>
          <w:lang w:val="en-US" w:eastAsia="zh-CN"/>
        </w:rPr>
        <w:t>22</w:t>
      </w:r>
      <w:r>
        <w:rPr>
          <w:rFonts w:hint="default" w:ascii="Times New Roman" w:hAnsi="Times New Roman" w:eastAsia="仿宋" w:cs="Times New Roman"/>
          <w:color w:val="auto"/>
          <w:sz w:val="28"/>
          <w:szCs w:val="28"/>
        </w:rPr>
        <w:t>个，企业排放的主要废气污染物为颗粒物、VOCs</w:t>
      </w:r>
      <w:r>
        <w:rPr>
          <w:rFonts w:hint="eastAsia" w:ascii="Times New Roman" w:hAnsi="Times New Roman" w:eastAsia="仿宋" w:cs="Times New Roman"/>
          <w:color w:val="auto"/>
          <w:sz w:val="28"/>
          <w:szCs w:val="28"/>
          <w:lang w:eastAsia="zh-CN"/>
        </w:rPr>
        <w:t>、</w:t>
      </w:r>
      <w:r>
        <w:rPr>
          <w:rFonts w:hint="eastAsia" w:ascii="Times New Roman" w:hAnsi="Times New Roman" w:eastAsia="仿宋" w:cs="Times New Roman"/>
          <w:color w:val="auto"/>
          <w:sz w:val="28"/>
          <w:szCs w:val="28"/>
          <w:lang w:val="en-US" w:eastAsia="zh-CN"/>
        </w:rPr>
        <w:t>污水处理厂恶臭气体</w:t>
      </w:r>
      <w:r>
        <w:rPr>
          <w:rFonts w:hint="default" w:ascii="Times New Roman" w:hAnsi="Times New Roman" w:eastAsia="仿宋" w:cs="Times New Roman"/>
          <w:color w:val="auto"/>
          <w:sz w:val="28"/>
          <w:szCs w:val="28"/>
        </w:rPr>
        <w:t>，大气质量监测达标率100%。园区内不涉及湖南省VOCs省级重点监管企事业单位，且园区各企业均按照环保要求设置了废气污染防治措施，大气污染物总排放量</w:t>
      </w:r>
      <w:r>
        <w:rPr>
          <w:rFonts w:hint="default" w:ascii="Times New Roman" w:hAnsi="Times New Roman" w:eastAsia="仿宋" w:cs="Times New Roman"/>
          <w:color w:val="auto"/>
          <w:sz w:val="28"/>
          <w:szCs w:val="28"/>
          <w:highlight w:val="none"/>
        </w:rPr>
        <w:t xml:space="preserve">：VOCs </w:t>
      </w:r>
      <w:r>
        <w:rPr>
          <w:rFonts w:hint="eastAsia" w:ascii="Times New Roman" w:hAnsi="Times New Roman" w:eastAsia="仿宋" w:cs="Times New Roman"/>
          <w:color w:val="auto"/>
          <w:sz w:val="28"/>
          <w:szCs w:val="28"/>
          <w:highlight w:val="none"/>
          <w:lang w:val="en-US" w:eastAsia="zh-CN"/>
        </w:rPr>
        <w:t>3.006</w:t>
      </w:r>
      <w:r>
        <w:rPr>
          <w:rFonts w:hint="default" w:ascii="Times New Roman" w:hAnsi="Times New Roman" w:eastAsia="仿宋" w:cs="Times New Roman"/>
          <w:color w:val="auto"/>
          <w:sz w:val="28"/>
          <w:szCs w:val="28"/>
          <w:highlight w:val="none"/>
        </w:rPr>
        <w:t>t/a</w:t>
      </w:r>
      <w:r>
        <w:rPr>
          <w:rFonts w:hint="default" w:ascii="Times New Roman" w:hAnsi="Times New Roman" w:eastAsia="仿宋" w:cs="Times New Roman"/>
          <w:color w:val="auto"/>
          <w:sz w:val="28"/>
          <w:szCs w:val="28"/>
          <w:highlight w:val="none"/>
          <w:lang w:eastAsia="zh-CN"/>
        </w:rPr>
        <w:t>，</w:t>
      </w:r>
      <w:r>
        <w:rPr>
          <w:rFonts w:hint="default" w:ascii="Times New Roman" w:hAnsi="Times New Roman" w:eastAsia="仿宋" w:cs="Times New Roman"/>
          <w:color w:val="auto"/>
          <w:sz w:val="28"/>
          <w:szCs w:val="28"/>
        </w:rPr>
        <w:t>园区不涉及二氧化硫及氮氧化物排放。</w:t>
      </w:r>
    </w:p>
    <w:p w14:paraId="5BDC36E5">
      <w:pPr>
        <w:pStyle w:val="2"/>
        <w:keepNext w:val="0"/>
        <w:keepLines w:val="0"/>
        <w:pageBreakBefore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园区建有小型空气微站一座，位于怀化市鹤城区国有粮食购销公司办公楼顶部，监测因子为CO、SO</w:t>
      </w:r>
      <w:r>
        <w:rPr>
          <w:rFonts w:hint="default" w:ascii="Times New Roman" w:hAnsi="Times New Roman" w:eastAsia="仿宋" w:cs="Times New Roman"/>
          <w:color w:val="auto"/>
          <w:sz w:val="28"/>
          <w:szCs w:val="28"/>
          <w:vertAlign w:val="subscript"/>
        </w:rPr>
        <w:t>2</w:t>
      </w:r>
      <w:r>
        <w:rPr>
          <w:rFonts w:hint="default" w:ascii="Times New Roman" w:hAnsi="Times New Roman" w:eastAsia="仿宋" w:cs="Times New Roman"/>
          <w:color w:val="auto"/>
          <w:sz w:val="28"/>
          <w:szCs w:val="28"/>
        </w:rPr>
        <w:t>、NO</w:t>
      </w:r>
      <w:r>
        <w:rPr>
          <w:rFonts w:hint="default" w:ascii="Times New Roman" w:hAnsi="Times New Roman" w:eastAsia="仿宋" w:cs="Times New Roman"/>
          <w:color w:val="auto"/>
          <w:sz w:val="28"/>
          <w:szCs w:val="28"/>
          <w:vertAlign w:val="subscript"/>
        </w:rPr>
        <w:t>2</w:t>
      </w:r>
      <w:r>
        <w:rPr>
          <w:rFonts w:hint="default" w:ascii="Times New Roman" w:hAnsi="Times New Roman" w:eastAsia="仿宋" w:cs="Times New Roman"/>
          <w:color w:val="auto"/>
          <w:sz w:val="28"/>
          <w:szCs w:val="28"/>
        </w:rPr>
        <w:t>、O</w:t>
      </w:r>
      <w:r>
        <w:rPr>
          <w:rFonts w:hint="default" w:ascii="Times New Roman" w:hAnsi="Times New Roman" w:eastAsia="仿宋" w:cs="Times New Roman"/>
          <w:color w:val="auto"/>
          <w:sz w:val="28"/>
          <w:szCs w:val="28"/>
          <w:vertAlign w:val="subscript"/>
        </w:rPr>
        <w:t>3</w:t>
      </w:r>
      <w:r>
        <w:rPr>
          <w:rFonts w:hint="default" w:ascii="Times New Roman" w:hAnsi="Times New Roman" w:eastAsia="仿宋" w:cs="Times New Roman"/>
          <w:color w:val="auto"/>
          <w:sz w:val="28"/>
          <w:szCs w:val="28"/>
        </w:rPr>
        <w:t>、PM</w:t>
      </w:r>
      <w:r>
        <w:rPr>
          <w:rFonts w:hint="default" w:ascii="Times New Roman" w:hAnsi="Times New Roman" w:eastAsia="仿宋" w:cs="Times New Roman"/>
          <w:color w:val="auto"/>
          <w:sz w:val="28"/>
          <w:szCs w:val="28"/>
          <w:vertAlign w:val="subscript"/>
        </w:rPr>
        <w:t>2.5</w:t>
      </w:r>
      <w:r>
        <w:rPr>
          <w:rFonts w:hint="default" w:ascii="Times New Roman" w:hAnsi="Times New Roman" w:eastAsia="仿宋" w:cs="Times New Roman"/>
          <w:color w:val="auto"/>
          <w:sz w:val="28"/>
          <w:szCs w:val="28"/>
        </w:rPr>
        <w:t>、PM</w:t>
      </w:r>
      <w:r>
        <w:rPr>
          <w:rFonts w:hint="default" w:ascii="Times New Roman" w:hAnsi="Times New Roman" w:eastAsia="仿宋" w:cs="Times New Roman"/>
          <w:color w:val="auto"/>
          <w:sz w:val="28"/>
          <w:szCs w:val="28"/>
          <w:vertAlign w:val="subscript"/>
        </w:rPr>
        <w:t>10、</w:t>
      </w:r>
      <w:r>
        <w:rPr>
          <w:rFonts w:hint="default" w:ascii="Times New Roman" w:hAnsi="Times New Roman" w:eastAsia="仿宋" w:cs="Times New Roman"/>
          <w:color w:val="auto"/>
          <w:sz w:val="28"/>
          <w:szCs w:val="28"/>
        </w:rPr>
        <w:t>TSP。园区环境空气小微站监测点位、监测因子及监测结果见下表。</w:t>
      </w:r>
    </w:p>
    <w:p w14:paraId="713AAB77">
      <w:pPr>
        <w:snapToGrid w:val="0"/>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4"/>
          <w:szCs w:val="28"/>
        </w:rPr>
        <w:t>表</w:t>
      </w:r>
      <w:r>
        <w:rPr>
          <w:rFonts w:hint="default" w:ascii="Times New Roman" w:hAnsi="Times New Roman" w:eastAsia="仿宋" w:cs="Times New Roman"/>
          <w:b/>
          <w:color w:val="auto"/>
          <w:sz w:val="22"/>
          <w:szCs w:val="28"/>
        </w:rPr>
        <w:t>2-11</w:t>
      </w:r>
      <w:r>
        <w:rPr>
          <w:rFonts w:hint="default" w:ascii="Times New Roman" w:hAnsi="Times New Roman" w:eastAsia="仿宋" w:cs="Times New Roman"/>
          <w:b/>
          <w:bCs/>
          <w:color w:val="auto"/>
          <w:sz w:val="24"/>
          <w:szCs w:val="28"/>
        </w:rPr>
        <w:t xml:space="preserve"> </w:t>
      </w:r>
      <w:r>
        <w:rPr>
          <w:rFonts w:hint="default" w:ascii="Times New Roman" w:hAnsi="Times New Roman" w:eastAsia="仿宋" w:cs="Times New Roman"/>
          <w:b/>
          <w:bCs/>
          <w:color w:val="auto"/>
          <w:sz w:val="24"/>
          <w:szCs w:val="28"/>
          <w:lang w:val="en-US" w:eastAsia="zh-CN"/>
        </w:rPr>
        <w:t xml:space="preserve"> 怀化高新技术产业开发区鹤城片区</w:t>
      </w:r>
      <w:r>
        <w:rPr>
          <w:rFonts w:hint="default" w:ascii="Times New Roman" w:hAnsi="Times New Roman" w:eastAsia="仿宋" w:cs="Times New Roman"/>
          <w:b/>
          <w:color w:val="auto"/>
          <w:sz w:val="24"/>
          <w:szCs w:val="28"/>
        </w:rPr>
        <w:t>小微站</w:t>
      </w:r>
      <w:r>
        <w:rPr>
          <w:rFonts w:hint="default" w:ascii="Times New Roman" w:hAnsi="Times New Roman" w:eastAsia="仿宋" w:cs="Times New Roman"/>
          <w:b/>
          <w:bCs/>
          <w:color w:val="auto"/>
          <w:sz w:val="24"/>
          <w:szCs w:val="28"/>
        </w:rPr>
        <w:t>环境空气质量监测情况</w:t>
      </w:r>
    </w:p>
    <w:tbl>
      <w:tblPr>
        <w:tblStyle w:val="18"/>
        <w:tblW w:w="5000" w:type="pct"/>
        <w:jc w:val="center"/>
        <w:tblBorders>
          <w:top w:val="single" w:color="auto" w:sz="12" w:space="0"/>
          <w:left w:val="single" w:color="auto" w:sz="4" w:space="0"/>
          <w:bottom w:val="single" w:color="auto" w:sz="12"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98"/>
        <w:gridCol w:w="1844"/>
        <w:gridCol w:w="2640"/>
        <w:gridCol w:w="1890"/>
        <w:gridCol w:w="1450"/>
      </w:tblGrid>
      <w:tr w14:paraId="44610FAF">
        <w:tblPrEx>
          <w:tblBorders>
            <w:top w:val="single" w:color="auto" w:sz="12" w:space="0"/>
            <w:left w:val="single" w:color="auto" w:sz="4" w:space="0"/>
            <w:bottom w:val="single" w:color="auto" w:sz="12"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410" w:type="pct"/>
            <w:vAlign w:val="center"/>
          </w:tcPr>
          <w:p w14:paraId="7F44C8A3">
            <w:pPr>
              <w:snapToGrid w:val="0"/>
              <w:jc w:val="center"/>
              <w:rPr>
                <w:rFonts w:hint="default" w:ascii="Times New Roman" w:hAnsi="Times New Roman" w:eastAsia="仿宋" w:cs="Times New Roman"/>
                <w:b/>
                <w:bCs/>
                <w:color w:val="auto"/>
                <w:sz w:val="22"/>
                <w:szCs w:val="28"/>
              </w:rPr>
            </w:pPr>
            <w:r>
              <w:rPr>
                <w:rFonts w:hint="default" w:ascii="Times New Roman" w:hAnsi="Times New Roman" w:eastAsia="仿宋" w:cs="Times New Roman"/>
                <w:b/>
                <w:bCs/>
                <w:color w:val="auto"/>
                <w:sz w:val="22"/>
                <w:szCs w:val="28"/>
              </w:rPr>
              <w:t>序号</w:t>
            </w:r>
          </w:p>
        </w:tc>
        <w:tc>
          <w:tcPr>
            <w:tcW w:w="1081" w:type="pct"/>
            <w:vAlign w:val="center"/>
          </w:tcPr>
          <w:p w14:paraId="348CC825">
            <w:pPr>
              <w:snapToGrid w:val="0"/>
              <w:jc w:val="center"/>
              <w:rPr>
                <w:rFonts w:hint="default" w:ascii="Times New Roman" w:hAnsi="Times New Roman" w:eastAsia="仿宋" w:cs="Times New Roman"/>
                <w:b/>
                <w:bCs/>
                <w:color w:val="auto"/>
                <w:sz w:val="22"/>
                <w:szCs w:val="28"/>
              </w:rPr>
            </w:pPr>
            <w:r>
              <w:rPr>
                <w:rFonts w:hint="default" w:ascii="Times New Roman" w:hAnsi="Times New Roman" w:eastAsia="仿宋" w:cs="Times New Roman"/>
                <w:b/>
                <w:bCs/>
                <w:color w:val="auto"/>
                <w:sz w:val="22"/>
                <w:szCs w:val="28"/>
              </w:rPr>
              <w:t>监测点名称</w:t>
            </w:r>
          </w:p>
        </w:tc>
        <w:tc>
          <w:tcPr>
            <w:tcW w:w="1548" w:type="pct"/>
            <w:vAlign w:val="center"/>
          </w:tcPr>
          <w:p w14:paraId="55C5E528">
            <w:pPr>
              <w:snapToGrid w:val="0"/>
              <w:jc w:val="center"/>
              <w:rPr>
                <w:rFonts w:hint="default" w:ascii="Times New Roman" w:hAnsi="Times New Roman" w:eastAsia="仿宋" w:cs="Times New Roman"/>
                <w:b/>
                <w:bCs/>
                <w:color w:val="auto"/>
                <w:sz w:val="22"/>
                <w:szCs w:val="28"/>
              </w:rPr>
            </w:pPr>
            <w:r>
              <w:rPr>
                <w:rFonts w:hint="default" w:ascii="Times New Roman" w:hAnsi="Times New Roman" w:eastAsia="仿宋" w:cs="Times New Roman"/>
                <w:b/>
                <w:bCs/>
                <w:color w:val="auto"/>
                <w:sz w:val="22"/>
                <w:szCs w:val="28"/>
              </w:rPr>
              <w:t>监测项目</w:t>
            </w:r>
          </w:p>
        </w:tc>
        <w:tc>
          <w:tcPr>
            <w:tcW w:w="1108" w:type="pct"/>
            <w:vAlign w:val="center"/>
          </w:tcPr>
          <w:p w14:paraId="23F78184">
            <w:pPr>
              <w:snapToGrid w:val="0"/>
              <w:jc w:val="center"/>
              <w:rPr>
                <w:rFonts w:hint="default" w:ascii="Times New Roman" w:hAnsi="Times New Roman" w:eastAsia="仿宋" w:cs="Times New Roman"/>
                <w:b/>
                <w:bCs/>
                <w:color w:val="auto"/>
                <w:sz w:val="22"/>
                <w:szCs w:val="28"/>
              </w:rPr>
            </w:pPr>
            <w:r>
              <w:rPr>
                <w:rFonts w:hint="default" w:ascii="Times New Roman" w:hAnsi="Times New Roman" w:eastAsia="仿宋" w:cs="Times New Roman"/>
                <w:b/>
                <w:bCs/>
                <w:color w:val="auto"/>
                <w:sz w:val="22"/>
                <w:szCs w:val="28"/>
              </w:rPr>
              <w:t>监测频次</w:t>
            </w:r>
          </w:p>
        </w:tc>
        <w:tc>
          <w:tcPr>
            <w:tcW w:w="850" w:type="pct"/>
            <w:vAlign w:val="center"/>
          </w:tcPr>
          <w:p w14:paraId="7BF3FD54">
            <w:pPr>
              <w:snapToGrid w:val="0"/>
              <w:jc w:val="center"/>
              <w:rPr>
                <w:rFonts w:hint="default" w:ascii="Times New Roman" w:hAnsi="Times New Roman" w:eastAsia="仿宋" w:cs="Times New Roman"/>
                <w:b/>
                <w:bCs/>
                <w:color w:val="auto"/>
                <w:sz w:val="22"/>
                <w:szCs w:val="28"/>
              </w:rPr>
            </w:pPr>
            <w:r>
              <w:rPr>
                <w:rFonts w:hint="default" w:ascii="Times New Roman" w:hAnsi="Times New Roman" w:eastAsia="仿宋" w:cs="Times New Roman"/>
                <w:b/>
                <w:bCs/>
                <w:color w:val="auto"/>
                <w:sz w:val="22"/>
                <w:szCs w:val="28"/>
              </w:rPr>
              <w:t>达标率</w:t>
            </w:r>
          </w:p>
        </w:tc>
      </w:tr>
      <w:tr w14:paraId="79614840">
        <w:tblPrEx>
          <w:tblBorders>
            <w:top w:val="single" w:color="auto" w:sz="12" w:space="0"/>
            <w:left w:val="single" w:color="auto" w:sz="4" w:space="0"/>
            <w:bottom w:val="single" w:color="auto" w:sz="12"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7" w:hRule="atLeast"/>
          <w:jc w:val="center"/>
        </w:trPr>
        <w:tc>
          <w:tcPr>
            <w:tcW w:w="410" w:type="pct"/>
            <w:vAlign w:val="center"/>
          </w:tcPr>
          <w:p w14:paraId="1FC391A2">
            <w:pPr>
              <w:snapToGrid w:val="0"/>
              <w:jc w:val="center"/>
              <w:rPr>
                <w:rFonts w:hint="default" w:ascii="Times New Roman" w:hAnsi="Times New Roman" w:eastAsia="仿宋" w:cs="Times New Roman"/>
                <w:color w:val="auto"/>
                <w:sz w:val="22"/>
                <w:szCs w:val="28"/>
              </w:rPr>
            </w:pPr>
            <w:r>
              <w:rPr>
                <w:rFonts w:hint="default" w:ascii="Times New Roman" w:hAnsi="Times New Roman" w:eastAsia="仿宋" w:cs="Times New Roman"/>
                <w:color w:val="auto"/>
                <w:sz w:val="22"/>
                <w:szCs w:val="28"/>
              </w:rPr>
              <w:t>1</w:t>
            </w:r>
          </w:p>
        </w:tc>
        <w:tc>
          <w:tcPr>
            <w:tcW w:w="1081" w:type="pct"/>
            <w:vAlign w:val="center"/>
          </w:tcPr>
          <w:p w14:paraId="61BDB812">
            <w:pPr>
              <w:snapToGrid w:val="0"/>
              <w:jc w:val="center"/>
              <w:rPr>
                <w:rFonts w:hint="default" w:ascii="Times New Roman" w:hAnsi="Times New Roman" w:eastAsia="仿宋" w:cs="Times New Roman"/>
                <w:color w:val="auto"/>
                <w:sz w:val="22"/>
                <w:szCs w:val="28"/>
                <w:lang w:val="en-US"/>
              </w:rPr>
            </w:pPr>
            <w:r>
              <w:rPr>
                <w:rFonts w:hint="default" w:ascii="Times New Roman" w:hAnsi="Times New Roman" w:eastAsia="仿宋" w:cs="Times New Roman"/>
                <w:color w:val="auto"/>
                <w:sz w:val="22"/>
                <w:szCs w:val="28"/>
                <w:lang w:val="en-US" w:eastAsia="zh-CN"/>
              </w:rPr>
              <w:t>怀化高新技术产业开发区鹤城片区</w:t>
            </w:r>
          </w:p>
        </w:tc>
        <w:tc>
          <w:tcPr>
            <w:tcW w:w="1548" w:type="pct"/>
            <w:vAlign w:val="center"/>
          </w:tcPr>
          <w:p w14:paraId="3BB6B370">
            <w:pPr>
              <w:snapToGrid w:val="0"/>
              <w:jc w:val="center"/>
              <w:rPr>
                <w:rFonts w:hint="default" w:ascii="Times New Roman" w:hAnsi="Times New Roman" w:eastAsia="仿宋" w:cs="Times New Roman"/>
                <w:color w:val="auto"/>
                <w:sz w:val="22"/>
                <w:szCs w:val="28"/>
              </w:rPr>
            </w:pPr>
            <w:r>
              <w:rPr>
                <w:rFonts w:hint="default" w:ascii="Times New Roman" w:hAnsi="Times New Roman" w:eastAsia="仿宋" w:cs="Times New Roman"/>
                <w:color w:val="auto"/>
                <w:sz w:val="22"/>
                <w:szCs w:val="28"/>
              </w:rPr>
              <w:t>SO</w:t>
            </w:r>
            <w:r>
              <w:rPr>
                <w:rFonts w:hint="default" w:ascii="Times New Roman" w:hAnsi="Times New Roman" w:eastAsia="仿宋" w:cs="Times New Roman"/>
                <w:color w:val="auto"/>
                <w:sz w:val="22"/>
                <w:szCs w:val="28"/>
                <w:vertAlign w:val="subscript"/>
              </w:rPr>
              <w:t>2</w:t>
            </w:r>
            <w:r>
              <w:rPr>
                <w:rFonts w:hint="default" w:ascii="Times New Roman" w:hAnsi="Times New Roman" w:eastAsia="仿宋" w:cs="Times New Roman"/>
                <w:color w:val="auto"/>
                <w:sz w:val="22"/>
                <w:szCs w:val="28"/>
              </w:rPr>
              <w:t>、NO</w:t>
            </w:r>
            <w:r>
              <w:rPr>
                <w:rFonts w:hint="default" w:ascii="Times New Roman" w:hAnsi="Times New Roman" w:eastAsia="仿宋" w:cs="Times New Roman"/>
                <w:color w:val="auto"/>
                <w:sz w:val="22"/>
                <w:szCs w:val="28"/>
                <w:vertAlign w:val="subscript"/>
              </w:rPr>
              <w:t>2</w:t>
            </w:r>
            <w:r>
              <w:rPr>
                <w:rFonts w:hint="default" w:ascii="Times New Roman" w:hAnsi="Times New Roman" w:eastAsia="仿宋" w:cs="Times New Roman"/>
                <w:color w:val="auto"/>
                <w:sz w:val="22"/>
                <w:szCs w:val="28"/>
              </w:rPr>
              <w:t>、PM</w:t>
            </w:r>
            <w:r>
              <w:rPr>
                <w:rFonts w:hint="default" w:ascii="Times New Roman" w:hAnsi="Times New Roman" w:eastAsia="仿宋" w:cs="Times New Roman"/>
                <w:color w:val="auto"/>
                <w:sz w:val="22"/>
                <w:szCs w:val="28"/>
                <w:vertAlign w:val="subscript"/>
              </w:rPr>
              <w:t>10</w:t>
            </w:r>
            <w:r>
              <w:rPr>
                <w:rFonts w:hint="default" w:ascii="Times New Roman" w:hAnsi="Times New Roman" w:eastAsia="仿宋" w:cs="Times New Roman"/>
                <w:color w:val="auto"/>
                <w:sz w:val="22"/>
                <w:szCs w:val="28"/>
              </w:rPr>
              <w:t>、PM</w:t>
            </w:r>
            <w:r>
              <w:rPr>
                <w:rFonts w:hint="default" w:ascii="Times New Roman" w:hAnsi="Times New Roman" w:eastAsia="仿宋" w:cs="Times New Roman"/>
                <w:color w:val="auto"/>
                <w:sz w:val="22"/>
                <w:szCs w:val="28"/>
                <w:vertAlign w:val="subscript"/>
              </w:rPr>
              <w:t>2.5</w:t>
            </w:r>
            <w:r>
              <w:rPr>
                <w:rFonts w:hint="default" w:ascii="Times New Roman" w:hAnsi="Times New Roman" w:eastAsia="仿宋" w:cs="Times New Roman"/>
                <w:color w:val="auto"/>
                <w:sz w:val="22"/>
                <w:szCs w:val="28"/>
              </w:rPr>
              <w:t>、CO、O</w:t>
            </w:r>
            <w:r>
              <w:rPr>
                <w:rFonts w:hint="default" w:ascii="Times New Roman" w:hAnsi="Times New Roman" w:eastAsia="仿宋" w:cs="Times New Roman"/>
                <w:color w:val="auto"/>
                <w:sz w:val="22"/>
                <w:szCs w:val="28"/>
                <w:vertAlign w:val="subscript"/>
              </w:rPr>
              <w:t>3</w:t>
            </w:r>
            <w:r>
              <w:rPr>
                <w:rFonts w:hint="default" w:ascii="Times New Roman" w:hAnsi="Times New Roman" w:eastAsia="仿宋" w:cs="Times New Roman"/>
                <w:color w:val="auto"/>
                <w:sz w:val="22"/>
                <w:szCs w:val="28"/>
              </w:rPr>
              <w:t>、TSP</w:t>
            </w:r>
          </w:p>
        </w:tc>
        <w:tc>
          <w:tcPr>
            <w:tcW w:w="1108" w:type="pct"/>
            <w:vAlign w:val="center"/>
          </w:tcPr>
          <w:p w14:paraId="481987B4">
            <w:pPr>
              <w:snapToGrid w:val="0"/>
              <w:jc w:val="center"/>
              <w:rPr>
                <w:rFonts w:hint="default" w:ascii="Times New Roman" w:hAnsi="Times New Roman" w:eastAsia="仿宋" w:cs="Times New Roman"/>
                <w:color w:val="auto"/>
                <w:sz w:val="22"/>
                <w:szCs w:val="28"/>
              </w:rPr>
            </w:pPr>
            <w:r>
              <w:rPr>
                <w:rFonts w:hint="default" w:ascii="Times New Roman" w:hAnsi="Times New Roman" w:eastAsia="仿宋" w:cs="Times New Roman"/>
                <w:color w:val="auto"/>
                <w:sz w:val="22"/>
                <w:szCs w:val="28"/>
              </w:rPr>
              <w:t>1次/天（日均值）</w:t>
            </w:r>
          </w:p>
        </w:tc>
        <w:tc>
          <w:tcPr>
            <w:tcW w:w="850" w:type="pct"/>
            <w:vAlign w:val="center"/>
          </w:tcPr>
          <w:p w14:paraId="478A128D">
            <w:pPr>
              <w:snapToGrid w:val="0"/>
              <w:jc w:val="center"/>
              <w:rPr>
                <w:rFonts w:hint="default" w:ascii="Times New Roman" w:hAnsi="Times New Roman" w:eastAsia="仿宋" w:cs="Times New Roman"/>
                <w:color w:val="auto"/>
                <w:sz w:val="22"/>
                <w:szCs w:val="28"/>
              </w:rPr>
            </w:pPr>
            <w:r>
              <w:rPr>
                <w:rFonts w:hint="default" w:ascii="Times New Roman" w:hAnsi="Times New Roman" w:eastAsia="仿宋" w:cs="Times New Roman"/>
                <w:color w:val="auto"/>
                <w:sz w:val="22"/>
                <w:szCs w:val="28"/>
              </w:rPr>
              <w:t>100%</w:t>
            </w:r>
          </w:p>
        </w:tc>
      </w:tr>
    </w:tbl>
    <w:p w14:paraId="0EB2A309">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rPr>
        <w:t>根据</w:t>
      </w: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sz w:val="28"/>
          <w:szCs w:val="28"/>
        </w:rPr>
        <w:t>环境空气自动监测站202</w:t>
      </w:r>
      <w:r>
        <w:rPr>
          <w:rFonts w:hint="eastAsia" w:ascii="Times New Roman" w:hAnsi="Times New Roman" w:eastAsia="仿宋" w:cs="Times New Roman"/>
          <w:color w:val="auto"/>
          <w:sz w:val="28"/>
          <w:szCs w:val="28"/>
          <w:lang w:val="en-US" w:eastAsia="zh-CN"/>
        </w:rPr>
        <w:t>5</w:t>
      </w:r>
      <w:r>
        <w:rPr>
          <w:rFonts w:hint="default" w:ascii="Times New Roman" w:hAnsi="Times New Roman" w:eastAsia="仿宋" w:cs="Times New Roman"/>
          <w:color w:val="auto"/>
          <w:sz w:val="28"/>
          <w:szCs w:val="28"/>
        </w:rPr>
        <w:t>年度的监测结果，各监测因子（SO</w:t>
      </w:r>
      <w:r>
        <w:rPr>
          <w:rFonts w:hint="default" w:ascii="Times New Roman" w:hAnsi="Times New Roman" w:eastAsia="仿宋" w:cs="Times New Roman"/>
          <w:color w:val="auto"/>
          <w:sz w:val="28"/>
          <w:szCs w:val="28"/>
          <w:vertAlign w:val="subscript"/>
        </w:rPr>
        <w:t>2</w:t>
      </w:r>
      <w:r>
        <w:rPr>
          <w:rFonts w:hint="default" w:ascii="Times New Roman" w:hAnsi="Times New Roman" w:eastAsia="仿宋" w:cs="Times New Roman"/>
          <w:color w:val="auto"/>
          <w:sz w:val="28"/>
          <w:szCs w:val="28"/>
        </w:rPr>
        <w:t>、NO</w:t>
      </w:r>
      <w:r>
        <w:rPr>
          <w:rFonts w:hint="default" w:ascii="Times New Roman" w:hAnsi="Times New Roman" w:eastAsia="仿宋" w:cs="Times New Roman"/>
          <w:color w:val="auto"/>
          <w:sz w:val="28"/>
          <w:szCs w:val="28"/>
          <w:vertAlign w:val="subscript"/>
        </w:rPr>
        <w:t>2、</w:t>
      </w:r>
      <w:r>
        <w:rPr>
          <w:rFonts w:hint="default" w:ascii="Times New Roman" w:hAnsi="Times New Roman" w:eastAsia="仿宋" w:cs="Times New Roman"/>
          <w:color w:val="auto"/>
          <w:sz w:val="28"/>
          <w:szCs w:val="28"/>
        </w:rPr>
        <w:t>CO、O</w:t>
      </w:r>
      <w:r>
        <w:rPr>
          <w:rFonts w:hint="default" w:ascii="Times New Roman" w:hAnsi="Times New Roman" w:eastAsia="仿宋" w:cs="Times New Roman"/>
          <w:color w:val="auto"/>
          <w:sz w:val="28"/>
          <w:szCs w:val="28"/>
          <w:vertAlign w:val="subscript"/>
        </w:rPr>
        <w:t>3</w:t>
      </w:r>
      <w:r>
        <w:rPr>
          <w:rFonts w:hint="default" w:ascii="Times New Roman" w:hAnsi="Times New Roman" w:eastAsia="仿宋" w:cs="Times New Roman"/>
          <w:color w:val="auto"/>
          <w:sz w:val="28"/>
          <w:szCs w:val="28"/>
        </w:rPr>
        <w:t>、PM</w:t>
      </w:r>
      <w:r>
        <w:rPr>
          <w:rFonts w:hint="default" w:ascii="Times New Roman" w:hAnsi="Times New Roman" w:eastAsia="仿宋" w:cs="Times New Roman"/>
          <w:color w:val="auto"/>
          <w:sz w:val="28"/>
          <w:szCs w:val="28"/>
          <w:vertAlign w:val="subscript"/>
        </w:rPr>
        <w:t>10</w:t>
      </w:r>
      <w:r>
        <w:rPr>
          <w:rFonts w:hint="default" w:ascii="Times New Roman" w:hAnsi="Times New Roman" w:eastAsia="仿宋" w:cs="Times New Roman"/>
          <w:color w:val="auto"/>
          <w:sz w:val="28"/>
          <w:szCs w:val="28"/>
        </w:rPr>
        <w:t>、PM</w:t>
      </w:r>
      <w:r>
        <w:rPr>
          <w:rFonts w:hint="default" w:ascii="Times New Roman" w:hAnsi="Times New Roman" w:eastAsia="仿宋" w:cs="Times New Roman"/>
          <w:color w:val="auto"/>
          <w:sz w:val="28"/>
          <w:szCs w:val="28"/>
          <w:vertAlign w:val="subscript"/>
        </w:rPr>
        <w:t>2.5</w:t>
      </w:r>
      <w:r>
        <w:rPr>
          <w:rFonts w:hint="default" w:ascii="Times New Roman" w:hAnsi="Times New Roman" w:eastAsia="仿宋" w:cs="Times New Roman"/>
          <w:color w:val="auto"/>
          <w:sz w:val="28"/>
          <w:szCs w:val="28"/>
        </w:rPr>
        <w:t>、TSP）日均浓度均能达到《环境空气质量标准》（GB3095-2012）二级标准及其修改单（生态环境部公告2018年第29号）要求。空气小微站202</w:t>
      </w:r>
      <w:r>
        <w:rPr>
          <w:rFonts w:hint="eastAsia" w:ascii="Times New Roman" w:hAnsi="Times New Roman" w:eastAsia="仿宋" w:cs="Times New Roman"/>
          <w:color w:val="auto"/>
          <w:sz w:val="28"/>
          <w:szCs w:val="28"/>
          <w:lang w:val="en-US" w:eastAsia="zh-CN"/>
        </w:rPr>
        <w:t>4</w:t>
      </w:r>
      <w:r>
        <w:rPr>
          <w:rFonts w:hint="default" w:ascii="Times New Roman" w:hAnsi="Times New Roman" w:eastAsia="仿宋" w:cs="Times New Roman"/>
          <w:color w:val="auto"/>
          <w:sz w:val="28"/>
          <w:szCs w:val="28"/>
        </w:rPr>
        <w:t>年度监测结果，</w:t>
      </w:r>
      <w:r>
        <w:rPr>
          <w:rFonts w:hint="eastAsia" w:ascii="仿宋" w:hAnsi="仿宋" w:eastAsia="仿宋" w:cs="仿宋"/>
          <w:color w:val="auto"/>
          <w:kern w:val="0"/>
          <w:sz w:val="28"/>
          <w:szCs w:val="28"/>
          <w:shd w:val="clear" w:color="auto" w:fill="FFFFFF"/>
          <w:lang w:bidi="ar"/>
        </w:rPr>
        <w:t>各污染物监测均值浓度分别为：</w:t>
      </w:r>
      <w:r>
        <w:rPr>
          <w:rFonts w:ascii="Times New Roman" w:hAnsi="Times New Roman" w:eastAsia="微软雅黑"/>
          <w:color w:val="auto"/>
          <w:kern w:val="0"/>
          <w:sz w:val="28"/>
          <w:szCs w:val="28"/>
          <w:shd w:val="clear" w:color="auto" w:fill="FFFFFF"/>
          <w:lang w:bidi="ar"/>
        </w:rPr>
        <w:t>PM</w:t>
      </w:r>
      <w:r>
        <w:rPr>
          <w:rFonts w:ascii="Times New Roman" w:hAnsi="Times New Roman" w:eastAsia="微软雅黑"/>
          <w:color w:val="auto"/>
          <w:kern w:val="0"/>
          <w:sz w:val="28"/>
          <w:szCs w:val="28"/>
          <w:shd w:val="clear" w:color="auto" w:fill="FFFFFF"/>
          <w:vertAlign w:val="subscript"/>
          <w:lang w:bidi="ar"/>
        </w:rPr>
        <w:t>2.5 </w:t>
      </w:r>
      <w:r>
        <w:rPr>
          <w:rFonts w:hint="eastAsia" w:ascii="仿宋" w:hAnsi="仿宋" w:eastAsia="仿宋" w:cs="仿宋"/>
          <w:color w:val="auto"/>
          <w:kern w:val="0"/>
          <w:sz w:val="28"/>
          <w:szCs w:val="28"/>
          <w:shd w:val="clear" w:color="auto" w:fill="FFFFFF"/>
          <w:lang w:bidi="ar"/>
        </w:rPr>
        <w:t>浓度</w:t>
      </w:r>
      <w:r>
        <w:rPr>
          <w:rFonts w:hint="eastAsia" w:ascii="仿宋" w:hAnsi="仿宋" w:eastAsia="仿宋" w:cs="仿宋"/>
          <w:color w:val="auto"/>
          <w:kern w:val="0"/>
          <w:sz w:val="28"/>
          <w:szCs w:val="28"/>
          <w:shd w:val="clear" w:color="auto" w:fill="FFFFFF"/>
          <w:lang w:val="en-US" w:eastAsia="zh-CN" w:bidi="ar"/>
        </w:rPr>
        <w:t>21.69</w:t>
      </w:r>
      <w:r>
        <w:rPr>
          <w:rFonts w:ascii="Times New Roman" w:hAnsi="Times New Roman" w:eastAsia="微软雅黑"/>
          <w:color w:val="auto"/>
          <w:kern w:val="0"/>
          <w:sz w:val="28"/>
          <w:szCs w:val="28"/>
          <w:shd w:val="clear" w:color="auto" w:fill="FFFFFF"/>
          <w:lang w:bidi="ar"/>
        </w:rPr>
        <w:t>ug/m</w:t>
      </w:r>
      <w:r>
        <w:rPr>
          <w:rFonts w:hint="eastAsia" w:ascii="宋体" w:hAnsi="宋体" w:cs="宋体"/>
          <w:color w:val="auto"/>
          <w:kern w:val="0"/>
          <w:sz w:val="28"/>
          <w:szCs w:val="28"/>
          <w:shd w:val="clear" w:color="auto" w:fill="FFFFFF"/>
          <w:lang w:bidi="ar"/>
        </w:rPr>
        <w:t>³</w:t>
      </w:r>
      <w:r>
        <w:rPr>
          <w:rFonts w:hint="eastAsia" w:ascii="仿宋" w:hAnsi="仿宋" w:eastAsia="仿宋" w:cs="仿宋"/>
          <w:color w:val="auto"/>
          <w:kern w:val="0"/>
          <w:sz w:val="28"/>
          <w:szCs w:val="28"/>
          <w:shd w:val="clear" w:color="auto" w:fill="FFFFFF"/>
          <w:lang w:bidi="ar"/>
        </w:rPr>
        <w:t>，</w:t>
      </w:r>
      <w:r>
        <w:rPr>
          <w:rFonts w:ascii="Times New Roman" w:hAnsi="Times New Roman" w:eastAsia="微软雅黑"/>
          <w:color w:val="auto"/>
          <w:kern w:val="0"/>
          <w:sz w:val="28"/>
          <w:szCs w:val="28"/>
          <w:shd w:val="clear" w:color="auto" w:fill="FFFFFF"/>
          <w:lang w:bidi="ar"/>
        </w:rPr>
        <w:t>PM</w:t>
      </w:r>
      <w:r>
        <w:rPr>
          <w:rFonts w:ascii="Times New Roman" w:hAnsi="Times New Roman" w:eastAsia="微软雅黑"/>
          <w:color w:val="auto"/>
          <w:kern w:val="0"/>
          <w:sz w:val="28"/>
          <w:szCs w:val="28"/>
          <w:shd w:val="clear" w:color="auto" w:fill="FFFFFF"/>
          <w:vertAlign w:val="subscript"/>
          <w:lang w:bidi="ar"/>
        </w:rPr>
        <w:t>10</w:t>
      </w:r>
      <w:r>
        <w:rPr>
          <w:rFonts w:ascii="Times New Roman" w:hAnsi="Times New Roman" w:eastAsia="微软雅黑"/>
          <w:color w:val="auto"/>
          <w:kern w:val="0"/>
          <w:sz w:val="28"/>
          <w:szCs w:val="28"/>
          <w:shd w:val="clear" w:color="auto" w:fill="FFFFFF"/>
          <w:lang w:bidi="ar"/>
        </w:rPr>
        <w:t> </w:t>
      </w:r>
      <w:r>
        <w:rPr>
          <w:rFonts w:hint="eastAsia" w:ascii="仿宋" w:hAnsi="仿宋" w:eastAsia="仿宋" w:cs="仿宋"/>
          <w:color w:val="auto"/>
          <w:kern w:val="0"/>
          <w:sz w:val="28"/>
          <w:szCs w:val="28"/>
          <w:shd w:val="clear" w:color="auto" w:fill="FFFFFF"/>
          <w:lang w:bidi="ar"/>
        </w:rPr>
        <w:t>浓度</w:t>
      </w:r>
      <w:r>
        <w:rPr>
          <w:rFonts w:hint="eastAsia" w:ascii="仿宋" w:hAnsi="仿宋" w:eastAsia="仿宋" w:cs="仿宋"/>
          <w:color w:val="auto"/>
          <w:kern w:val="0"/>
          <w:sz w:val="28"/>
          <w:szCs w:val="28"/>
          <w:shd w:val="clear" w:color="auto" w:fill="FFFFFF"/>
          <w:lang w:val="en-US" w:eastAsia="zh-CN" w:bidi="ar"/>
        </w:rPr>
        <w:t>47.15</w:t>
      </w:r>
      <w:r>
        <w:rPr>
          <w:rFonts w:ascii="Times New Roman" w:hAnsi="Times New Roman" w:eastAsia="微软雅黑"/>
          <w:color w:val="auto"/>
          <w:kern w:val="0"/>
          <w:sz w:val="28"/>
          <w:szCs w:val="28"/>
          <w:shd w:val="clear" w:color="auto" w:fill="FFFFFF"/>
          <w:lang w:bidi="ar"/>
        </w:rPr>
        <w:t>ug/m</w:t>
      </w:r>
      <w:r>
        <w:rPr>
          <w:rFonts w:hint="eastAsia" w:ascii="宋体" w:hAnsi="宋体" w:cs="宋体"/>
          <w:color w:val="auto"/>
          <w:kern w:val="0"/>
          <w:sz w:val="28"/>
          <w:szCs w:val="28"/>
          <w:shd w:val="clear" w:color="auto" w:fill="FFFFFF"/>
          <w:lang w:bidi="ar"/>
        </w:rPr>
        <w:t>³</w:t>
      </w:r>
      <w:r>
        <w:rPr>
          <w:rFonts w:hint="eastAsia" w:ascii="仿宋" w:hAnsi="仿宋" w:eastAsia="仿宋" w:cs="仿宋"/>
          <w:color w:val="auto"/>
          <w:kern w:val="0"/>
          <w:sz w:val="28"/>
          <w:szCs w:val="28"/>
          <w:shd w:val="clear" w:color="auto" w:fill="FFFFFF"/>
          <w:lang w:bidi="ar"/>
        </w:rPr>
        <w:t>，</w:t>
      </w:r>
      <w:r>
        <w:rPr>
          <w:rFonts w:ascii="Times New Roman" w:hAnsi="Times New Roman" w:eastAsia="微软雅黑"/>
          <w:color w:val="auto"/>
          <w:kern w:val="0"/>
          <w:sz w:val="28"/>
          <w:szCs w:val="28"/>
          <w:shd w:val="clear" w:color="auto" w:fill="FFFFFF"/>
          <w:lang w:bidi="ar"/>
        </w:rPr>
        <w:t>SO</w:t>
      </w:r>
      <w:r>
        <w:rPr>
          <w:rFonts w:ascii="Times New Roman" w:hAnsi="Times New Roman" w:eastAsia="微软雅黑"/>
          <w:color w:val="auto"/>
          <w:kern w:val="0"/>
          <w:sz w:val="28"/>
          <w:szCs w:val="28"/>
          <w:shd w:val="clear" w:color="auto" w:fill="FFFFFF"/>
          <w:vertAlign w:val="subscript"/>
          <w:lang w:bidi="ar"/>
        </w:rPr>
        <w:t>2 </w:t>
      </w:r>
      <w:r>
        <w:rPr>
          <w:rFonts w:hint="eastAsia" w:ascii="仿宋" w:hAnsi="仿宋" w:eastAsia="仿宋" w:cs="仿宋"/>
          <w:color w:val="auto"/>
          <w:kern w:val="0"/>
          <w:sz w:val="28"/>
          <w:szCs w:val="28"/>
          <w:shd w:val="clear" w:color="auto" w:fill="FFFFFF"/>
          <w:lang w:bidi="ar"/>
        </w:rPr>
        <w:t>浓度</w:t>
      </w:r>
      <w:r>
        <w:rPr>
          <w:rFonts w:hint="eastAsia" w:ascii="Times New Roman" w:hAnsi="Times New Roman" w:eastAsia="微软雅黑"/>
          <w:color w:val="auto"/>
          <w:kern w:val="0"/>
          <w:sz w:val="28"/>
          <w:szCs w:val="28"/>
          <w:shd w:val="clear" w:color="auto" w:fill="FFFFFF"/>
          <w:lang w:val="en-US" w:eastAsia="zh-CN" w:bidi="ar"/>
        </w:rPr>
        <w:t>11.22</w:t>
      </w:r>
      <w:r>
        <w:rPr>
          <w:rFonts w:ascii="Times New Roman" w:hAnsi="Times New Roman" w:eastAsia="微软雅黑"/>
          <w:color w:val="auto"/>
          <w:kern w:val="0"/>
          <w:sz w:val="28"/>
          <w:szCs w:val="28"/>
          <w:shd w:val="clear" w:color="auto" w:fill="FFFFFF"/>
          <w:lang w:bidi="ar"/>
        </w:rPr>
        <w:t>ug/m</w:t>
      </w:r>
      <w:r>
        <w:rPr>
          <w:rFonts w:hint="eastAsia" w:ascii="宋体" w:hAnsi="宋体" w:cs="宋体"/>
          <w:color w:val="auto"/>
          <w:kern w:val="0"/>
          <w:sz w:val="28"/>
          <w:szCs w:val="28"/>
          <w:shd w:val="clear" w:color="auto" w:fill="FFFFFF"/>
          <w:lang w:bidi="ar"/>
        </w:rPr>
        <w:t>³</w:t>
      </w:r>
      <w:r>
        <w:rPr>
          <w:rFonts w:hint="eastAsia" w:ascii="仿宋" w:hAnsi="仿宋" w:eastAsia="仿宋" w:cs="仿宋"/>
          <w:color w:val="auto"/>
          <w:kern w:val="0"/>
          <w:sz w:val="28"/>
          <w:szCs w:val="28"/>
          <w:shd w:val="clear" w:color="auto" w:fill="FFFFFF"/>
          <w:lang w:bidi="ar"/>
        </w:rPr>
        <w:t>，</w:t>
      </w:r>
      <w:r>
        <w:rPr>
          <w:rFonts w:ascii="Times New Roman" w:hAnsi="Times New Roman" w:eastAsia="微软雅黑"/>
          <w:color w:val="auto"/>
          <w:kern w:val="0"/>
          <w:sz w:val="28"/>
          <w:szCs w:val="28"/>
          <w:shd w:val="clear" w:color="auto" w:fill="FFFFFF"/>
          <w:lang w:bidi="ar"/>
        </w:rPr>
        <w:t>NO</w:t>
      </w:r>
      <w:r>
        <w:rPr>
          <w:rFonts w:ascii="Times New Roman" w:hAnsi="Times New Roman" w:eastAsia="微软雅黑"/>
          <w:color w:val="auto"/>
          <w:kern w:val="0"/>
          <w:sz w:val="28"/>
          <w:szCs w:val="28"/>
          <w:shd w:val="clear" w:color="auto" w:fill="FFFFFF"/>
          <w:vertAlign w:val="subscript"/>
          <w:lang w:bidi="ar"/>
        </w:rPr>
        <w:t>2</w:t>
      </w:r>
      <w:r>
        <w:rPr>
          <w:rFonts w:ascii="Times New Roman" w:hAnsi="Times New Roman" w:eastAsia="微软雅黑"/>
          <w:color w:val="auto"/>
          <w:kern w:val="0"/>
          <w:sz w:val="28"/>
          <w:szCs w:val="28"/>
          <w:shd w:val="clear" w:color="auto" w:fill="FFFFFF"/>
          <w:lang w:bidi="ar"/>
        </w:rPr>
        <w:t> </w:t>
      </w:r>
      <w:r>
        <w:rPr>
          <w:rFonts w:hint="eastAsia" w:ascii="仿宋" w:hAnsi="仿宋" w:eastAsia="仿宋" w:cs="仿宋"/>
          <w:color w:val="auto"/>
          <w:kern w:val="0"/>
          <w:sz w:val="28"/>
          <w:szCs w:val="28"/>
          <w:shd w:val="clear" w:color="auto" w:fill="FFFFFF"/>
          <w:lang w:bidi="ar"/>
        </w:rPr>
        <w:t>浓度</w:t>
      </w:r>
      <w:r>
        <w:rPr>
          <w:rFonts w:ascii="Times New Roman" w:hAnsi="Times New Roman" w:eastAsia="微软雅黑"/>
          <w:color w:val="auto"/>
          <w:kern w:val="0"/>
          <w:sz w:val="28"/>
          <w:szCs w:val="28"/>
          <w:shd w:val="clear" w:color="auto" w:fill="FFFFFF"/>
          <w:lang w:bidi="ar"/>
        </w:rPr>
        <w:t> </w:t>
      </w:r>
      <w:r>
        <w:rPr>
          <w:rFonts w:hint="eastAsia" w:ascii="Times New Roman" w:hAnsi="Times New Roman" w:eastAsia="微软雅黑"/>
          <w:color w:val="auto"/>
          <w:kern w:val="0"/>
          <w:sz w:val="28"/>
          <w:szCs w:val="28"/>
          <w:shd w:val="clear" w:color="auto" w:fill="FFFFFF"/>
          <w:lang w:val="en-US" w:eastAsia="zh-CN" w:bidi="ar"/>
        </w:rPr>
        <w:t>7.81</w:t>
      </w:r>
      <w:r>
        <w:rPr>
          <w:rFonts w:ascii="Times New Roman" w:hAnsi="Times New Roman" w:eastAsia="微软雅黑"/>
          <w:color w:val="auto"/>
          <w:kern w:val="0"/>
          <w:sz w:val="28"/>
          <w:szCs w:val="28"/>
          <w:shd w:val="clear" w:color="auto" w:fill="FFFFFF"/>
          <w:lang w:bidi="ar"/>
        </w:rPr>
        <w:t>ug/m</w:t>
      </w:r>
      <w:r>
        <w:rPr>
          <w:rFonts w:hint="eastAsia" w:ascii="宋体" w:hAnsi="宋体" w:cs="宋体"/>
          <w:color w:val="auto"/>
          <w:kern w:val="0"/>
          <w:sz w:val="28"/>
          <w:szCs w:val="28"/>
          <w:shd w:val="clear" w:color="auto" w:fill="FFFFFF"/>
          <w:lang w:bidi="ar"/>
        </w:rPr>
        <w:t>³</w:t>
      </w:r>
      <w:r>
        <w:rPr>
          <w:rFonts w:hint="eastAsia" w:ascii="仿宋" w:hAnsi="仿宋" w:eastAsia="仿宋" w:cs="仿宋"/>
          <w:color w:val="auto"/>
          <w:kern w:val="0"/>
          <w:sz w:val="28"/>
          <w:szCs w:val="28"/>
          <w:shd w:val="clear" w:color="auto" w:fill="FFFFFF"/>
          <w:lang w:bidi="ar"/>
        </w:rPr>
        <w:t>，</w:t>
      </w:r>
      <w:r>
        <w:rPr>
          <w:rFonts w:ascii="Times New Roman" w:hAnsi="Times New Roman" w:eastAsia="微软雅黑"/>
          <w:color w:val="auto"/>
          <w:kern w:val="0"/>
          <w:sz w:val="28"/>
          <w:szCs w:val="28"/>
          <w:shd w:val="clear" w:color="auto" w:fill="FFFFFF"/>
          <w:lang w:bidi="ar"/>
        </w:rPr>
        <w:t>CO </w:t>
      </w:r>
      <w:r>
        <w:rPr>
          <w:rFonts w:hint="eastAsia" w:ascii="仿宋" w:hAnsi="仿宋" w:eastAsia="仿宋" w:cs="仿宋"/>
          <w:color w:val="auto"/>
          <w:kern w:val="0"/>
          <w:sz w:val="28"/>
          <w:szCs w:val="28"/>
          <w:shd w:val="clear" w:color="auto" w:fill="FFFFFF"/>
          <w:lang w:bidi="ar"/>
        </w:rPr>
        <w:t>浓度</w:t>
      </w:r>
      <w:r>
        <w:rPr>
          <w:rFonts w:ascii="Times New Roman" w:hAnsi="Times New Roman" w:eastAsia="微软雅黑"/>
          <w:color w:val="auto"/>
          <w:kern w:val="0"/>
          <w:sz w:val="28"/>
          <w:szCs w:val="28"/>
          <w:shd w:val="clear" w:color="auto" w:fill="FFFFFF"/>
          <w:lang w:bidi="ar"/>
        </w:rPr>
        <w:t>0.</w:t>
      </w:r>
      <w:r>
        <w:rPr>
          <w:rFonts w:hint="eastAsia" w:ascii="Times New Roman" w:hAnsi="Times New Roman" w:eastAsia="微软雅黑"/>
          <w:color w:val="auto"/>
          <w:kern w:val="0"/>
          <w:sz w:val="28"/>
          <w:szCs w:val="28"/>
          <w:shd w:val="clear" w:color="auto" w:fill="FFFFFF"/>
          <w:lang w:val="en-US" w:eastAsia="zh-CN" w:bidi="ar"/>
        </w:rPr>
        <w:t>62</w:t>
      </w:r>
      <w:r>
        <w:rPr>
          <w:rFonts w:ascii="Times New Roman" w:hAnsi="Times New Roman" w:eastAsia="微软雅黑"/>
          <w:color w:val="auto"/>
          <w:kern w:val="0"/>
          <w:sz w:val="28"/>
          <w:szCs w:val="28"/>
          <w:shd w:val="clear" w:color="auto" w:fill="FFFFFF"/>
          <w:lang w:bidi="ar"/>
        </w:rPr>
        <w:t>mg/m</w:t>
      </w:r>
      <w:r>
        <w:rPr>
          <w:rFonts w:hint="eastAsia" w:ascii="宋体" w:hAnsi="宋体" w:cs="宋体"/>
          <w:color w:val="auto"/>
          <w:kern w:val="0"/>
          <w:sz w:val="28"/>
          <w:szCs w:val="28"/>
          <w:shd w:val="clear" w:color="auto" w:fill="FFFFFF"/>
          <w:lang w:bidi="ar"/>
        </w:rPr>
        <w:t>³</w:t>
      </w:r>
      <w:r>
        <w:rPr>
          <w:rFonts w:hint="eastAsia" w:ascii="仿宋" w:hAnsi="仿宋" w:eastAsia="仿宋" w:cs="仿宋"/>
          <w:color w:val="auto"/>
          <w:kern w:val="0"/>
          <w:sz w:val="28"/>
          <w:szCs w:val="28"/>
          <w:shd w:val="clear" w:color="auto" w:fill="FFFFFF"/>
          <w:lang w:bidi="ar"/>
        </w:rPr>
        <w:t>，</w:t>
      </w:r>
      <w:r>
        <w:rPr>
          <w:rFonts w:ascii="Times New Roman" w:hAnsi="Times New Roman" w:eastAsia="微软雅黑"/>
          <w:color w:val="auto"/>
          <w:kern w:val="0"/>
          <w:sz w:val="28"/>
          <w:szCs w:val="28"/>
          <w:shd w:val="clear" w:color="auto" w:fill="FFFFFF"/>
          <w:lang w:bidi="ar"/>
        </w:rPr>
        <w:t>O</w:t>
      </w:r>
      <w:r>
        <w:rPr>
          <w:rFonts w:ascii="Times New Roman" w:hAnsi="Times New Roman" w:eastAsia="微软雅黑"/>
          <w:color w:val="auto"/>
          <w:kern w:val="0"/>
          <w:sz w:val="28"/>
          <w:szCs w:val="28"/>
          <w:shd w:val="clear" w:color="auto" w:fill="FFFFFF"/>
          <w:vertAlign w:val="subscript"/>
          <w:lang w:bidi="ar"/>
        </w:rPr>
        <w:t>3</w:t>
      </w:r>
      <w:r>
        <w:rPr>
          <w:rFonts w:hint="eastAsia" w:ascii="仿宋" w:hAnsi="仿宋" w:eastAsia="仿宋" w:cs="仿宋"/>
          <w:color w:val="auto"/>
          <w:kern w:val="0"/>
          <w:sz w:val="28"/>
          <w:szCs w:val="28"/>
          <w:shd w:val="clear" w:color="auto" w:fill="FFFFFF"/>
          <w:lang w:bidi="ar"/>
        </w:rPr>
        <w:t>浓度</w:t>
      </w:r>
      <w:r>
        <w:rPr>
          <w:rFonts w:hint="eastAsia" w:ascii="仿宋" w:hAnsi="仿宋" w:eastAsia="仿宋" w:cs="仿宋"/>
          <w:color w:val="auto"/>
          <w:kern w:val="0"/>
          <w:sz w:val="28"/>
          <w:szCs w:val="28"/>
          <w:shd w:val="clear" w:color="auto" w:fill="FFFFFF"/>
          <w:lang w:val="en-US" w:eastAsia="zh-CN" w:bidi="ar"/>
        </w:rPr>
        <w:t>31</w:t>
      </w:r>
      <w:r>
        <w:rPr>
          <w:rFonts w:hint="eastAsia" w:ascii="Times New Roman" w:hAnsi="Times New Roman" w:eastAsia="微软雅黑"/>
          <w:color w:val="auto"/>
          <w:kern w:val="0"/>
          <w:sz w:val="28"/>
          <w:szCs w:val="28"/>
          <w:shd w:val="clear" w:color="auto" w:fill="FFFFFF"/>
          <w:lang w:val="en-US" w:eastAsia="zh-CN" w:bidi="ar"/>
        </w:rPr>
        <w:t>.14</w:t>
      </w:r>
      <w:r>
        <w:rPr>
          <w:rFonts w:ascii="Times New Roman" w:hAnsi="Times New Roman" w:eastAsia="微软雅黑"/>
          <w:color w:val="auto"/>
          <w:kern w:val="0"/>
          <w:sz w:val="28"/>
          <w:szCs w:val="28"/>
          <w:shd w:val="clear" w:color="auto" w:fill="FFFFFF"/>
          <w:lang w:bidi="ar"/>
        </w:rPr>
        <w:t>ug/m</w:t>
      </w:r>
      <w:r>
        <w:rPr>
          <w:rFonts w:hint="eastAsia" w:ascii="宋体" w:hAnsi="宋体" w:cs="宋体"/>
          <w:color w:val="auto"/>
          <w:kern w:val="0"/>
          <w:sz w:val="28"/>
          <w:szCs w:val="28"/>
          <w:shd w:val="clear" w:color="auto" w:fill="FFFFFF"/>
          <w:lang w:bidi="ar"/>
        </w:rPr>
        <w:t>³</w:t>
      </w:r>
      <w:r>
        <w:rPr>
          <w:rFonts w:hint="eastAsia" w:ascii="仿宋" w:hAnsi="仿宋" w:eastAsia="仿宋" w:cs="仿宋"/>
          <w:color w:val="auto"/>
          <w:kern w:val="0"/>
          <w:sz w:val="28"/>
          <w:szCs w:val="28"/>
          <w:shd w:val="clear" w:color="auto" w:fill="FFFFFF"/>
          <w:lang w:bidi="ar"/>
        </w:rPr>
        <w:t>。</w:t>
      </w: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sz w:val="28"/>
          <w:szCs w:val="28"/>
        </w:rPr>
        <w:t>空气质量累积</w:t>
      </w:r>
      <w:r>
        <w:rPr>
          <w:rFonts w:hint="eastAsia" w:ascii="Times New Roman" w:hAnsi="Times New Roman" w:eastAsia="仿宋" w:cs="Times New Roman"/>
          <w:color w:val="auto"/>
          <w:sz w:val="28"/>
          <w:szCs w:val="28"/>
          <w:lang w:val="en-US" w:eastAsia="zh-CN"/>
        </w:rPr>
        <w:t>全年合格。</w:t>
      </w:r>
    </w:p>
    <w:p w14:paraId="29570DEE">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园区积极推广清洁能源，园区企业以电为主要能源，入园项目禁止使用燃煤。目前，园区还未接入天然气。</w:t>
      </w:r>
    </w:p>
    <w:p w14:paraId="3C76A1A4">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outlineLvl w:val="1"/>
        <w:rPr>
          <w:rFonts w:hint="default" w:ascii="Times New Roman" w:hAnsi="Times New Roman" w:eastAsia="仿宋" w:cs="Times New Roman"/>
          <w:b/>
          <w:color w:val="auto"/>
          <w:sz w:val="28"/>
          <w:szCs w:val="28"/>
        </w:rPr>
      </w:pPr>
      <w:bookmarkStart w:id="8" w:name="_Toc32234"/>
      <w:r>
        <w:rPr>
          <w:rFonts w:hint="default" w:ascii="Times New Roman" w:hAnsi="Times New Roman" w:eastAsia="仿宋" w:cs="Times New Roman"/>
          <w:b/>
          <w:color w:val="auto"/>
          <w:sz w:val="28"/>
          <w:szCs w:val="28"/>
        </w:rPr>
        <w:t>（五）土壤环境管理</w:t>
      </w:r>
      <w:bookmarkEnd w:id="8"/>
    </w:p>
    <w:p w14:paraId="05D8811D">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土壤环境质量监测达标率</w:t>
      </w:r>
      <w:r>
        <w:rPr>
          <w:rFonts w:hint="default" w:ascii="Times New Roman" w:hAnsi="Times New Roman" w:eastAsia="仿宋" w:cs="Times New Roman"/>
          <w:color w:val="auto"/>
          <w:sz w:val="28"/>
          <w:szCs w:val="28"/>
          <w:u w:val="single"/>
        </w:rPr>
        <w:t xml:space="preserve"> / </w:t>
      </w:r>
      <w:r>
        <w:rPr>
          <w:rFonts w:hint="default" w:ascii="Times New Roman" w:hAnsi="Times New Roman" w:eastAsia="仿宋" w:cs="Times New Roman"/>
          <w:color w:val="auto"/>
          <w:sz w:val="28"/>
          <w:szCs w:val="28"/>
        </w:rPr>
        <w:t>%，超标因子</w:t>
      </w:r>
      <w:r>
        <w:rPr>
          <w:rFonts w:hint="default" w:ascii="Times New Roman" w:hAnsi="Times New Roman" w:eastAsia="仿宋" w:cs="Times New Roman"/>
          <w:color w:val="auto"/>
          <w:sz w:val="28"/>
          <w:szCs w:val="28"/>
          <w:u w:val="single"/>
        </w:rPr>
        <w:t xml:space="preserve"> / </w:t>
      </w:r>
      <w:r>
        <w:rPr>
          <w:rFonts w:hint="default" w:ascii="Times New Roman" w:hAnsi="Times New Roman" w:eastAsia="仿宋" w:cs="Times New Roman"/>
          <w:color w:val="auto"/>
          <w:sz w:val="28"/>
          <w:szCs w:val="28"/>
        </w:rPr>
        <w:t>，最大超标倍数</w:t>
      </w:r>
      <w:r>
        <w:rPr>
          <w:rFonts w:hint="default" w:ascii="Times New Roman" w:hAnsi="Times New Roman" w:eastAsia="仿宋" w:cs="Times New Roman"/>
          <w:color w:val="auto"/>
          <w:sz w:val="28"/>
          <w:szCs w:val="28"/>
          <w:u w:val="single"/>
        </w:rPr>
        <w:t xml:space="preserve"> / </w:t>
      </w:r>
      <w:r>
        <w:rPr>
          <w:rFonts w:hint="default" w:ascii="Times New Roman" w:hAnsi="Times New Roman" w:eastAsia="仿宋" w:cs="Times New Roman"/>
          <w:color w:val="auto"/>
          <w:sz w:val="28"/>
          <w:szCs w:val="28"/>
        </w:rPr>
        <w:t>倍。</w:t>
      </w:r>
    </w:p>
    <w:p w14:paraId="4BD4960C">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sz w:val="28"/>
          <w:szCs w:val="28"/>
        </w:rPr>
        <w:t>内不涉及污染地块，不涉及土壤环境重点监管企业。202</w:t>
      </w:r>
      <w:r>
        <w:rPr>
          <w:rFonts w:hint="eastAsia" w:ascii="Times New Roman" w:hAnsi="Times New Roman" w:eastAsia="仿宋" w:cs="Times New Roman"/>
          <w:color w:val="auto"/>
          <w:sz w:val="28"/>
          <w:szCs w:val="28"/>
          <w:lang w:val="en-US" w:eastAsia="zh-CN"/>
        </w:rPr>
        <w:t>5</w:t>
      </w:r>
      <w:r>
        <w:rPr>
          <w:rFonts w:hint="default" w:ascii="Times New Roman" w:hAnsi="Times New Roman" w:eastAsia="仿宋" w:cs="Times New Roman"/>
          <w:color w:val="auto"/>
          <w:sz w:val="28"/>
          <w:szCs w:val="28"/>
        </w:rPr>
        <w:t>年度，</w:t>
      </w: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sz w:val="28"/>
          <w:szCs w:val="28"/>
        </w:rPr>
        <w:t>开展了园区环境质量例行监测，设置</w:t>
      </w:r>
      <w:r>
        <w:rPr>
          <w:rFonts w:hint="eastAsia" w:ascii="Times New Roman" w:hAnsi="Times New Roman" w:eastAsia="仿宋" w:cs="Times New Roman"/>
          <w:color w:val="auto"/>
          <w:sz w:val="28"/>
          <w:szCs w:val="28"/>
          <w:lang w:val="en-US" w:eastAsia="zh-CN"/>
        </w:rPr>
        <w:t>3</w:t>
      </w:r>
      <w:r>
        <w:rPr>
          <w:rFonts w:hint="default" w:ascii="Times New Roman" w:hAnsi="Times New Roman" w:eastAsia="仿宋" w:cs="Times New Roman"/>
          <w:color w:val="auto"/>
          <w:sz w:val="28"/>
          <w:szCs w:val="28"/>
        </w:rPr>
        <w:t>个土壤环境监测点，监测结果表明，园区各监测点位各项监测指标均能满足《土壤环境质量 农用地土壤污染风险管控标准（试行）》（GB 15618-2018）风险筛选值、《土壤环境质量 建设用地土壤污染风险管控标准（试行）》（GB36600-2018）风险筛选值第二类用地标准限值。</w:t>
      </w:r>
    </w:p>
    <w:p w14:paraId="2E53622D">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outlineLvl w:val="1"/>
        <w:rPr>
          <w:rFonts w:hint="default" w:ascii="Times New Roman" w:hAnsi="Times New Roman" w:eastAsia="仿宋" w:cs="Times New Roman"/>
          <w:b/>
          <w:color w:val="auto"/>
          <w:sz w:val="28"/>
          <w:szCs w:val="28"/>
        </w:rPr>
      </w:pPr>
      <w:bookmarkStart w:id="9" w:name="_Toc11697"/>
      <w:r>
        <w:rPr>
          <w:rFonts w:hint="default" w:ascii="Times New Roman" w:hAnsi="Times New Roman" w:eastAsia="仿宋" w:cs="Times New Roman"/>
          <w:b/>
          <w:color w:val="auto"/>
          <w:sz w:val="28"/>
          <w:szCs w:val="28"/>
        </w:rPr>
        <w:t>（六）固体废物管理</w:t>
      </w:r>
      <w:bookmarkEnd w:id="9"/>
    </w:p>
    <w:p w14:paraId="45CD6709">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highlight w:val="none"/>
        </w:rPr>
        <w:t>202</w:t>
      </w:r>
      <w:r>
        <w:rPr>
          <w:rFonts w:hint="eastAsia" w:ascii="Times New Roman" w:hAnsi="Times New Roman" w:eastAsia="仿宋" w:cs="Times New Roman"/>
          <w:color w:val="auto"/>
          <w:sz w:val="28"/>
          <w:szCs w:val="28"/>
          <w:highlight w:val="none"/>
          <w:lang w:val="en-US" w:eastAsia="zh-CN"/>
        </w:rPr>
        <w:t>5</w:t>
      </w:r>
      <w:r>
        <w:rPr>
          <w:rFonts w:hint="default" w:ascii="Times New Roman" w:hAnsi="Times New Roman" w:eastAsia="仿宋" w:cs="Times New Roman"/>
          <w:color w:val="auto"/>
          <w:sz w:val="28"/>
          <w:szCs w:val="28"/>
          <w:highlight w:val="none"/>
        </w:rPr>
        <w:t>年度，</w:t>
      </w: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sz w:val="28"/>
          <w:szCs w:val="28"/>
        </w:rPr>
        <w:t>一般工业固体废物产生企</w:t>
      </w:r>
      <w:r>
        <w:rPr>
          <w:rFonts w:hint="default" w:ascii="Times New Roman" w:hAnsi="Times New Roman" w:eastAsia="仿宋" w:cs="Times New Roman"/>
          <w:color w:val="auto"/>
          <w:sz w:val="28"/>
          <w:szCs w:val="28"/>
          <w:highlight w:val="none"/>
        </w:rPr>
        <w:t>业数量</w:t>
      </w:r>
      <w:r>
        <w:rPr>
          <w:rFonts w:hint="eastAsia" w:ascii="Times New Roman" w:hAnsi="Times New Roman" w:eastAsia="仿宋" w:cs="Times New Roman"/>
          <w:color w:val="auto"/>
          <w:sz w:val="28"/>
          <w:szCs w:val="28"/>
          <w:highlight w:val="none"/>
          <w:lang w:val="en-US" w:eastAsia="zh-CN"/>
        </w:rPr>
        <w:t>22</w:t>
      </w:r>
      <w:r>
        <w:rPr>
          <w:rFonts w:hint="default" w:ascii="Times New Roman" w:hAnsi="Times New Roman" w:eastAsia="仿宋" w:cs="Times New Roman"/>
          <w:color w:val="auto"/>
          <w:sz w:val="28"/>
          <w:szCs w:val="28"/>
          <w:highlight w:val="none"/>
        </w:rPr>
        <w:t>个，产生量</w:t>
      </w:r>
      <w:r>
        <w:rPr>
          <w:rFonts w:hint="default" w:ascii="Times New Roman" w:hAnsi="Times New Roman" w:eastAsia="仿宋" w:cs="Times New Roman"/>
          <w:color w:val="auto"/>
          <w:sz w:val="28"/>
          <w:szCs w:val="28"/>
          <w:highlight w:val="none"/>
          <w:lang w:val="en-US" w:eastAsia="zh-CN"/>
        </w:rPr>
        <w:t>9</w:t>
      </w:r>
      <w:r>
        <w:rPr>
          <w:rFonts w:hint="eastAsia" w:ascii="Times New Roman" w:hAnsi="Times New Roman" w:eastAsia="仿宋" w:cs="Times New Roman"/>
          <w:color w:val="auto"/>
          <w:sz w:val="28"/>
          <w:szCs w:val="28"/>
          <w:highlight w:val="none"/>
          <w:lang w:val="en-US" w:eastAsia="zh-CN"/>
        </w:rPr>
        <w:t>06</w:t>
      </w:r>
      <w:r>
        <w:rPr>
          <w:rFonts w:hint="default" w:ascii="Times New Roman" w:hAnsi="Times New Roman" w:eastAsia="仿宋" w:cs="Times New Roman"/>
          <w:color w:val="auto"/>
          <w:sz w:val="28"/>
          <w:szCs w:val="28"/>
          <w:highlight w:val="none"/>
          <w:lang w:val="en-US" w:eastAsia="zh-CN"/>
        </w:rPr>
        <w:t>.</w:t>
      </w:r>
      <w:r>
        <w:rPr>
          <w:rFonts w:hint="eastAsia" w:ascii="Times New Roman" w:hAnsi="Times New Roman" w:eastAsia="仿宋" w:cs="Times New Roman"/>
          <w:color w:val="auto"/>
          <w:sz w:val="28"/>
          <w:szCs w:val="28"/>
          <w:highlight w:val="none"/>
          <w:lang w:val="en-US" w:eastAsia="zh-CN"/>
        </w:rPr>
        <w:t>11</w:t>
      </w:r>
      <w:r>
        <w:rPr>
          <w:rFonts w:hint="default" w:ascii="Times New Roman" w:hAnsi="Times New Roman" w:eastAsia="仿宋" w:cs="Times New Roman"/>
          <w:color w:val="auto"/>
          <w:sz w:val="28"/>
          <w:szCs w:val="28"/>
          <w:highlight w:val="none"/>
        </w:rPr>
        <w:t>t/a，其中，自行综合利用</w:t>
      </w:r>
      <w:r>
        <w:rPr>
          <w:rFonts w:hint="default" w:ascii="Times New Roman" w:hAnsi="Times New Roman" w:eastAsia="仿宋" w:cs="Times New Roman"/>
          <w:color w:val="auto"/>
          <w:sz w:val="28"/>
          <w:szCs w:val="28"/>
          <w:highlight w:val="none"/>
          <w:lang w:val="en-US" w:eastAsia="zh-CN"/>
        </w:rPr>
        <w:t>3</w:t>
      </w:r>
      <w:r>
        <w:rPr>
          <w:rFonts w:hint="eastAsia" w:ascii="Times New Roman" w:hAnsi="Times New Roman" w:eastAsia="仿宋" w:cs="Times New Roman"/>
          <w:color w:val="auto"/>
          <w:sz w:val="28"/>
          <w:szCs w:val="28"/>
          <w:highlight w:val="none"/>
          <w:lang w:val="en-US" w:eastAsia="zh-CN"/>
        </w:rPr>
        <w:t>34</w:t>
      </w:r>
      <w:r>
        <w:rPr>
          <w:rFonts w:hint="default" w:ascii="Times New Roman" w:hAnsi="Times New Roman" w:eastAsia="仿宋" w:cs="Times New Roman"/>
          <w:color w:val="auto"/>
          <w:sz w:val="28"/>
          <w:szCs w:val="28"/>
          <w:highlight w:val="none"/>
          <w:lang w:val="en-US" w:eastAsia="zh-CN"/>
        </w:rPr>
        <w:t>.</w:t>
      </w:r>
      <w:r>
        <w:rPr>
          <w:rFonts w:hint="eastAsia" w:ascii="Times New Roman" w:hAnsi="Times New Roman" w:eastAsia="仿宋" w:cs="Times New Roman"/>
          <w:color w:val="auto"/>
          <w:sz w:val="28"/>
          <w:szCs w:val="28"/>
          <w:highlight w:val="none"/>
          <w:lang w:val="en-US" w:eastAsia="zh-CN"/>
        </w:rPr>
        <w:t>18</w:t>
      </w:r>
      <w:r>
        <w:rPr>
          <w:rFonts w:hint="default" w:ascii="Times New Roman" w:hAnsi="Times New Roman" w:eastAsia="仿宋" w:cs="Times New Roman"/>
          <w:color w:val="auto"/>
          <w:sz w:val="28"/>
          <w:szCs w:val="28"/>
          <w:highlight w:val="none"/>
        </w:rPr>
        <w:t>t/a，外委处置</w:t>
      </w:r>
      <w:r>
        <w:rPr>
          <w:rFonts w:hint="default" w:ascii="Times New Roman" w:hAnsi="Times New Roman" w:eastAsia="仿宋" w:cs="Times New Roman"/>
          <w:color w:val="auto"/>
          <w:sz w:val="28"/>
          <w:szCs w:val="28"/>
          <w:highlight w:val="none"/>
          <w:lang w:val="en-US" w:eastAsia="zh-CN"/>
        </w:rPr>
        <w:t>6</w:t>
      </w:r>
      <w:r>
        <w:rPr>
          <w:rFonts w:hint="eastAsia" w:ascii="Times New Roman" w:hAnsi="Times New Roman" w:eastAsia="仿宋" w:cs="Times New Roman"/>
          <w:color w:val="auto"/>
          <w:sz w:val="28"/>
          <w:szCs w:val="28"/>
          <w:highlight w:val="none"/>
          <w:lang w:val="en-US" w:eastAsia="zh-CN"/>
        </w:rPr>
        <w:t>01</w:t>
      </w:r>
      <w:r>
        <w:rPr>
          <w:rFonts w:hint="default" w:ascii="Times New Roman" w:hAnsi="Times New Roman" w:eastAsia="仿宋" w:cs="Times New Roman"/>
          <w:color w:val="auto"/>
          <w:sz w:val="28"/>
          <w:szCs w:val="28"/>
          <w:highlight w:val="none"/>
          <w:lang w:val="en-US" w:eastAsia="zh-CN"/>
        </w:rPr>
        <w:t>.</w:t>
      </w:r>
      <w:r>
        <w:rPr>
          <w:rFonts w:hint="eastAsia" w:ascii="Times New Roman" w:hAnsi="Times New Roman" w:eastAsia="仿宋" w:cs="Times New Roman"/>
          <w:color w:val="auto"/>
          <w:sz w:val="28"/>
          <w:szCs w:val="28"/>
          <w:highlight w:val="none"/>
          <w:lang w:val="en-US" w:eastAsia="zh-CN"/>
        </w:rPr>
        <w:t>38</w:t>
      </w:r>
      <w:r>
        <w:rPr>
          <w:rFonts w:hint="default" w:ascii="Times New Roman" w:hAnsi="Times New Roman" w:eastAsia="仿宋" w:cs="Times New Roman"/>
          <w:color w:val="auto"/>
          <w:sz w:val="28"/>
          <w:szCs w:val="28"/>
          <w:highlight w:val="none"/>
        </w:rPr>
        <w:t>t/a。</w:t>
      </w:r>
      <w:r>
        <w:rPr>
          <w:rFonts w:hint="default" w:ascii="Times New Roman" w:hAnsi="Times New Roman" w:eastAsia="仿宋" w:cs="Times New Roman"/>
          <w:color w:val="auto"/>
          <w:sz w:val="28"/>
          <w:szCs w:val="28"/>
          <w:highlight w:val="none"/>
          <w:lang w:val="en-US" w:eastAsia="zh-CN"/>
        </w:rPr>
        <w:t>园区</w:t>
      </w:r>
      <w:r>
        <w:rPr>
          <w:rFonts w:hint="default" w:ascii="Times New Roman" w:hAnsi="Times New Roman" w:eastAsia="仿宋" w:cs="Times New Roman"/>
          <w:color w:val="auto"/>
          <w:sz w:val="28"/>
          <w:szCs w:val="28"/>
          <w:highlight w:val="none"/>
        </w:rPr>
        <w:t>危险废物</w:t>
      </w:r>
      <w:r>
        <w:rPr>
          <w:rFonts w:hint="default" w:ascii="Times New Roman" w:hAnsi="Times New Roman" w:eastAsia="仿宋" w:cs="Times New Roman"/>
          <w:color w:val="auto"/>
          <w:sz w:val="28"/>
          <w:szCs w:val="28"/>
          <w:highlight w:val="none"/>
          <w:lang w:val="en-US" w:eastAsia="zh-CN"/>
        </w:rPr>
        <w:t>产生</w:t>
      </w:r>
      <w:r>
        <w:rPr>
          <w:rFonts w:hint="default" w:ascii="Times New Roman" w:hAnsi="Times New Roman" w:eastAsia="仿宋" w:cs="Times New Roman"/>
          <w:color w:val="auto"/>
          <w:sz w:val="28"/>
          <w:szCs w:val="28"/>
          <w:highlight w:val="none"/>
        </w:rPr>
        <w:t>企业数量</w:t>
      </w:r>
      <w:r>
        <w:rPr>
          <w:rFonts w:hint="eastAsia" w:ascii="Times New Roman" w:hAnsi="Times New Roman" w:eastAsia="仿宋" w:cs="Times New Roman"/>
          <w:color w:val="auto"/>
          <w:sz w:val="28"/>
          <w:szCs w:val="28"/>
          <w:highlight w:val="none"/>
          <w:lang w:val="en-US" w:eastAsia="zh-CN"/>
        </w:rPr>
        <w:t>22</w:t>
      </w:r>
      <w:r>
        <w:rPr>
          <w:rFonts w:hint="default" w:ascii="Times New Roman" w:hAnsi="Times New Roman" w:eastAsia="仿宋" w:cs="Times New Roman"/>
          <w:color w:val="auto"/>
          <w:sz w:val="28"/>
          <w:szCs w:val="28"/>
          <w:highlight w:val="none"/>
        </w:rPr>
        <w:t>个，产生量</w:t>
      </w:r>
      <w:r>
        <w:rPr>
          <w:rFonts w:hint="eastAsia" w:ascii="Times New Roman" w:hAnsi="Times New Roman" w:eastAsia="仿宋" w:cs="Times New Roman"/>
          <w:color w:val="auto"/>
          <w:sz w:val="28"/>
          <w:szCs w:val="28"/>
          <w:highlight w:val="none"/>
          <w:lang w:val="en-US" w:eastAsia="zh-CN"/>
        </w:rPr>
        <w:t>15.84</w:t>
      </w:r>
      <w:r>
        <w:rPr>
          <w:rFonts w:hint="default" w:ascii="Times New Roman" w:hAnsi="Times New Roman" w:eastAsia="仿宋" w:cs="Times New Roman"/>
          <w:color w:val="auto"/>
          <w:sz w:val="28"/>
          <w:szCs w:val="28"/>
          <w:highlight w:val="none"/>
        </w:rPr>
        <w:t>/a，自行综合利用0t/a，</w:t>
      </w:r>
      <w:r>
        <w:rPr>
          <w:rFonts w:hint="default" w:ascii="Times New Roman" w:hAnsi="Times New Roman" w:eastAsia="仿宋" w:cs="Times New Roman"/>
          <w:color w:val="auto"/>
          <w:sz w:val="28"/>
          <w:szCs w:val="28"/>
          <w:highlight w:val="none"/>
          <w:lang w:val="en-US" w:eastAsia="zh-CN"/>
        </w:rPr>
        <w:t>自行处置0t/a，</w:t>
      </w:r>
      <w:r>
        <w:rPr>
          <w:rFonts w:hint="default" w:ascii="Times New Roman" w:hAnsi="Times New Roman" w:eastAsia="仿宋" w:cs="Times New Roman"/>
          <w:color w:val="auto"/>
          <w:sz w:val="28"/>
          <w:szCs w:val="28"/>
          <w:highlight w:val="none"/>
        </w:rPr>
        <w:t>外委处置</w:t>
      </w:r>
      <w:r>
        <w:rPr>
          <w:rFonts w:hint="eastAsia" w:ascii="Times New Roman" w:hAnsi="Times New Roman" w:eastAsia="仿宋" w:cs="Times New Roman"/>
          <w:color w:val="auto"/>
          <w:sz w:val="28"/>
          <w:szCs w:val="28"/>
          <w:highlight w:val="none"/>
          <w:lang w:val="en-US" w:eastAsia="zh-CN"/>
        </w:rPr>
        <w:t>15.84</w:t>
      </w:r>
      <w:r>
        <w:rPr>
          <w:rFonts w:hint="default" w:ascii="Times New Roman" w:hAnsi="Times New Roman" w:eastAsia="仿宋" w:cs="Times New Roman"/>
          <w:color w:val="auto"/>
          <w:sz w:val="28"/>
          <w:szCs w:val="28"/>
          <w:highlight w:val="none"/>
        </w:rPr>
        <w:t>t/a（目前部分企业厂内暂存）。</w:t>
      </w:r>
      <w:r>
        <w:rPr>
          <w:rFonts w:hint="default" w:ascii="Times New Roman" w:hAnsi="Times New Roman" w:eastAsia="仿宋" w:cs="Times New Roman"/>
          <w:color w:val="auto"/>
          <w:sz w:val="28"/>
          <w:szCs w:val="28"/>
        </w:rPr>
        <w:t>园区</w:t>
      </w:r>
      <w:r>
        <w:rPr>
          <w:rFonts w:hint="eastAsia" w:ascii="Times New Roman" w:hAnsi="Times New Roman" w:eastAsia="仿宋" w:cs="Times New Roman"/>
          <w:color w:val="auto"/>
          <w:sz w:val="28"/>
          <w:szCs w:val="28"/>
          <w:lang w:val="en-US" w:eastAsia="zh-CN"/>
        </w:rPr>
        <w:t>已建设危险废物集中收集点，为《湖南永良再生资源有限公司年收集、贮存、转运危险废物1万吨项目》，项目于2023年11月1日取得《怀化市生态环境局关于湖南永良再生资源有限公司年收集、贮存、转运危险废物1万吨项目环境影响报告表的批复》（怀环评〔2023〕39号），2024年初步建设完成。</w:t>
      </w:r>
    </w:p>
    <w:p w14:paraId="525BA33E">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outlineLvl w:val="1"/>
        <w:rPr>
          <w:rFonts w:hint="default" w:ascii="Times New Roman" w:hAnsi="Times New Roman" w:eastAsia="仿宋" w:cs="Times New Roman"/>
          <w:b/>
          <w:color w:val="auto"/>
          <w:sz w:val="28"/>
          <w:szCs w:val="28"/>
        </w:rPr>
      </w:pPr>
      <w:bookmarkStart w:id="10" w:name="_Toc11013"/>
      <w:r>
        <w:rPr>
          <w:rFonts w:hint="default" w:ascii="Times New Roman" w:hAnsi="Times New Roman" w:eastAsia="仿宋" w:cs="Times New Roman"/>
          <w:b/>
          <w:color w:val="auto"/>
          <w:sz w:val="28"/>
          <w:szCs w:val="28"/>
        </w:rPr>
        <w:t>（七）投诉管理</w:t>
      </w:r>
      <w:bookmarkEnd w:id="10"/>
    </w:p>
    <w:p w14:paraId="59FEC77B">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202</w:t>
      </w:r>
      <w:r>
        <w:rPr>
          <w:rFonts w:hint="eastAsia" w:ascii="Times New Roman" w:hAnsi="Times New Roman" w:eastAsia="仿宋" w:cs="Times New Roman"/>
          <w:color w:val="auto"/>
          <w:sz w:val="28"/>
          <w:szCs w:val="28"/>
          <w:lang w:val="en-US" w:eastAsia="zh-CN"/>
        </w:rPr>
        <w:t>5</w:t>
      </w:r>
      <w:r>
        <w:rPr>
          <w:rFonts w:hint="default" w:ascii="Times New Roman" w:hAnsi="Times New Roman" w:eastAsia="仿宋" w:cs="Times New Roman"/>
          <w:color w:val="auto"/>
          <w:sz w:val="28"/>
          <w:szCs w:val="28"/>
        </w:rPr>
        <w:t>年度，</w:t>
      </w: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sz w:val="28"/>
          <w:szCs w:val="28"/>
        </w:rPr>
        <w:t>共受理各类（包含各级督查、各级环保投诉等）环保投诉0件。</w:t>
      </w:r>
    </w:p>
    <w:p w14:paraId="0CC861D9">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outlineLvl w:val="1"/>
        <w:rPr>
          <w:rFonts w:hint="default" w:ascii="Times New Roman" w:hAnsi="Times New Roman" w:eastAsia="仿宋" w:cs="Times New Roman"/>
          <w:b/>
          <w:color w:val="auto"/>
          <w:sz w:val="28"/>
          <w:szCs w:val="28"/>
        </w:rPr>
      </w:pPr>
      <w:bookmarkStart w:id="11" w:name="_Toc18881"/>
      <w:r>
        <w:rPr>
          <w:rFonts w:hint="default" w:ascii="Times New Roman" w:hAnsi="Times New Roman" w:eastAsia="仿宋" w:cs="Times New Roman"/>
          <w:b/>
          <w:color w:val="auto"/>
          <w:sz w:val="28"/>
          <w:szCs w:val="28"/>
        </w:rPr>
        <w:t>（八）园区信用评价</w:t>
      </w:r>
      <w:bookmarkEnd w:id="11"/>
    </w:p>
    <w:p w14:paraId="33CD232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对照</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湖南省生态环境厅关于</w:t>
      </w:r>
      <w:r>
        <w:rPr>
          <w:rFonts w:hint="eastAsia" w:ascii="Times New Roman" w:hAnsi="Times New Roman" w:eastAsia="仿宋" w:cs="Times New Roman"/>
          <w:color w:val="auto"/>
          <w:sz w:val="28"/>
          <w:szCs w:val="28"/>
          <w:lang w:val="en-US" w:eastAsia="zh-CN"/>
        </w:rPr>
        <w:t>印发《湖南省产业园区环保信用评价管理办法》</w:t>
      </w:r>
      <w:r>
        <w:rPr>
          <w:rFonts w:hint="default" w:ascii="Times New Roman" w:hAnsi="Times New Roman" w:eastAsia="仿宋" w:cs="Times New Roman"/>
          <w:color w:val="auto"/>
          <w:sz w:val="28"/>
          <w:szCs w:val="28"/>
          <w:lang w:val="en-US" w:eastAsia="zh-CN"/>
        </w:rPr>
        <w:t>的通知》</w:t>
      </w:r>
      <w:r>
        <w:rPr>
          <w:rFonts w:hint="default" w:ascii="Times New Roman" w:hAnsi="Times New Roman" w:eastAsia="仿宋" w:cs="Times New Roman"/>
          <w:color w:val="auto"/>
          <w:sz w:val="28"/>
          <w:szCs w:val="28"/>
        </w:rPr>
        <w:t>湘环</w:t>
      </w:r>
      <w:r>
        <w:rPr>
          <w:rFonts w:hint="eastAsia" w:ascii="Times New Roman" w:hAnsi="Times New Roman" w:eastAsia="仿宋" w:cs="Times New Roman"/>
          <w:color w:val="auto"/>
          <w:sz w:val="28"/>
          <w:szCs w:val="28"/>
          <w:lang w:val="en-US" w:eastAsia="zh-CN"/>
        </w:rPr>
        <w:t>发〔2023〕94</w:t>
      </w:r>
      <w:r>
        <w:rPr>
          <w:rFonts w:hint="default" w:ascii="Times New Roman" w:hAnsi="Times New Roman" w:eastAsia="仿宋" w:cs="Times New Roman"/>
          <w:color w:val="auto"/>
          <w:sz w:val="28"/>
          <w:szCs w:val="28"/>
        </w:rPr>
        <w:t>号文要求，</w:t>
      </w: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sz w:val="28"/>
          <w:szCs w:val="28"/>
        </w:rPr>
        <w:t>进行园区环保信用自评，</w:t>
      </w:r>
      <w:r>
        <w:rPr>
          <w:rFonts w:hint="default" w:ascii="Times New Roman" w:hAnsi="Times New Roman" w:eastAsia="仿宋" w:cs="Times New Roman"/>
          <w:color w:val="auto"/>
          <w:sz w:val="28"/>
          <w:szCs w:val="28"/>
          <w:lang w:val="en-US" w:eastAsia="zh-CN"/>
        </w:rPr>
        <w:t>自评</w:t>
      </w:r>
      <w:r>
        <w:rPr>
          <w:rFonts w:hint="default" w:ascii="Times New Roman" w:hAnsi="Times New Roman" w:eastAsia="仿宋" w:cs="Times New Roman"/>
          <w:color w:val="auto"/>
          <w:sz w:val="28"/>
          <w:szCs w:val="28"/>
        </w:rPr>
        <w:t>结果为</w:t>
      </w:r>
      <w:r>
        <w:rPr>
          <w:rFonts w:hint="eastAsia" w:ascii="Times New Roman" w:hAnsi="Times New Roman" w:eastAsia="仿宋" w:cs="Times New Roman"/>
          <w:color w:val="auto"/>
          <w:sz w:val="28"/>
          <w:szCs w:val="28"/>
          <w:lang w:val="en-US" w:eastAsia="zh-CN"/>
        </w:rPr>
        <w:t>10</w:t>
      </w:r>
      <w:r>
        <w:rPr>
          <w:rFonts w:hint="default" w:ascii="Times New Roman" w:hAnsi="Times New Roman" w:eastAsia="仿宋" w:cs="Times New Roman"/>
          <w:color w:val="auto"/>
          <w:sz w:val="28"/>
          <w:szCs w:val="28"/>
        </w:rPr>
        <w:t>分，属于</w:t>
      </w:r>
      <w:r>
        <w:rPr>
          <w:rFonts w:hint="default" w:ascii="Times New Roman" w:hAnsi="Times New Roman" w:eastAsia="仿宋" w:cs="Times New Roman"/>
          <w:color w:val="auto"/>
          <w:sz w:val="28"/>
          <w:szCs w:val="28"/>
          <w:lang w:val="en-US" w:eastAsia="zh-CN"/>
        </w:rPr>
        <w:t>环保诚信园区</w:t>
      </w:r>
      <w:r>
        <w:rPr>
          <w:rFonts w:hint="default" w:ascii="Times New Roman" w:hAnsi="Times New Roman" w:eastAsia="仿宋" w:cs="Times New Roman"/>
          <w:color w:val="auto"/>
          <w:sz w:val="28"/>
          <w:szCs w:val="28"/>
        </w:rPr>
        <w:t>等级。</w:t>
      </w:r>
    </w:p>
    <w:p w14:paraId="4BD92346">
      <w:pPr>
        <w:pStyle w:val="2"/>
        <w:snapToGrid w:val="0"/>
        <w:spacing w:after="0"/>
        <w:ind w:left="0" w:leftChars="0" w:firstLine="442"/>
        <w:jc w:val="center"/>
        <w:rPr>
          <w:rFonts w:hint="default" w:ascii="Times New Roman" w:hAnsi="Times New Roman" w:eastAsia="仿宋" w:cs="Times New Roman"/>
          <w:b/>
          <w:color w:val="auto"/>
          <w:sz w:val="24"/>
          <w:szCs w:val="28"/>
        </w:rPr>
      </w:pPr>
      <w:r>
        <w:rPr>
          <w:rFonts w:hint="default" w:ascii="Times New Roman" w:hAnsi="Times New Roman" w:eastAsia="仿宋" w:cs="Times New Roman"/>
          <w:b/>
          <w:color w:val="auto"/>
          <w:sz w:val="24"/>
          <w:szCs w:val="28"/>
        </w:rPr>
        <w:t>表</w:t>
      </w:r>
      <w:r>
        <w:rPr>
          <w:rFonts w:hint="default" w:ascii="Times New Roman" w:hAnsi="Times New Roman" w:eastAsia="仿宋" w:cs="Times New Roman"/>
          <w:b/>
          <w:color w:val="auto"/>
          <w:sz w:val="22"/>
          <w:szCs w:val="28"/>
        </w:rPr>
        <w:t>2-12</w:t>
      </w:r>
      <w:r>
        <w:rPr>
          <w:rFonts w:hint="default" w:ascii="Times New Roman" w:hAnsi="Times New Roman" w:eastAsia="仿宋" w:cs="Times New Roman"/>
          <w:b/>
          <w:color w:val="auto"/>
          <w:sz w:val="24"/>
          <w:szCs w:val="28"/>
        </w:rPr>
        <w:t xml:space="preserve"> 湖南省产业园区环保信用评价指标落实情况汇总表</w:t>
      </w:r>
    </w:p>
    <w:tbl>
      <w:tblPr>
        <w:tblStyle w:val="18"/>
        <w:tblW w:w="4997" w:type="pct"/>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334"/>
        <w:gridCol w:w="751"/>
        <w:gridCol w:w="654"/>
        <w:gridCol w:w="2535"/>
        <w:gridCol w:w="585"/>
        <w:gridCol w:w="645"/>
        <w:gridCol w:w="2843"/>
      </w:tblGrid>
      <w:tr w14:paraId="095EC9CD">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03" w:hRule="atLeast"/>
        </w:trPr>
        <w:tc>
          <w:tcPr>
            <w:tcW w:w="200" w:type="pct"/>
            <w:noWrap w:val="0"/>
            <w:vAlign w:val="center"/>
          </w:tcPr>
          <w:p w14:paraId="54A9325E">
            <w:pPr>
              <w:jc w:val="center"/>
              <w:rPr>
                <w:rFonts w:hint="default" w:ascii="Times New Roman" w:hAnsi="Times New Roman" w:eastAsia="仿宋" w:cs="Times New Roman"/>
                <w:b/>
                <w:bCs/>
                <w:color w:val="auto"/>
                <w:sz w:val="24"/>
                <w:szCs w:val="22"/>
              </w:rPr>
            </w:pPr>
            <w:r>
              <w:rPr>
                <w:rFonts w:hint="default" w:ascii="Times New Roman" w:hAnsi="Times New Roman" w:eastAsia="仿宋" w:cs="Times New Roman"/>
                <w:b/>
                <w:bCs/>
                <w:color w:val="auto"/>
                <w:sz w:val="24"/>
                <w:szCs w:val="22"/>
              </w:rPr>
              <w:t>序号</w:t>
            </w:r>
          </w:p>
        </w:tc>
        <w:tc>
          <w:tcPr>
            <w:tcW w:w="449" w:type="pct"/>
            <w:noWrap w:val="0"/>
            <w:vAlign w:val="center"/>
          </w:tcPr>
          <w:p w14:paraId="5CC1C7B7">
            <w:pPr>
              <w:jc w:val="center"/>
              <w:rPr>
                <w:rFonts w:hint="default" w:ascii="Times New Roman" w:hAnsi="Times New Roman" w:eastAsia="仿宋" w:cs="Times New Roman"/>
                <w:b/>
                <w:bCs/>
                <w:color w:val="auto"/>
                <w:sz w:val="24"/>
                <w:szCs w:val="22"/>
              </w:rPr>
            </w:pPr>
            <w:r>
              <w:rPr>
                <w:rFonts w:hint="default" w:ascii="Times New Roman" w:hAnsi="Times New Roman" w:eastAsia="仿宋" w:cs="Times New Roman"/>
                <w:b/>
                <w:bCs/>
                <w:color w:val="auto"/>
                <w:sz w:val="24"/>
                <w:szCs w:val="22"/>
              </w:rPr>
              <w:t>一级评价</w:t>
            </w:r>
          </w:p>
          <w:p w14:paraId="4AF26D0A">
            <w:pPr>
              <w:jc w:val="center"/>
              <w:rPr>
                <w:rFonts w:hint="default" w:ascii="Times New Roman" w:hAnsi="Times New Roman" w:eastAsia="仿宋" w:cs="Times New Roman"/>
                <w:b/>
                <w:bCs/>
                <w:color w:val="auto"/>
                <w:sz w:val="24"/>
                <w:szCs w:val="22"/>
              </w:rPr>
            </w:pPr>
            <w:r>
              <w:rPr>
                <w:rFonts w:hint="default" w:ascii="Times New Roman" w:hAnsi="Times New Roman" w:eastAsia="仿宋" w:cs="Times New Roman"/>
                <w:b/>
                <w:bCs/>
                <w:color w:val="auto"/>
                <w:sz w:val="24"/>
                <w:szCs w:val="22"/>
              </w:rPr>
              <w:t>指标</w:t>
            </w:r>
          </w:p>
        </w:tc>
        <w:tc>
          <w:tcPr>
            <w:tcW w:w="391" w:type="pct"/>
            <w:noWrap w:val="0"/>
            <w:vAlign w:val="center"/>
          </w:tcPr>
          <w:p w14:paraId="79C1C315">
            <w:pPr>
              <w:jc w:val="center"/>
              <w:rPr>
                <w:rFonts w:hint="default" w:ascii="Times New Roman" w:hAnsi="Times New Roman" w:eastAsia="仿宋" w:cs="Times New Roman"/>
                <w:b/>
                <w:bCs/>
                <w:color w:val="auto"/>
                <w:sz w:val="24"/>
                <w:szCs w:val="22"/>
              </w:rPr>
            </w:pPr>
            <w:r>
              <w:rPr>
                <w:rFonts w:hint="default" w:ascii="Times New Roman" w:hAnsi="Times New Roman" w:eastAsia="仿宋" w:cs="Times New Roman"/>
                <w:b/>
                <w:bCs/>
                <w:color w:val="auto"/>
                <w:sz w:val="24"/>
                <w:szCs w:val="22"/>
              </w:rPr>
              <w:t>二级评价</w:t>
            </w:r>
          </w:p>
          <w:p w14:paraId="501190B0">
            <w:pPr>
              <w:jc w:val="center"/>
              <w:rPr>
                <w:rFonts w:hint="default" w:ascii="Times New Roman" w:hAnsi="Times New Roman" w:eastAsia="仿宋" w:cs="Times New Roman"/>
                <w:b/>
                <w:bCs/>
                <w:color w:val="auto"/>
                <w:sz w:val="24"/>
                <w:szCs w:val="22"/>
              </w:rPr>
            </w:pPr>
            <w:r>
              <w:rPr>
                <w:rFonts w:hint="default" w:ascii="Times New Roman" w:hAnsi="Times New Roman" w:eastAsia="仿宋" w:cs="Times New Roman"/>
                <w:b/>
                <w:bCs/>
                <w:color w:val="auto"/>
                <w:sz w:val="24"/>
                <w:szCs w:val="22"/>
              </w:rPr>
              <w:t>指标</w:t>
            </w:r>
          </w:p>
        </w:tc>
        <w:tc>
          <w:tcPr>
            <w:tcW w:w="1518" w:type="pct"/>
            <w:noWrap w:val="0"/>
            <w:vAlign w:val="center"/>
          </w:tcPr>
          <w:p w14:paraId="4FEA5059">
            <w:pPr>
              <w:jc w:val="center"/>
              <w:rPr>
                <w:rFonts w:hint="default" w:ascii="Times New Roman" w:hAnsi="Times New Roman" w:eastAsia="仿宋" w:cs="Times New Roman"/>
                <w:b/>
                <w:bCs/>
                <w:color w:val="auto"/>
                <w:sz w:val="24"/>
                <w:szCs w:val="22"/>
              </w:rPr>
            </w:pPr>
            <w:r>
              <w:rPr>
                <w:rFonts w:hint="default" w:ascii="Times New Roman" w:hAnsi="Times New Roman" w:eastAsia="仿宋" w:cs="Times New Roman"/>
                <w:b/>
                <w:bCs/>
                <w:color w:val="auto"/>
                <w:sz w:val="24"/>
                <w:szCs w:val="22"/>
              </w:rPr>
              <w:t>评价标准</w:t>
            </w:r>
          </w:p>
        </w:tc>
        <w:tc>
          <w:tcPr>
            <w:tcW w:w="350" w:type="pct"/>
            <w:noWrap w:val="0"/>
            <w:vAlign w:val="center"/>
          </w:tcPr>
          <w:p w14:paraId="6F8AA435">
            <w:pPr>
              <w:jc w:val="center"/>
              <w:rPr>
                <w:rFonts w:hint="default" w:ascii="Times New Roman" w:hAnsi="Times New Roman" w:eastAsia="仿宋" w:cs="Times New Roman"/>
                <w:b/>
                <w:bCs/>
                <w:color w:val="auto"/>
                <w:sz w:val="24"/>
                <w:szCs w:val="22"/>
              </w:rPr>
            </w:pPr>
            <w:r>
              <w:rPr>
                <w:rFonts w:hint="default" w:ascii="Times New Roman" w:hAnsi="Times New Roman" w:eastAsia="仿宋" w:cs="Times New Roman"/>
                <w:b/>
                <w:bCs/>
                <w:color w:val="auto"/>
                <w:sz w:val="24"/>
                <w:szCs w:val="22"/>
              </w:rPr>
              <w:t>分值（分）</w:t>
            </w:r>
          </w:p>
        </w:tc>
        <w:tc>
          <w:tcPr>
            <w:tcW w:w="386" w:type="pct"/>
            <w:noWrap w:val="0"/>
            <w:vAlign w:val="center"/>
          </w:tcPr>
          <w:p w14:paraId="6A2F527E">
            <w:pPr>
              <w:jc w:val="center"/>
              <w:rPr>
                <w:rFonts w:hint="default" w:ascii="Times New Roman" w:hAnsi="Times New Roman" w:eastAsia="仿宋" w:cs="Times New Roman"/>
                <w:b/>
                <w:bCs/>
                <w:color w:val="auto"/>
                <w:sz w:val="24"/>
                <w:szCs w:val="22"/>
              </w:rPr>
            </w:pPr>
            <w:r>
              <w:rPr>
                <w:rFonts w:hint="default" w:ascii="Times New Roman" w:hAnsi="Times New Roman" w:eastAsia="仿宋" w:cs="Times New Roman"/>
                <w:b/>
                <w:bCs/>
                <w:color w:val="auto"/>
                <w:sz w:val="24"/>
                <w:szCs w:val="22"/>
              </w:rPr>
              <w:t>园区自评分值</w:t>
            </w:r>
          </w:p>
        </w:tc>
        <w:tc>
          <w:tcPr>
            <w:tcW w:w="1703" w:type="pct"/>
            <w:noWrap w:val="0"/>
            <w:vAlign w:val="center"/>
          </w:tcPr>
          <w:p w14:paraId="4C01FC98">
            <w:pPr>
              <w:jc w:val="center"/>
              <w:rPr>
                <w:rFonts w:hint="default" w:ascii="Times New Roman" w:hAnsi="Times New Roman" w:eastAsia="仿宋" w:cs="Times New Roman"/>
                <w:b/>
                <w:bCs/>
                <w:color w:val="auto"/>
                <w:sz w:val="24"/>
                <w:szCs w:val="22"/>
              </w:rPr>
            </w:pPr>
            <w:r>
              <w:rPr>
                <w:rFonts w:hint="default" w:ascii="Times New Roman" w:hAnsi="Times New Roman" w:eastAsia="仿宋" w:cs="Times New Roman"/>
                <w:b/>
                <w:bCs/>
                <w:color w:val="auto"/>
                <w:sz w:val="24"/>
                <w:szCs w:val="22"/>
              </w:rPr>
              <w:t>备  注</w:t>
            </w:r>
          </w:p>
        </w:tc>
      </w:tr>
      <w:tr w14:paraId="09E63F72">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72" w:hRule="atLeast"/>
        </w:trPr>
        <w:tc>
          <w:tcPr>
            <w:tcW w:w="200" w:type="pct"/>
            <w:noWrap w:val="0"/>
            <w:vAlign w:val="center"/>
          </w:tcPr>
          <w:p w14:paraId="322D7DB6">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1</w:t>
            </w:r>
          </w:p>
        </w:tc>
        <w:tc>
          <w:tcPr>
            <w:tcW w:w="449" w:type="pct"/>
            <w:vMerge w:val="restart"/>
            <w:noWrap w:val="0"/>
            <w:vAlign w:val="center"/>
          </w:tcPr>
          <w:p w14:paraId="4FF9F14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环境准入</w:t>
            </w:r>
          </w:p>
        </w:tc>
        <w:tc>
          <w:tcPr>
            <w:tcW w:w="391" w:type="pct"/>
            <w:vMerge w:val="restart"/>
            <w:noWrap w:val="0"/>
            <w:vAlign w:val="center"/>
          </w:tcPr>
          <w:p w14:paraId="03ACB41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规划环评</w:t>
            </w:r>
          </w:p>
        </w:tc>
        <w:tc>
          <w:tcPr>
            <w:tcW w:w="1518" w:type="pct"/>
            <w:noWrap w:val="0"/>
            <w:vAlign w:val="center"/>
          </w:tcPr>
          <w:p w14:paraId="4241354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2"/>
                <w:szCs w:val="28"/>
              </w:rPr>
              <w:t>产业园区未按要求开展规划环评或环境影 响跟踪评价。</w:t>
            </w:r>
          </w:p>
        </w:tc>
        <w:tc>
          <w:tcPr>
            <w:tcW w:w="350" w:type="pct"/>
            <w:noWrap w:val="0"/>
            <w:vAlign w:val="center"/>
          </w:tcPr>
          <w:p w14:paraId="2B4DD06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color w:val="auto"/>
                <w:sz w:val="24"/>
                <w:szCs w:val="22"/>
                <w:lang w:val="en-US" w:eastAsia="zh-CN"/>
              </w:rPr>
            </w:pPr>
            <w:r>
              <w:rPr>
                <w:rFonts w:hint="default" w:ascii="Times New Roman" w:hAnsi="Times New Roman" w:eastAsia="仿宋" w:cs="Times New Roman"/>
                <w:color w:val="auto"/>
                <w:sz w:val="24"/>
                <w:szCs w:val="22"/>
              </w:rPr>
              <w:t>-</w:t>
            </w:r>
            <w:r>
              <w:rPr>
                <w:rFonts w:hint="eastAsia" w:ascii="Times New Roman" w:hAnsi="Times New Roman" w:eastAsia="仿宋" w:cs="Times New Roman"/>
                <w:color w:val="auto"/>
                <w:sz w:val="24"/>
                <w:szCs w:val="22"/>
                <w:lang w:val="en-US" w:eastAsia="zh-CN"/>
              </w:rPr>
              <w:t>1</w:t>
            </w:r>
          </w:p>
        </w:tc>
        <w:tc>
          <w:tcPr>
            <w:tcW w:w="386" w:type="pct"/>
            <w:noWrap w:val="0"/>
            <w:vAlign w:val="center"/>
          </w:tcPr>
          <w:p w14:paraId="399D6F5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1599A50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lang w:val="en-US" w:eastAsia="zh-CN"/>
              </w:rPr>
              <w:t>怀化高新技术产业开发区鹤城片区</w:t>
            </w:r>
            <w:r>
              <w:rPr>
                <w:rFonts w:hint="default" w:ascii="Times New Roman" w:hAnsi="Times New Roman" w:eastAsia="仿宋" w:cs="Times New Roman"/>
                <w:color w:val="auto"/>
                <w:sz w:val="24"/>
                <w:szCs w:val="22"/>
              </w:rPr>
              <w:t>于2014年开展园区规划环评，2019年开展环境影响跟踪评价工作，于2020年取得批复。</w:t>
            </w:r>
          </w:p>
        </w:tc>
      </w:tr>
      <w:tr w14:paraId="6FDAC525">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0" w:hRule="atLeast"/>
        </w:trPr>
        <w:tc>
          <w:tcPr>
            <w:tcW w:w="200" w:type="pct"/>
            <w:noWrap w:val="0"/>
            <w:vAlign w:val="center"/>
          </w:tcPr>
          <w:p w14:paraId="1BD7A52B">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2</w:t>
            </w:r>
          </w:p>
        </w:tc>
        <w:tc>
          <w:tcPr>
            <w:tcW w:w="449" w:type="pct"/>
            <w:vMerge w:val="continue"/>
            <w:noWrap w:val="0"/>
            <w:vAlign w:val="center"/>
          </w:tcPr>
          <w:p w14:paraId="7E360A7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color w:val="auto"/>
                <w:sz w:val="24"/>
                <w:szCs w:val="22"/>
              </w:rPr>
            </w:pPr>
          </w:p>
        </w:tc>
        <w:tc>
          <w:tcPr>
            <w:tcW w:w="391" w:type="pct"/>
            <w:vMerge w:val="continue"/>
            <w:noWrap w:val="0"/>
            <w:vAlign w:val="center"/>
          </w:tcPr>
          <w:p w14:paraId="022AD87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color w:val="auto"/>
                <w:sz w:val="24"/>
                <w:szCs w:val="22"/>
              </w:rPr>
            </w:pPr>
          </w:p>
        </w:tc>
        <w:tc>
          <w:tcPr>
            <w:tcW w:w="1518" w:type="pct"/>
            <w:noWrap w:val="0"/>
            <w:vAlign w:val="center"/>
          </w:tcPr>
          <w:p w14:paraId="1FF8801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2"/>
                <w:szCs w:val="28"/>
              </w:rPr>
              <w:t>产业园区未落实“三线一单”生态环境分区管控等要求。</w:t>
            </w:r>
          </w:p>
        </w:tc>
        <w:tc>
          <w:tcPr>
            <w:tcW w:w="350" w:type="pct"/>
            <w:noWrap w:val="0"/>
            <w:vAlign w:val="center"/>
          </w:tcPr>
          <w:p w14:paraId="01A4E53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-1</w:t>
            </w:r>
          </w:p>
        </w:tc>
        <w:tc>
          <w:tcPr>
            <w:tcW w:w="386" w:type="pct"/>
            <w:noWrap w:val="0"/>
            <w:vAlign w:val="center"/>
          </w:tcPr>
          <w:p w14:paraId="5D4054E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48934D7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color w:val="auto"/>
                <w:sz w:val="24"/>
                <w:szCs w:val="22"/>
                <w:lang w:eastAsia="zh-CN"/>
              </w:rPr>
            </w:pPr>
            <w:r>
              <w:rPr>
                <w:rFonts w:hint="default" w:ascii="Times New Roman" w:hAnsi="Times New Roman" w:eastAsia="仿宋" w:cs="Times New Roman"/>
                <w:color w:val="auto"/>
                <w:sz w:val="24"/>
                <w:szCs w:val="22"/>
                <w:lang w:val="en-US" w:eastAsia="zh-CN"/>
              </w:rPr>
              <w:t>怀化高新技术产业开发区鹤城片区</w:t>
            </w:r>
            <w:r>
              <w:rPr>
                <w:rFonts w:hint="default" w:ascii="Times New Roman" w:hAnsi="Times New Roman" w:eastAsia="仿宋" w:cs="Times New Roman"/>
                <w:color w:val="auto"/>
                <w:sz w:val="24"/>
                <w:szCs w:val="22"/>
              </w:rPr>
              <w:t>已落实“三线一单”生态环境分区管控要求</w:t>
            </w:r>
            <w:r>
              <w:rPr>
                <w:rFonts w:hint="eastAsia" w:ascii="Times New Roman" w:hAnsi="Times New Roman" w:eastAsia="仿宋" w:cs="Times New Roman"/>
                <w:color w:val="auto"/>
                <w:sz w:val="24"/>
                <w:szCs w:val="22"/>
                <w:lang w:eastAsia="zh-CN"/>
              </w:rPr>
              <w:t>。</w:t>
            </w:r>
          </w:p>
        </w:tc>
      </w:tr>
      <w:tr w14:paraId="493A88D8">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24" w:hRule="atLeast"/>
        </w:trPr>
        <w:tc>
          <w:tcPr>
            <w:tcW w:w="200" w:type="pct"/>
            <w:noWrap w:val="0"/>
            <w:vAlign w:val="center"/>
          </w:tcPr>
          <w:p w14:paraId="41355756">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3</w:t>
            </w:r>
          </w:p>
        </w:tc>
        <w:tc>
          <w:tcPr>
            <w:tcW w:w="449" w:type="pct"/>
            <w:vMerge w:val="continue"/>
            <w:noWrap w:val="0"/>
            <w:vAlign w:val="center"/>
          </w:tcPr>
          <w:p w14:paraId="294F822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color w:val="auto"/>
                <w:sz w:val="24"/>
                <w:szCs w:val="22"/>
              </w:rPr>
            </w:pPr>
          </w:p>
        </w:tc>
        <w:tc>
          <w:tcPr>
            <w:tcW w:w="391" w:type="pct"/>
            <w:vMerge w:val="continue"/>
            <w:noWrap w:val="0"/>
            <w:vAlign w:val="center"/>
          </w:tcPr>
          <w:p w14:paraId="287C869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color w:val="auto"/>
                <w:sz w:val="24"/>
                <w:szCs w:val="22"/>
              </w:rPr>
            </w:pPr>
          </w:p>
        </w:tc>
        <w:tc>
          <w:tcPr>
            <w:tcW w:w="1518" w:type="pct"/>
            <w:noWrap w:val="0"/>
            <w:vAlign w:val="center"/>
          </w:tcPr>
          <w:p w14:paraId="773A521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2"/>
                <w:szCs w:val="28"/>
              </w:rPr>
              <w:t>化工园区认定后因生态环境保护工作不达标导致复核不合格或被摘牌。</w:t>
            </w:r>
          </w:p>
        </w:tc>
        <w:tc>
          <w:tcPr>
            <w:tcW w:w="350" w:type="pct"/>
            <w:noWrap w:val="0"/>
            <w:vAlign w:val="center"/>
          </w:tcPr>
          <w:p w14:paraId="4A32A37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-1</w:t>
            </w:r>
          </w:p>
        </w:tc>
        <w:tc>
          <w:tcPr>
            <w:tcW w:w="386" w:type="pct"/>
            <w:noWrap w:val="0"/>
            <w:vAlign w:val="center"/>
          </w:tcPr>
          <w:p w14:paraId="79F0E21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0608A6B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color w:val="auto"/>
                <w:sz w:val="24"/>
                <w:szCs w:val="22"/>
                <w:lang w:eastAsia="zh-CN"/>
              </w:rPr>
            </w:pPr>
            <w:r>
              <w:rPr>
                <w:rFonts w:hint="default" w:ascii="Times New Roman" w:hAnsi="Times New Roman" w:eastAsia="仿宋" w:cs="Times New Roman"/>
                <w:color w:val="auto"/>
                <w:sz w:val="24"/>
                <w:szCs w:val="22"/>
              </w:rPr>
              <w:t>本园区不属于化工园区</w:t>
            </w:r>
            <w:r>
              <w:rPr>
                <w:rFonts w:hint="eastAsia" w:ascii="Times New Roman" w:hAnsi="Times New Roman" w:eastAsia="仿宋" w:cs="Times New Roman"/>
                <w:color w:val="auto"/>
                <w:sz w:val="24"/>
                <w:szCs w:val="22"/>
                <w:lang w:eastAsia="zh-CN"/>
              </w:rPr>
              <w:t>。</w:t>
            </w:r>
          </w:p>
        </w:tc>
      </w:tr>
      <w:tr w14:paraId="463E4ADE">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001" w:hRule="atLeast"/>
        </w:trPr>
        <w:tc>
          <w:tcPr>
            <w:tcW w:w="200" w:type="pct"/>
            <w:noWrap w:val="0"/>
            <w:vAlign w:val="center"/>
          </w:tcPr>
          <w:p w14:paraId="22ECEE91">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4</w:t>
            </w:r>
          </w:p>
        </w:tc>
        <w:tc>
          <w:tcPr>
            <w:tcW w:w="449" w:type="pct"/>
            <w:vMerge w:val="restart"/>
            <w:noWrap w:val="0"/>
            <w:vAlign w:val="center"/>
          </w:tcPr>
          <w:p w14:paraId="5CAC7B90">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环境监管</w:t>
            </w:r>
          </w:p>
        </w:tc>
        <w:tc>
          <w:tcPr>
            <w:tcW w:w="391" w:type="pct"/>
            <w:noWrap w:val="0"/>
            <w:vAlign w:val="center"/>
          </w:tcPr>
          <w:p w14:paraId="3EE1C0BD">
            <w:pPr>
              <w:jc w:val="center"/>
              <w:rPr>
                <w:rFonts w:hint="default" w:ascii="Times New Roman" w:hAnsi="Times New Roman" w:eastAsia="仿宋" w:cs="Times New Roman"/>
                <w:color w:val="auto"/>
                <w:sz w:val="24"/>
                <w:szCs w:val="22"/>
                <w:highlight w:val="none"/>
              </w:rPr>
            </w:pPr>
            <w:r>
              <w:rPr>
                <w:rFonts w:hint="default" w:ascii="Times New Roman" w:hAnsi="Times New Roman" w:eastAsia="仿宋" w:cs="Times New Roman"/>
                <w:color w:val="auto"/>
                <w:sz w:val="22"/>
                <w:szCs w:val="28"/>
                <w:highlight w:val="none"/>
              </w:rPr>
              <w:t>环保手续落实情况</w:t>
            </w:r>
          </w:p>
        </w:tc>
        <w:tc>
          <w:tcPr>
            <w:tcW w:w="1518" w:type="pct"/>
            <w:noWrap w:val="0"/>
            <w:vAlign w:val="center"/>
          </w:tcPr>
          <w:p w14:paraId="08AF5411">
            <w:pPr>
              <w:jc w:val="center"/>
              <w:rPr>
                <w:rFonts w:hint="default" w:ascii="Times New Roman" w:hAnsi="Times New Roman" w:eastAsia="仿宋" w:cs="Times New Roman"/>
                <w:color w:val="auto"/>
                <w:sz w:val="24"/>
                <w:szCs w:val="22"/>
                <w:highlight w:val="none"/>
              </w:rPr>
            </w:pPr>
            <w:r>
              <w:rPr>
                <w:rFonts w:hint="default" w:ascii="Times New Roman" w:hAnsi="Times New Roman" w:eastAsia="仿宋" w:cs="Times New Roman"/>
                <w:color w:val="auto"/>
                <w:sz w:val="22"/>
                <w:szCs w:val="28"/>
                <w:highlight w:val="none"/>
              </w:rPr>
              <w:t>产业园区内存在企事业单位未依法开展环境影响评价或未按要求申领排污许可证和辐射安全许可证。</w:t>
            </w:r>
          </w:p>
        </w:tc>
        <w:tc>
          <w:tcPr>
            <w:tcW w:w="350" w:type="pct"/>
            <w:noWrap w:val="0"/>
            <w:vAlign w:val="center"/>
          </w:tcPr>
          <w:p w14:paraId="1127ECAB">
            <w:pPr>
              <w:jc w:val="center"/>
              <w:rPr>
                <w:rFonts w:hint="default" w:ascii="Times New Roman" w:hAnsi="Times New Roman" w:eastAsia="仿宋" w:cs="Times New Roman"/>
                <w:color w:val="auto"/>
                <w:sz w:val="24"/>
                <w:szCs w:val="22"/>
                <w:highlight w:val="none"/>
              </w:rPr>
            </w:pPr>
            <w:r>
              <w:rPr>
                <w:rFonts w:hint="default" w:ascii="Times New Roman" w:hAnsi="Times New Roman" w:eastAsia="仿宋" w:cs="Times New Roman"/>
                <w:color w:val="auto"/>
                <w:sz w:val="24"/>
                <w:szCs w:val="22"/>
                <w:highlight w:val="none"/>
              </w:rPr>
              <w:t>-1</w:t>
            </w:r>
          </w:p>
        </w:tc>
        <w:tc>
          <w:tcPr>
            <w:tcW w:w="386" w:type="pct"/>
            <w:noWrap w:val="0"/>
            <w:vAlign w:val="center"/>
          </w:tcPr>
          <w:p w14:paraId="3AE63C6A">
            <w:pPr>
              <w:jc w:val="center"/>
              <w:rPr>
                <w:rFonts w:hint="default" w:ascii="Times New Roman" w:hAnsi="Times New Roman" w:eastAsia="仿宋" w:cs="Times New Roman"/>
                <w:color w:val="auto"/>
                <w:sz w:val="24"/>
                <w:szCs w:val="22"/>
                <w:highlight w:val="none"/>
              </w:rPr>
            </w:pPr>
            <w:r>
              <w:rPr>
                <w:rFonts w:hint="default" w:ascii="Times New Roman" w:hAnsi="Times New Roman" w:eastAsia="仿宋" w:cs="Times New Roman"/>
                <w:color w:val="auto"/>
                <w:sz w:val="24"/>
                <w:szCs w:val="22"/>
                <w:highlight w:val="none"/>
              </w:rPr>
              <w:t>/</w:t>
            </w:r>
          </w:p>
        </w:tc>
        <w:tc>
          <w:tcPr>
            <w:tcW w:w="1703" w:type="pct"/>
            <w:noWrap w:val="0"/>
            <w:vAlign w:val="center"/>
          </w:tcPr>
          <w:p w14:paraId="3334A75B">
            <w:pPr>
              <w:jc w:val="both"/>
              <w:rPr>
                <w:rFonts w:hint="eastAsia" w:ascii="Times New Roman" w:hAnsi="Times New Roman" w:eastAsia="仿宋" w:cs="Times New Roman"/>
                <w:color w:val="auto"/>
                <w:sz w:val="24"/>
                <w:szCs w:val="22"/>
                <w:highlight w:val="none"/>
                <w:lang w:eastAsia="zh-CN"/>
              </w:rPr>
            </w:pPr>
            <w:r>
              <w:rPr>
                <w:rFonts w:hint="default" w:ascii="Times New Roman" w:hAnsi="Times New Roman" w:eastAsia="仿宋" w:cs="Times New Roman"/>
                <w:color w:val="auto"/>
                <w:sz w:val="24"/>
                <w:szCs w:val="22"/>
                <w:highlight w:val="none"/>
              </w:rPr>
              <w:t>园区内企业均依法办理环评手续，并已申请排污许可，园区不涉及辐射类项目（详见附件企业环评手续及排污许可办理清单）</w:t>
            </w:r>
            <w:r>
              <w:rPr>
                <w:rFonts w:hint="eastAsia" w:ascii="Times New Roman" w:hAnsi="Times New Roman" w:eastAsia="仿宋" w:cs="Times New Roman"/>
                <w:color w:val="auto"/>
                <w:sz w:val="24"/>
                <w:szCs w:val="22"/>
                <w:highlight w:val="none"/>
                <w:lang w:eastAsia="zh-CN"/>
              </w:rPr>
              <w:t>。</w:t>
            </w:r>
          </w:p>
        </w:tc>
      </w:tr>
      <w:tr w14:paraId="40493A5C">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0" w:hRule="atLeast"/>
        </w:trPr>
        <w:tc>
          <w:tcPr>
            <w:tcW w:w="200" w:type="pct"/>
            <w:noWrap w:val="0"/>
            <w:vAlign w:val="center"/>
          </w:tcPr>
          <w:p w14:paraId="78605915">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5</w:t>
            </w:r>
          </w:p>
        </w:tc>
        <w:tc>
          <w:tcPr>
            <w:tcW w:w="449" w:type="pct"/>
            <w:vMerge w:val="continue"/>
            <w:noWrap w:val="0"/>
            <w:vAlign w:val="center"/>
          </w:tcPr>
          <w:p w14:paraId="4FD9AE15">
            <w:pPr>
              <w:jc w:val="center"/>
              <w:rPr>
                <w:rFonts w:hint="default" w:ascii="Times New Roman" w:hAnsi="Times New Roman" w:eastAsia="仿宋" w:cs="Times New Roman"/>
                <w:color w:val="auto"/>
                <w:sz w:val="24"/>
                <w:szCs w:val="22"/>
              </w:rPr>
            </w:pPr>
          </w:p>
        </w:tc>
        <w:tc>
          <w:tcPr>
            <w:tcW w:w="391" w:type="pct"/>
            <w:noWrap w:val="0"/>
            <w:vAlign w:val="center"/>
          </w:tcPr>
          <w:p w14:paraId="68B6F211">
            <w:pPr>
              <w:jc w:val="center"/>
              <w:rPr>
                <w:rFonts w:hint="default" w:ascii="Times New Roman" w:hAnsi="Times New Roman" w:eastAsia="仿宋" w:cs="Times New Roman"/>
                <w:color w:val="auto"/>
                <w:sz w:val="24"/>
                <w:szCs w:val="22"/>
                <w:highlight w:val="none"/>
              </w:rPr>
            </w:pPr>
            <w:r>
              <w:rPr>
                <w:rFonts w:hint="default" w:ascii="Times New Roman" w:hAnsi="Times New Roman" w:eastAsia="仿宋" w:cs="Times New Roman"/>
                <w:color w:val="auto"/>
                <w:sz w:val="22"/>
                <w:szCs w:val="28"/>
                <w:highlight w:val="none"/>
              </w:rPr>
              <w:t>水环境管理</w:t>
            </w:r>
          </w:p>
        </w:tc>
        <w:tc>
          <w:tcPr>
            <w:tcW w:w="1518" w:type="pct"/>
            <w:noWrap w:val="0"/>
            <w:vAlign w:val="center"/>
          </w:tcPr>
          <w:p w14:paraId="7559C7B3">
            <w:pPr>
              <w:jc w:val="center"/>
              <w:rPr>
                <w:rFonts w:hint="default" w:ascii="Times New Roman" w:hAnsi="Times New Roman" w:eastAsia="仿宋" w:cs="Times New Roman"/>
                <w:color w:val="auto"/>
                <w:sz w:val="24"/>
                <w:szCs w:val="22"/>
                <w:highlight w:val="none"/>
              </w:rPr>
            </w:pPr>
            <w:r>
              <w:rPr>
                <w:rFonts w:hint="default" w:ascii="Times New Roman" w:hAnsi="Times New Roman" w:eastAsia="仿宋" w:cs="Times New Roman"/>
                <w:color w:val="auto"/>
                <w:sz w:val="22"/>
                <w:szCs w:val="28"/>
                <w:highlight w:val="none"/>
              </w:rPr>
              <w:t>产业园区未按要求进行废水收集处理并达标排放。</w:t>
            </w:r>
          </w:p>
        </w:tc>
        <w:tc>
          <w:tcPr>
            <w:tcW w:w="350" w:type="pct"/>
            <w:noWrap w:val="0"/>
            <w:vAlign w:val="center"/>
          </w:tcPr>
          <w:p w14:paraId="17503D14">
            <w:pPr>
              <w:jc w:val="center"/>
              <w:rPr>
                <w:rFonts w:hint="default" w:ascii="Times New Roman" w:hAnsi="Times New Roman" w:eastAsia="仿宋" w:cs="Times New Roman"/>
                <w:color w:val="auto"/>
                <w:sz w:val="24"/>
                <w:szCs w:val="22"/>
                <w:highlight w:val="none"/>
              </w:rPr>
            </w:pPr>
            <w:r>
              <w:rPr>
                <w:rFonts w:hint="default" w:ascii="Times New Roman" w:hAnsi="Times New Roman" w:eastAsia="仿宋" w:cs="Times New Roman"/>
                <w:color w:val="auto"/>
                <w:sz w:val="24"/>
                <w:szCs w:val="22"/>
                <w:highlight w:val="none"/>
              </w:rPr>
              <w:t>-2</w:t>
            </w:r>
          </w:p>
        </w:tc>
        <w:tc>
          <w:tcPr>
            <w:tcW w:w="386" w:type="pct"/>
            <w:noWrap w:val="0"/>
            <w:vAlign w:val="center"/>
          </w:tcPr>
          <w:p w14:paraId="210D5AF8">
            <w:pPr>
              <w:jc w:val="center"/>
              <w:rPr>
                <w:rFonts w:hint="default" w:ascii="Times New Roman" w:hAnsi="Times New Roman" w:eastAsia="仿宋" w:cs="Times New Roman"/>
                <w:color w:val="auto"/>
                <w:sz w:val="24"/>
                <w:szCs w:val="22"/>
                <w:highlight w:val="none"/>
              </w:rPr>
            </w:pPr>
            <w:r>
              <w:rPr>
                <w:rFonts w:hint="default" w:ascii="Times New Roman" w:hAnsi="Times New Roman" w:eastAsia="仿宋" w:cs="Times New Roman"/>
                <w:color w:val="auto"/>
                <w:sz w:val="24"/>
                <w:szCs w:val="22"/>
                <w:highlight w:val="none"/>
              </w:rPr>
              <w:t>/</w:t>
            </w:r>
          </w:p>
        </w:tc>
        <w:tc>
          <w:tcPr>
            <w:tcW w:w="1703" w:type="pct"/>
            <w:noWrap w:val="0"/>
            <w:vAlign w:val="center"/>
          </w:tcPr>
          <w:p w14:paraId="171CA2DF">
            <w:pPr>
              <w:jc w:val="center"/>
              <w:rPr>
                <w:rFonts w:hint="eastAsia" w:ascii="Times New Roman" w:hAnsi="Times New Roman" w:eastAsia="仿宋" w:cs="Times New Roman"/>
                <w:color w:val="auto"/>
                <w:sz w:val="24"/>
                <w:szCs w:val="22"/>
                <w:highlight w:val="none"/>
                <w:lang w:eastAsia="zh-CN"/>
              </w:rPr>
            </w:pPr>
            <w:r>
              <w:rPr>
                <w:rFonts w:hint="default" w:ascii="Times New Roman" w:hAnsi="Times New Roman" w:eastAsia="仿宋" w:cs="Times New Roman"/>
                <w:color w:val="auto"/>
                <w:sz w:val="24"/>
                <w:szCs w:val="22"/>
                <w:highlight w:val="none"/>
              </w:rPr>
              <w:t>园区各废水均按照要求分片区分别进入</w:t>
            </w:r>
            <w:r>
              <w:rPr>
                <w:rFonts w:hint="default" w:ascii="Times New Roman" w:hAnsi="Times New Roman" w:eastAsia="仿宋" w:cs="Times New Roman"/>
                <w:color w:val="auto"/>
                <w:sz w:val="24"/>
                <w:szCs w:val="22"/>
                <w:highlight w:val="none"/>
                <w:lang w:val="en-US" w:eastAsia="zh-CN"/>
              </w:rPr>
              <w:t>园区</w:t>
            </w:r>
            <w:r>
              <w:rPr>
                <w:rFonts w:hint="default" w:ascii="Times New Roman" w:hAnsi="Times New Roman" w:eastAsia="仿宋" w:cs="Times New Roman"/>
                <w:color w:val="auto"/>
                <w:sz w:val="24"/>
                <w:szCs w:val="22"/>
                <w:highlight w:val="none"/>
              </w:rPr>
              <w:t>污水处理厂及怀化市城东污水处理厂处理达标后排放</w:t>
            </w:r>
            <w:r>
              <w:rPr>
                <w:rFonts w:hint="eastAsia" w:ascii="Times New Roman" w:hAnsi="Times New Roman" w:eastAsia="仿宋" w:cs="Times New Roman"/>
                <w:color w:val="auto"/>
                <w:sz w:val="24"/>
                <w:szCs w:val="22"/>
                <w:highlight w:val="none"/>
                <w:lang w:eastAsia="zh-CN"/>
              </w:rPr>
              <w:t>。</w:t>
            </w:r>
          </w:p>
        </w:tc>
      </w:tr>
      <w:tr w14:paraId="5FAD9F71">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200" w:type="pct"/>
            <w:noWrap w:val="0"/>
            <w:vAlign w:val="center"/>
          </w:tcPr>
          <w:p w14:paraId="0E943A92">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6</w:t>
            </w:r>
          </w:p>
        </w:tc>
        <w:tc>
          <w:tcPr>
            <w:tcW w:w="449" w:type="pct"/>
            <w:vMerge w:val="continue"/>
            <w:noWrap w:val="0"/>
            <w:vAlign w:val="center"/>
          </w:tcPr>
          <w:p w14:paraId="2B2677D3">
            <w:pPr>
              <w:jc w:val="center"/>
              <w:rPr>
                <w:rFonts w:hint="default" w:ascii="Times New Roman" w:hAnsi="Times New Roman" w:eastAsia="仿宋" w:cs="Times New Roman"/>
                <w:color w:val="auto"/>
                <w:sz w:val="24"/>
                <w:szCs w:val="22"/>
              </w:rPr>
            </w:pPr>
          </w:p>
        </w:tc>
        <w:tc>
          <w:tcPr>
            <w:tcW w:w="391" w:type="pct"/>
            <w:noWrap w:val="0"/>
            <w:vAlign w:val="center"/>
          </w:tcPr>
          <w:p w14:paraId="65850E9D">
            <w:pPr>
              <w:jc w:val="center"/>
              <w:rPr>
                <w:rFonts w:hint="eastAsia" w:ascii="Times New Roman" w:hAnsi="Times New Roman" w:eastAsia="仿宋" w:cs="Times New Roman"/>
                <w:color w:val="auto"/>
                <w:sz w:val="24"/>
                <w:szCs w:val="22"/>
                <w:lang w:val="en-US" w:eastAsia="zh-CN"/>
              </w:rPr>
            </w:pPr>
            <w:r>
              <w:rPr>
                <w:rFonts w:hint="default" w:ascii="Times New Roman" w:hAnsi="Times New Roman" w:eastAsia="仿宋" w:cs="Times New Roman"/>
                <w:color w:val="auto"/>
                <w:sz w:val="22"/>
                <w:szCs w:val="28"/>
              </w:rPr>
              <w:t>气环境</w:t>
            </w:r>
            <w:r>
              <w:rPr>
                <w:rFonts w:hint="eastAsia" w:ascii="Times New Roman" w:hAnsi="Times New Roman" w:eastAsia="仿宋" w:cs="Times New Roman"/>
                <w:color w:val="auto"/>
                <w:sz w:val="22"/>
                <w:szCs w:val="28"/>
                <w:lang w:val="en-US" w:eastAsia="zh-CN"/>
              </w:rPr>
              <w:t>管理</w:t>
            </w:r>
          </w:p>
        </w:tc>
        <w:tc>
          <w:tcPr>
            <w:tcW w:w="1518" w:type="pct"/>
            <w:noWrap w:val="0"/>
            <w:vAlign w:val="center"/>
          </w:tcPr>
          <w:p w14:paraId="655054FE">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2"/>
                <w:szCs w:val="28"/>
              </w:rPr>
              <w:t>产业园区未建立工业炉窑、锅炉清单和涉VOCs重点行业企事业单位管理台账，园区内存在工业炉窑、锅炉或涉VOCs重点行业企事业单位未按规定建设、运行有效收集处理设施并达标排放。</w:t>
            </w:r>
          </w:p>
        </w:tc>
        <w:tc>
          <w:tcPr>
            <w:tcW w:w="350" w:type="pct"/>
            <w:noWrap w:val="0"/>
            <w:vAlign w:val="center"/>
          </w:tcPr>
          <w:p w14:paraId="284A4F15">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-1</w:t>
            </w:r>
          </w:p>
        </w:tc>
        <w:tc>
          <w:tcPr>
            <w:tcW w:w="386" w:type="pct"/>
            <w:noWrap w:val="0"/>
            <w:vAlign w:val="center"/>
          </w:tcPr>
          <w:p w14:paraId="55D56C68">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77E47BDF">
            <w:pPr>
              <w:jc w:val="both"/>
              <w:rPr>
                <w:rFonts w:hint="eastAsia" w:ascii="Times New Roman" w:hAnsi="Times New Roman" w:eastAsia="仿宋" w:cs="Times New Roman"/>
                <w:color w:val="auto"/>
                <w:sz w:val="24"/>
                <w:szCs w:val="22"/>
                <w:lang w:eastAsia="zh-CN"/>
              </w:rPr>
            </w:pPr>
            <w:r>
              <w:rPr>
                <w:rFonts w:hint="default" w:ascii="Times New Roman" w:hAnsi="Times New Roman" w:eastAsia="仿宋" w:cs="Times New Roman"/>
                <w:color w:val="auto"/>
                <w:sz w:val="24"/>
                <w:szCs w:val="22"/>
                <w:lang w:val="en-US" w:eastAsia="zh-CN"/>
              </w:rPr>
              <w:t>怀化高新技术产业开发区鹤城片区</w:t>
            </w:r>
            <w:r>
              <w:rPr>
                <w:rFonts w:hint="default" w:ascii="Times New Roman" w:hAnsi="Times New Roman" w:eastAsia="仿宋" w:cs="Times New Roman"/>
                <w:color w:val="auto"/>
                <w:sz w:val="24"/>
                <w:szCs w:val="22"/>
              </w:rPr>
              <w:t>企业均不涉及工业炉窑及锅炉，且园区内不涉及</w:t>
            </w:r>
            <w:r>
              <w:rPr>
                <w:rFonts w:hint="default" w:ascii="Times New Roman" w:hAnsi="Times New Roman" w:eastAsia="仿宋" w:cs="Times New Roman"/>
                <w:color w:val="auto"/>
                <w:sz w:val="22"/>
                <w:szCs w:val="28"/>
              </w:rPr>
              <w:t>VOCs重点行业企业</w:t>
            </w:r>
            <w:r>
              <w:rPr>
                <w:rFonts w:hint="eastAsia" w:ascii="Times New Roman" w:hAnsi="Times New Roman" w:eastAsia="仿宋" w:cs="Times New Roman"/>
                <w:color w:val="auto"/>
                <w:sz w:val="22"/>
                <w:szCs w:val="28"/>
                <w:lang w:eastAsia="zh-CN"/>
              </w:rPr>
              <w:t>。</w:t>
            </w:r>
          </w:p>
        </w:tc>
      </w:tr>
      <w:tr w14:paraId="52816C92">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200" w:type="pct"/>
            <w:noWrap w:val="0"/>
            <w:vAlign w:val="center"/>
          </w:tcPr>
          <w:p w14:paraId="104A4D74">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7</w:t>
            </w:r>
          </w:p>
        </w:tc>
        <w:tc>
          <w:tcPr>
            <w:tcW w:w="449" w:type="pct"/>
            <w:vMerge w:val="continue"/>
            <w:noWrap w:val="0"/>
            <w:vAlign w:val="center"/>
          </w:tcPr>
          <w:p w14:paraId="6A49AA43">
            <w:pPr>
              <w:jc w:val="center"/>
              <w:rPr>
                <w:rFonts w:hint="default" w:ascii="Times New Roman" w:hAnsi="Times New Roman" w:eastAsia="仿宋" w:cs="Times New Roman"/>
                <w:color w:val="auto"/>
                <w:sz w:val="24"/>
                <w:szCs w:val="22"/>
              </w:rPr>
            </w:pPr>
          </w:p>
        </w:tc>
        <w:tc>
          <w:tcPr>
            <w:tcW w:w="391" w:type="pct"/>
            <w:noWrap w:val="0"/>
            <w:vAlign w:val="center"/>
          </w:tcPr>
          <w:p w14:paraId="210881E2">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2"/>
                <w:szCs w:val="28"/>
              </w:rPr>
              <w:t>固废管理</w:t>
            </w:r>
          </w:p>
        </w:tc>
        <w:tc>
          <w:tcPr>
            <w:tcW w:w="1518" w:type="pct"/>
            <w:noWrap w:val="0"/>
            <w:vAlign w:val="center"/>
          </w:tcPr>
          <w:p w14:paraId="3BF8BC08">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产业园区内存在涉危险废物环境违法行为或连续2年规范化管理评估不达标企事业单位。</w:t>
            </w:r>
          </w:p>
        </w:tc>
        <w:tc>
          <w:tcPr>
            <w:tcW w:w="350" w:type="pct"/>
            <w:noWrap w:val="0"/>
            <w:vAlign w:val="center"/>
          </w:tcPr>
          <w:p w14:paraId="38839808">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-1</w:t>
            </w:r>
          </w:p>
        </w:tc>
        <w:tc>
          <w:tcPr>
            <w:tcW w:w="386" w:type="pct"/>
            <w:noWrap w:val="0"/>
            <w:vAlign w:val="center"/>
          </w:tcPr>
          <w:p w14:paraId="575BA3B4">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3804E7A2">
            <w:pPr>
              <w:jc w:val="center"/>
              <w:rPr>
                <w:rFonts w:hint="eastAsia" w:ascii="Times New Roman" w:hAnsi="Times New Roman" w:eastAsia="仿宋" w:cs="Times New Roman"/>
                <w:color w:val="auto"/>
                <w:sz w:val="24"/>
                <w:szCs w:val="22"/>
                <w:lang w:eastAsia="zh-CN"/>
              </w:rPr>
            </w:pPr>
            <w:r>
              <w:rPr>
                <w:rFonts w:hint="default" w:ascii="Times New Roman" w:hAnsi="Times New Roman" w:eastAsia="仿宋" w:cs="Times New Roman"/>
                <w:color w:val="auto"/>
                <w:sz w:val="24"/>
                <w:szCs w:val="22"/>
              </w:rPr>
              <w:t>园区企业不涉及危险废物违法行为</w:t>
            </w:r>
            <w:r>
              <w:rPr>
                <w:rFonts w:hint="eastAsia" w:ascii="Times New Roman" w:hAnsi="Times New Roman" w:eastAsia="仿宋" w:cs="Times New Roman"/>
                <w:color w:val="auto"/>
                <w:sz w:val="24"/>
                <w:szCs w:val="22"/>
                <w:lang w:eastAsia="zh-CN"/>
              </w:rPr>
              <w:t>。</w:t>
            </w:r>
          </w:p>
        </w:tc>
      </w:tr>
      <w:tr w14:paraId="38E92781">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17" w:hRule="atLeast"/>
        </w:trPr>
        <w:tc>
          <w:tcPr>
            <w:tcW w:w="200" w:type="pct"/>
            <w:noWrap w:val="0"/>
            <w:vAlign w:val="center"/>
          </w:tcPr>
          <w:p w14:paraId="7CD116DF">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8</w:t>
            </w:r>
          </w:p>
        </w:tc>
        <w:tc>
          <w:tcPr>
            <w:tcW w:w="449" w:type="pct"/>
            <w:vMerge w:val="continue"/>
            <w:noWrap w:val="0"/>
            <w:vAlign w:val="center"/>
          </w:tcPr>
          <w:p w14:paraId="6871C752">
            <w:pPr>
              <w:jc w:val="center"/>
              <w:rPr>
                <w:rFonts w:hint="default" w:ascii="Times New Roman" w:hAnsi="Times New Roman" w:eastAsia="仿宋" w:cs="Times New Roman"/>
                <w:color w:val="auto"/>
                <w:sz w:val="24"/>
                <w:szCs w:val="22"/>
              </w:rPr>
            </w:pPr>
          </w:p>
        </w:tc>
        <w:tc>
          <w:tcPr>
            <w:tcW w:w="391" w:type="pct"/>
            <w:noWrap w:val="0"/>
            <w:vAlign w:val="center"/>
          </w:tcPr>
          <w:p w14:paraId="65B413F3">
            <w:pPr>
              <w:jc w:val="center"/>
              <w:rPr>
                <w:rFonts w:hint="default" w:ascii="Times New Roman" w:hAnsi="Times New Roman" w:eastAsia="仿宋" w:cs="Times New Roman"/>
                <w:color w:val="auto"/>
                <w:sz w:val="22"/>
                <w:szCs w:val="28"/>
              </w:rPr>
            </w:pPr>
            <w:r>
              <w:rPr>
                <w:rFonts w:hint="default" w:ascii="Times New Roman" w:hAnsi="Times New Roman" w:eastAsia="仿宋" w:cs="Times New Roman"/>
                <w:color w:val="auto"/>
                <w:sz w:val="22"/>
                <w:szCs w:val="28"/>
              </w:rPr>
              <w:t>土壤环境管理</w:t>
            </w:r>
          </w:p>
        </w:tc>
        <w:tc>
          <w:tcPr>
            <w:tcW w:w="1518" w:type="pct"/>
            <w:noWrap w:val="0"/>
            <w:vAlign w:val="center"/>
          </w:tcPr>
          <w:p w14:paraId="4516B9C9">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2"/>
                <w:szCs w:val="28"/>
              </w:rPr>
              <w:t>产业园区内存在土壤污染重点监管单位未按要求开展自行监测和隐患排查。</w:t>
            </w:r>
          </w:p>
        </w:tc>
        <w:tc>
          <w:tcPr>
            <w:tcW w:w="350" w:type="pct"/>
            <w:noWrap w:val="0"/>
            <w:vAlign w:val="center"/>
          </w:tcPr>
          <w:p w14:paraId="1719994E">
            <w:pPr>
              <w:jc w:val="center"/>
              <w:rPr>
                <w:rFonts w:hint="eastAsia" w:ascii="Times New Roman" w:hAnsi="Times New Roman" w:eastAsia="仿宋" w:cs="Times New Roman"/>
                <w:color w:val="auto"/>
                <w:sz w:val="24"/>
                <w:szCs w:val="22"/>
                <w:lang w:val="en-US" w:eastAsia="zh-CN"/>
              </w:rPr>
            </w:pPr>
            <w:r>
              <w:rPr>
                <w:rFonts w:hint="default" w:ascii="Times New Roman" w:hAnsi="Times New Roman" w:eastAsia="仿宋" w:cs="Times New Roman"/>
                <w:color w:val="auto"/>
                <w:sz w:val="24"/>
                <w:szCs w:val="22"/>
              </w:rPr>
              <w:t>-</w:t>
            </w:r>
            <w:r>
              <w:rPr>
                <w:rFonts w:hint="eastAsia" w:ascii="Times New Roman" w:hAnsi="Times New Roman" w:eastAsia="仿宋" w:cs="Times New Roman"/>
                <w:color w:val="auto"/>
                <w:sz w:val="24"/>
                <w:szCs w:val="22"/>
                <w:lang w:val="en-US" w:eastAsia="zh-CN"/>
              </w:rPr>
              <w:t>1</w:t>
            </w:r>
          </w:p>
        </w:tc>
        <w:tc>
          <w:tcPr>
            <w:tcW w:w="386" w:type="pct"/>
            <w:noWrap w:val="0"/>
            <w:vAlign w:val="center"/>
          </w:tcPr>
          <w:p w14:paraId="5F3F1594">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04AB76F1">
            <w:pPr>
              <w:jc w:val="center"/>
              <w:rPr>
                <w:rFonts w:hint="eastAsia" w:ascii="Times New Roman" w:hAnsi="Times New Roman" w:eastAsia="仿宋" w:cs="Times New Roman"/>
                <w:color w:val="auto"/>
                <w:sz w:val="24"/>
                <w:szCs w:val="22"/>
                <w:lang w:eastAsia="zh-CN"/>
              </w:rPr>
            </w:pPr>
            <w:r>
              <w:rPr>
                <w:rFonts w:hint="default" w:ascii="Times New Roman" w:hAnsi="Times New Roman" w:eastAsia="仿宋" w:cs="Times New Roman"/>
                <w:color w:val="auto"/>
                <w:sz w:val="24"/>
                <w:szCs w:val="22"/>
              </w:rPr>
              <w:t>园区不涉及土壤污染重点监管单位</w:t>
            </w:r>
            <w:r>
              <w:rPr>
                <w:rFonts w:hint="eastAsia" w:ascii="Times New Roman" w:hAnsi="Times New Roman" w:eastAsia="仿宋" w:cs="Times New Roman"/>
                <w:color w:val="auto"/>
                <w:sz w:val="24"/>
                <w:szCs w:val="22"/>
                <w:lang w:eastAsia="zh-CN"/>
              </w:rPr>
              <w:t>。</w:t>
            </w:r>
          </w:p>
        </w:tc>
      </w:tr>
      <w:tr w14:paraId="24513386">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02" w:hRule="atLeast"/>
        </w:trPr>
        <w:tc>
          <w:tcPr>
            <w:tcW w:w="200" w:type="pct"/>
            <w:noWrap w:val="0"/>
            <w:vAlign w:val="center"/>
          </w:tcPr>
          <w:p w14:paraId="20C742A3">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9</w:t>
            </w:r>
          </w:p>
        </w:tc>
        <w:tc>
          <w:tcPr>
            <w:tcW w:w="449" w:type="pct"/>
            <w:vMerge w:val="continue"/>
            <w:noWrap w:val="0"/>
            <w:vAlign w:val="center"/>
          </w:tcPr>
          <w:p w14:paraId="1F4BD511">
            <w:pPr>
              <w:jc w:val="center"/>
              <w:rPr>
                <w:rFonts w:hint="default" w:ascii="Times New Roman" w:hAnsi="Times New Roman" w:eastAsia="仿宋" w:cs="Times New Roman"/>
                <w:color w:val="auto"/>
                <w:sz w:val="24"/>
                <w:szCs w:val="22"/>
              </w:rPr>
            </w:pPr>
          </w:p>
        </w:tc>
        <w:tc>
          <w:tcPr>
            <w:tcW w:w="391" w:type="pct"/>
            <w:noWrap w:val="0"/>
            <w:vAlign w:val="center"/>
          </w:tcPr>
          <w:p w14:paraId="5678DAF2">
            <w:pPr>
              <w:jc w:val="center"/>
              <w:rPr>
                <w:rFonts w:hint="default" w:ascii="Times New Roman" w:hAnsi="Times New Roman" w:eastAsia="仿宋" w:cs="Times New Roman"/>
                <w:color w:val="auto"/>
                <w:sz w:val="22"/>
                <w:szCs w:val="28"/>
              </w:rPr>
            </w:pPr>
            <w:r>
              <w:rPr>
                <w:rFonts w:hint="default" w:ascii="Times New Roman" w:hAnsi="Times New Roman" w:eastAsia="仿宋" w:cs="Times New Roman"/>
                <w:color w:val="auto"/>
                <w:sz w:val="22"/>
                <w:szCs w:val="28"/>
              </w:rPr>
              <w:t>环境监测</w:t>
            </w:r>
          </w:p>
        </w:tc>
        <w:tc>
          <w:tcPr>
            <w:tcW w:w="1518" w:type="pct"/>
            <w:noWrap w:val="0"/>
            <w:vAlign w:val="center"/>
          </w:tcPr>
          <w:p w14:paraId="0A17AF67">
            <w:pPr>
              <w:jc w:val="center"/>
              <w:rPr>
                <w:rFonts w:hint="default" w:ascii="Times New Roman" w:hAnsi="Times New Roman" w:eastAsia="仿宋" w:cs="Times New Roman"/>
                <w:color w:val="auto"/>
                <w:sz w:val="22"/>
                <w:szCs w:val="28"/>
              </w:rPr>
            </w:pPr>
            <w:r>
              <w:rPr>
                <w:rFonts w:hint="default" w:ascii="Times New Roman" w:hAnsi="Times New Roman" w:eastAsia="仿宋" w:cs="Times New Roman"/>
                <w:color w:val="auto"/>
                <w:sz w:val="22"/>
                <w:szCs w:val="28"/>
              </w:rPr>
              <w:t>产业园区未按规定开展自行监测或自行监测数据弄虚作假。</w:t>
            </w:r>
          </w:p>
        </w:tc>
        <w:tc>
          <w:tcPr>
            <w:tcW w:w="350" w:type="pct"/>
            <w:noWrap w:val="0"/>
            <w:vAlign w:val="center"/>
          </w:tcPr>
          <w:p w14:paraId="6D7137BF">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-2</w:t>
            </w:r>
          </w:p>
        </w:tc>
        <w:tc>
          <w:tcPr>
            <w:tcW w:w="386" w:type="pct"/>
            <w:noWrap w:val="0"/>
            <w:vAlign w:val="center"/>
          </w:tcPr>
          <w:p w14:paraId="2E503CDD">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118FF64C">
            <w:pP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园区202</w:t>
            </w:r>
            <w:r>
              <w:rPr>
                <w:rFonts w:hint="eastAsia" w:ascii="Times New Roman" w:hAnsi="Times New Roman" w:eastAsia="仿宋" w:cs="Times New Roman"/>
                <w:color w:val="auto"/>
                <w:sz w:val="24"/>
                <w:szCs w:val="22"/>
                <w:lang w:val="en-US" w:eastAsia="zh-CN"/>
              </w:rPr>
              <w:t>5</w:t>
            </w:r>
            <w:r>
              <w:rPr>
                <w:rFonts w:hint="default" w:ascii="Times New Roman" w:hAnsi="Times New Roman" w:eastAsia="仿宋" w:cs="Times New Roman"/>
                <w:color w:val="auto"/>
                <w:sz w:val="24"/>
                <w:szCs w:val="22"/>
              </w:rPr>
              <w:t>年已按照自行监测方案开展园区环境质量自行监测，</w:t>
            </w:r>
            <w:r>
              <w:rPr>
                <w:rFonts w:hint="default" w:ascii="Times New Roman" w:hAnsi="Times New Roman" w:eastAsia="仿宋" w:cs="Times New Roman"/>
                <w:color w:val="auto"/>
                <w:sz w:val="24"/>
                <w:szCs w:val="22"/>
                <w:lang w:val="en-US" w:eastAsia="zh-CN"/>
              </w:rPr>
              <w:t>并在园区官网进行公示</w:t>
            </w:r>
            <w:r>
              <w:rPr>
                <w:rFonts w:hint="eastAsia" w:ascii="Times New Roman" w:hAnsi="Times New Roman" w:eastAsia="仿宋" w:cs="Times New Roman"/>
                <w:color w:val="auto"/>
                <w:sz w:val="24"/>
                <w:szCs w:val="22"/>
                <w:lang w:val="en-US" w:eastAsia="zh-CN"/>
              </w:rPr>
              <w:t>。</w:t>
            </w:r>
          </w:p>
        </w:tc>
      </w:tr>
      <w:tr w14:paraId="277F2720">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0" w:hRule="atLeast"/>
        </w:trPr>
        <w:tc>
          <w:tcPr>
            <w:tcW w:w="200" w:type="pct"/>
            <w:noWrap w:val="0"/>
            <w:vAlign w:val="center"/>
          </w:tcPr>
          <w:p w14:paraId="51263035">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10</w:t>
            </w:r>
          </w:p>
        </w:tc>
        <w:tc>
          <w:tcPr>
            <w:tcW w:w="449" w:type="pct"/>
            <w:vMerge w:val="continue"/>
            <w:noWrap w:val="0"/>
            <w:vAlign w:val="center"/>
          </w:tcPr>
          <w:p w14:paraId="32B054C9">
            <w:pPr>
              <w:jc w:val="center"/>
              <w:rPr>
                <w:rFonts w:hint="default" w:ascii="Times New Roman" w:hAnsi="Times New Roman" w:eastAsia="仿宋" w:cs="Times New Roman"/>
                <w:color w:val="auto"/>
                <w:sz w:val="24"/>
                <w:szCs w:val="22"/>
              </w:rPr>
            </w:pPr>
          </w:p>
        </w:tc>
        <w:tc>
          <w:tcPr>
            <w:tcW w:w="391" w:type="pct"/>
            <w:vMerge w:val="restart"/>
            <w:noWrap w:val="0"/>
            <w:vAlign w:val="center"/>
          </w:tcPr>
          <w:p w14:paraId="33CC0CDE">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监管能力</w:t>
            </w:r>
          </w:p>
        </w:tc>
        <w:tc>
          <w:tcPr>
            <w:tcW w:w="1518" w:type="pct"/>
            <w:noWrap w:val="0"/>
            <w:vAlign w:val="center"/>
          </w:tcPr>
          <w:p w14:paraId="6617FD6A">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2"/>
                <w:szCs w:val="28"/>
              </w:rPr>
              <w:t>产业园区未按要求开展环境污染第三方治 理。</w:t>
            </w:r>
          </w:p>
        </w:tc>
        <w:tc>
          <w:tcPr>
            <w:tcW w:w="350" w:type="pct"/>
            <w:noWrap w:val="0"/>
            <w:vAlign w:val="center"/>
          </w:tcPr>
          <w:p w14:paraId="45DEAB0C">
            <w:pPr>
              <w:jc w:val="center"/>
              <w:rPr>
                <w:rFonts w:hint="default" w:ascii="Times New Roman" w:hAnsi="Times New Roman" w:eastAsia="仿宋" w:cs="Times New Roman"/>
                <w:color w:val="auto"/>
                <w:sz w:val="24"/>
                <w:szCs w:val="22"/>
                <w:lang w:eastAsia="zh-CN"/>
              </w:rPr>
            </w:pPr>
            <w:r>
              <w:rPr>
                <w:rFonts w:hint="default" w:ascii="Times New Roman" w:hAnsi="Times New Roman" w:eastAsia="仿宋" w:cs="Times New Roman"/>
                <w:color w:val="auto"/>
                <w:sz w:val="24"/>
                <w:szCs w:val="22"/>
              </w:rPr>
              <w:t>-</w:t>
            </w:r>
            <w:r>
              <w:rPr>
                <w:rFonts w:hint="default" w:ascii="Times New Roman" w:hAnsi="Times New Roman" w:eastAsia="仿宋" w:cs="Times New Roman"/>
                <w:color w:val="auto"/>
                <w:sz w:val="24"/>
                <w:szCs w:val="22"/>
                <w:lang w:val="en-US" w:eastAsia="zh-CN"/>
              </w:rPr>
              <w:t>1</w:t>
            </w:r>
          </w:p>
        </w:tc>
        <w:tc>
          <w:tcPr>
            <w:tcW w:w="386" w:type="pct"/>
            <w:noWrap w:val="0"/>
            <w:vAlign w:val="center"/>
          </w:tcPr>
          <w:p w14:paraId="7DD67914">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22F28E27">
            <w:pPr>
              <w:rPr>
                <w:rFonts w:hint="eastAsia" w:ascii="Times New Roman" w:hAnsi="Times New Roman" w:eastAsia="仿宋" w:cs="Times New Roman"/>
                <w:color w:val="auto"/>
                <w:kern w:val="0"/>
                <w:sz w:val="24"/>
                <w:szCs w:val="22"/>
                <w:lang w:eastAsia="zh-CN"/>
              </w:rPr>
            </w:pPr>
            <w:r>
              <w:rPr>
                <w:rFonts w:hint="default" w:ascii="Times New Roman" w:hAnsi="Times New Roman" w:eastAsia="仿宋" w:cs="Times New Roman"/>
                <w:color w:val="auto"/>
                <w:kern w:val="0"/>
                <w:sz w:val="24"/>
                <w:szCs w:val="22"/>
              </w:rPr>
              <w:t>园区已按照要求开展环境污染第三方治理</w:t>
            </w:r>
            <w:r>
              <w:rPr>
                <w:rFonts w:hint="eastAsia" w:ascii="Times New Roman" w:hAnsi="Times New Roman" w:eastAsia="仿宋" w:cs="Times New Roman"/>
                <w:color w:val="auto"/>
                <w:kern w:val="0"/>
                <w:sz w:val="24"/>
                <w:szCs w:val="22"/>
                <w:lang w:eastAsia="zh-CN"/>
              </w:rPr>
              <w:t>。</w:t>
            </w:r>
          </w:p>
        </w:tc>
      </w:tr>
      <w:tr w14:paraId="435CA93D">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27" w:hRule="atLeast"/>
        </w:trPr>
        <w:tc>
          <w:tcPr>
            <w:tcW w:w="200" w:type="pct"/>
            <w:noWrap w:val="0"/>
            <w:vAlign w:val="center"/>
          </w:tcPr>
          <w:p w14:paraId="78CB2D6C">
            <w:pPr>
              <w:jc w:val="center"/>
              <w:rPr>
                <w:rFonts w:hint="default" w:ascii="Times New Roman" w:hAnsi="Times New Roman" w:eastAsia="仿宋" w:cs="Times New Roman"/>
                <w:color w:val="auto"/>
                <w:sz w:val="24"/>
                <w:szCs w:val="22"/>
                <w:lang w:val="en-US" w:eastAsia="zh-CN"/>
              </w:rPr>
            </w:pPr>
            <w:r>
              <w:rPr>
                <w:rFonts w:hint="default" w:ascii="Times New Roman" w:hAnsi="Times New Roman" w:eastAsia="仿宋" w:cs="Times New Roman"/>
                <w:color w:val="auto"/>
                <w:sz w:val="24"/>
                <w:szCs w:val="22"/>
                <w:lang w:val="en-US" w:eastAsia="zh-CN"/>
              </w:rPr>
              <w:t>11</w:t>
            </w:r>
          </w:p>
        </w:tc>
        <w:tc>
          <w:tcPr>
            <w:tcW w:w="449" w:type="pct"/>
            <w:vMerge w:val="continue"/>
            <w:noWrap w:val="0"/>
            <w:vAlign w:val="center"/>
          </w:tcPr>
          <w:p w14:paraId="74BF90AD">
            <w:pPr>
              <w:jc w:val="center"/>
              <w:rPr>
                <w:rFonts w:hint="default" w:ascii="Times New Roman" w:hAnsi="Times New Roman" w:eastAsia="仿宋" w:cs="Times New Roman"/>
                <w:color w:val="auto"/>
                <w:sz w:val="24"/>
                <w:szCs w:val="22"/>
              </w:rPr>
            </w:pPr>
          </w:p>
        </w:tc>
        <w:tc>
          <w:tcPr>
            <w:tcW w:w="391" w:type="pct"/>
            <w:vMerge w:val="continue"/>
            <w:noWrap w:val="0"/>
            <w:vAlign w:val="center"/>
          </w:tcPr>
          <w:p w14:paraId="443FB1A2">
            <w:pPr>
              <w:jc w:val="center"/>
              <w:rPr>
                <w:rFonts w:hint="default" w:ascii="Times New Roman" w:hAnsi="Times New Roman" w:eastAsia="仿宋" w:cs="Times New Roman"/>
                <w:color w:val="auto"/>
                <w:sz w:val="24"/>
                <w:szCs w:val="22"/>
              </w:rPr>
            </w:pPr>
          </w:p>
        </w:tc>
        <w:tc>
          <w:tcPr>
            <w:tcW w:w="1518" w:type="pct"/>
            <w:noWrap w:val="0"/>
            <w:vAlign w:val="center"/>
          </w:tcPr>
          <w:p w14:paraId="13597FA3">
            <w:pPr>
              <w:jc w:val="center"/>
              <w:rPr>
                <w:rFonts w:hint="default" w:ascii="Times New Roman" w:hAnsi="Times New Roman" w:eastAsia="仿宋" w:cs="Times New Roman"/>
                <w:color w:val="auto"/>
                <w:sz w:val="22"/>
                <w:szCs w:val="28"/>
              </w:rPr>
            </w:pPr>
            <w:r>
              <w:rPr>
                <w:rFonts w:hint="default" w:ascii="Times New Roman" w:hAnsi="Times New Roman" w:eastAsia="仿宋" w:cs="Times New Roman"/>
                <w:color w:val="auto"/>
                <w:sz w:val="22"/>
                <w:szCs w:val="28"/>
                <w:lang w:val="en-US" w:eastAsia="zh-CN"/>
              </w:rPr>
              <w:t>产业园区污染物排放超过总量控制要求或由于产业园区原因造成环境质量超标、环境质量恶化的情况。</w:t>
            </w:r>
          </w:p>
        </w:tc>
        <w:tc>
          <w:tcPr>
            <w:tcW w:w="350" w:type="pct"/>
            <w:noWrap w:val="0"/>
            <w:vAlign w:val="center"/>
          </w:tcPr>
          <w:p w14:paraId="3E02BF2C">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-1</w:t>
            </w:r>
          </w:p>
        </w:tc>
        <w:tc>
          <w:tcPr>
            <w:tcW w:w="386" w:type="pct"/>
            <w:noWrap w:val="0"/>
            <w:vAlign w:val="center"/>
          </w:tcPr>
          <w:p w14:paraId="652FD4D0">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04F26CF6">
            <w:pPr>
              <w:rPr>
                <w:rFonts w:hint="default" w:ascii="Times New Roman" w:hAnsi="Times New Roman" w:eastAsia="仿宋" w:cs="Times New Roman"/>
                <w:color w:val="auto"/>
                <w:kern w:val="0"/>
                <w:sz w:val="24"/>
                <w:szCs w:val="22"/>
                <w:lang w:val="en-US"/>
              </w:rPr>
            </w:pPr>
            <w:r>
              <w:rPr>
                <w:rFonts w:hint="default" w:ascii="Times New Roman" w:hAnsi="Times New Roman" w:eastAsia="仿宋" w:cs="Times New Roman"/>
                <w:color w:val="auto"/>
                <w:kern w:val="0"/>
                <w:sz w:val="24"/>
                <w:szCs w:val="22"/>
                <w:lang w:val="en-US" w:eastAsia="zh-CN"/>
              </w:rPr>
              <w:t>园区近几年已开展环境质量自行监测，202</w:t>
            </w:r>
            <w:r>
              <w:rPr>
                <w:rFonts w:hint="eastAsia" w:ascii="Times New Roman" w:hAnsi="Times New Roman" w:eastAsia="仿宋" w:cs="Times New Roman"/>
                <w:color w:val="auto"/>
                <w:kern w:val="0"/>
                <w:sz w:val="24"/>
                <w:szCs w:val="22"/>
                <w:lang w:val="en-US" w:eastAsia="zh-CN"/>
              </w:rPr>
              <w:t>5</w:t>
            </w:r>
            <w:r>
              <w:rPr>
                <w:rFonts w:hint="default" w:ascii="Times New Roman" w:hAnsi="Times New Roman" w:eastAsia="仿宋" w:cs="Times New Roman"/>
                <w:color w:val="auto"/>
                <w:kern w:val="0"/>
                <w:sz w:val="24"/>
                <w:szCs w:val="22"/>
                <w:lang w:val="en-US" w:eastAsia="zh-CN"/>
              </w:rPr>
              <w:t>年园区环境空气、地表水、地下水、土壤及河流底质、声环境质量均达相关标准要求；园区污水处理厂出水口水质达标，空气小微站监测数据均达标</w:t>
            </w:r>
            <w:r>
              <w:rPr>
                <w:rFonts w:hint="eastAsia" w:ascii="Times New Roman" w:hAnsi="Times New Roman" w:eastAsia="仿宋" w:cs="Times New Roman"/>
                <w:color w:val="auto"/>
                <w:kern w:val="0"/>
                <w:sz w:val="24"/>
                <w:szCs w:val="22"/>
                <w:lang w:val="en-US" w:eastAsia="zh-CN"/>
              </w:rPr>
              <w:t>。</w:t>
            </w:r>
          </w:p>
        </w:tc>
      </w:tr>
      <w:tr w14:paraId="572FBADD">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77" w:hRule="atLeast"/>
        </w:trPr>
        <w:tc>
          <w:tcPr>
            <w:tcW w:w="200" w:type="pct"/>
            <w:noWrap w:val="0"/>
            <w:vAlign w:val="center"/>
          </w:tcPr>
          <w:p w14:paraId="54B1A2BF">
            <w:pPr>
              <w:jc w:val="center"/>
              <w:rPr>
                <w:rFonts w:hint="default" w:ascii="Times New Roman" w:hAnsi="Times New Roman" w:eastAsia="仿宋" w:cs="Times New Roman"/>
                <w:color w:val="auto"/>
                <w:sz w:val="24"/>
                <w:szCs w:val="22"/>
                <w:lang w:val="en-US" w:eastAsia="zh-CN"/>
              </w:rPr>
            </w:pPr>
            <w:r>
              <w:rPr>
                <w:rFonts w:hint="default" w:ascii="Times New Roman" w:hAnsi="Times New Roman" w:eastAsia="仿宋" w:cs="Times New Roman"/>
                <w:color w:val="auto"/>
                <w:sz w:val="24"/>
                <w:szCs w:val="22"/>
                <w:lang w:val="en-US" w:eastAsia="zh-CN"/>
              </w:rPr>
              <w:t>12</w:t>
            </w:r>
          </w:p>
        </w:tc>
        <w:tc>
          <w:tcPr>
            <w:tcW w:w="449" w:type="pct"/>
            <w:vMerge w:val="continue"/>
            <w:noWrap w:val="0"/>
            <w:vAlign w:val="center"/>
          </w:tcPr>
          <w:p w14:paraId="3699663F">
            <w:pPr>
              <w:jc w:val="center"/>
              <w:rPr>
                <w:rFonts w:hint="default" w:ascii="Times New Roman" w:hAnsi="Times New Roman" w:eastAsia="仿宋" w:cs="Times New Roman"/>
                <w:color w:val="auto"/>
                <w:sz w:val="24"/>
                <w:szCs w:val="22"/>
              </w:rPr>
            </w:pPr>
          </w:p>
        </w:tc>
        <w:tc>
          <w:tcPr>
            <w:tcW w:w="391" w:type="pct"/>
            <w:vMerge w:val="continue"/>
            <w:noWrap w:val="0"/>
            <w:vAlign w:val="center"/>
          </w:tcPr>
          <w:p w14:paraId="15B6B894">
            <w:pPr>
              <w:jc w:val="center"/>
              <w:rPr>
                <w:rFonts w:hint="default" w:ascii="Times New Roman" w:hAnsi="Times New Roman" w:eastAsia="仿宋" w:cs="Times New Roman"/>
                <w:color w:val="auto"/>
                <w:sz w:val="24"/>
                <w:szCs w:val="22"/>
              </w:rPr>
            </w:pPr>
          </w:p>
        </w:tc>
        <w:tc>
          <w:tcPr>
            <w:tcW w:w="1518" w:type="pct"/>
            <w:noWrap w:val="0"/>
            <w:vAlign w:val="center"/>
          </w:tcPr>
          <w:p w14:paraId="4BE8695D">
            <w:pPr>
              <w:jc w:val="center"/>
              <w:rPr>
                <w:rFonts w:hint="default" w:ascii="Times New Roman" w:hAnsi="Times New Roman" w:eastAsia="仿宋" w:cs="Times New Roman"/>
                <w:color w:val="auto"/>
                <w:sz w:val="22"/>
                <w:szCs w:val="28"/>
                <w:lang w:val="en-US" w:eastAsia="zh-CN"/>
              </w:rPr>
            </w:pPr>
            <w:r>
              <w:rPr>
                <w:rFonts w:hint="default" w:ascii="Times New Roman" w:hAnsi="Times New Roman" w:eastAsia="仿宋" w:cs="Times New Roman"/>
                <w:color w:val="auto"/>
                <w:sz w:val="22"/>
                <w:szCs w:val="28"/>
                <w:lang w:val="en-US" w:eastAsia="zh-CN"/>
              </w:rPr>
              <w:t>产业园区建成较完善环境监测体系，并按要求将数据与省监管平台联网。</w:t>
            </w:r>
          </w:p>
        </w:tc>
        <w:tc>
          <w:tcPr>
            <w:tcW w:w="350" w:type="pct"/>
            <w:noWrap w:val="0"/>
            <w:vAlign w:val="center"/>
          </w:tcPr>
          <w:p w14:paraId="43F3FC12">
            <w:pPr>
              <w:jc w:val="center"/>
              <w:rPr>
                <w:rFonts w:hint="default" w:ascii="Times New Roman" w:hAnsi="Times New Roman" w:eastAsia="仿宋" w:cs="Times New Roman"/>
                <w:color w:val="auto"/>
                <w:sz w:val="24"/>
                <w:szCs w:val="22"/>
                <w:lang w:val="en-US" w:eastAsia="zh-CN"/>
              </w:rPr>
            </w:pPr>
            <w:r>
              <w:rPr>
                <w:rFonts w:hint="default" w:ascii="Times New Roman" w:hAnsi="Times New Roman" w:eastAsia="仿宋" w:cs="Times New Roman"/>
                <w:color w:val="auto"/>
                <w:sz w:val="24"/>
                <w:szCs w:val="22"/>
                <w:lang w:val="en-US" w:eastAsia="zh-CN"/>
              </w:rPr>
              <w:t>+1</w:t>
            </w:r>
          </w:p>
        </w:tc>
        <w:tc>
          <w:tcPr>
            <w:tcW w:w="386" w:type="pct"/>
            <w:noWrap w:val="0"/>
            <w:vAlign w:val="center"/>
          </w:tcPr>
          <w:p w14:paraId="7FEA412B">
            <w:pPr>
              <w:jc w:val="center"/>
              <w:rPr>
                <w:rFonts w:hint="default" w:ascii="Times New Roman" w:hAnsi="Times New Roman" w:eastAsia="仿宋" w:cs="Times New Roman"/>
                <w:color w:val="auto"/>
                <w:sz w:val="24"/>
                <w:szCs w:val="22"/>
                <w:lang w:val="en-US" w:eastAsia="zh-CN"/>
              </w:rPr>
            </w:pPr>
            <w:r>
              <w:rPr>
                <w:rFonts w:hint="eastAsia" w:ascii="Times New Roman" w:hAnsi="Times New Roman" w:eastAsia="仿宋" w:cs="Times New Roman"/>
                <w:color w:val="auto"/>
                <w:sz w:val="24"/>
                <w:szCs w:val="22"/>
                <w:lang w:val="en-US" w:eastAsia="zh-CN"/>
              </w:rPr>
              <w:t>+1</w:t>
            </w:r>
          </w:p>
        </w:tc>
        <w:tc>
          <w:tcPr>
            <w:tcW w:w="1703" w:type="pct"/>
            <w:noWrap w:val="0"/>
            <w:vAlign w:val="center"/>
          </w:tcPr>
          <w:p w14:paraId="2E74487B">
            <w:pPr>
              <w:rPr>
                <w:rFonts w:hint="default" w:ascii="Times New Roman" w:hAnsi="Times New Roman" w:eastAsia="仿宋" w:cs="Times New Roman"/>
                <w:color w:val="auto"/>
                <w:kern w:val="0"/>
                <w:sz w:val="24"/>
                <w:szCs w:val="22"/>
              </w:rPr>
            </w:pPr>
            <w:r>
              <w:rPr>
                <w:rFonts w:hint="default" w:ascii="Times New Roman" w:hAnsi="Times New Roman" w:eastAsia="仿宋" w:cs="Times New Roman"/>
                <w:color w:val="auto"/>
                <w:kern w:val="0"/>
                <w:sz w:val="24"/>
                <w:szCs w:val="22"/>
                <w:lang w:val="en-US" w:eastAsia="zh-CN"/>
              </w:rPr>
              <w:t>园区已建立1个环境空气小微站，并与园区生态环境管理信息平台联网，园区生态环境管理信息平台数据与省监管平台联网，202</w:t>
            </w:r>
            <w:r>
              <w:rPr>
                <w:rFonts w:hint="eastAsia" w:ascii="Times New Roman" w:hAnsi="Times New Roman" w:eastAsia="仿宋" w:cs="Times New Roman"/>
                <w:color w:val="auto"/>
                <w:kern w:val="0"/>
                <w:sz w:val="24"/>
                <w:szCs w:val="22"/>
                <w:lang w:val="en-US" w:eastAsia="zh-CN"/>
              </w:rPr>
              <w:t>5</w:t>
            </w:r>
            <w:r>
              <w:rPr>
                <w:rFonts w:hint="default" w:ascii="Times New Roman" w:hAnsi="Times New Roman" w:eastAsia="仿宋" w:cs="Times New Roman"/>
                <w:color w:val="auto"/>
                <w:kern w:val="0"/>
                <w:sz w:val="24"/>
                <w:szCs w:val="22"/>
                <w:lang w:val="en-US" w:eastAsia="zh-CN"/>
              </w:rPr>
              <w:t>年度传输正常</w:t>
            </w:r>
            <w:r>
              <w:rPr>
                <w:rFonts w:hint="eastAsia" w:ascii="Times New Roman" w:hAnsi="Times New Roman" w:eastAsia="仿宋" w:cs="Times New Roman"/>
                <w:color w:val="auto"/>
                <w:kern w:val="0"/>
                <w:sz w:val="24"/>
                <w:szCs w:val="22"/>
                <w:lang w:val="en-US" w:eastAsia="zh-CN"/>
              </w:rPr>
              <w:t>。</w:t>
            </w:r>
          </w:p>
        </w:tc>
      </w:tr>
      <w:tr w14:paraId="6F74FD11">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4" w:hRule="atLeast"/>
        </w:trPr>
        <w:tc>
          <w:tcPr>
            <w:tcW w:w="200" w:type="pct"/>
            <w:noWrap w:val="0"/>
            <w:vAlign w:val="center"/>
          </w:tcPr>
          <w:p w14:paraId="591A2894">
            <w:pPr>
              <w:jc w:val="center"/>
              <w:rPr>
                <w:rFonts w:hint="default" w:ascii="Times New Roman" w:hAnsi="Times New Roman" w:eastAsia="仿宋" w:cs="Times New Roman"/>
                <w:color w:val="auto"/>
                <w:sz w:val="24"/>
                <w:szCs w:val="22"/>
                <w:lang w:val="en-US" w:eastAsia="zh-CN"/>
              </w:rPr>
            </w:pPr>
            <w:r>
              <w:rPr>
                <w:rFonts w:hint="default" w:ascii="Times New Roman" w:hAnsi="Times New Roman" w:eastAsia="仿宋" w:cs="Times New Roman"/>
                <w:color w:val="auto"/>
                <w:sz w:val="24"/>
                <w:szCs w:val="22"/>
                <w:lang w:val="en-US" w:eastAsia="zh-CN"/>
              </w:rPr>
              <w:t>13</w:t>
            </w:r>
          </w:p>
        </w:tc>
        <w:tc>
          <w:tcPr>
            <w:tcW w:w="449" w:type="pct"/>
            <w:vMerge w:val="continue"/>
            <w:noWrap w:val="0"/>
            <w:vAlign w:val="center"/>
          </w:tcPr>
          <w:p w14:paraId="2AF7AFCB">
            <w:pPr>
              <w:jc w:val="center"/>
              <w:rPr>
                <w:rFonts w:hint="default" w:ascii="Times New Roman" w:hAnsi="Times New Roman" w:eastAsia="仿宋" w:cs="Times New Roman"/>
                <w:color w:val="auto"/>
                <w:sz w:val="24"/>
                <w:szCs w:val="22"/>
              </w:rPr>
            </w:pPr>
          </w:p>
        </w:tc>
        <w:tc>
          <w:tcPr>
            <w:tcW w:w="391" w:type="pct"/>
            <w:vMerge w:val="continue"/>
            <w:noWrap w:val="0"/>
            <w:vAlign w:val="center"/>
          </w:tcPr>
          <w:p w14:paraId="2359FF1D">
            <w:pPr>
              <w:jc w:val="center"/>
              <w:rPr>
                <w:rFonts w:hint="default" w:ascii="Times New Roman" w:hAnsi="Times New Roman" w:eastAsia="仿宋" w:cs="Times New Roman"/>
                <w:color w:val="auto"/>
                <w:sz w:val="24"/>
                <w:szCs w:val="22"/>
              </w:rPr>
            </w:pPr>
          </w:p>
        </w:tc>
        <w:tc>
          <w:tcPr>
            <w:tcW w:w="1518" w:type="pct"/>
            <w:noWrap w:val="0"/>
            <w:vAlign w:val="center"/>
          </w:tcPr>
          <w:p w14:paraId="561AADEC">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2"/>
                <w:szCs w:val="28"/>
              </w:rPr>
              <w:t>产业园区内存在被评为环保黑名单的企事 业单位。</w:t>
            </w:r>
          </w:p>
        </w:tc>
        <w:tc>
          <w:tcPr>
            <w:tcW w:w="350" w:type="pct"/>
            <w:noWrap w:val="0"/>
            <w:vAlign w:val="center"/>
          </w:tcPr>
          <w:p w14:paraId="036A1807">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-1</w:t>
            </w:r>
          </w:p>
        </w:tc>
        <w:tc>
          <w:tcPr>
            <w:tcW w:w="386" w:type="pct"/>
            <w:noWrap w:val="0"/>
            <w:vAlign w:val="center"/>
          </w:tcPr>
          <w:p w14:paraId="7C067354">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3FDDB29B">
            <w:pPr>
              <w:rPr>
                <w:rFonts w:hint="default" w:ascii="Times New Roman" w:hAnsi="Times New Roman" w:eastAsia="仿宋" w:cs="Times New Roman"/>
                <w:color w:val="auto"/>
                <w:kern w:val="0"/>
                <w:sz w:val="24"/>
                <w:szCs w:val="22"/>
              </w:rPr>
            </w:pPr>
            <w:r>
              <w:rPr>
                <w:rFonts w:hint="default" w:ascii="Times New Roman" w:hAnsi="Times New Roman" w:eastAsia="仿宋" w:cs="Times New Roman"/>
                <w:color w:val="auto"/>
                <w:kern w:val="0"/>
                <w:sz w:val="24"/>
                <w:szCs w:val="22"/>
                <w:lang w:val="en-US" w:eastAsia="zh-CN"/>
              </w:rPr>
              <w:t>截</w:t>
            </w:r>
            <w:r>
              <w:rPr>
                <w:rFonts w:hint="eastAsia" w:ascii="Times New Roman" w:hAnsi="Times New Roman" w:eastAsia="仿宋" w:cs="Times New Roman"/>
                <w:color w:val="auto"/>
                <w:kern w:val="0"/>
                <w:sz w:val="24"/>
                <w:szCs w:val="22"/>
                <w:lang w:val="en-US" w:eastAsia="zh-CN"/>
              </w:rPr>
              <w:t>至</w:t>
            </w:r>
            <w:r>
              <w:rPr>
                <w:rFonts w:hint="default" w:ascii="Times New Roman" w:hAnsi="Times New Roman" w:eastAsia="仿宋" w:cs="Times New Roman"/>
                <w:color w:val="auto"/>
                <w:kern w:val="0"/>
                <w:sz w:val="24"/>
                <w:szCs w:val="22"/>
                <w:lang w:val="en-US" w:eastAsia="zh-CN"/>
              </w:rPr>
              <w:t>目前园区不存在环保黑名单企事业单位</w:t>
            </w:r>
            <w:r>
              <w:rPr>
                <w:rFonts w:hint="eastAsia" w:ascii="Times New Roman" w:hAnsi="Times New Roman" w:eastAsia="仿宋" w:cs="Times New Roman"/>
                <w:color w:val="auto"/>
                <w:kern w:val="0"/>
                <w:sz w:val="24"/>
                <w:szCs w:val="22"/>
                <w:lang w:val="en-US" w:eastAsia="zh-CN"/>
              </w:rPr>
              <w:t>。</w:t>
            </w:r>
          </w:p>
        </w:tc>
      </w:tr>
      <w:tr w14:paraId="7B6BA858">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0" w:hRule="atLeast"/>
        </w:trPr>
        <w:tc>
          <w:tcPr>
            <w:tcW w:w="200" w:type="pct"/>
            <w:noWrap w:val="0"/>
            <w:vAlign w:val="center"/>
          </w:tcPr>
          <w:p w14:paraId="407FF447">
            <w:pPr>
              <w:jc w:val="center"/>
              <w:rPr>
                <w:rFonts w:hint="default" w:ascii="Times New Roman" w:hAnsi="Times New Roman" w:eastAsia="仿宋" w:cs="Times New Roman"/>
                <w:color w:val="auto"/>
                <w:sz w:val="24"/>
                <w:szCs w:val="22"/>
                <w:lang w:eastAsia="zh-CN"/>
              </w:rPr>
            </w:pPr>
            <w:r>
              <w:rPr>
                <w:rFonts w:hint="default" w:ascii="Times New Roman" w:hAnsi="Times New Roman" w:eastAsia="仿宋" w:cs="Times New Roman"/>
                <w:color w:val="auto"/>
                <w:sz w:val="24"/>
                <w:szCs w:val="22"/>
              </w:rPr>
              <w:t>1</w:t>
            </w:r>
            <w:r>
              <w:rPr>
                <w:rFonts w:hint="default" w:ascii="Times New Roman" w:hAnsi="Times New Roman" w:eastAsia="仿宋" w:cs="Times New Roman"/>
                <w:color w:val="auto"/>
                <w:sz w:val="24"/>
                <w:szCs w:val="22"/>
                <w:lang w:val="en-US" w:eastAsia="zh-CN"/>
              </w:rPr>
              <w:t>4</w:t>
            </w:r>
          </w:p>
        </w:tc>
        <w:tc>
          <w:tcPr>
            <w:tcW w:w="449" w:type="pct"/>
            <w:vMerge w:val="restart"/>
            <w:noWrap w:val="0"/>
            <w:vAlign w:val="center"/>
          </w:tcPr>
          <w:p w14:paraId="2E350AD6">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环境风险防控</w:t>
            </w:r>
          </w:p>
        </w:tc>
        <w:tc>
          <w:tcPr>
            <w:tcW w:w="391" w:type="pct"/>
            <w:noWrap w:val="0"/>
            <w:vAlign w:val="center"/>
          </w:tcPr>
          <w:p w14:paraId="3CA5A518">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环境应急保障能力建设</w:t>
            </w:r>
          </w:p>
        </w:tc>
        <w:tc>
          <w:tcPr>
            <w:tcW w:w="1518" w:type="pct"/>
            <w:noWrap w:val="0"/>
            <w:vAlign w:val="center"/>
          </w:tcPr>
          <w:p w14:paraId="0525D598">
            <w:pPr>
              <w:jc w:val="center"/>
              <w:rPr>
                <w:rFonts w:hint="default" w:ascii="Times New Roman" w:hAnsi="Times New Roman" w:eastAsia="仿宋" w:cs="Times New Roman"/>
                <w:color w:val="auto"/>
                <w:sz w:val="24"/>
                <w:szCs w:val="22"/>
                <w:lang w:val="en-US" w:eastAsia="zh-CN"/>
              </w:rPr>
            </w:pPr>
            <w:r>
              <w:rPr>
                <w:rFonts w:hint="default" w:ascii="Times New Roman" w:hAnsi="Times New Roman" w:eastAsia="仿宋" w:cs="Times New Roman"/>
                <w:color w:val="auto"/>
                <w:sz w:val="24"/>
                <w:szCs w:val="22"/>
              </w:rPr>
              <w:t>产业园区未按要求制定或修编园区突发环境事件应急预案。</w:t>
            </w:r>
            <w:r>
              <w:rPr>
                <w:rFonts w:hint="default" w:ascii="Times New Roman" w:hAnsi="Times New Roman" w:eastAsia="仿宋" w:cs="Times New Roman"/>
                <w:color w:val="auto"/>
                <w:sz w:val="22"/>
                <w:szCs w:val="28"/>
              </w:rPr>
              <w:t>产业园区未定期组织开展应急演练、环境应急救援物资配备不符合规定、环境风险防范措施不到位。</w:t>
            </w:r>
            <w:r>
              <w:rPr>
                <w:rFonts w:hint="default" w:ascii="Times New Roman" w:hAnsi="Times New Roman" w:eastAsia="仿宋" w:cs="Times New Roman"/>
                <w:color w:val="auto"/>
                <w:sz w:val="22"/>
                <w:szCs w:val="28"/>
                <w:lang w:val="en-US" w:eastAsia="zh-CN"/>
              </w:rPr>
              <w:t>未建设突发环境事件应急指挥平台。</w:t>
            </w:r>
          </w:p>
        </w:tc>
        <w:tc>
          <w:tcPr>
            <w:tcW w:w="350" w:type="pct"/>
            <w:noWrap w:val="0"/>
            <w:vAlign w:val="center"/>
          </w:tcPr>
          <w:p w14:paraId="088A442E">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-2</w:t>
            </w:r>
          </w:p>
        </w:tc>
        <w:tc>
          <w:tcPr>
            <w:tcW w:w="386" w:type="pct"/>
            <w:noWrap w:val="0"/>
            <w:vAlign w:val="center"/>
          </w:tcPr>
          <w:p w14:paraId="62AEB6A8">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6BE8457E">
            <w:pPr>
              <w:jc w:val="both"/>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园区于2018版组织编制了第一版应急预案，并于2021年进行修编，组织编制了《鹤城产业开发区突发环境事件应急预案（2021修订版），并发布实施；</w:t>
            </w:r>
            <w:r>
              <w:rPr>
                <w:rFonts w:hint="default" w:ascii="Times New Roman" w:hAnsi="Times New Roman" w:eastAsia="仿宋" w:cs="Times New Roman"/>
                <w:color w:val="auto"/>
                <w:sz w:val="24"/>
                <w:szCs w:val="22"/>
                <w:lang w:val="en-US" w:eastAsia="zh-CN"/>
              </w:rPr>
              <w:t>园区于202</w:t>
            </w:r>
            <w:r>
              <w:rPr>
                <w:rFonts w:hint="eastAsia" w:ascii="Times New Roman" w:hAnsi="Times New Roman" w:eastAsia="仿宋" w:cs="Times New Roman"/>
                <w:color w:val="auto"/>
                <w:sz w:val="24"/>
                <w:szCs w:val="22"/>
                <w:lang w:val="en-US" w:eastAsia="zh-CN"/>
              </w:rPr>
              <w:t>5</w:t>
            </w:r>
            <w:r>
              <w:rPr>
                <w:rFonts w:hint="default" w:ascii="Times New Roman" w:hAnsi="Times New Roman" w:eastAsia="仿宋" w:cs="Times New Roman"/>
                <w:color w:val="auto"/>
                <w:sz w:val="24"/>
                <w:szCs w:val="22"/>
                <w:lang w:val="en-US" w:eastAsia="zh-CN"/>
              </w:rPr>
              <w:t>年1</w:t>
            </w:r>
            <w:r>
              <w:rPr>
                <w:rFonts w:hint="eastAsia" w:ascii="Times New Roman" w:hAnsi="Times New Roman" w:eastAsia="仿宋" w:cs="Times New Roman"/>
                <w:color w:val="auto"/>
                <w:sz w:val="24"/>
                <w:szCs w:val="22"/>
                <w:lang w:val="en-US" w:eastAsia="zh-CN"/>
              </w:rPr>
              <w:t>2</w:t>
            </w:r>
            <w:r>
              <w:rPr>
                <w:rFonts w:hint="default" w:ascii="Times New Roman" w:hAnsi="Times New Roman" w:eastAsia="仿宋" w:cs="Times New Roman"/>
                <w:color w:val="auto"/>
                <w:sz w:val="24"/>
                <w:szCs w:val="22"/>
                <w:lang w:val="en-US" w:eastAsia="zh-CN"/>
              </w:rPr>
              <w:t>月开展突发环境事件环境应急演练；园区已按照应急预案要求配备相关应急物资；园区已按照应急预案要求落实各项风险防范措施；园区已建立突发环境事件应急指挥平台，该平台与园区生态环境监管平台融合，可有效</w:t>
            </w:r>
            <w:r>
              <w:rPr>
                <w:rFonts w:hint="eastAsia" w:ascii="Times New Roman" w:hAnsi="Times New Roman" w:eastAsia="仿宋" w:cs="Times New Roman"/>
                <w:color w:val="auto"/>
                <w:sz w:val="24"/>
                <w:szCs w:val="22"/>
                <w:lang w:val="en-US" w:eastAsia="zh-CN"/>
              </w:rPr>
              <w:t>反映</w:t>
            </w:r>
            <w:r>
              <w:rPr>
                <w:rFonts w:hint="default" w:ascii="Times New Roman" w:hAnsi="Times New Roman" w:eastAsia="仿宋" w:cs="Times New Roman"/>
                <w:color w:val="auto"/>
                <w:sz w:val="24"/>
                <w:szCs w:val="22"/>
                <w:lang w:val="en-US" w:eastAsia="zh-CN"/>
              </w:rPr>
              <w:t>园区企业异常排放情况进行适时监管并反馈园区</w:t>
            </w:r>
            <w:r>
              <w:rPr>
                <w:rFonts w:hint="eastAsia" w:ascii="Times New Roman" w:hAnsi="Times New Roman" w:eastAsia="仿宋" w:cs="Times New Roman"/>
                <w:color w:val="auto"/>
                <w:sz w:val="24"/>
                <w:szCs w:val="22"/>
                <w:lang w:val="en-US" w:eastAsia="zh-CN"/>
              </w:rPr>
              <w:t>。</w:t>
            </w:r>
          </w:p>
        </w:tc>
      </w:tr>
      <w:tr w14:paraId="4C3FE748">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2" w:hRule="atLeast"/>
        </w:trPr>
        <w:tc>
          <w:tcPr>
            <w:tcW w:w="200" w:type="pct"/>
            <w:noWrap w:val="0"/>
            <w:vAlign w:val="center"/>
          </w:tcPr>
          <w:p w14:paraId="75EDBBD8">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15</w:t>
            </w:r>
          </w:p>
        </w:tc>
        <w:tc>
          <w:tcPr>
            <w:tcW w:w="449" w:type="pct"/>
            <w:vMerge w:val="continue"/>
            <w:noWrap w:val="0"/>
            <w:vAlign w:val="center"/>
          </w:tcPr>
          <w:p w14:paraId="5B4C741C">
            <w:pPr>
              <w:jc w:val="center"/>
              <w:rPr>
                <w:rFonts w:hint="default" w:ascii="Times New Roman" w:hAnsi="Times New Roman" w:eastAsia="仿宋" w:cs="Times New Roman"/>
                <w:color w:val="auto"/>
                <w:sz w:val="24"/>
                <w:szCs w:val="22"/>
              </w:rPr>
            </w:pPr>
          </w:p>
        </w:tc>
        <w:tc>
          <w:tcPr>
            <w:tcW w:w="391" w:type="pct"/>
            <w:vMerge w:val="restart"/>
            <w:noWrap w:val="0"/>
            <w:vAlign w:val="center"/>
          </w:tcPr>
          <w:p w14:paraId="2EECF1CF">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环境风险</w:t>
            </w:r>
          </w:p>
        </w:tc>
        <w:tc>
          <w:tcPr>
            <w:tcW w:w="1518" w:type="pct"/>
            <w:noWrap w:val="0"/>
            <w:vAlign w:val="center"/>
          </w:tcPr>
          <w:p w14:paraId="5629074D">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2"/>
                <w:szCs w:val="28"/>
              </w:rPr>
              <w:t>产业园区发生一般、较大突发环境事件或生态破坏事件。</w:t>
            </w:r>
          </w:p>
        </w:tc>
        <w:tc>
          <w:tcPr>
            <w:tcW w:w="350" w:type="pct"/>
            <w:noWrap w:val="0"/>
            <w:vAlign w:val="center"/>
          </w:tcPr>
          <w:p w14:paraId="3806B502">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-2</w:t>
            </w:r>
          </w:p>
        </w:tc>
        <w:tc>
          <w:tcPr>
            <w:tcW w:w="386" w:type="pct"/>
            <w:noWrap w:val="0"/>
            <w:vAlign w:val="center"/>
          </w:tcPr>
          <w:p w14:paraId="3E9FD10B">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3F14B2E7">
            <w:pPr>
              <w:jc w:val="center"/>
              <w:rPr>
                <w:rFonts w:hint="eastAsia" w:ascii="Times New Roman" w:hAnsi="Times New Roman" w:eastAsia="仿宋" w:cs="Times New Roman"/>
                <w:color w:val="auto"/>
                <w:sz w:val="24"/>
                <w:szCs w:val="22"/>
                <w:lang w:eastAsia="zh-CN"/>
              </w:rPr>
            </w:pPr>
            <w:r>
              <w:rPr>
                <w:rFonts w:hint="default" w:ascii="Times New Roman" w:hAnsi="Times New Roman" w:eastAsia="仿宋" w:cs="Times New Roman"/>
                <w:color w:val="auto"/>
                <w:sz w:val="24"/>
                <w:szCs w:val="22"/>
              </w:rPr>
              <w:t>本园区未发生</w:t>
            </w:r>
            <w:r>
              <w:rPr>
                <w:rFonts w:hint="default" w:ascii="Times New Roman" w:hAnsi="Times New Roman" w:eastAsia="仿宋" w:cs="Times New Roman"/>
                <w:color w:val="auto"/>
                <w:sz w:val="22"/>
                <w:szCs w:val="28"/>
              </w:rPr>
              <w:t>一般、较大突发环境事件或生态破坏事件</w:t>
            </w:r>
            <w:r>
              <w:rPr>
                <w:rFonts w:hint="eastAsia" w:ascii="Times New Roman" w:hAnsi="Times New Roman" w:eastAsia="仿宋" w:cs="Times New Roman"/>
                <w:color w:val="auto"/>
                <w:sz w:val="22"/>
                <w:szCs w:val="28"/>
                <w:lang w:eastAsia="zh-CN"/>
              </w:rPr>
              <w:t>。</w:t>
            </w:r>
          </w:p>
        </w:tc>
      </w:tr>
      <w:tr w14:paraId="69077256">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8" w:hRule="atLeast"/>
        </w:trPr>
        <w:tc>
          <w:tcPr>
            <w:tcW w:w="200" w:type="pct"/>
            <w:noWrap w:val="0"/>
            <w:vAlign w:val="center"/>
          </w:tcPr>
          <w:p w14:paraId="422EDE9F">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16</w:t>
            </w:r>
          </w:p>
        </w:tc>
        <w:tc>
          <w:tcPr>
            <w:tcW w:w="449" w:type="pct"/>
            <w:vMerge w:val="continue"/>
            <w:noWrap w:val="0"/>
            <w:vAlign w:val="center"/>
          </w:tcPr>
          <w:p w14:paraId="49254E04">
            <w:pPr>
              <w:jc w:val="center"/>
              <w:rPr>
                <w:rFonts w:hint="default" w:ascii="Times New Roman" w:hAnsi="Times New Roman" w:eastAsia="仿宋" w:cs="Times New Roman"/>
                <w:color w:val="auto"/>
                <w:sz w:val="24"/>
                <w:szCs w:val="22"/>
              </w:rPr>
            </w:pPr>
          </w:p>
        </w:tc>
        <w:tc>
          <w:tcPr>
            <w:tcW w:w="391" w:type="pct"/>
            <w:vMerge w:val="continue"/>
            <w:noWrap w:val="0"/>
            <w:vAlign w:val="center"/>
          </w:tcPr>
          <w:p w14:paraId="1B3A8728">
            <w:pPr>
              <w:jc w:val="center"/>
              <w:rPr>
                <w:rFonts w:hint="default" w:ascii="Times New Roman" w:hAnsi="Times New Roman" w:eastAsia="仿宋" w:cs="Times New Roman"/>
                <w:color w:val="auto"/>
                <w:sz w:val="24"/>
                <w:szCs w:val="22"/>
              </w:rPr>
            </w:pPr>
          </w:p>
        </w:tc>
        <w:tc>
          <w:tcPr>
            <w:tcW w:w="1518" w:type="pct"/>
            <w:noWrap w:val="0"/>
            <w:vAlign w:val="center"/>
          </w:tcPr>
          <w:p w14:paraId="12452D41">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2"/>
                <w:szCs w:val="28"/>
              </w:rPr>
              <w:t>产业园区存在被中央或省级环保督察、生态环境警示片等反馈问题，或出现被省级及以上主管部门挂牌督办或被省级主管部门约谈、典型案例曝光、区域限批、移交问责等情况。</w:t>
            </w:r>
          </w:p>
        </w:tc>
        <w:tc>
          <w:tcPr>
            <w:tcW w:w="350" w:type="pct"/>
            <w:noWrap w:val="0"/>
            <w:vAlign w:val="center"/>
          </w:tcPr>
          <w:p w14:paraId="07F039D4">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-4</w:t>
            </w:r>
          </w:p>
        </w:tc>
        <w:tc>
          <w:tcPr>
            <w:tcW w:w="386" w:type="pct"/>
            <w:noWrap w:val="0"/>
            <w:vAlign w:val="center"/>
          </w:tcPr>
          <w:p w14:paraId="1BAAA733">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1ADBB03E">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本园区不涉及。</w:t>
            </w:r>
          </w:p>
        </w:tc>
      </w:tr>
      <w:tr w14:paraId="72BA7FE7">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200" w:type="pct"/>
            <w:noWrap w:val="0"/>
            <w:vAlign w:val="center"/>
          </w:tcPr>
          <w:p w14:paraId="5B84D902">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17</w:t>
            </w:r>
          </w:p>
        </w:tc>
        <w:tc>
          <w:tcPr>
            <w:tcW w:w="449" w:type="pct"/>
            <w:vMerge w:val="continue"/>
            <w:noWrap w:val="0"/>
            <w:vAlign w:val="center"/>
          </w:tcPr>
          <w:p w14:paraId="3742C209">
            <w:pPr>
              <w:jc w:val="center"/>
              <w:rPr>
                <w:rFonts w:hint="default" w:ascii="Times New Roman" w:hAnsi="Times New Roman" w:eastAsia="仿宋" w:cs="Times New Roman"/>
                <w:color w:val="auto"/>
                <w:sz w:val="24"/>
                <w:szCs w:val="22"/>
              </w:rPr>
            </w:pPr>
          </w:p>
        </w:tc>
        <w:tc>
          <w:tcPr>
            <w:tcW w:w="391" w:type="pct"/>
            <w:vMerge w:val="continue"/>
            <w:noWrap w:val="0"/>
            <w:vAlign w:val="center"/>
          </w:tcPr>
          <w:p w14:paraId="5563CF07">
            <w:pPr>
              <w:jc w:val="center"/>
              <w:rPr>
                <w:rFonts w:hint="default" w:ascii="Times New Roman" w:hAnsi="Times New Roman" w:eastAsia="仿宋" w:cs="Times New Roman"/>
                <w:color w:val="auto"/>
                <w:sz w:val="24"/>
                <w:szCs w:val="22"/>
              </w:rPr>
            </w:pPr>
          </w:p>
        </w:tc>
        <w:tc>
          <w:tcPr>
            <w:tcW w:w="1518" w:type="pct"/>
            <w:noWrap w:val="0"/>
            <w:vAlign w:val="center"/>
          </w:tcPr>
          <w:p w14:paraId="2A718846">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 w:cs="Times New Roman"/>
                <w:color w:val="auto"/>
                <w:sz w:val="22"/>
                <w:szCs w:val="28"/>
              </w:rPr>
            </w:pPr>
            <w:r>
              <w:rPr>
                <w:rFonts w:hint="default" w:ascii="Times New Roman" w:hAnsi="Times New Roman" w:eastAsia="仿宋" w:cs="Times New Roman"/>
                <w:color w:val="auto"/>
                <w:sz w:val="22"/>
                <w:szCs w:val="28"/>
              </w:rPr>
              <w:t>产业园区因发生突出生态</w:t>
            </w:r>
          </w:p>
          <w:p w14:paraId="62987484">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2"/>
                <w:szCs w:val="28"/>
              </w:rPr>
              <w:t>环境问题被中央层面约谈、典型案例曝光、区域限批、移交问责等情况或发生重、特大突发环境事件或生态破坏事件。产业园区存在出台“土政策”或以其他方式干扰执法，妨碍生态环境部门依法查处环境违法问题的行为，</w:t>
            </w:r>
            <w:r>
              <w:rPr>
                <w:rFonts w:hint="eastAsia" w:ascii="Times New Roman" w:hAnsi="Times New Roman" w:eastAsia="仿宋" w:cs="Times New Roman"/>
                <w:color w:val="auto"/>
                <w:sz w:val="22"/>
                <w:szCs w:val="28"/>
                <w:lang w:val="en-US" w:eastAsia="zh-CN"/>
              </w:rPr>
              <w:t>且</w:t>
            </w:r>
            <w:r>
              <w:rPr>
                <w:rFonts w:hint="default" w:ascii="Times New Roman" w:hAnsi="Times New Roman" w:eastAsia="仿宋" w:cs="Times New Roman"/>
                <w:color w:val="auto"/>
                <w:sz w:val="22"/>
                <w:szCs w:val="28"/>
              </w:rPr>
              <w:t>情节严重或者造成严重后果。</w:t>
            </w:r>
          </w:p>
        </w:tc>
        <w:tc>
          <w:tcPr>
            <w:tcW w:w="350" w:type="pct"/>
            <w:noWrap w:val="0"/>
            <w:vAlign w:val="center"/>
          </w:tcPr>
          <w:p w14:paraId="4B72E7AE">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2"/>
                <w:szCs w:val="28"/>
              </w:rPr>
              <w:t>直接评 为环保 风险园 区</w:t>
            </w:r>
          </w:p>
        </w:tc>
        <w:tc>
          <w:tcPr>
            <w:tcW w:w="386" w:type="pct"/>
            <w:noWrap w:val="0"/>
            <w:vAlign w:val="center"/>
          </w:tcPr>
          <w:p w14:paraId="315636F8">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3E9E45D8">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本园区不涉及。</w:t>
            </w:r>
          </w:p>
        </w:tc>
      </w:tr>
      <w:tr w14:paraId="386B18C9">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09" w:hRule="atLeast"/>
        </w:trPr>
        <w:tc>
          <w:tcPr>
            <w:tcW w:w="200" w:type="pct"/>
            <w:noWrap w:val="0"/>
            <w:vAlign w:val="center"/>
          </w:tcPr>
          <w:p w14:paraId="349D0B8E">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18</w:t>
            </w:r>
          </w:p>
        </w:tc>
        <w:tc>
          <w:tcPr>
            <w:tcW w:w="449" w:type="pct"/>
            <w:vMerge w:val="restart"/>
            <w:noWrap w:val="0"/>
            <w:vAlign w:val="center"/>
          </w:tcPr>
          <w:p w14:paraId="658B9314">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绿色发展</w:t>
            </w:r>
          </w:p>
        </w:tc>
        <w:tc>
          <w:tcPr>
            <w:tcW w:w="391" w:type="pct"/>
            <w:noWrap w:val="0"/>
            <w:vAlign w:val="center"/>
          </w:tcPr>
          <w:p w14:paraId="676A9236">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污染物减排</w:t>
            </w:r>
          </w:p>
        </w:tc>
        <w:tc>
          <w:tcPr>
            <w:tcW w:w="1518" w:type="pct"/>
            <w:noWrap w:val="0"/>
            <w:vAlign w:val="center"/>
          </w:tcPr>
          <w:p w14:paraId="54B12B37">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2"/>
                <w:szCs w:val="28"/>
              </w:rPr>
              <w:t>产业园区</w:t>
            </w:r>
            <w:r>
              <w:rPr>
                <w:rFonts w:hint="default" w:ascii="Times New Roman" w:hAnsi="Times New Roman" w:eastAsia="仿宋" w:cs="Times New Roman"/>
                <w:color w:val="auto"/>
                <w:sz w:val="22"/>
                <w:szCs w:val="28"/>
                <w:lang w:val="en-US" w:eastAsia="zh-CN"/>
              </w:rPr>
              <w:t>单位GDP</w:t>
            </w:r>
            <w:r>
              <w:rPr>
                <w:rFonts w:hint="default" w:ascii="Times New Roman" w:hAnsi="Times New Roman" w:eastAsia="仿宋" w:cs="Times New Roman"/>
                <w:color w:val="auto"/>
                <w:sz w:val="22"/>
                <w:szCs w:val="28"/>
              </w:rPr>
              <w:t>主要污染物削减率排名前10%。</w:t>
            </w:r>
          </w:p>
        </w:tc>
        <w:tc>
          <w:tcPr>
            <w:tcW w:w="350" w:type="pct"/>
            <w:noWrap w:val="0"/>
            <w:vAlign w:val="center"/>
          </w:tcPr>
          <w:p w14:paraId="0DFB311F">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+1</w:t>
            </w:r>
          </w:p>
        </w:tc>
        <w:tc>
          <w:tcPr>
            <w:tcW w:w="386" w:type="pct"/>
            <w:noWrap w:val="0"/>
            <w:vAlign w:val="center"/>
          </w:tcPr>
          <w:p w14:paraId="59ACBC30">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5F907D97">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本园区不涉及。</w:t>
            </w:r>
          </w:p>
        </w:tc>
      </w:tr>
      <w:tr w14:paraId="65EE815C">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200" w:type="pct"/>
            <w:noWrap w:val="0"/>
            <w:vAlign w:val="center"/>
          </w:tcPr>
          <w:p w14:paraId="75C1FFC6">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19</w:t>
            </w:r>
          </w:p>
        </w:tc>
        <w:tc>
          <w:tcPr>
            <w:tcW w:w="449" w:type="pct"/>
            <w:vMerge w:val="continue"/>
            <w:noWrap w:val="0"/>
            <w:vAlign w:val="center"/>
          </w:tcPr>
          <w:p w14:paraId="5B06EFF5">
            <w:pPr>
              <w:jc w:val="center"/>
              <w:rPr>
                <w:rFonts w:hint="default" w:ascii="Times New Roman" w:hAnsi="Times New Roman" w:eastAsia="仿宋" w:cs="Times New Roman"/>
                <w:color w:val="auto"/>
                <w:sz w:val="24"/>
                <w:szCs w:val="22"/>
              </w:rPr>
            </w:pPr>
          </w:p>
        </w:tc>
        <w:tc>
          <w:tcPr>
            <w:tcW w:w="391" w:type="pct"/>
            <w:noWrap w:val="0"/>
            <w:vAlign w:val="center"/>
          </w:tcPr>
          <w:p w14:paraId="62E85ECA">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创新与示范</w:t>
            </w:r>
          </w:p>
        </w:tc>
        <w:tc>
          <w:tcPr>
            <w:tcW w:w="1518" w:type="pct"/>
            <w:noWrap w:val="0"/>
            <w:vAlign w:val="center"/>
          </w:tcPr>
          <w:p w14:paraId="3710B124">
            <w:pPr>
              <w:jc w:val="both"/>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2"/>
                <w:szCs w:val="28"/>
              </w:rPr>
              <w:t>产业园区在生态环境保护和绿色发展领域获得省部级及以上表彰、推荐推广。</w:t>
            </w:r>
          </w:p>
        </w:tc>
        <w:tc>
          <w:tcPr>
            <w:tcW w:w="350" w:type="pct"/>
            <w:noWrap w:val="0"/>
            <w:vAlign w:val="center"/>
          </w:tcPr>
          <w:p w14:paraId="0FFA9A58">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+2</w:t>
            </w:r>
          </w:p>
        </w:tc>
        <w:tc>
          <w:tcPr>
            <w:tcW w:w="386" w:type="pct"/>
            <w:noWrap w:val="0"/>
            <w:vAlign w:val="center"/>
          </w:tcPr>
          <w:p w14:paraId="6F0F6417">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3CEEC46C">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本园区不涉及。</w:t>
            </w:r>
          </w:p>
        </w:tc>
      </w:tr>
      <w:tr w14:paraId="626F8948">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08" w:hRule="atLeast"/>
        </w:trPr>
        <w:tc>
          <w:tcPr>
            <w:tcW w:w="200" w:type="pct"/>
            <w:noWrap w:val="0"/>
            <w:vAlign w:val="center"/>
          </w:tcPr>
          <w:p w14:paraId="0451E96D">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20</w:t>
            </w:r>
          </w:p>
        </w:tc>
        <w:tc>
          <w:tcPr>
            <w:tcW w:w="449" w:type="pct"/>
            <w:noWrap w:val="0"/>
            <w:vAlign w:val="center"/>
          </w:tcPr>
          <w:p w14:paraId="7ACF316E">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2"/>
                <w:szCs w:val="28"/>
              </w:rPr>
              <w:t>公众参与</w:t>
            </w:r>
          </w:p>
        </w:tc>
        <w:tc>
          <w:tcPr>
            <w:tcW w:w="391" w:type="pct"/>
            <w:noWrap w:val="0"/>
            <w:vAlign w:val="center"/>
          </w:tcPr>
          <w:p w14:paraId="2EEE9913">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2"/>
                <w:szCs w:val="28"/>
              </w:rPr>
              <w:t>舆情与投诉</w:t>
            </w:r>
          </w:p>
        </w:tc>
        <w:tc>
          <w:tcPr>
            <w:tcW w:w="1518" w:type="pct"/>
            <w:noWrap w:val="0"/>
            <w:vAlign w:val="center"/>
          </w:tcPr>
          <w:p w14:paraId="4B3F773F">
            <w:pPr>
              <w:jc w:val="both"/>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2"/>
                <w:szCs w:val="28"/>
              </w:rPr>
              <w:t>产业园区因环境问题引发集中或长时间信 访、投诉、上访，引发负面舆情。</w:t>
            </w:r>
          </w:p>
        </w:tc>
        <w:tc>
          <w:tcPr>
            <w:tcW w:w="350" w:type="pct"/>
            <w:noWrap w:val="0"/>
            <w:vAlign w:val="center"/>
          </w:tcPr>
          <w:p w14:paraId="30195BE2">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-1</w:t>
            </w:r>
          </w:p>
        </w:tc>
        <w:tc>
          <w:tcPr>
            <w:tcW w:w="386" w:type="pct"/>
            <w:noWrap w:val="0"/>
            <w:vAlign w:val="center"/>
          </w:tcPr>
          <w:p w14:paraId="57C17544">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3EF8CD1F">
            <w:pPr>
              <w:jc w:val="center"/>
              <w:rPr>
                <w:rFonts w:hint="eastAsia" w:ascii="Times New Roman" w:hAnsi="Times New Roman" w:eastAsia="仿宋" w:cs="Times New Roman"/>
                <w:color w:val="auto"/>
                <w:sz w:val="24"/>
                <w:szCs w:val="22"/>
                <w:lang w:eastAsia="zh-CN"/>
              </w:rPr>
            </w:pPr>
            <w:r>
              <w:rPr>
                <w:rFonts w:hint="default" w:ascii="Times New Roman" w:hAnsi="Times New Roman" w:eastAsia="仿宋" w:cs="Times New Roman"/>
                <w:color w:val="auto"/>
                <w:sz w:val="24"/>
                <w:szCs w:val="22"/>
              </w:rPr>
              <w:t>202</w:t>
            </w:r>
            <w:r>
              <w:rPr>
                <w:rFonts w:hint="eastAsia" w:ascii="Times New Roman" w:hAnsi="Times New Roman" w:eastAsia="仿宋" w:cs="Times New Roman"/>
                <w:color w:val="auto"/>
                <w:sz w:val="24"/>
                <w:szCs w:val="22"/>
                <w:lang w:val="en-US" w:eastAsia="zh-CN"/>
              </w:rPr>
              <w:t>5</w:t>
            </w:r>
            <w:r>
              <w:rPr>
                <w:rFonts w:hint="default" w:ascii="Times New Roman" w:hAnsi="Times New Roman" w:eastAsia="仿宋" w:cs="Times New Roman"/>
                <w:color w:val="auto"/>
                <w:sz w:val="24"/>
                <w:szCs w:val="22"/>
              </w:rPr>
              <w:t>年度，园区未收到各级环保投诉</w:t>
            </w:r>
            <w:r>
              <w:rPr>
                <w:rFonts w:hint="eastAsia" w:ascii="Times New Roman" w:hAnsi="Times New Roman" w:eastAsia="仿宋" w:cs="Times New Roman"/>
                <w:color w:val="auto"/>
                <w:sz w:val="24"/>
                <w:szCs w:val="22"/>
                <w:lang w:eastAsia="zh-CN"/>
              </w:rPr>
              <w:t>。</w:t>
            </w:r>
          </w:p>
        </w:tc>
      </w:tr>
      <w:tr w14:paraId="5715FB54">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430" w:hRule="atLeast"/>
        </w:trPr>
        <w:tc>
          <w:tcPr>
            <w:tcW w:w="200" w:type="pct"/>
            <w:noWrap w:val="0"/>
            <w:vAlign w:val="center"/>
          </w:tcPr>
          <w:p w14:paraId="02D51046">
            <w:pPr>
              <w:jc w:val="center"/>
              <w:rPr>
                <w:rFonts w:hint="default" w:ascii="Times New Roman" w:hAnsi="Times New Roman" w:eastAsia="仿宋" w:cs="Times New Roman"/>
                <w:color w:val="auto"/>
                <w:sz w:val="24"/>
                <w:szCs w:val="22"/>
                <w:lang w:eastAsia="zh-CN"/>
              </w:rPr>
            </w:pPr>
            <w:r>
              <w:rPr>
                <w:rFonts w:hint="default" w:ascii="Times New Roman" w:hAnsi="Times New Roman" w:eastAsia="仿宋" w:cs="Times New Roman"/>
                <w:color w:val="auto"/>
                <w:sz w:val="24"/>
                <w:szCs w:val="22"/>
              </w:rPr>
              <w:t>2</w:t>
            </w:r>
            <w:r>
              <w:rPr>
                <w:rFonts w:hint="default" w:ascii="Times New Roman" w:hAnsi="Times New Roman" w:eastAsia="仿宋" w:cs="Times New Roman"/>
                <w:color w:val="auto"/>
                <w:sz w:val="24"/>
                <w:szCs w:val="22"/>
                <w:lang w:val="en-US" w:eastAsia="zh-CN"/>
              </w:rPr>
              <w:t>1</w:t>
            </w:r>
          </w:p>
        </w:tc>
        <w:tc>
          <w:tcPr>
            <w:tcW w:w="449" w:type="pct"/>
            <w:vMerge w:val="restart"/>
            <w:noWrap w:val="0"/>
            <w:vAlign w:val="center"/>
          </w:tcPr>
          <w:p w14:paraId="437591BF">
            <w:pPr>
              <w:jc w:val="center"/>
              <w:rPr>
                <w:rFonts w:hint="default" w:ascii="Times New Roman" w:hAnsi="Times New Roman" w:eastAsia="仿宋" w:cs="Times New Roman"/>
                <w:color w:val="auto"/>
                <w:sz w:val="22"/>
                <w:szCs w:val="28"/>
              </w:rPr>
            </w:pPr>
            <w:r>
              <w:rPr>
                <w:rFonts w:hint="default" w:ascii="Times New Roman" w:hAnsi="Times New Roman" w:eastAsia="仿宋" w:cs="Times New Roman"/>
                <w:color w:val="auto"/>
                <w:sz w:val="22"/>
                <w:szCs w:val="28"/>
              </w:rPr>
              <w:t>其他</w:t>
            </w:r>
          </w:p>
        </w:tc>
        <w:tc>
          <w:tcPr>
            <w:tcW w:w="391" w:type="pct"/>
            <w:vMerge w:val="restart"/>
            <w:noWrap w:val="0"/>
            <w:vAlign w:val="center"/>
          </w:tcPr>
          <w:p w14:paraId="2EBF0611">
            <w:pPr>
              <w:jc w:val="center"/>
              <w:rPr>
                <w:rFonts w:hint="default" w:ascii="Times New Roman" w:hAnsi="Times New Roman" w:eastAsia="仿宋" w:cs="Times New Roman"/>
                <w:color w:val="auto"/>
                <w:sz w:val="22"/>
                <w:szCs w:val="28"/>
              </w:rPr>
            </w:pPr>
            <w:r>
              <w:rPr>
                <w:rFonts w:hint="default" w:ascii="Times New Roman" w:hAnsi="Times New Roman" w:eastAsia="仿宋" w:cs="Times New Roman"/>
                <w:color w:val="auto"/>
                <w:sz w:val="22"/>
                <w:szCs w:val="28"/>
              </w:rPr>
              <w:t>/</w:t>
            </w:r>
          </w:p>
        </w:tc>
        <w:tc>
          <w:tcPr>
            <w:tcW w:w="1518" w:type="pct"/>
            <w:noWrap w:val="0"/>
            <w:vAlign w:val="center"/>
          </w:tcPr>
          <w:p w14:paraId="3DC3155E">
            <w:pPr>
              <w:jc w:val="center"/>
              <w:rPr>
                <w:rFonts w:hint="default" w:ascii="Times New Roman" w:hAnsi="Times New Roman" w:eastAsia="仿宋" w:cs="Times New Roman"/>
                <w:color w:val="auto"/>
                <w:sz w:val="22"/>
                <w:szCs w:val="28"/>
              </w:rPr>
            </w:pPr>
            <w:r>
              <w:rPr>
                <w:rFonts w:hint="default" w:ascii="Times New Roman" w:hAnsi="Times New Roman" w:eastAsia="仿宋" w:cs="Times New Roman"/>
                <w:color w:val="auto"/>
                <w:sz w:val="22"/>
                <w:szCs w:val="28"/>
              </w:rPr>
              <w:t>产业园区未按要求完成省生态环境厅其他年度任务。</w:t>
            </w:r>
          </w:p>
        </w:tc>
        <w:tc>
          <w:tcPr>
            <w:tcW w:w="350" w:type="pct"/>
            <w:noWrap w:val="0"/>
            <w:vAlign w:val="center"/>
          </w:tcPr>
          <w:p w14:paraId="47F50AC0">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-1</w:t>
            </w:r>
          </w:p>
        </w:tc>
        <w:tc>
          <w:tcPr>
            <w:tcW w:w="386" w:type="pct"/>
            <w:noWrap w:val="0"/>
            <w:vAlign w:val="center"/>
          </w:tcPr>
          <w:p w14:paraId="76D81ACB">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42A448BD">
            <w:pPr>
              <w:jc w:val="center"/>
              <w:rPr>
                <w:rFonts w:hint="default" w:ascii="Times New Roman" w:hAnsi="Times New Roman" w:eastAsia="仿宋" w:cs="Times New Roman"/>
                <w:color w:val="auto"/>
                <w:sz w:val="24"/>
                <w:szCs w:val="22"/>
              </w:rPr>
            </w:pPr>
            <w:r>
              <w:rPr>
                <w:rFonts w:hint="eastAsia" w:ascii="Times New Roman" w:hAnsi="Times New Roman" w:eastAsia="仿宋" w:cs="Times New Roman"/>
                <w:color w:val="auto"/>
                <w:sz w:val="24"/>
                <w:szCs w:val="22"/>
                <w:lang w:val="en-US" w:eastAsia="zh-CN"/>
              </w:rPr>
              <w:t>园区</w:t>
            </w:r>
            <w:r>
              <w:rPr>
                <w:rFonts w:hint="default" w:ascii="Times New Roman" w:hAnsi="Times New Roman" w:eastAsia="仿宋" w:cs="Times New Roman"/>
                <w:color w:val="auto"/>
                <w:sz w:val="24"/>
                <w:szCs w:val="22"/>
              </w:rPr>
              <w:t>202</w:t>
            </w:r>
            <w:r>
              <w:rPr>
                <w:rFonts w:hint="eastAsia" w:ascii="Times New Roman" w:hAnsi="Times New Roman" w:eastAsia="仿宋" w:cs="Times New Roman"/>
                <w:color w:val="auto"/>
                <w:sz w:val="24"/>
                <w:szCs w:val="22"/>
                <w:lang w:val="en-US" w:eastAsia="zh-CN"/>
              </w:rPr>
              <w:t>5</w:t>
            </w:r>
            <w:r>
              <w:rPr>
                <w:rFonts w:hint="default" w:ascii="Times New Roman" w:hAnsi="Times New Roman" w:eastAsia="仿宋" w:cs="Times New Roman"/>
                <w:color w:val="auto"/>
                <w:sz w:val="24"/>
                <w:szCs w:val="22"/>
              </w:rPr>
              <w:t>年</w:t>
            </w:r>
            <w:r>
              <w:rPr>
                <w:rFonts w:hint="default" w:ascii="Times New Roman" w:hAnsi="Times New Roman" w:eastAsia="仿宋" w:cs="Times New Roman"/>
                <w:color w:val="auto"/>
                <w:sz w:val="24"/>
                <w:szCs w:val="22"/>
                <w:lang w:val="en-US" w:eastAsia="zh-CN"/>
              </w:rPr>
              <w:t>度，园区内仅有园区污水处理厂纳入企事业单位环境污染强制责任保险投保范围名单，园区污水处理厂已完成投保</w:t>
            </w:r>
            <w:r>
              <w:rPr>
                <w:rFonts w:hint="eastAsia" w:ascii="Times New Roman" w:hAnsi="Times New Roman" w:eastAsia="仿宋" w:cs="Times New Roman"/>
                <w:color w:val="auto"/>
                <w:sz w:val="24"/>
                <w:szCs w:val="22"/>
                <w:lang w:val="en-US" w:eastAsia="zh-CN"/>
              </w:rPr>
              <w:t>。</w:t>
            </w:r>
          </w:p>
        </w:tc>
      </w:tr>
      <w:tr w14:paraId="1132F478">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66" w:hRule="atLeast"/>
        </w:trPr>
        <w:tc>
          <w:tcPr>
            <w:tcW w:w="200" w:type="pct"/>
            <w:noWrap w:val="0"/>
            <w:vAlign w:val="center"/>
          </w:tcPr>
          <w:p w14:paraId="6D87591E">
            <w:pPr>
              <w:jc w:val="center"/>
              <w:rPr>
                <w:rFonts w:hint="default" w:ascii="Times New Roman" w:hAnsi="Times New Roman" w:eastAsia="仿宋" w:cs="Times New Roman"/>
                <w:color w:val="auto"/>
                <w:sz w:val="24"/>
                <w:szCs w:val="22"/>
                <w:lang w:eastAsia="zh-CN"/>
              </w:rPr>
            </w:pPr>
            <w:r>
              <w:rPr>
                <w:rFonts w:hint="default" w:ascii="Times New Roman" w:hAnsi="Times New Roman" w:eastAsia="仿宋" w:cs="Times New Roman"/>
                <w:color w:val="auto"/>
                <w:sz w:val="24"/>
                <w:szCs w:val="22"/>
              </w:rPr>
              <w:t>2</w:t>
            </w:r>
            <w:r>
              <w:rPr>
                <w:rFonts w:hint="default" w:ascii="Times New Roman" w:hAnsi="Times New Roman" w:eastAsia="仿宋" w:cs="Times New Roman"/>
                <w:color w:val="auto"/>
                <w:sz w:val="24"/>
                <w:szCs w:val="22"/>
                <w:lang w:val="en-US" w:eastAsia="zh-CN"/>
              </w:rPr>
              <w:t>2</w:t>
            </w:r>
          </w:p>
        </w:tc>
        <w:tc>
          <w:tcPr>
            <w:tcW w:w="449" w:type="pct"/>
            <w:vMerge w:val="continue"/>
            <w:noWrap w:val="0"/>
            <w:vAlign w:val="center"/>
          </w:tcPr>
          <w:p w14:paraId="67867D22">
            <w:pPr>
              <w:jc w:val="center"/>
              <w:rPr>
                <w:rFonts w:hint="default" w:ascii="Times New Roman" w:hAnsi="Times New Roman" w:eastAsia="仿宋" w:cs="Times New Roman"/>
                <w:color w:val="auto"/>
                <w:sz w:val="22"/>
                <w:szCs w:val="28"/>
              </w:rPr>
            </w:pPr>
          </w:p>
        </w:tc>
        <w:tc>
          <w:tcPr>
            <w:tcW w:w="391" w:type="pct"/>
            <w:vMerge w:val="continue"/>
            <w:noWrap w:val="0"/>
            <w:vAlign w:val="center"/>
          </w:tcPr>
          <w:p w14:paraId="423C6C34">
            <w:pPr>
              <w:jc w:val="center"/>
              <w:rPr>
                <w:rFonts w:hint="default" w:ascii="Times New Roman" w:hAnsi="Times New Roman" w:eastAsia="仿宋" w:cs="Times New Roman"/>
                <w:color w:val="auto"/>
                <w:sz w:val="22"/>
                <w:szCs w:val="28"/>
              </w:rPr>
            </w:pPr>
          </w:p>
        </w:tc>
        <w:tc>
          <w:tcPr>
            <w:tcW w:w="1518" w:type="pct"/>
            <w:noWrap w:val="0"/>
            <w:vAlign w:val="center"/>
          </w:tcPr>
          <w:p w14:paraId="3EAE9449">
            <w:pPr>
              <w:jc w:val="center"/>
              <w:rPr>
                <w:rFonts w:hint="default" w:ascii="Times New Roman" w:hAnsi="Times New Roman" w:eastAsia="仿宋" w:cs="Times New Roman"/>
                <w:color w:val="auto"/>
                <w:sz w:val="22"/>
                <w:szCs w:val="28"/>
              </w:rPr>
            </w:pPr>
            <w:r>
              <w:rPr>
                <w:rFonts w:hint="default" w:ascii="Times New Roman" w:hAnsi="Times New Roman" w:eastAsia="仿宋" w:cs="Times New Roman"/>
                <w:color w:val="auto"/>
                <w:sz w:val="22"/>
                <w:szCs w:val="28"/>
              </w:rPr>
              <w:t>产业园区存在出台“土政策”或以其他方式干扰执法，妨碍生态环境部门依法查处环境违法问题的行为。</w:t>
            </w:r>
          </w:p>
        </w:tc>
        <w:tc>
          <w:tcPr>
            <w:tcW w:w="350" w:type="pct"/>
            <w:noWrap w:val="0"/>
            <w:vAlign w:val="center"/>
          </w:tcPr>
          <w:p w14:paraId="33CC2E33">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-1</w:t>
            </w:r>
          </w:p>
        </w:tc>
        <w:tc>
          <w:tcPr>
            <w:tcW w:w="386" w:type="pct"/>
            <w:noWrap w:val="0"/>
            <w:vAlign w:val="center"/>
          </w:tcPr>
          <w:p w14:paraId="65B7160D">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3B56D499">
            <w:pPr>
              <w:jc w:val="center"/>
              <w:rPr>
                <w:rFonts w:hint="eastAsia" w:ascii="Times New Roman" w:hAnsi="Times New Roman" w:eastAsia="仿宋" w:cs="Times New Roman"/>
                <w:color w:val="auto"/>
                <w:sz w:val="24"/>
                <w:szCs w:val="22"/>
                <w:lang w:val="en-US" w:eastAsia="zh-CN"/>
              </w:rPr>
            </w:pPr>
            <w:r>
              <w:rPr>
                <w:rFonts w:hint="default" w:ascii="Times New Roman" w:hAnsi="Times New Roman" w:eastAsia="仿宋" w:cs="Times New Roman"/>
                <w:color w:val="auto"/>
                <w:sz w:val="24"/>
                <w:szCs w:val="22"/>
              </w:rPr>
              <w:t>本产业园区未出现这类情况</w:t>
            </w:r>
            <w:r>
              <w:rPr>
                <w:rFonts w:hint="eastAsia" w:ascii="Times New Roman" w:hAnsi="Times New Roman" w:eastAsia="仿宋" w:cs="Times New Roman"/>
                <w:color w:val="auto"/>
                <w:sz w:val="24"/>
                <w:szCs w:val="22"/>
                <w:lang w:eastAsia="zh-CN"/>
              </w:rPr>
              <w:t>。</w:t>
            </w:r>
          </w:p>
        </w:tc>
      </w:tr>
      <w:tr w14:paraId="09F27086">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8" w:hRule="atLeast"/>
        </w:trPr>
        <w:tc>
          <w:tcPr>
            <w:tcW w:w="200" w:type="pct"/>
            <w:noWrap w:val="0"/>
            <w:vAlign w:val="center"/>
          </w:tcPr>
          <w:p w14:paraId="0659CAC2">
            <w:pPr>
              <w:jc w:val="center"/>
              <w:rPr>
                <w:rFonts w:hint="default" w:ascii="Times New Roman" w:hAnsi="Times New Roman" w:eastAsia="仿宋" w:cs="Times New Roman"/>
                <w:color w:val="auto"/>
                <w:sz w:val="24"/>
                <w:szCs w:val="22"/>
                <w:lang w:eastAsia="zh-CN"/>
              </w:rPr>
            </w:pPr>
            <w:r>
              <w:rPr>
                <w:rFonts w:hint="default" w:ascii="Times New Roman" w:hAnsi="Times New Roman" w:eastAsia="仿宋" w:cs="Times New Roman"/>
                <w:color w:val="auto"/>
                <w:sz w:val="24"/>
                <w:szCs w:val="22"/>
              </w:rPr>
              <w:t>2</w:t>
            </w:r>
            <w:r>
              <w:rPr>
                <w:rFonts w:hint="default" w:ascii="Times New Roman" w:hAnsi="Times New Roman" w:eastAsia="仿宋" w:cs="Times New Roman"/>
                <w:color w:val="auto"/>
                <w:sz w:val="24"/>
                <w:szCs w:val="22"/>
                <w:lang w:val="en-US" w:eastAsia="zh-CN"/>
              </w:rPr>
              <w:t>3</w:t>
            </w:r>
          </w:p>
        </w:tc>
        <w:tc>
          <w:tcPr>
            <w:tcW w:w="449" w:type="pct"/>
            <w:vMerge w:val="continue"/>
            <w:noWrap w:val="0"/>
            <w:vAlign w:val="center"/>
          </w:tcPr>
          <w:p w14:paraId="18689F6C">
            <w:pPr>
              <w:jc w:val="center"/>
              <w:rPr>
                <w:rFonts w:hint="default" w:ascii="Times New Roman" w:hAnsi="Times New Roman" w:eastAsia="仿宋" w:cs="Times New Roman"/>
                <w:color w:val="auto"/>
                <w:sz w:val="22"/>
                <w:szCs w:val="28"/>
              </w:rPr>
            </w:pPr>
          </w:p>
        </w:tc>
        <w:tc>
          <w:tcPr>
            <w:tcW w:w="391" w:type="pct"/>
            <w:vMerge w:val="continue"/>
            <w:noWrap w:val="0"/>
            <w:vAlign w:val="center"/>
          </w:tcPr>
          <w:p w14:paraId="52138485">
            <w:pPr>
              <w:jc w:val="center"/>
              <w:rPr>
                <w:rFonts w:hint="default" w:ascii="Times New Roman" w:hAnsi="Times New Roman" w:eastAsia="仿宋" w:cs="Times New Roman"/>
                <w:color w:val="auto"/>
                <w:sz w:val="22"/>
                <w:szCs w:val="28"/>
              </w:rPr>
            </w:pPr>
          </w:p>
        </w:tc>
        <w:tc>
          <w:tcPr>
            <w:tcW w:w="1518" w:type="pct"/>
            <w:noWrap w:val="0"/>
            <w:vAlign w:val="center"/>
          </w:tcPr>
          <w:p w14:paraId="65738175">
            <w:pPr>
              <w:jc w:val="center"/>
              <w:rPr>
                <w:rFonts w:hint="default" w:ascii="Times New Roman" w:hAnsi="Times New Roman" w:eastAsia="仿宋" w:cs="Times New Roman"/>
                <w:color w:val="auto"/>
                <w:sz w:val="22"/>
                <w:szCs w:val="28"/>
              </w:rPr>
            </w:pPr>
            <w:r>
              <w:rPr>
                <w:rFonts w:hint="default" w:ascii="Times New Roman" w:hAnsi="Times New Roman" w:eastAsia="仿宋" w:cs="Times New Roman"/>
                <w:color w:val="auto"/>
                <w:sz w:val="22"/>
                <w:szCs w:val="28"/>
              </w:rPr>
              <w:t>产业园区连续两年被评为环保诚信园区。</w:t>
            </w:r>
          </w:p>
        </w:tc>
        <w:tc>
          <w:tcPr>
            <w:tcW w:w="350" w:type="pct"/>
            <w:noWrap w:val="0"/>
            <w:vAlign w:val="center"/>
          </w:tcPr>
          <w:p w14:paraId="19F18ED9">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+1</w:t>
            </w:r>
          </w:p>
        </w:tc>
        <w:tc>
          <w:tcPr>
            <w:tcW w:w="386" w:type="pct"/>
            <w:noWrap w:val="0"/>
            <w:vAlign w:val="center"/>
          </w:tcPr>
          <w:p w14:paraId="63D2F697">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w:t>
            </w:r>
          </w:p>
        </w:tc>
        <w:tc>
          <w:tcPr>
            <w:tcW w:w="1703" w:type="pct"/>
            <w:noWrap w:val="0"/>
            <w:vAlign w:val="center"/>
          </w:tcPr>
          <w:p w14:paraId="04B75164">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lang w:val="en-US" w:eastAsia="zh-CN"/>
              </w:rPr>
              <w:t>怀化高新技术产业开发区鹤城片区连续两年被评为环保合格园区</w:t>
            </w:r>
            <w:r>
              <w:rPr>
                <w:rFonts w:hint="eastAsia" w:ascii="Times New Roman" w:hAnsi="Times New Roman" w:eastAsia="仿宋" w:cs="Times New Roman"/>
                <w:color w:val="auto"/>
                <w:sz w:val="24"/>
                <w:szCs w:val="22"/>
                <w:lang w:val="en-US" w:eastAsia="zh-CN"/>
              </w:rPr>
              <w:t>。</w:t>
            </w:r>
          </w:p>
        </w:tc>
      </w:tr>
      <w:tr w14:paraId="400EFC8C">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1041" w:type="pct"/>
            <w:gridSpan w:val="3"/>
            <w:noWrap w:val="0"/>
            <w:vAlign w:val="center"/>
          </w:tcPr>
          <w:p w14:paraId="49269F95">
            <w:pPr>
              <w:jc w:val="center"/>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sz w:val="24"/>
                <w:szCs w:val="22"/>
              </w:rPr>
              <w:t>园区得分</w:t>
            </w:r>
          </w:p>
        </w:tc>
        <w:tc>
          <w:tcPr>
            <w:tcW w:w="1518" w:type="pct"/>
            <w:noWrap w:val="0"/>
            <w:vAlign w:val="center"/>
          </w:tcPr>
          <w:p w14:paraId="6D13251C">
            <w:pPr>
              <w:jc w:val="center"/>
              <w:rPr>
                <w:rFonts w:hint="default" w:ascii="Times New Roman" w:hAnsi="Times New Roman" w:eastAsia="仿宋" w:cs="Times New Roman"/>
                <w:color w:val="auto"/>
                <w:sz w:val="24"/>
                <w:szCs w:val="22"/>
              </w:rPr>
            </w:pPr>
          </w:p>
        </w:tc>
        <w:tc>
          <w:tcPr>
            <w:tcW w:w="736" w:type="pct"/>
            <w:gridSpan w:val="2"/>
            <w:noWrap w:val="0"/>
            <w:vAlign w:val="center"/>
          </w:tcPr>
          <w:p w14:paraId="4BE90A6B">
            <w:pPr>
              <w:jc w:val="center"/>
              <w:rPr>
                <w:rFonts w:hint="default" w:ascii="Times New Roman" w:hAnsi="Times New Roman" w:eastAsia="仿宋" w:cs="Times New Roman"/>
                <w:color w:val="auto"/>
                <w:sz w:val="24"/>
                <w:szCs w:val="22"/>
                <w:lang w:val="en-US" w:eastAsia="zh-CN"/>
              </w:rPr>
            </w:pPr>
            <w:r>
              <w:rPr>
                <w:rFonts w:hint="eastAsia" w:ascii="Times New Roman" w:hAnsi="Times New Roman" w:eastAsia="仿宋" w:cs="Times New Roman"/>
                <w:color w:val="auto"/>
                <w:sz w:val="24"/>
                <w:szCs w:val="22"/>
                <w:lang w:val="en-US" w:eastAsia="zh-CN"/>
              </w:rPr>
              <w:t>10</w:t>
            </w:r>
          </w:p>
        </w:tc>
        <w:tc>
          <w:tcPr>
            <w:tcW w:w="1703" w:type="pct"/>
            <w:noWrap w:val="0"/>
            <w:vAlign w:val="center"/>
          </w:tcPr>
          <w:p w14:paraId="7FA676D2">
            <w:pPr>
              <w:jc w:val="center"/>
              <w:rPr>
                <w:rFonts w:hint="default" w:ascii="Times New Roman" w:hAnsi="Times New Roman" w:eastAsia="仿宋" w:cs="Times New Roman"/>
                <w:color w:val="auto"/>
                <w:sz w:val="24"/>
                <w:szCs w:val="22"/>
              </w:rPr>
            </w:pPr>
          </w:p>
        </w:tc>
      </w:tr>
      <w:tr w14:paraId="34DD1F26">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128" w:hRule="atLeast"/>
        </w:trPr>
        <w:tc>
          <w:tcPr>
            <w:tcW w:w="5000" w:type="pct"/>
            <w:gridSpan w:val="7"/>
            <w:noWrap w:val="0"/>
            <w:vAlign w:val="center"/>
          </w:tcPr>
          <w:p w14:paraId="6EC6F911">
            <w:pPr>
              <w:jc w:val="left"/>
              <w:rPr>
                <w:rFonts w:hint="default" w:ascii="Times New Roman" w:hAnsi="Times New Roman" w:eastAsia="仿宋" w:cs="Times New Roman"/>
                <w:color w:val="auto"/>
                <w:kern w:val="0"/>
                <w:sz w:val="24"/>
                <w:szCs w:val="22"/>
              </w:rPr>
            </w:pPr>
            <w:r>
              <w:rPr>
                <w:rFonts w:hint="default" w:ascii="Times New Roman" w:hAnsi="Times New Roman" w:eastAsia="仿宋" w:cs="Times New Roman"/>
                <w:color w:val="auto"/>
                <w:kern w:val="0"/>
                <w:sz w:val="24"/>
                <w:szCs w:val="22"/>
              </w:rPr>
              <w:t>说明：</w:t>
            </w:r>
          </w:p>
          <w:p w14:paraId="71996B44">
            <w:pPr>
              <w:jc w:val="left"/>
              <w:rPr>
                <w:rFonts w:hint="default" w:ascii="Times New Roman" w:hAnsi="Times New Roman" w:eastAsia="仿宋" w:cs="Times New Roman"/>
                <w:color w:val="auto"/>
                <w:kern w:val="0"/>
                <w:sz w:val="24"/>
                <w:szCs w:val="22"/>
              </w:rPr>
            </w:pPr>
            <w:r>
              <w:rPr>
                <w:rFonts w:hint="default" w:ascii="Times New Roman" w:hAnsi="Times New Roman" w:eastAsia="仿宋" w:cs="Times New Roman"/>
                <w:color w:val="auto"/>
                <w:kern w:val="0"/>
                <w:sz w:val="24"/>
                <w:szCs w:val="22"/>
              </w:rPr>
              <w:t>一、初始分值为9分，满分12分。</w:t>
            </w:r>
          </w:p>
          <w:p w14:paraId="132D35A7">
            <w:pPr>
              <w:jc w:val="left"/>
              <w:rPr>
                <w:rFonts w:hint="default" w:ascii="Times New Roman" w:hAnsi="Times New Roman" w:eastAsia="仿宋" w:cs="Times New Roman"/>
                <w:color w:val="auto"/>
                <w:sz w:val="24"/>
                <w:szCs w:val="22"/>
              </w:rPr>
            </w:pPr>
            <w:r>
              <w:rPr>
                <w:rFonts w:hint="default" w:ascii="Times New Roman" w:hAnsi="Times New Roman" w:eastAsia="仿宋" w:cs="Times New Roman"/>
                <w:color w:val="auto"/>
                <w:kern w:val="0"/>
                <w:sz w:val="24"/>
                <w:szCs w:val="22"/>
              </w:rPr>
              <w:t>二、产业园区未及时按照要求上报自查报告，直接评定为环保风险园区。若自查报告中未上报某项指标内容的，此项指标按最高分进行扣分。</w:t>
            </w:r>
          </w:p>
        </w:tc>
      </w:tr>
    </w:tbl>
    <w:p w14:paraId="73633F71">
      <w:pPr>
        <w:keepNext w:val="0"/>
        <w:keepLines w:val="0"/>
        <w:pageBreakBefore w:val="0"/>
        <w:kinsoku/>
        <w:wordWrap/>
        <w:overflowPunct/>
        <w:topLinePunct w:val="0"/>
        <w:autoSpaceDE/>
        <w:autoSpaceDN/>
        <w:bidi w:val="0"/>
        <w:adjustRightInd/>
        <w:snapToGrid/>
        <w:spacing w:line="360" w:lineRule="auto"/>
        <w:textAlignment w:val="auto"/>
        <w:outlineLvl w:val="0"/>
        <w:rPr>
          <w:rFonts w:hint="default" w:ascii="Times New Roman" w:hAnsi="Times New Roman" w:eastAsia="仿宋" w:cs="Times New Roman"/>
          <w:b/>
          <w:color w:val="auto"/>
          <w:sz w:val="32"/>
          <w:szCs w:val="28"/>
        </w:rPr>
      </w:pPr>
      <w:bookmarkStart w:id="12" w:name="_Toc13136"/>
      <w:r>
        <w:rPr>
          <w:rFonts w:hint="default" w:ascii="Times New Roman" w:hAnsi="Times New Roman" w:eastAsia="仿宋" w:cs="Times New Roman"/>
          <w:b/>
          <w:color w:val="auto"/>
          <w:sz w:val="32"/>
          <w:szCs w:val="28"/>
        </w:rPr>
        <w:t>三、园区环保工作成效、主要措施做法</w:t>
      </w:r>
      <w:bookmarkEnd w:id="12"/>
    </w:p>
    <w:p w14:paraId="36396AD4">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562" w:firstLineChars="200"/>
        <w:textAlignment w:val="auto"/>
        <w:outlineLvl w:val="1"/>
        <w:rPr>
          <w:rFonts w:hint="default" w:ascii="Times New Roman" w:hAnsi="Times New Roman" w:eastAsia="仿宋" w:cs="Times New Roman"/>
          <w:b/>
          <w:color w:val="auto"/>
          <w:sz w:val="28"/>
          <w:szCs w:val="28"/>
          <w:lang w:val="en-US" w:eastAsia="zh-CN"/>
        </w:rPr>
      </w:pPr>
      <w:bookmarkStart w:id="13" w:name="_Toc18316"/>
      <w:r>
        <w:rPr>
          <w:rFonts w:hint="default" w:ascii="Times New Roman" w:hAnsi="Times New Roman" w:eastAsia="仿宋" w:cs="Times New Roman"/>
          <w:b/>
          <w:color w:val="auto"/>
          <w:sz w:val="28"/>
          <w:szCs w:val="28"/>
        </w:rPr>
        <w:t>（一）</w:t>
      </w:r>
      <w:r>
        <w:rPr>
          <w:rFonts w:hint="default" w:ascii="Times New Roman" w:hAnsi="Times New Roman" w:eastAsia="仿宋" w:cs="Times New Roman"/>
          <w:b/>
          <w:color w:val="auto"/>
          <w:sz w:val="28"/>
          <w:szCs w:val="28"/>
          <w:lang w:val="en-US" w:eastAsia="zh-CN"/>
        </w:rPr>
        <w:t>完成“三线一单”动态更新</w:t>
      </w:r>
      <w:bookmarkEnd w:id="13"/>
    </w:p>
    <w:p w14:paraId="0A53DF0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auto"/>
          <w:kern w:val="0"/>
          <w:sz w:val="28"/>
          <w:szCs w:val="28"/>
          <w:lang w:val="en-US" w:eastAsia="zh-CN" w:bidi="ar-SA"/>
        </w:rPr>
      </w:pPr>
      <w:r>
        <w:rPr>
          <w:rFonts w:hint="default" w:ascii="Times New Roman" w:hAnsi="Times New Roman" w:eastAsia="仿宋" w:cs="Times New Roman"/>
          <w:color w:val="auto"/>
          <w:kern w:val="0"/>
          <w:sz w:val="28"/>
          <w:szCs w:val="28"/>
          <w:lang w:val="en-US" w:eastAsia="zh-CN" w:bidi="ar-SA"/>
        </w:rPr>
        <w:t>根据湖南省生态环境保护委员会办公室关于印发《湖南省2023 年生态环境分区管控成果动态更新工作方案》的通知要求，结合怀化市“三区三线”划定成果、国土空间规划、“十四五”生态环境保护相关规划等关于生态保护红线、环境质量底线、资源利用上线的最新要求，对园区生态环境准入清单进行动态更新，通过多轮省级以上产业园区生态环境准入清单”动态更新技术评审会，最终</w:t>
      </w:r>
      <w:r>
        <w:rPr>
          <w:rFonts w:hint="eastAsia" w:ascii="Times New Roman" w:hAnsi="Times New Roman" w:eastAsia="仿宋" w:cs="Times New Roman"/>
          <w:color w:val="auto"/>
          <w:kern w:val="0"/>
          <w:sz w:val="28"/>
          <w:szCs w:val="28"/>
          <w:lang w:val="en-US" w:eastAsia="zh-CN" w:bidi="ar-SA"/>
        </w:rPr>
        <w:t>形成</w:t>
      </w:r>
      <w:r>
        <w:rPr>
          <w:rFonts w:hint="default" w:ascii="Times New Roman" w:hAnsi="Times New Roman" w:eastAsia="仿宋" w:cs="Times New Roman"/>
          <w:color w:val="auto"/>
          <w:kern w:val="0"/>
          <w:sz w:val="28"/>
          <w:szCs w:val="28"/>
          <w:lang w:val="en-US" w:eastAsia="zh-CN" w:bidi="ar-SA"/>
        </w:rPr>
        <w:t>《鹤城高新技术产业开发区生态环境准入清单》及其相关支撑材料，提交省生态环境厅。</w:t>
      </w:r>
    </w:p>
    <w:p w14:paraId="13B68B3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auto"/>
          <w:kern w:val="0"/>
          <w:sz w:val="28"/>
          <w:szCs w:val="28"/>
          <w:lang w:val="en-US" w:eastAsia="zh-CN" w:bidi="ar-SA"/>
        </w:rPr>
      </w:pPr>
      <w:r>
        <w:rPr>
          <w:rFonts w:hint="default" w:ascii="Times New Roman" w:hAnsi="Times New Roman" w:eastAsia="仿宋" w:cs="Times New Roman"/>
          <w:color w:val="auto"/>
          <w:kern w:val="0"/>
          <w:sz w:val="28"/>
          <w:szCs w:val="28"/>
          <w:lang w:val="en-US" w:eastAsia="zh-CN" w:bidi="ar-SA"/>
        </w:rPr>
        <w:t>园区持续发挥“三线一单”成果在工业园区项目选址、产业布局优化、规范园区环境管理等决策中的战略引导作用。对各新招商入园项目进行前置环评审查，完成《鹤城庄稼害虫清除剂项目》</w:t>
      </w:r>
      <w:r>
        <w:rPr>
          <w:rFonts w:hint="eastAsia" w:ascii="Times New Roman" w:hAnsi="Times New Roman" w:eastAsia="仿宋" w:cs="Times New Roman"/>
          <w:color w:val="auto"/>
          <w:kern w:val="0"/>
          <w:sz w:val="28"/>
          <w:szCs w:val="28"/>
          <w:lang w:val="en-US" w:eastAsia="zh-CN" w:bidi="ar-SA"/>
        </w:rPr>
        <w:t>等计1</w:t>
      </w:r>
      <w:r>
        <w:rPr>
          <w:rFonts w:hint="default" w:ascii="Times New Roman" w:hAnsi="Times New Roman" w:eastAsia="仿宋" w:cs="Times New Roman"/>
          <w:color w:val="auto"/>
          <w:kern w:val="0"/>
          <w:sz w:val="28"/>
          <w:szCs w:val="28"/>
          <w:lang w:val="en-US" w:eastAsia="zh-CN" w:bidi="ar-SA"/>
        </w:rPr>
        <w:t>0余个招商入园项目审查，均给出环保手续办理意见及环保可行性意见。</w:t>
      </w:r>
    </w:p>
    <w:p w14:paraId="4563D7FB">
      <w:pPr>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0" w:leftChars="0" w:firstLine="562" w:firstLineChars="200"/>
        <w:jc w:val="both"/>
        <w:textAlignment w:val="auto"/>
        <w:outlineLvl w:val="1"/>
        <w:rPr>
          <w:rFonts w:hint="default" w:ascii="Times New Roman" w:hAnsi="Times New Roman" w:eastAsia="仿宋" w:cs="Times New Roman"/>
          <w:b/>
          <w:color w:val="auto"/>
          <w:kern w:val="2"/>
          <w:sz w:val="28"/>
          <w:szCs w:val="28"/>
          <w:lang w:val="en-US" w:eastAsia="zh-CN" w:bidi="ar-SA"/>
        </w:rPr>
      </w:pPr>
      <w:bookmarkStart w:id="14" w:name="_Toc29073"/>
      <w:r>
        <w:rPr>
          <w:rFonts w:hint="default" w:ascii="Times New Roman" w:hAnsi="Times New Roman" w:eastAsia="仿宋" w:cs="Times New Roman"/>
          <w:b/>
          <w:color w:val="auto"/>
          <w:kern w:val="2"/>
          <w:sz w:val="28"/>
          <w:szCs w:val="28"/>
          <w:lang w:val="en-US" w:eastAsia="zh-CN" w:bidi="ar-SA"/>
        </w:rPr>
        <w:t>持续推进环境污染第三方治理</w:t>
      </w:r>
      <w:bookmarkEnd w:id="14"/>
    </w:p>
    <w:p w14:paraId="1DF81BF3">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560" w:firstLineChars="200"/>
        <w:jc w:val="both"/>
        <w:textAlignment w:val="auto"/>
        <w:outlineLvl w:val="9"/>
        <w:rPr>
          <w:rFonts w:hint="default" w:ascii="Times New Roman" w:hAnsi="Times New Roman" w:eastAsia="仿宋" w:cs="Times New Roman"/>
          <w:b w:val="0"/>
          <w:bCs/>
          <w:color w:val="auto"/>
          <w:kern w:val="2"/>
          <w:sz w:val="28"/>
          <w:szCs w:val="28"/>
          <w:lang w:val="en-US" w:eastAsia="zh-CN" w:bidi="ar-SA"/>
        </w:rPr>
      </w:pPr>
      <w:r>
        <w:rPr>
          <w:rFonts w:hint="default" w:ascii="Times New Roman" w:hAnsi="Times New Roman" w:eastAsia="仿宋" w:cs="Times New Roman"/>
          <w:b w:val="0"/>
          <w:bCs/>
          <w:color w:val="auto"/>
          <w:kern w:val="2"/>
          <w:sz w:val="28"/>
          <w:szCs w:val="28"/>
          <w:lang w:val="en-US" w:eastAsia="zh-CN" w:bidi="ar-SA"/>
        </w:rPr>
        <w:t>根据《关于深入推进园区环境污染第三方治理的通知》（湘环发〔2021〕31号）、湖南省生态环境厅关于印发《湖南省园区环境污染第三方治理环保服务规范（试行）》的通知（湘环函〔2021〕165号）文件有关要求，园区持续推进202</w:t>
      </w:r>
      <w:r>
        <w:rPr>
          <w:rFonts w:hint="eastAsia" w:ascii="Times New Roman" w:hAnsi="Times New Roman" w:eastAsia="仿宋" w:cs="Times New Roman"/>
          <w:b w:val="0"/>
          <w:bCs/>
          <w:color w:val="auto"/>
          <w:kern w:val="2"/>
          <w:sz w:val="28"/>
          <w:szCs w:val="28"/>
          <w:lang w:val="en-US" w:eastAsia="zh-CN" w:bidi="ar-SA"/>
        </w:rPr>
        <w:t>5</w:t>
      </w:r>
      <w:r>
        <w:rPr>
          <w:rFonts w:hint="default" w:ascii="Times New Roman" w:hAnsi="Times New Roman" w:eastAsia="仿宋" w:cs="Times New Roman"/>
          <w:b w:val="0"/>
          <w:bCs/>
          <w:color w:val="auto"/>
          <w:kern w:val="2"/>
          <w:sz w:val="28"/>
          <w:szCs w:val="28"/>
          <w:lang w:val="en-US" w:eastAsia="zh-CN" w:bidi="ar-SA"/>
        </w:rPr>
        <w:t>年度环境污染第三方治理工作，</w:t>
      </w:r>
      <w:r>
        <w:rPr>
          <w:rFonts w:hint="eastAsia" w:ascii="Times New Roman" w:hAnsi="Times New Roman" w:eastAsia="仿宋" w:cs="Times New Roman"/>
          <w:b w:val="0"/>
          <w:bCs/>
          <w:color w:val="auto"/>
          <w:kern w:val="2"/>
          <w:sz w:val="28"/>
          <w:szCs w:val="28"/>
          <w:lang w:val="en-US" w:eastAsia="zh-CN" w:bidi="ar-SA"/>
        </w:rPr>
        <w:t>2026年1月8日，园区已完成《2025年怀化高新技术产业开发区鹤城片区环境污染第三方治理</w:t>
      </w:r>
      <w:r>
        <w:rPr>
          <w:rFonts w:hint="default" w:ascii="Times New Roman" w:hAnsi="Times New Roman" w:eastAsia="仿宋" w:cs="Times New Roman"/>
          <w:b w:val="0"/>
          <w:bCs/>
          <w:color w:val="auto"/>
          <w:kern w:val="2"/>
          <w:sz w:val="28"/>
          <w:szCs w:val="28"/>
          <w:lang w:val="en-US" w:eastAsia="zh-CN" w:bidi="ar-SA"/>
        </w:rPr>
        <w:t>工作报告</w:t>
      </w:r>
      <w:r>
        <w:rPr>
          <w:rFonts w:hint="eastAsia" w:ascii="Times New Roman" w:hAnsi="Times New Roman" w:eastAsia="仿宋" w:cs="Times New Roman"/>
          <w:b w:val="0"/>
          <w:bCs/>
          <w:color w:val="auto"/>
          <w:kern w:val="2"/>
          <w:sz w:val="28"/>
          <w:szCs w:val="28"/>
          <w:lang w:val="en-US" w:eastAsia="zh-CN" w:bidi="ar-SA"/>
        </w:rPr>
        <w:t>》</w:t>
      </w:r>
      <w:r>
        <w:rPr>
          <w:rFonts w:hint="default" w:ascii="Times New Roman" w:hAnsi="Times New Roman" w:eastAsia="仿宋" w:cs="Times New Roman"/>
          <w:b w:val="0"/>
          <w:bCs/>
          <w:color w:val="auto"/>
          <w:kern w:val="2"/>
          <w:sz w:val="28"/>
          <w:szCs w:val="28"/>
          <w:lang w:val="en-US" w:eastAsia="zh-CN" w:bidi="ar-SA"/>
        </w:rPr>
        <w:t>。</w:t>
      </w:r>
    </w:p>
    <w:p w14:paraId="6F966014">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562" w:firstLineChars="200"/>
        <w:textAlignment w:val="auto"/>
        <w:outlineLvl w:val="1"/>
        <w:rPr>
          <w:rFonts w:hint="default" w:ascii="Times New Roman" w:hAnsi="Times New Roman" w:eastAsia="仿宋" w:cs="Times New Roman"/>
          <w:b/>
          <w:bCs w:val="0"/>
          <w:color w:val="auto"/>
          <w:sz w:val="28"/>
          <w:szCs w:val="28"/>
          <w:lang w:val="en-US" w:eastAsia="zh-CN"/>
        </w:rPr>
      </w:pPr>
      <w:bookmarkStart w:id="15" w:name="_Toc29447"/>
      <w:r>
        <w:rPr>
          <w:rFonts w:hint="default" w:ascii="Times New Roman" w:hAnsi="Times New Roman" w:eastAsia="仿宋" w:cs="Times New Roman"/>
          <w:b/>
          <w:bCs w:val="0"/>
          <w:color w:val="auto"/>
          <w:sz w:val="28"/>
          <w:szCs w:val="28"/>
          <w:lang w:val="en-US" w:eastAsia="zh-CN"/>
        </w:rPr>
        <w:t>（三）开展“体检式”帮扶检查</w:t>
      </w:r>
      <w:bookmarkEnd w:id="15"/>
    </w:p>
    <w:p w14:paraId="3597D2BD">
      <w:pPr>
        <w:keepNext w:val="0"/>
        <w:keepLines w:val="0"/>
        <w:pageBreakBefore w:val="0"/>
        <w:widowControl/>
        <w:numPr>
          <w:ilvl w:val="0"/>
          <w:numId w:val="0"/>
        </w:numPr>
        <w:kinsoku/>
        <w:wordWrap/>
        <w:overflowPunct/>
        <w:topLinePunct w:val="0"/>
        <w:autoSpaceDE/>
        <w:autoSpaceDN/>
        <w:bidi w:val="0"/>
        <w:adjustRightInd/>
        <w:snapToGrid/>
        <w:ind w:firstLine="600" w:firstLineChars="200"/>
        <w:jc w:val="left"/>
        <w:textAlignment w:val="auto"/>
        <w:rPr>
          <w:rFonts w:hint="default" w:ascii="Times New Roman" w:hAnsi="Times New Roman" w:eastAsia="仿宋_GB2312" w:cs="Times New Roman"/>
          <w:b w:val="0"/>
          <w:bCs w:val="0"/>
          <w:color w:val="auto"/>
          <w:kern w:val="0"/>
          <w:sz w:val="30"/>
          <w:szCs w:val="30"/>
          <w:lang w:val="en-US" w:eastAsia="zh-CN" w:bidi="ar"/>
        </w:rPr>
      </w:pPr>
      <w:bookmarkStart w:id="16" w:name="_Toc5383"/>
      <w:r>
        <w:rPr>
          <w:rFonts w:hint="default" w:ascii="Times New Roman" w:hAnsi="Times New Roman" w:eastAsia="仿宋_GB2312" w:cs="Times New Roman"/>
          <w:b w:val="0"/>
          <w:bCs w:val="0"/>
          <w:color w:val="auto"/>
          <w:kern w:val="0"/>
          <w:sz w:val="30"/>
          <w:szCs w:val="30"/>
          <w:lang w:val="en-US" w:eastAsia="zh-CN" w:bidi="ar"/>
        </w:rPr>
        <w:t>202</w:t>
      </w:r>
      <w:r>
        <w:rPr>
          <w:rFonts w:hint="eastAsia" w:ascii="Times New Roman" w:hAnsi="Times New Roman" w:eastAsia="仿宋_GB2312" w:cs="Times New Roman"/>
          <w:b w:val="0"/>
          <w:bCs w:val="0"/>
          <w:color w:val="auto"/>
          <w:kern w:val="0"/>
          <w:sz w:val="30"/>
          <w:szCs w:val="30"/>
          <w:lang w:val="en-US" w:eastAsia="zh-CN" w:bidi="ar"/>
        </w:rPr>
        <w:t>5</w:t>
      </w:r>
      <w:r>
        <w:rPr>
          <w:rFonts w:hint="default" w:ascii="Times New Roman" w:hAnsi="Times New Roman" w:eastAsia="仿宋_GB2312" w:cs="Times New Roman"/>
          <w:b w:val="0"/>
          <w:bCs w:val="0"/>
          <w:color w:val="auto"/>
          <w:kern w:val="0"/>
          <w:sz w:val="30"/>
          <w:szCs w:val="30"/>
          <w:lang w:val="en-US" w:eastAsia="zh-CN" w:bidi="ar"/>
        </w:rPr>
        <w:t>年度，</w:t>
      </w:r>
      <w:r>
        <w:rPr>
          <w:rFonts w:hint="eastAsia" w:ascii="Times New Roman" w:hAnsi="Times New Roman" w:eastAsia="仿宋_GB2312" w:cs="Times New Roman"/>
          <w:color w:val="auto"/>
          <w:sz w:val="30"/>
          <w:szCs w:val="30"/>
          <w:lang w:val="en-US" w:eastAsia="zh-CN"/>
        </w:rPr>
        <w:t>怀化高新技术产业开发区鹤城片区</w:t>
      </w:r>
      <w:r>
        <w:rPr>
          <w:rFonts w:hint="eastAsia" w:ascii="Times New Roman" w:hAnsi="Times New Roman" w:eastAsia="仿宋_GB2312" w:cs="Times New Roman"/>
          <w:b w:val="0"/>
          <w:bCs w:val="0"/>
          <w:color w:val="auto"/>
          <w:kern w:val="0"/>
          <w:sz w:val="30"/>
          <w:szCs w:val="30"/>
          <w:lang w:val="en-US" w:eastAsia="zh-CN" w:bidi="ar"/>
        </w:rPr>
        <w:t>联合环保管家</w:t>
      </w:r>
      <w:r>
        <w:rPr>
          <w:rFonts w:hint="default" w:ascii="Times New Roman" w:hAnsi="Times New Roman" w:eastAsia="仿宋_GB2312" w:cs="Times New Roman"/>
          <w:b w:val="0"/>
          <w:bCs w:val="0"/>
          <w:color w:val="auto"/>
          <w:kern w:val="0"/>
          <w:sz w:val="30"/>
          <w:szCs w:val="30"/>
          <w:lang w:val="en-US" w:eastAsia="zh-CN" w:bidi="ar"/>
        </w:rPr>
        <w:t>开展</w:t>
      </w:r>
      <w:r>
        <w:rPr>
          <w:rFonts w:hint="eastAsia" w:ascii="Times New Roman" w:hAnsi="Times New Roman" w:eastAsia="仿宋_GB2312" w:cs="Times New Roman"/>
          <w:b w:val="0"/>
          <w:bCs w:val="0"/>
          <w:color w:val="auto"/>
          <w:kern w:val="0"/>
          <w:sz w:val="30"/>
          <w:szCs w:val="30"/>
          <w:lang w:val="en-US" w:eastAsia="zh-CN" w:bidi="ar"/>
        </w:rPr>
        <w:t>一</w:t>
      </w:r>
      <w:r>
        <w:rPr>
          <w:rFonts w:hint="default" w:ascii="Times New Roman" w:hAnsi="Times New Roman" w:eastAsia="仿宋_GB2312" w:cs="Times New Roman"/>
          <w:b w:val="0"/>
          <w:bCs w:val="0"/>
          <w:color w:val="auto"/>
          <w:kern w:val="0"/>
          <w:sz w:val="30"/>
          <w:szCs w:val="30"/>
          <w:lang w:val="en-US" w:eastAsia="zh-CN" w:bidi="ar"/>
        </w:rPr>
        <w:t>次园区环保核查</w:t>
      </w:r>
      <w:r>
        <w:rPr>
          <w:rFonts w:hint="eastAsia" w:ascii="Times New Roman" w:hAnsi="Times New Roman" w:eastAsia="仿宋_GB2312" w:cs="Times New Roman"/>
          <w:b w:val="0"/>
          <w:bCs w:val="0"/>
          <w:color w:val="auto"/>
          <w:kern w:val="0"/>
          <w:sz w:val="30"/>
          <w:szCs w:val="30"/>
          <w:lang w:val="en-US" w:eastAsia="zh-CN" w:bidi="ar"/>
        </w:rPr>
        <w:t>工作</w:t>
      </w:r>
      <w:r>
        <w:rPr>
          <w:rFonts w:hint="default" w:ascii="Times New Roman" w:hAnsi="Times New Roman" w:eastAsia="仿宋_GB2312" w:cs="Times New Roman"/>
          <w:b w:val="0"/>
          <w:bCs w:val="0"/>
          <w:color w:val="auto"/>
          <w:kern w:val="0"/>
          <w:sz w:val="30"/>
          <w:szCs w:val="30"/>
          <w:lang w:val="en-US" w:eastAsia="zh-CN" w:bidi="ar"/>
        </w:rPr>
        <w:t>，具体</w:t>
      </w:r>
      <w:r>
        <w:rPr>
          <w:rFonts w:hint="eastAsia" w:ascii="Times New Roman" w:hAnsi="Times New Roman" w:eastAsia="仿宋_GB2312" w:cs="Times New Roman"/>
          <w:b w:val="0"/>
          <w:bCs w:val="0"/>
          <w:color w:val="auto"/>
          <w:kern w:val="0"/>
          <w:sz w:val="30"/>
          <w:szCs w:val="30"/>
          <w:lang w:val="en-US" w:eastAsia="zh-CN" w:bidi="ar"/>
        </w:rPr>
        <w:t>包括</w:t>
      </w:r>
      <w:r>
        <w:rPr>
          <w:rFonts w:hint="default" w:ascii="Times New Roman" w:hAnsi="Times New Roman" w:eastAsia="仿宋_GB2312" w:cs="Times New Roman"/>
          <w:b w:val="0"/>
          <w:bCs w:val="0"/>
          <w:color w:val="auto"/>
          <w:kern w:val="0"/>
          <w:sz w:val="30"/>
          <w:szCs w:val="30"/>
          <w:lang w:val="en-US" w:eastAsia="zh-CN" w:bidi="ar"/>
        </w:rPr>
        <w:t>：</w:t>
      </w:r>
    </w:p>
    <w:p w14:paraId="7998F012">
      <w:pPr>
        <w:keepNext w:val="0"/>
        <w:keepLines w:val="0"/>
        <w:pageBreakBefore w:val="0"/>
        <w:widowControl/>
        <w:numPr>
          <w:ilvl w:val="0"/>
          <w:numId w:val="0"/>
        </w:numPr>
        <w:kinsoku/>
        <w:wordWrap/>
        <w:overflowPunct/>
        <w:topLinePunct w:val="0"/>
        <w:autoSpaceDE/>
        <w:autoSpaceDN/>
        <w:bidi w:val="0"/>
        <w:adjustRightInd/>
        <w:snapToGrid/>
        <w:ind w:firstLine="600" w:firstLineChars="200"/>
        <w:jc w:val="left"/>
        <w:textAlignment w:val="auto"/>
        <w:rPr>
          <w:rFonts w:hint="default" w:ascii="Times New Roman" w:hAnsi="Times New Roman" w:eastAsia="仿宋_GB2312" w:cs="Times New Roman"/>
          <w:b w:val="0"/>
          <w:bCs w:val="0"/>
          <w:color w:val="auto"/>
          <w:kern w:val="0"/>
          <w:sz w:val="30"/>
          <w:szCs w:val="30"/>
          <w:lang w:val="en-US" w:eastAsia="zh-CN" w:bidi="ar"/>
        </w:rPr>
      </w:pPr>
      <w:r>
        <w:rPr>
          <w:rFonts w:hint="eastAsia" w:ascii="Times New Roman" w:hAnsi="Times New Roman" w:eastAsia="仿宋_GB2312" w:cs="Times New Roman"/>
          <w:b w:val="0"/>
          <w:bCs w:val="0"/>
          <w:color w:val="auto"/>
          <w:kern w:val="0"/>
          <w:sz w:val="30"/>
          <w:szCs w:val="30"/>
          <w:lang w:val="en-US" w:eastAsia="zh-CN" w:bidi="ar"/>
        </w:rPr>
        <w:t>2025年</w:t>
      </w:r>
      <w:r>
        <w:rPr>
          <w:rFonts w:hint="default" w:ascii="Times New Roman" w:hAnsi="Times New Roman" w:eastAsia="仿宋_GB2312" w:cs="Times New Roman"/>
          <w:b w:val="0"/>
          <w:bCs w:val="0"/>
          <w:color w:val="auto"/>
          <w:kern w:val="0"/>
          <w:sz w:val="30"/>
          <w:szCs w:val="30"/>
          <w:lang w:val="en-US" w:eastAsia="zh-CN" w:bidi="ar"/>
        </w:rPr>
        <w:t>3月18日-3月20日</w:t>
      </w:r>
      <w:r>
        <w:rPr>
          <w:rFonts w:hint="eastAsia" w:ascii="Times New Roman" w:hAnsi="Times New Roman" w:eastAsia="仿宋_GB2312" w:cs="Times New Roman"/>
          <w:b w:val="0"/>
          <w:bCs w:val="0"/>
          <w:color w:val="auto"/>
          <w:kern w:val="0"/>
          <w:sz w:val="30"/>
          <w:szCs w:val="30"/>
          <w:lang w:val="en-US" w:eastAsia="zh-CN" w:bidi="ar"/>
        </w:rPr>
        <w:t>，</w:t>
      </w:r>
      <w:r>
        <w:rPr>
          <w:rFonts w:hint="default" w:ascii="Times New Roman" w:hAnsi="Times New Roman" w:eastAsia="仿宋_GB2312" w:cs="Times New Roman"/>
          <w:b w:val="0"/>
          <w:bCs w:val="0"/>
          <w:color w:val="auto"/>
          <w:kern w:val="0"/>
          <w:sz w:val="30"/>
          <w:szCs w:val="30"/>
          <w:lang w:val="en-US" w:eastAsia="zh-CN" w:bidi="ar"/>
        </w:rPr>
        <w:t>为有效提高产业园区生态环境整体水平，开展为期3天的</w:t>
      </w:r>
      <w:r>
        <w:rPr>
          <w:rFonts w:hint="eastAsia" w:ascii="Times New Roman" w:hAnsi="Times New Roman" w:eastAsia="仿宋_GB2312" w:cs="Times New Roman"/>
          <w:b w:val="0"/>
          <w:bCs w:val="0"/>
          <w:color w:val="auto"/>
          <w:kern w:val="0"/>
          <w:sz w:val="30"/>
          <w:szCs w:val="30"/>
          <w:lang w:val="en-US" w:eastAsia="zh-CN" w:bidi="ar"/>
        </w:rPr>
        <w:t>污水处理厂</w:t>
      </w:r>
      <w:r>
        <w:rPr>
          <w:rFonts w:hint="default" w:ascii="Times New Roman" w:hAnsi="Times New Roman" w:eastAsia="仿宋_GB2312" w:cs="Times New Roman"/>
          <w:b w:val="0"/>
          <w:bCs w:val="0"/>
          <w:color w:val="auto"/>
          <w:kern w:val="0"/>
          <w:sz w:val="30"/>
          <w:szCs w:val="30"/>
          <w:lang w:val="en-US" w:eastAsia="zh-CN" w:bidi="ar"/>
        </w:rPr>
        <w:t>环保专项督查</w:t>
      </w:r>
      <w:r>
        <w:rPr>
          <w:rFonts w:hint="eastAsia" w:ascii="Times New Roman" w:hAnsi="Times New Roman" w:eastAsia="仿宋_GB2312" w:cs="Times New Roman"/>
          <w:b w:val="0"/>
          <w:bCs w:val="0"/>
          <w:color w:val="auto"/>
          <w:kern w:val="0"/>
          <w:sz w:val="30"/>
          <w:szCs w:val="30"/>
          <w:lang w:val="en-US" w:eastAsia="zh-CN" w:bidi="ar"/>
        </w:rPr>
        <w:t>工作</w:t>
      </w:r>
      <w:r>
        <w:rPr>
          <w:rFonts w:hint="default" w:ascii="Times New Roman" w:hAnsi="Times New Roman" w:eastAsia="仿宋_GB2312" w:cs="Times New Roman"/>
          <w:b w:val="0"/>
          <w:bCs w:val="0"/>
          <w:color w:val="auto"/>
          <w:kern w:val="0"/>
          <w:sz w:val="30"/>
          <w:szCs w:val="30"/>
          <w:lang w:val="en-US" w:eastAsia="zh-CN" w:bidi="ar"/>
        </w:rPr>
        <w:t>。针对现场核查发现的环境问题跟</w:t>
      </w:r>
      <w:r>
        <w:rPr>
          <w:rFonts w:hint="eastAsia" w:ascii="Times New Roman" w:hAnsi="Times New Roman" w:eastAsia="仿宋_GB2312" w:cs="Times New Roman"/>
          <w:b w:val="0"/>
          <w:bCs w:val="0"/>
          <w:color w:val="auto"/>
          <w:kern w:val="0"/>
          <w:sz w:val="30"/>
          <w:szCs w:val="30"/>
          <w:lang w:val="en-US" w:eastAsia="zh-CN" w:bidi="ar"/>
        </w:rPr>
        <w:t>污水厂</w:t>
      </w:r>
      <w:r>
        <w:rPr>
          <w:rFonts w:hint="default" w:ascii="Times New Roman" w:hAnsi="Times New Roman" w:eastAsia="仿宋_GB2312" w:cs="Times New Roman"/>
          <w:b w:val="0"/>
          <w:bCs w:val="0"/>
          <w:color w:val="auto"/>
          <w:kern w:val="0"/>
          <w:sz w:val="30"/>
          <w:szCs w:val="30"/>
          <w:lang w:val="en-US" w:eastAsia="zh-CN" w:bidi="ar"/>
        </w:rPr>
        <w:t>面对面沟通，现场指导如何整改</w:t>
      </w:r>
      <w:r>
        <w:rPr>
          <w:rFonts w:hint="eastAsia" w:ascii="Times New Roman" w:hAnsi="Times New Roman" w:eastAsia="仿宋_GB2312" w:cs="Times New Roman"/>
          <w:b w:val="0"/>
          <w:bCs w:val="0"/>
          <w:color w:val="auto"/>
          <w:kern w:val="0"/>
          <w:sz w:val="30"/>
          <w:szCs w:val="30"/>
          <w:lang w:val="en-US" w:eastAsia="zh-CN" w:bidi="ar"/>
        </w:rPr>
        <w:t>，</w:t>
      </w:r>
      <w:r>
        <w:rPr>
          <w:rFonts w:hint="default" w:ascii="Times New Roman" w:hAnsi="Times New Roman" w:eastAsia="仿宋_GB2312" w:cs="Times New Roman"/>
          <w:b w:val="0"/>
          <w:bCs w:val="0"/>
          <w:color w:val="auto"/>
          <w:kern w:val="0"/>
          <w:sz w:val="30"/>
          <w:szCs w:val="30"/>
          <w:lang w:val="en-US" w:eastAsia="zh-CN" w:bidi="ar"/>
        </w:rPr>
        <w:t>同时</w:t>
      </w:r>
      <w:r>
        <w:rPr>
          <w:rFonts w:hint="eastAsia" w:ascii="Times New Roman" w:hAnsi="Times New Roman" w:eastAsia="仿宋_GB2312" w:cs="Times New Roman"/>
          <w:b w:val="0"/>
          <w:bCs w:val="0"/>
          <w:color w:val="auto"/>
          <w:kern w:val="0"/>
          <w:sz w:val="30"/>
          <w:szCs w:val="30"/>
          <w:lang w:val="en-US" w:eastAsia="zh-CN" w:bidi="ar"/>
        </w:rPr>
        <w:t>形</w:t>
      </w:r>
      <w:r>
        <w:rPr>
          <w:rFonts w:hint="default" w:ascii="Times New Roman" w:hAnsi="Times New Roman" w:eastAsia="仿宋_GB2312" w:cs="Times New Roman"/>
          <w:b w:val="0"/>
          <w:bCs w:val="0"/>
          <w:color w:val="auto"/>
          <w:kern w:val="0"/>
          <w:sz w:val="30"/>
          <w:szCs w:val="30"/>
          <w:lang w:val="en-US" w:eastAsia="zh-CN" w:bidi="ar"/>
        </w:rPr>
        <w:t>成园区企业问题清单及整改建议。</w:t>
      </w:r>
    </w:p>
    <w:p w14:paraId="121F9869">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200"/>
        <w:textAlignment w:val="auto"/>
        <w:outlineLvl w:val="1"/>
        <w:rPr>
          <w:rFonts w:hint="default" w:ascii="Times New Roman" w:hAnsi="Times New Roman" w:eastAsia="仿宋" w:cs="Times New Roman"/>
          <w:b/>
          <w:color w:val="auto"/>
          <w:sz w:val="28"/>
          <w:szCs w:val="28"/>
          <w:lang w:val="en-US" w:eastAsia="zh-CN"/>
        </w:rPr>
      </w:pPr>
      <w:r>
        <w:rPr>
          <w:rFonts w:hint="default" w:ascii="Times New Roman" w:hAnsi="Times New Roman" w:eastAsia="仿宋" w:cs="Times New Roman"/>
          <w:b/>
          <w:color w:val="auto"/>
          <w:sz w:val="28"/>
          <w:szCs w:val="28"/>
          <w:lang w:val="en-US" w:eastAsia="zh-CN"/>
        </w:rPr>
        <w:t>（四）强化园区环境风险防控</w:t>
      </w:r>
      <w:bookmarkEnd w:id="16"/>
    </w:p>
    <w:p w14:paraId="34B8955D">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00" w:firstLineChars="200"/>
        <w:textAlignment w:val="auto"/>
        <w:outlineLvl w:val="9"/>
        <w:rPr>
          <w:rFonts w:hint="default" w:ascii="Times New Roman" w:hAnsi="Times New Roman" w:eastAsia="仿宋" w:cs="Times New Roman"/>
          <w:color w:val="auto"/>
          <w:sz w:val="28"/>
          <w:szCs w:val="28"/>
          <w:lang w:val="en-US" w:eastAsia="zh-CN"/>
        </w:rPr>
      </w:pPr>
      <w:r>
        <w:rPr>
          <w:rFonts w:hint="default" w:ascii="Times New Roman" w:hAnsi="Times New Roman" w:eastAsia="仿宋_GB2312" w:cs="Times New Roman"/>
          <w:b w:val="0"/>
          <w:bCs w:val="0"/>
          <w:color w:val="auto"/>
          <w:kern w:val="0"/>
          <w:sz w:val="30"/>
          <w:szCs w:val="30"/>
          <w:lang w:val="en-US" w:eastAsia="zh-CN" w:bidi="ar"/>
        </w:rPr>
        <w:t>为了切实提高园区应对突发环境事件应急救援综合处置能力，强化企业环境安全主体意识，有力提升环境安全管理水平，结合园区实际，</w:t>
      </w:r>
      <w:r>
        <w:rPr>
          <w:rFonts w:hint="eastAsia" w:ascii="Times New Roman" w:hAnsi="Times New Roman" w:eastAsia="仿宋_GB2312" w:cs="Times New Roman"/>
          <w:b w:val="0"/>
          <w:bCs w:val="0"/>
          <w:color w:val="auto"/>
          <w:kern w:val="0"/>
          <w:sz w:val="30"/>
          <w:szCs w:val="30"/>
          <w:lang w:val="en-US" w:eastAsia="zh-CN" w:bidi="ar"/>
        </w:rPr>
        <w:t>特制定</w:t>
      </w:r>
      <w:r>
        <w:rPr>
          <w:rFonts w:hint="default" w:ascii="Times New Roman" w:hAnsi="Times New Roman" w:eastAsia="仿宋_GB2312" w:cs="Times New Roman"/>
          <w:b w:val="0"/>
          <w:bCs w:val="0"/>
          <w:color w:val="auto"/>
          <w:kern w:val="0"/>
          <w:sz w:val="30"/>
          <w:szCs w:val="30"/>
          <w:lang w:val="en-US" w:eastAsia="zh-CN" w:bidi="ar"/>
        </w:rPr>
        <w:t>《</w:t>
      </w:r>
      <w:r>
        <w:rPr>
          <w:rFonts w:hint="eastAsia" w:ascii="Times New Roman" w:hAnsi="Times New Roman" w:eastAsia="仿宋_GB2312" w:cs="Times New Roman"/>
          <w:b w:val="0"/>
          <w:bCs w:val="0"/>
          <w:color w:val="auto"/>
          <w:kern w:val="0"/>
          <w:sz w:val="30"/>
          <w:szCs w:val="30"/>
          <w:lang w:val="en-US" w:eastAsia="zh-CN" w:bidi="ar"/>
        </w:rPr>
        <w:t>怀化市生态环境局、怀化高新技术产业开发区鹤城片区管理办公室</w:t>
      </w:r>
      <w:r>
        <w:rPr>
          <w:rFonts w:hint="default" w:ascii="Times New Roman" w:hAnsi="Times New Roman" w:eastAsia="仿宋_GB2312" w:cs="Times New Roman"/>
          <w:b w:val="0"/>
          <w:bCs w:val="0"/>
          <w:color w:val="auto"/>
          <w:kern w:val="0"/>
          <w:sz w:val="30"/>
          <w:szCs w:val="30"/>
          <w:lang w:val="en-US" w:eastAsia="zh-CN" w:bidi="ar"/>
        </w:rPr>
        <w:t>202</w:t>
      </w:r>
      <w:r>
        <w:rPr>
          <w:rFonts w:hint="eastAsia" w:ascii="Times New Roman" w:hAnsi="Times New Roman" w:eastAsia="仿宋_GB2312" w:cs="Times New Roman"/>
          <w:b w:val="0"/>
          <w:bCs w:val="0"/>
          <w:color w:val="auto"/>
          <w:kern w:val="0"/>
          <w:sz w:val="30"/>
          <w:szCs w:val="30"/>
          <w:lang w:val="en-US" w:eastAsia="zh-CN" w:bidi="ar"/>
        </w:rPr>
        <w:t>5年</w:t>
      </w:r>
      <w:r>
        <w:rPr>
          <w:rFonts w:hint="default" w:ascii="Times New Roman" w:hAnsi="Times New Roman" w:eastAsia="仿宋_GB2312" w:cs="Times New Roman"/>
          <w:b w:val="0"/>
          <w:bCs w:val="0"/>
          <w:color w:val="auto"/>
          <w:kern w:val="0"/>
          <w:sz w:val="30"/>
          <w:szCs w:val="30"/>
          <w:lang w:val="en-US" w:eastAsia="zh-CN" w:bidi="ar"/>
        </w:rPr>
        <w:t>突发环境事件</w:t>
      </w:r>
      <w:r>
        <w:rPr>
          <w:rFonts w:hint="eastAsia" w:ascii="Times New Roman" w:hAnsi="Times New Roman" w:eastAsia="仿宋_GB2312" w:cs="Times New Roman"/>
          <w:b w:val="0"/>
          <w:bCs w:val="0"/>
          <w:color w:val="auto"/>
          <w:kern w:val="0"/>
          <w:sz w:val="30"/>
          <w:szCs w:val="30"/>
          <w:lang w:val="en-US" w:eastAsia="zh-CN" w:bidi="ar"/>
        </w:rPr>
        <w:t>联合</w:t>
      </w:r>
      <w:r>
        <w:rPr>
          <w:rFonts w:hint="default" w:ascii="Times New Roman" w:hAnsi="Times New Roman" w:eastAsia="仿宋_GB2312" w:cs="Times New Roman"/>
          <w:b w:val="0"/>
          <w:bCs w:val="0"/>
          <w:color w:val="auto"/>
          <w:kern w:val="0"/>
          <w:sz w:val="30"/>
          <w:szCs w:val="30"/>
          <w:lang w:val="en-US" w:eastAsia="zh-CN" w:bidi="ar"/>
        </w:rPr>
        <w:t>应急演练实施方案》。202</w:t>
      </w:r>
      <w:r>
        <w:rPr>
          <w:rFonts w:hint="eastAsia" w:ascii="Times New Roman" w:hAnsi="Times New Roman" w:eastAsia="仿宋_GB2312" w:cs="Times New Roman"/>
          <w:b w:val="0"/>
          <w:bCs w:val="0"/>
          <w:color w:val="auto"/>
          <w:kern w:val="0"/>
          <w:sz w:val="30"/>
          <w:szCs w:val="30"/>
          <w:lang w:val="en-US" w:eastAsia="zh-CN" w:bidi="ar"/>
        </w:rPr>
        <w:t>5</w:t>
      </w:r>
      <w:r>
        <w:rPr>
          <w:rFonts w:hint="default" w:ascii="Times New Roman" w:hAnsi="Times New Roman" w:eastAsia="仿宋_GB2312" w:cs="Times New Roman"/>
          <w:b w:val="0"/>
          <w:bCs w:val="0"/>
          <w:color w:val="auto"/>
          <w:kern w:val="0"/>
          <w:sz w:val="30"/>
          <w:szCs w:val="30"/>
          <w:lang w:val="en-US" w:eastAsia="zh-CN" w:bidi="ar"/>
        </w:rPr>
        <w:t>年1</w:t>
      </w:r>
      <w:r>
        <w:rPr>
          <w:rFonts w:hint="eastAsia" w:ascii="Times New Roman" w:hAnsi="Times New Roman" w:eastAsia="仿宋_GB2312" w:cs="Times New Roman"/>
          <w:b w:val="0"/>
          <w:bCs w:val="0"/>
          <w:color w:val="auto"/>
          <w:kern w:val="0"/>
          <w:sz w:val="30"/>
          <w:szCs w:val="30"/>
          <w:lang w:val="en-US" w:eastAsia="zh-CN" w:bidi="ar"/>
        </w:rPr>
        <w:t>2</w:t>
      </w:r>
      <w:r>
        <w:rPr>
          <w:rFonts w:hint="default" w:ascii="Times New Roman" w:hAnsi="Times New Roman" w:eastAsia="仿宋_GB2312" w:cs="Times New Roman"/>
          <w:b w:val="0"/>
          <w:bCs w:val="0"/>
          <w:color w:val="auto"/>
          <w:kern w:val="0"/>
          <w:sz w:val="30"/>
          <w:szCs w:val="30"/>
          <w:lang w:val="en-US" w:eastAsia="zh-CN" w:bidi="ar"/>
        </w:rPr>
        <w:t>月</w:t>
      </w:r>
      <w:r>
        <w:rPr>
          <w:rFonts w:hint="eastAsia" w:ascii="Times New Roman" w:hAnsi="Times New Roman" w:eastAsia="仿宋_GB2312" w:cs="Times New Roman"/>
          <w:b w:val="0"/>
          <w:bCs w:val="0"/>
          <w:color w:val="auto"/>
          <w:kern w:val="0"/>
          <w:sz w:val="30"/>
          <w:szCs w:val="30"/>
          <w:lang w:val="en-US" w:eastAsia="zh-CN" w:bidi="ar"/>
        </w:rPr>
        <w:t>24</w:t>
      </w:r>
      <w:r>
        <w:rPr>
          <w:rFonts w:hint="default" w:ascii="Times New Roman" w:hAnsi="Times New Roman" w:eastAsia="仿宋_GB2312" w:cs="Times New Roman"/>
          <w:b w:val="0"/>
          <w:bCs w:val="0"/>
          <w:color w:val="auto"/>
          <w:kern w:val="0"/>
          <w:sz w:val="30"/>
          <w:szCs w:val="30"/>
          <w:lang w:val="en-US" w:eastAsia="zh-CN" w:bidi="ar"/>
        </w:rPr>
        <w:t>日，园区举行了202</w:t>
      </w:r>
      <w:r>
        <w:rPr>
          <w:rFonts w:hint="eastAsia" w:ascii="Times New Roman" w:hAnsi="Times New Roman" w:eastAsia="仿宋_GB2312" w:cs="Times New Roman"/>
          <w:b w:val="0"/>
          <w:bCs w:val="0"/>
          <w:color w:val="auto"/>
          <w:kern w:val="0"/>
          <w:sz w:val="30"/>
          <w:szCs w:val="30"/>
          <w:lang w:val="en-US" w:eastAsia="zh-CN" w:bidi="ar"/>
        </w:rPr>
        <w:t>5</w:t>
      </w:r>
      <w:r>
        <w:rPr>
          <w:rFonts w:hint="default" w:ascii="Times New Roman" w:hAnsi="Times New Roman" w:eastAsia="仿宋_GB2312" w:cs="Times New Roman"/>
          <w:b w:val="0"/>
          <w:bCs w:val="0"/>
          <w:color w:val="auto"/>
          <w:kern w:val="0"/>
          <w:sz w:val="30"/>
          <w:szCs w:val="30"/>
          <w:lang w:val="en-US" w:eastAsia="zh-CN" w:bidi="ar"/>
        </w:rPr>
        <w:t>年度突发环境事件应急演练活动。本次园区应急演练以怀化顺天帆布有限责任公司突发邻苯二甲酸二辛酯泄漏事故为背景模拟，演练过程中，依据《鹤城产业开发区突发环境事件应急预案》（2021年修订版），根据邻苯二甲酸二辛酯泄漏事件初步判定为园区级，启动二级应急响应，进一步现场检验了园区面对突发事故的快速</w:t>
      </w:r>
      <w:r>
        <w:rPr>
          <w:rFonts w:hint="eastAsia" w:ascii="Times New Roman" w:hAnsi="Times New Roman" w:eastAsia="仿宋_GB2312" w:cs="Times New Roman"/>
          <w:b w:val="0"/>
          <w:bCs w:val="0"/>
          <w:color w:val="auto"/>
          <w:kern w:val="0"/>
          <w:sz w:val="30"/>
          <w:szCs w:val="30"/>
          <w:lang w:val="en-US" w:eastAsia="zh-CN" w:bidi="ar"/>
        </w:rPr>
        <w:t>反映</w:t>
      </w:r>
      <w:r>
        <w:rPr>
          <w:rFonts w:hint="default" w:ascii="Times New Roman" w:hAnsi="Times New Roman" w:eastAsia="仿宋_GB2312" w:cs="Times New Roman"/>
          <w:b w:val="0"/>
          <w:bCs w:val="0"/>
          <w:color w:val="auto"/>
          <w:kern w:val="0"/>
          <w:sz w:val="30"/>
          <w:szCs w:val="30"/>
          <w:lang w:val="en-US" w:eastAsia="zh-CN" w:bidi="ar"/>
        </w:rPr>
        <w:t>能力、协调配合能力和现场处置能力。通过各方密切配合，协同作战，圆满完成本次应急演练活动。</w:t>
      </w:r>
    </w:p>
    <w:p w14:paraId="3BBBDE3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outlineLvl w:val="1"/>
        <w:rPr>
          <w:rFonts w:hint="default" w:ascii="Times New Roman" w:hAnsi="Times New Roman" w:eastAsia="仿宋" w:cs="Times New Roman"/>
          <w:b/>
          <w:color w:val="auto"/>
          <w:sz w:val="28"/>
          <w:szCs w:val="28"/>
        </w:rPr>
      </w:pPr>
      <w:bookmarkStart w:id="17" w:name="_Toc3344"/>
      <w:r>
        <w:rPr>
          <w:rFonts w:hint="default" w:ascii="Times New Roman" w:hAnsi="Times New Roman" w:eastAsia="仿宋" w:cs="Times New Roman"/>
          <w:b/>
          <w:color w:val="auto"/>
          <w:sz w:val="28"/>
          <w:szCs w:val="28"/>
        </w:rPr>
        <w:t>（五）强化环保培训宣传工作</w:t>
      </w:r>
      <w:bookmarkEnd w:id="17"/>
    </w:p>
    <w:p w14:paraId="5618C202">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val="0"/>
          <w:bCs/>
          <w:color w:val="auto"/>
          <w:sz w:val="28"/>
          <w:szCs w:val="28"/>
          <w:shd w:val="clear" w:color="auto" w:fill="FFFFFF"/>
          <w:lang w:val="en-US" w:eastAsia="zh-CN"/>
        </w:rPr>
      </w:pPr>
      <w:r>
        <w:rPr>
          <w:rFonts w:hint="default" w:ascii="Times New Roman" w:hAnsi="Times New Roman" w:eastAsia="仿宋" w:cs="Times New Roman"/>
          <w:b w:val="0"/>
          <w:bCs/>
          <w:color w:val="auto"/>
          <w:sz w:val="28"/>
          <w:szCs w:val="28"/>
          <w:shd w:val="clear" w:color="auto" w:fill="FFFFFF"/>
        </w:rPr>
        <w:t>为了进一步提升</w:t>
      </w:r>
      <w:r>
        <w:rPr>
          <w:rFonts w:hint="default" w:ascii="Times New Roman" w:hAnsi="Times New Roman" w:eastAsia="仿宋" w:cs="Times New Roman"/>
          <w:b w:val="0"/>
          <w:bCs/>
          <w:color w:val="auto"/>
          <w:sz w:val="28"/>
          <w:szCs w:val="28"/>
          <w:shd w:val="clear" w:color="auto" w:fill="FFFFFF"/>
          <w:lang w:val="en-US" w:eastAsia="zh-CN"/>
        </w:rPr>
        <w:t>怀化高新技术产业开发区鹤城片区</w:t>
      </w:r>
      <w:r>
        <w:rPr>
          <w:rFonts w:hint="default" w:ascii="Times New Roman" w:hAnsi="Times New Roman" w:eastAsia="仿宋" w:cs="Times New Roman"/>
          <w:b w:val="0"/>
          <w:bCs/>
          <w:color w:val="auto"/>
          <w:sz w:val="28"/>
          <w:szCs w:val="28"/>
          <w:shd w:val="clear" w:color="auto" w:fill="FFFFFF"/>
        </w:rPr>
        <w:t>环境管理水平，有效防控危险废物环境风险，同时提高园区生态环境管理人员和园区内各企业环保负责人员环境管理水平，</w:t>
      </w:r>
      <w:r>
        <w:rPr>
          <w:rFonts w:hint="default" w:ascii="Times New Roman" w:hAnsi="Times New Roman" w:eastAsia="仿宋" w:cs="Times New Roman"/>
          <w:b w:val="0"/>
          <w:bCs/>
          <w:color w:val="auto"/>
          <w:sz w:val="28"/>
          <w:szCs w:val="28"/>
          <w:shd w:val="clear" w:color="auto" w:fill="FFFFFF"/>
          <w:lang w:val="en-US" w:eastAsia="zh-CN"/>
        </w:rPr>
        <w:t>2025年12</w:t>
      </w:r>
      <w:r>
        <w:rPr>
          <w:rFonts w:hint="default" w:ascii="Times New Roman" w:hAnsi="Times New Roman" w:eastAsia="仿宋" w:cs="Times New Roman"/>
          <w:b w:val="0"/>
          <w:bCs/>
          <w:color w:val="auto"/>
          <w:sz w:val="28"/>
          <w:szCs w:val="28"/>
          <w:shd w:val="clear" w:color="auto" w:fill="FFFFFF"/>
        </w:rPr>
        <w:t>月</w:t>
      </w:r>
      <w:r>
        <w:rPr>
          <w:rFonts w:hint="default" w:ascii="Times New Roman" w:hAnsi="Times New Roman" w:eastAsia="仿宋" w:cs="Times New Roman"/>
          <w:b w:val="0"/>
          <w:bCs/>
          <w:color w:val="auto"/>
          <w:sz w:val="28"/>
          <w:szCs w:val="28"/>
          <w:shd w:val="clear" w:color="auto" w:fill="FFFFFF"/>
          <w:lang w:val="en-US" w:eastAsia="zh-CN"/>
        </w:rPr>
        <w:t>组织开展了</w:t>
      </w:r>
      <w:r>
        <w:rPr>
          <w:rFonts w:hint="default" w:ascii="Times New Roman" w:hAnsi="Times New Roman" w:eastAsia="仿宋" w:cs="Times New Roman"/>
          <w:b w:val="0"/>
          <w:bCs/>
          <w:color w:val="auto"/>
          <w:sz w:val="28"/>
          <w:szCs w:val="28"/>
          <w:shd w:val="clear" w:color="auto" w:fill="FFFFFF"/>
        </w:rPr>
        <w:t>工业园固体废物环境管理环保专项</w:t>
      </w:r>
      <w:r>
        <w:rPr>
          <w:rFonts w:hint="default" w:ascii="Times New Roman" w:hAnsi="Times New Roman" w:eastAsia="仿宋" w:cs="Times New Roman"/>
          <w:b w:val="0"/>
          <w:bCs/>
          <w:color w:val="auto"/>
          <w:sz w:val="28"/>
          <w:szCs w:val="28"/>
          <w:shd w:val="clear" w:color="auto" w:fill="FFFFFF"/>
          <w:lang w:val="en-US" w:eastAsia="zh-CN"/>
        </w:rPr>
        <w:t>线上</w:t>
      </w:r>
      <w:r>
        <w:rPr>
          <w:rFonts w:hint="default" w:ascii="Times New Roman" w:hAnsi="Times New Roman" w:eastAsia="仿宋" w:cs="Times New Roman"/>
          <w:b w:val="0"/>
          <w:bCs/>
          <w:color w:val="auto"/>
          <w:sz w:val="28"/>
          <w:szCs w:val="28"/>
          <w:shd w:val="clear" w:color="auto" w:fill="FFFFFF"/>
        </w:rPr>
        <w:t>培训，此次培训</w:t>
      </w:r>
      <w:r>
        <w:rPr>
          <w:rFonts w:hint="default" w:ascii="Times New Roman" w:hAnsi="Times New Roman" w:eastAsia="仿宋" w:cs="Times New Roman"/>
          <w:b w:val="0"/>
          <w:bCs/>
          <w:color w:val="auto"/>
          <w:sz w:val="28"/>
          <w:szCs w:val="28"/>
          <w:shd w:val="clear" w:color="auto" w:fill="FFFFFF"/>
          <w:lang w:val="en-US" w:eastAsia="zh-CN"/>
        </w:rPr>
        <w:t>由环保管家湖南省生态环境厅专家晏培</w:t>
      </w:r>
      <w:r>
        <w:rPr>
          <w:rFonts w:hint="default" w:ascii="Times New Roman" w:hAnsi="Times New Roman" w:eastAsia="仿宋" w:cs="Times New Roman"/>
          <w:b w:val="0"/>
          <w:bCs/>
          <w:color w:val="auto"/>
          <w:sz w:val="28"/>
          <w:szCs w:val="28"/>
          <w:shd w:val="clear" w:color="auto" w:fill="FFFFFF"/>
        </w:rPr>
        <w:t>进行</w:t>
      </w:r>
      <w:r>
        <w:rPr>
          <w:rFonts w:hint="default" w:ascii="Times New Roman" w:hAnsi="Times New Roman" w:eastAsia="仿宋" w:cs="Times New Roman"/>
          <w:b w:val="0"/>
          <w:bCs/>
          <w:color w:val="auto"/>
          <w:sz w:val="28"/>
          <w:szCs w:val="28"/>
          <w:shd w:val="clear" w:color="auto" w:fill="FFFFFF"/>
          <w:lang w:val="en-US" w:eastAsia="zh-CN"/>
        </w:rPr>
        <w:t>线上培训</w:t>
      </w:r>
      <w:r>
        <w:rPr>
          <w:rFonts w:hint="default" w:ascii="Times New Roman" w:hAnsi="Times New Roman" w:eastAsia="仿宋" w:cs="Times New Roman"/>
          <w:b w:val="0"/>
          <w:bCs/>
          <w:color w:val="auto"/>
          <w:sz w:val="28"/>
          <w:szCs w:val="28"/>
          <w:shd w:val="clear" w:color="auto" w:fill="FFFFFF"/>
        </w:rPr>
        <w:t>授课，</w:t>
      </w:r>
      <w:r>
        <w:rPr>
          <w:rFonts w:hint="default" w:ascii="Times New Roman" w:hAnsi="Times New Roman" w:eastAsia="仿宋" w:cs="Times New Roman"/>
          <w:b w:val="0"/>
          <w:bCs/>
          <w:color w:val="auto"/>
          <w:sz w:val="28"/>
          <w:szCs w:val="28"/>
          <w:shd w:val="clear" w:color="auto" w:fill="FFFFFF"/>
          <w:lang w:val="en-US" w:eastAsia="zh-CN"/>
        </w:rPr>
        <w:t>园区各部门及</w:t>
      </w:r>
      <w:r>
        <w:rPr>
          <w:rFonts w:hint="default" w:ascii="Times New Roman" w:hAnsi="Times New Roman" w:eastAsia="仿宋" w:cs="Times New Roman"/>
          <w:b w:val="0"/>
          <w:bCs/>
          <w:color w:val="auto"/>
          <w:sz w:val="28"/>
          <w:szCs w:val="28"/>
          <w:shd w:val="clear" w:color="auto" w:fill="FFFFFF"/>
        </w:rPr>
        <w:t>园区各企业代表均参加了此次培训。本次培训详细解读了国家和湖南省层面关于固体废物环境管理的各项法律法规，企业日常应如何做好危险废物和一般工业固体废物规范化管理工作进行了讲解，具有很强的指导性、针对性和可操作性</w:t>
      </w:r>
      <w:r>
        <w:rPr>
          <w:rFonts w:hint="default" w:ascii="Times New Roman" w:hAnsi="Times New Roman" w:eastAsia="仿宋" w:cs="Times New Roman"/>
          <w:b w:val="0"/>
          <w:bCs/>
          <w:color w:val="auto"/>
          <w:sz w:val="28"/>
          <w:szCs w:val="28"/>
          <w:shd w:val="clear" w:color="auto" w:fill="FFFFFF"/>
          <w:lang w:eastAsia="zh-CN"/>
        </w:rPr>
        <w:t>，</w:t>
      </w:r>
      <w:r>
        <w:rPr>
          <w:rFonts w:hint="default" w:ascii="Times New Roman" w:hAnsi="Times New Roman" w:eastAsia="仿宋" w:cs="Times New Roman"/>
          <w:b w:val="0"/>
          <w:bCs/>
          <w:color w:val="auto"/>
          <w:sz w:val="28"/>
          <w:szCs w:val="28"/>
          <w:shd w:val="clear" w:color="auto" w:fill="FFFFFF"/>
          <w:lang w:val="en-US" w:eastAsia="zh-CN"/>
        </w:rPr>
        <w:t>会上，各企业代表针对日常固体废物环境管理方面存在的难点和问题与专家进行了交流。</w:t>
      </w:r>
    </w:p>
    <w:p w14:paraId="5A1D4E96">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textAlignment w:val="auto"/>
        <w:rPr>
          <w:rFonts w:hint="default" w:ascii="Times New Roman" w:hAnsi="Times New Roman" w:eastAsia="仿宋" w:cs="Times New Roman"/>
          <w:b/>
          <w:color w:val="auto"/>
          <w:sz w:val="28"/>
          <w:szCs w:val="28"/>
          <w:shd w:val="clear" w:color="auto" w:fill="FFFFFF"/>
        </w:rPr>
      </w:pPr>
      <w:r>
        <w:rPr>
          <w:rFonts w:hint="default" w:ascii="Times New Roman" w:hAnsi="Times New Roman" w:eastAsia="仿宋" w:cs="Times New Roman"/>
          <w:b/>
          <w:color w:val="auto"/>
          <w:sz w:val="28"/>
          <w:szCs w:val="28"/>
          <w:shd w:val="clear" w:color="auto" w:fill="FFFFFF"/>
        </w:rPr>
        <w:t>（六）进一步摸清园区环境质量底数</w:t>
      </w:r>
    </w:p>
    <w:p w14:paraId="0ACEF6E8">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 w:cs="Times New Roman"/>
          <w:color w:val="auto"/>
          <w:sz w:val="28"/>
          <w:szCs w:val="28"/>
          <w:shd w:val="clear" w:color="auto" w:fill="FFFFFF"/>
        </w:rPr>
      </w:pPr>
      <w:r>
        <w:rPr>
          <w:rFonts w:hint="default" w:ascii="Times New Roman" w:hAnsi="Times New Roman" w:eastAsia="仿宋" w:cs="Times New Roman"/>
          <w:color w:val="auto"/>
          <w:sz w:val="28"/>
          <w:szCs w:val="28"/>
          <w:shd w:val="clear" w:color="auto" w:fill="FFFFFF"/>
        </w:rPr>
        <w:t>202</w:t>
      </w:r>
      <w:r>
        <w:rPr>
          <w:rFonts w:hint="eastAsia" w:ascii="Times New Roman" w:hAnsi="Times New Roman" w:eastAsia="仿宋" w:cs="Times New Roman"/>
          <w:color w:val="auto"/>
          <w:sz w:val="28"/>
          <w:szCs w:val="28"/>
          <w:shd w:val="clear" w:color="auto" w:fill="FFFFFF"/>
          <w:lang w:val="en-US" w:eastAsia="zh-CN"/>
        </w:rPr>
        <w:t>5</w:t>
      </w:r>
      <w:r>
        <w:rPr>
          <w:rFonts w:hint="default" w:ascii="Times New Roman" w:hAnsi="Times New Roman" w:eastAsia="仿宋" w:cs="Times New Roman"/>
          <w:color w:val="auto"/>
          <w:sz w:val="28"/>
          <w:szCs w:val="28"/>
          <w:shd w:val="clear" w:color="auto" w:fill="FFFFFF"/>
        </w:rPr>
        <w:t>年度，</w:t>
      </w:r>
      <w:r>
        <w:rPr>
          <w:rFonts w:hint="default" w:ascii="Times New Roman" w:hAnsi="Times New Roman" w:eastAsia="仿宋" w:cs="Times New Roman"/>
          <w:b w:val="0"/>
          <w:bCs/>
          <w:color w:val="auto"/>
          <w:sz w:val="28"/>
          <w:szCs w:val="28"/>
          <w:shd w:val="clear" w:color="auto" w:fill="FFFFFF"/>
          <w:lang w:val="en-US" w:eastAsia="zh-CN"/>
        </w:rPr>
        <w:t>怀化高新技术产业开发区鹤城片区</w:t>
      </w:r>
      <w:r>
        <w:rPr>
          <w:rFonts w:hint="default" w:ascii="Times New Roman" w:hAnsi="Times New Roman" w:eastAsia="仿宋" w:cs="Times New Roman"/>
          <w:color w:val="auto"/>
          <w:sz w:val="28"/>
          <w:szCs w:val="28"/>
          <w:shd w:val="clear" w:color="auto" w:fill="FFFFFF"/>
        </w:rPr>
        <w:t>依据跟踪评价提出的例行监测计划，结合园区功能分区及开发现状，对园区内、外环境空气、地表水、地下水、土壤、河流底质等各要素进行了环境质量例行监测，并对监测结果进行了公示。通过园区环境质量例行监测，进一步摸清了园区环境质量现状以及园区规划发展过程对生态环境带来的变化，为后期产业园区的规划发展奠定了基础。</w:t>
      </w:r>
    </w:p>
    <w:p w14:paraId="668DC5FD">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default" w:ascii="Times New Roman" w:hAnsi="Times New Roman" w:eastAsia="仿宋" w:cs="Times New Roman"/>
          <w:b/>
          <w:color w:val="auto"/>
          <w:sz w:val="32"/>
          <w:szCs w:val="28"/>
        </w:rPr>
      </w:pPr>
      <w:bookmarkStart w:id="18" w:name="_Toc22348"/>
      <w:r>
        <w:rPr>
          <w:rFonts w:hint="default" w:ascii="Times New Roman" w:hAnsi="Times New Roman" w:eastAsia="仿宋" w:cs="Times New Roman"/>
          <w:b/>
          <w:color w:val="auto"/>
          <w:sz w:val="32"/>
          <w:szCs w:val="28"/>
        </w:rPr>
        <w:t>四、园区生态环境管理存在主要问题和难题</w:t>
      </w:r>
      <w:bookmarkEnd w:id="18"/>
    </w:p>
    <w:p w14:paraId="3CE76E93">
      <w:pPr>
        <w:ind w:firstLine="562" w:firstLineChars="200"/>
        <w:rPr>
          <w:rFonts w:hint="default" w:ascii="Times New Roman" w:hAnsi="Times New Roman" w:eastAsia="仿宋" w:cs="Times New Roman"/>
          <w:b/>
          <w:bCs/>
          <w:color w:val="auto"/>
          <w:sz w:val="28"/>
          <w:szCs w:val="28"/>
          <w:shd w:val="clear" w:color="auto" w:fill="FFFFFF"/>
          <w:lang w:val="en-US" w:eastAsia="zh-CN"/>
        </w:rPr>
      </w:pPr>
      <w:r>
        <w:rPr>
          <w:rFonts w:hint="default" w:ascii="Times New Roman" w:hAnsi="Times New Roman" w:eastAsia="仿宋" w:cs="Times New Roman"/>
          <w:b/>
          <w:bCs/>
          <w:color w:val="auto"/>
          <w:sz w:val="28"/>
          <w:szCs w:val="28"/>
          <w:shd w:val="clear" w:color="auto" w:fill="FFFFFF"/>
          <w:lang w:val="en-US" w:eastAsia="zh-CN"/>
        </w:rPr>
        <w:t>1、环境管理问题</w:t>
      </w:r>
    </w:p>
    <w:p w14:paraId="6E614615">
      <w:pPr>
        <w:ind w:firstLine="560" w:firstLineChars="200"/>
        <w:rPr>
          <w:rFonts w:hint="default" w:ascii="Times New Roman" w:hAnsi="Times New Roman" w:eastAsia="仿宋" w:cs="Times New Roman"/>
          <w:color w:val="auto"/>
          <w:sz w:val="28"/>
          <w:szCs w:val="28"/>
          <w:shd w:val="clear" w:color="auto" w:fill="FFFFFF"/>
          <w:lang w:val="en-US" w:eastAsia="zh-CN"/>
        </w:rPr>
      </w:pPr>
      <w:r>
        <w:rPr>
          <w:rFonts w:hint="default" w:ascii="Times New Roman" w:hAnsi="Times New Roman" w:eastAsia="仿宋" w:cs="Times New Roman"/>
          <w:color w:val="auto"/>
          <w:sz w:val="28"/>
          <w:szCs w:val="28"/>
          <w:shd w:val="clear" w:color="auto" w:fill="FFFFFF"/>
          <w:lang w:val="en-US" w:eastAsia="zh-CN"/>
        </w:rPr>
        <w:t>（1）园区未及时开展突发环境事件应急预案修编</w:t>
      </w:r>
    </w:p>
    <w:p w14:paraId="2E6AF88F">
      <w:pPr>
        <w:ind w:firstLine="560" w:firstLineChars="200"/>
        <w:rPr>
          <w:rFonts w:hint="default" w:ascii="Times New Roman" w:hAnsi="Times New Roman" w:eastAsia="仿宋" w:cs="Times New Roman"/>
          <w:color w:val="auto"/>
          <w:sz w:val="28"/>
          <w:szCs w:val="28"/>
          <w:shd w:val="clear" w:color="auto" w:fill="FFFFFF"/>
          <w:lang w:val="en-US" w:eastAsia="zh-CN"/>
        </w:rPr>
      </w:pPr>
      <w:r>
        <w:rPr>
          <w:rFonts w:hint="default" w:ascii="Times New Roman" w:hAnsi="Times New Roman" w:eastAsia="仿宋" w:cs="Times New Roman"/>
          <w:color w:val="auto"/>
          <w:sz w:val="28"/>
          <w:szCs w:val="28"/>
          <w:shd w:val="clear" w:color="auto" w:fill="FFFFFF"/>
          <w:lang w:val="en-US" w:eastAsia="zh-CN"/>
        </w:rPr>
        <w:t>《鹤城产业开发区突发环境事件应急预案(2021年修订版)》备案时间为2022年1月28日，根据《突发环境事件应急预案管理暂行办法》第二十三条县级以上人民政府环境保护主管部门或者企业事业单位，应当按照有关法律法规和本办法的规定，根据实际需要和情势变化，依据有关预案编制指南或者编制修订框架指南修订环境应急预案。环境应急预案每三年至少修订一次。</w:t>
      </w:r>
      <w:r>
        <w:rPr>
          <w:rFonts w:hint="eastAsia" w:ascii="Times New Roman" w:hAnsi="Times New Roman" w:eastAsia="仿宋" w:cs="Times New Roman"/>
          <w:color w:val="auto"/>
          <w:sz w:val="28"/>
          <w:szCs w:val="28"/>
          <w:shd w:val="clear" w:color="auto" w:fill="FFFFFF"/>
          <w:lang w:val="en-US" w:eastAsia="zh-CN"/>
        </w:rPr>
        <w:t>截至</w:t>
      </w:r>
      <w:r>
        <w:rPr>
          <w:rFonts w:hint="default" w:ascii="Times New Roman" w:hAnsi="Times New Roman" w:eastAsia="仿宋" w:cs="Times New Roman"/>
          <w:color w:val="auto"/>
          <w:sz w:val="28"/>
          <w:szCs w:val="28"/>
          <w:shd w:val="clear" w:color="auto" w:fill="FFFFFF"/>
          <w:lang w:val="en-US" w:eastAsia="zh-CN"/>
        </w:rPr>
        <w:t>目前，园区还未开展修编工作。</w:t>
      </w:r>
    </w:p>
    <w:p w14:paraId="74FEC95C">
      <w:pPr>
        <w:ind w:firstLine="560" w:firstLineChars="200"/>
        <w:rPr>
          <w:rFonts w:hint="default" w:ascii="Times New Roman" w:hAnsi="Times New Roman" w:eastAsia="仿宋" w:cs="Times New Roman"/>
          <w:color w:val="auto"/>
          <w:sz w:val="28"/>
          <w:szCs w:val="28"/>
          <w:shd w:val="clear" w:color="auto" w:fill="FFFFFF"/>
          <w:lang w:val="en-US" w:eastAsia="zh-CN"/>
        </w:rPr>
      </w:pPr>
      <w:r>
        <w:rPr>
          <w:rFonts w:hint="default" w:ascii="Times New Roman" w:hAnsi="Times New Roman" w:eastAsia="仿宋" w:cs="Times New Roman"/>
          <w:color w:val="auto"/>
          <w:sz w:val="28"/>
          <w:szCs w:val="28"/>
          <w:shd w:val="clear" w:color="auto" w:fill="FFFFFF"/>
          <w:lang w:val="en-US" w:eastAsia="zh-CN"/>
        </w:rPr>
        <w:t>（2）园区企业未及时开展突发环境事件应急预案修编</w:t>
      </w:r>
    </w:p>
    <w:p w14:paraId="3D84BC00">
      <w:pPr>
        <w:ind w:firstLine="560" w:firstLineChars="200"/>
        <w:rPr>
          <w:rFonts w:hint="default" w:ascii="Times New Roman" w:hAnsi="Times New Roman" w:eastAsia="仿宋" w:cs="Times New Roman"/>
          <w:color w:val="auto"/>
          <w:sz w:val="28"/>
          <w:szCs w:val="28"/>
          <w:shd w:val="clear" w:color="auto" w:fill="FFFFFF"/>
          <w:lang w:val="en-US" w:eastAsia="zh-CN"/>
        </w:rPr>
      </w:pPr>
      <w:r>
        <w:rPr>
          <w:rFonts w:hint="default" w:ascii="Times New Roman" w:hAnsi="Times New Roman" w:eastAsia="仿宋" w:cs="Times New Roman"/>
          <w:color w:val="auto"/>
          <w:sz w:val="28"/>
          <w:szCs w:val="28"/>
          <w:shd w:val="clear" w:color="auto" w:fill="FFFFFF"/>
          <w:lang w:val="en-US" w:eastAsia="zh-CN"/>
        </w:rPr>
        <w:t>根据企业环保手续排查，《鹤城工业集中区污水处理厂应急预案》备案时间为2020年11月24日，根据《突发环境事件应急预案管理暂行办法》第二十三条县级以上人民政府环境保护主管部门或者企业事业单位，应当按照有关法律法规和本办法的规定，根据实际需要和情势变化，依据有关预案编制指南或者编制修订框架指南修订环境应急预案。环境应急预案每三年至少修订一次。园区污水厂截</w:t>
      </w:r>
      <w:r>
        <w:rPr>
          <w:rFonts w:hint="eastAsia" w:ascii="Times New Roman" w:hAnsi="Times New Roman" w:eastAsia="仿宋" w:cs="Times New Roman"/>
          <w:color w:val="auto"/>
          <w:sz w:val="28"/>
          <w:szCs w:val="28"/>
          <w:shd w:val="clear" w:color="auto" w:fill="FFFFFF"/>
          <w:lang w:val="en-US" w:eastAsia="zh-CN"/>
        </w:rPr>
        <w:t>至</w:t>
      </w:r>
      <w:r>
        <w:rPr>
          <w:rFonts w:hint="default" w:ascii="Times New Roman" w:hAnsi="Times New Roman" w:eastAsia="仿宋" w:cs="Times New Roman"/>
          <w:color w:val="auto"/>
          <w:sz w:val="28"/>
          <w:szCs w:val="28"/>
          <w:shd w:val="clear" w:color="auto" w:fill="FFFFFF"/>
          <w:lang w:val="en-US" w:eastAsia="zh-CN"/>
        </w:rPr>
        <w:t>目前未开展突发环境事件应急预案修编工作。</w:t>
      </w:r>
    </w:p>
    <w:p w14:paraId="4333F798">
      <w:pPr>
        <w:ind w:firstLine="562" w:firstLineChars="200"/>
        <w:rPr>
          <w:rFonts w:hint="default" w:ascii="Times New Roman" w:hAnsi="Times New Roman" w:eastAsia="仿宋" w:cs="Times New Roman"/>
          <w:b/>
          <w:bCs/>
          <w:color w:val="auto"/>
          <w:sz w:val="28"/>
          <w:szCs w:val="28"/>
          <w:shd w:val="clear" w:color="auto" w:fill="FFFFFF"/>
          <w:lang w:val="en-US" w:eastAsia="zh-CN"/>
        </w:rPr>
      </w:pPr>
      <w:r>
        <w:rPr>
          <w:rFonts w:hint="default" w:ascii="Times New Roman" w:hAnsi="Times New Roman" w:eastAsia="仿宋" w:cs="Times New Roman"/>
          <w:b/>
          <w:bCs/>
          <w:color w:val="auto"/>
          <w:sz w:val="28"/>
          <w:szCs w:val="28"/>
          <w:shd w:val="clear" w:color="auto" w:fill="FFFFFF"/>
          <w:lang w:val="en-US" w:eastAsia="zh-CN"/>
        </w:rPr>
        <w:t>2、困难</w:t>
      </w:r>
    </w:p>
    <w:p w14:paraId="0987FBDE">
      <w:pPr>
        <w:ind w:firstLine="560" w:firstLineChars="200"/>
        <w:rPr>
          <w:rFonts w:hint="default" w:ascii="Times New Roman" w:hAnsi="Times New Roman" w:eastAsia="仿宋" w:cs="Times New Roman"/>
          <w:color w:val="auto"/>
          <w:sz w:val="28"/>
          <w:szCs w:val="28"/>
          <w:shd w:val="clear" w:color="auto" w:fill="FFFFFF"/>
          <w:lang w:val="en-US" w:eastAsia="zh-CN"/>
        </w:rPr>
      </w:pPr>
      <w:r>
        <w:rPr>
          <w:rFonts w:hint="default" w:ascii="Times New Roman" w:hAnsi="Times New Roman" w:eastAsia="仿宋" w:cs="Times New Roman"/>
          <w:color w:val="auto"/>
          <w:sz w:val="28"/>
          <w:szCs w:val="28"/>
          <w:shd w:val="clear" w:color="auto" w:fill="FFFFFF"/>
          <w:lang w:val="en-US" w:eastAsia="zh-CN"/>
        </w:rPr>
        <w:t>（1）企业环保执行力度不够，园区无环保执法权力</w:t>
      </w:r>
    </w:p>
    <w:p w14:paraId="1C366C4A">
      <w:pPr>
        <w:ind w:firstLine="560" w:firstLineChars="200"/>
        <w:rPr>
          <w:rFonts w:hint="default" w:ascii="Times New Roman" w:hAnsi="Times New Roman" w:eastAsia="仿宋" w:cs="Times New Roman"/>
          <w:color w:val="auto"/>
          <w:sz w:val="28"/>
          <w:szCs w:val="28"/>
          <w:shd w:val="clear" w:color="auto" w:fill="FFFFFF"/>
          <w:lang w:val="en-US" w:eastAsia="zh-CN"/>
        </w:rPr>
      </w:pPr>
      <w:r>
        <w:rPr>
          <w:rFonts w:hint="default" w:ascii="Times New Roman" w:hAnsi="Times New Roman" w:eastAsia="仿宋" w:cs="Times New Roman"/>
          <w:color w:val="auto"/>
          <w:sz w:val="28"/>
          <w:szCs w:val="28"/>
          <w:shd w:val="clear" w:color="auto" w:fill="FFFFFF"/>
          <w:lang w:val="en-US" w:eastAsia="zh-CN"/>
        </w:rPr>
        <w:t>园区设置专人负责园区环境管理方面的工作，并聘请第三方治理服务单位，但园区无执法权，对企业相关环保问题整改的执行效果不够，环保监管主要依托怀化市生态环境局鹤城分局，园区环保自行监察能力及环保管理能力需加强。</w:t>
      </w:r>
    </w:p>
    <w:p w14:paraId="18FE5E2B">
      <w:pPr>
        <w:ind w:firstLine="560" w:firstLineChars="200"/>
        <w:rPr>
          <w:rFonts w:hint="default" w:ascii="Times New Roman" w:hAnsi="Times New Roman" w:eastAsia="仿宋" w:cs="Times New Roman"/>
          <w:color w:val="auto"/>
          <w:sz w:val="28"/>
          <w:szCs w:val="28"/>
          <w:shd w:val="clear" w:color="auto" w:fill="FFFFFF"/>
          <w:lang w:val="en-US" w:eastAsia="zh-CN"/>
        </w:rPr>
      </w:pPr>
      <w:r>
        <w:rPr>
          <w:rFonts w:hint="default" w:ascii="Times New Roman" w:hAnsi="Times New Roman" w:eastAsia="仿宋" w:cs="Times New Roman"/>
          <w:color w:val="auto"/>
          <w:sz w:val="28"/>
          <w:szCs w:val="28"/>
          <w:shd w:val="clear" w:color="auto" w:fill="FFFFFF"/>
          <w:lang w:val="en-US" w:eastAsia="zh-CN"/>
        </w:rPr>
        <w:t>（2）经济发展与生态建设难平衡</w:t>
      </w:r>
    </w:p>
    <w:p w14:paraId="308CDE5E">
      <w:pPr>
        <w:rPr>
          <w:rFonts w:hint="default" w:ascii="Times New Roman" w:hAnsi="Times New Roman" w:eastAsia="仿宋" w:cs="Times New Roman"/>
          <w:color w:val="auto"/>
          <w:sz w:val="28"/>
          <w:szCs w:val="28"/>
          <w:shd w:val="clear" w:color="auto" w:fill="FFFFFF"/>
        </w:rPr>
      </w:pPr>
      <w:r>
        <w:rPr>
          <w:rFonts w:hint="default" w:ascii="Times New Roman" w:hAnsi="Times New Roman" w:eastAsia="仿宋" w:cs="Times New Roman"/>
          <w:color w:val="auto"/>
          <w:sz w:val="28"/>
          <w:szCs w:val="28"/>
          <w:shd w:val="clear" w:color="auto" w:fill="FFFFFF"/>
          <w:lang w:val="en-US" w:eastAsia="zh-CN"/>
        </w:rPr>
        <w:t>受全球经济发展减缓影响，园区每年引入的企业数量及项目数量少，引入后能顺利开工建设及投运的更少，已投产企业在全球经济环境影响下，能保持正常生产运营的企业更面临生存挑战，各项环保工作也因此受到一定的影响。</w:t>
      </w:r>
    </w:p>
    <w:p w14:paraId="6D247E8B">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default" w:ascii="Times New Roman" w:hAnsi="Times New Roman" w:eastAsia="仿宋" w:cs="Times New Roman"/>
          <w:b/>
          <w:color w:val="auto"/>
          <w:sz w:val="32"/>
          <w:szCs w:val="28"/>
        </w:rPr>
      </w:pPr>
      <w:bookmarkStart w:id="19" w:name="_Toc15427"/>
      <w:r>
        <w:rPr>
          <w:rFonts w:hint="default" w:ascii="Times New Roman" w:hAnsi="Times New Roman" w:eastAsia="仿宋" w:cs="Times New Roman"/>
          <w:b/>
          <w:color w:val="auto"/>
          <w:sz w:val="32"/>
          <w:szCs w:val="28"/>
        </w:rPr>
        <w:t>五、下一步工作计划</w:t>
      </w:r>
      <w:bookmarkEnd w:id="19"/>
    </w:p>
    <w:p w14:paraId="17DF9E5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b/>
          <w:bCs/>
          <w:color w:val="auto"/>
          <w:sz w:val="28"/>
          <w:szCs w:val="28"/>
        </w:rPr>
      </w:pPr>
      <w:r>
        <w:rPr>
          <w:rFonts w:hint="default" w:ascii="Times New Roman" w:hAnsi="Times New Roman" w:eastAsia="仿宋" w:cs="Times New Roman"/>
          <w:color w:val="auto"/>
          <w:sz w:val="28"/>
          <w:szCs w:val="28"/>
          <w:lang w:val="en-US" w:eastAsia="zh-CN"/>
        </w:rPr>
        <w:t>怀化高新技术产业开发区鹤城片区</w:t>
      </w:r>
      <w:r>
        <w:rPr>
          <w:rFonts w:hint="default" w:ascii="Times New Roman" w:hAnsi="Times New Roman" w:eastAsia="仿宋" w:cs="Times New Roman"/>
          <w:color w:val="auto"/>
          <w:sz w:val="28"/>
          <w:szCs w:val="28"/>
        </w:rPr>
        <w:t>根据国家、省、市关于生态环境保护相关法律法规和相关文件精神要求，进一步规范和加强园区生态环境管理工作，确保园区经济高质量绿色发展。</w:t>
      </w:r>
    </w:p>
    <w:p w14:paraId="612A0EEB">
      <w:pPr>
        <w:pStyle w:val="2"/>
        <w:keepNext w:val="0"/>
        <w:keepLines w:val="0"/>
        <w:pageBreakBefore w:val="0"/>
        <w:numPr>
          <w:ilvl w:val="0"/>
          <w:numId w:val="3"/>
        </w:numPr>
        <w:kinsoku/>
        <w:wordWrap/>
        <w:overflowPunct/>
        <w:topLinePunct w:val="0"/>
        <w:autoSpaceDE/>
        <w:autoSpaceDN/>
        <w:bidi w:val="0"/>
        <w:adjustRightInd/>
        <w:snapToGrid/>
        <w:spacing w:after="0" w:line="360" w:lineRule="auto"/>
        <w:ind w:leftChars="0" w:firstLineChars="0"/>
        <w:textAlignment w:val="auto"/>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lang w:val="en-US" w:eastAsia="zh-CN"/>
        </w:rPr>
        <w:t>积极推进园区小微企业危险废物收集试点</w:t>
      </w:r>
    </w:p>
    <w:p w14:paraId="6B86FD2C">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560" w:firstLineChars="200"/>
        <w:textAlignment w:val="auto"/>
        <w:rPr>
          <w:rFonts w:hint="default" w:ascii="Times New Roman" w:hAnsi="Times New Roman" w:eastAsia="仿宋" w:cs="Times New Roman"/>
          <w:b w:val="0"/>
          <w:bCs w:val="0"/>
          <w:color w:val="auto"/>
          <w:sz w:val="28"/>
          <w:szCs w:val="28"/>
          <w:lang w:val="en-US" w:eastAsia="zh-CN"/>
        </w:rPr>
      </w:pPr>
      <w:r>
        <w:rPr>
          <w:rFonts w:hint="default" w:ascii="Times New Roman" w:hAnsi="Times New Roman" w:eastAsia="仿宋" w:cs="Times New Roman"/>
          <w:b w:val="0"/>
          <w:bCs w:val="0"/>
          <w:color w:val="auto"/>
          <w:sz w:val="28"/>
          <w:szCs w:val="28"/>
          <w:lang w:val="en-US" w:eastAsia="zh-CN"/>
        </w:rPr>
        <w:t>目前，园区小微企业危险废物收集试点工作</w:t>
      </w:r>
      <w:r>
        <w:rPr>
          <w:rFonts w:hint="eastAsia" w:ascii="Times New Roman" w:hAnsi="Times New Roman" w:eastAsia="仿宋" w:cs="Times New Roman"/>
          <w:b w:val="0"/>
          <w:bCs w:val="0"/>
          <w:color w:val="auto"/>
          <w:sz w:val="28"/>
          <w:szCs w:val="28"/>
          <w:lang w:val="en-US" w:eastAsia="zh-CN"/>
        </w:rPr>
        <w:t>已初步完成</w:t>
      </w:r>
      <w:r>
        <w:rPr>
          <w:rFonts w:hint="default" w:ascii="Times New Roman" w:hAnsi="Times New Roman" w:eastAsia="仿宋" w:cs="Times New Roman"/>
          <w:b w:val="0"/>
          <w:bCs w:val="0"/>
          <w:color w:val="auto"/>
          <w:sz w:val="28"/>
          <w:szCs w:val="28"/>
          <w:lang w:val="en-US" w:eastAsia="zh-CN"/>
        </w:rPr>
        <w:t>建设工作，以便解决园区小微企业危险废物收集、暂存、转运困难，费用高的实际问题，有利于进一步完善园区危险废物管理体系的建设。同时，202</w:t>
      </w:r>
      <w:r>
        <w:rPr>
          <w:rFonts w:hint="eastAsia" w:ascii="Times New Roman" w:hAnsi="Times New Roman" w:eastAsia="仿宋" w:cs="Times New Roman"/>
          <w:b w:val="0"/>
          <w:bCs w:val="0"/>
          <w:color w:val="auto"/>
          <w:sz w:val="28"/>
          <w:szCs w:val="28"/>
          <w:lang w:val="en-US" w:eastAsia="zh-CN"/>
        </w:rPr>
        <w:t>6</w:t>
      </w:r>
      <w:r>
        <w:rPr>
          <w:rFonts w:hint="default" w:ascii="Times New Roman" w:hAnsi="Times New Roman" w:eastAsia="仿宋" w:cs="Times New Roman"/>
          <w:b w:val="0"/>
          <w:bCs w:val="0"/>
          <w:color w:val="auto"/>
          <w:sz w:val="28"/>
          <w:szCs w:val="28"/>
          <w:lang w:val="en-US" w:eastAsia="zh-CN"/>
        </w:rPr>
        <w:t>年度，园区扎实做好园区企业危险废物专项大排查，进一步健全园区危险废物产生单位清单。</w:t>
      </w:r>
    </w:p>
    <w:p w14:paraId="1C526050">
      <w:pPr>
        <w:pStyle w:val="2"/>
        <w:keepNext w:val="0"/>
        <w:keepLines w:val="0"/>
        <w:pageBreakBefore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 xml:space="preserve"> </w:t>
      </w:r>
      <w:r>
        <w:rPr>
          <w:rFonts w:hint="default" w:ascii="Times New Roman" w:hAnsi="Times New Roman" w:eastAsia="仿宋" w:cs="Times New Roman"/>
          <w:b/>
          <w:bCs/>
          <w:color w:val="auto"/>
          <w:sz w:val="28"/>
          <w:szCs w:val="28"/>
          <w:lang w:val="en-US" w:eastAsia="zh-CN"/>
        </w:rPr>
        <w:t xml:space="preserve">  </w:t>
      </w:r>
      <w:r>
        <w:rPr>
          <w:rFonts w:hint="default" w:ascii="Times New Roman" w:hAnsi="Times New Roman" w:eastAsia="仿宋" w:cs="Times New Roman"/>
          <w:b/>
          <w:bCs/>
          <w:color w:val="auto"/>
          <w:sz w:val="28"/>
          <w:szCs w:val="28"/>
        </w:rPr>
        <w:t>（二）完善园区环境基础设施建设</w:t>
      </w:r>
    </w:p>
    <w:p w14:paraId="5D270C4A">
      <w:pPr>
        <w:pStyle w:val="8"/>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560" w:firstLineChars="200"/>
        <w:jc w:val="both"/>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rPr>
        <w:t>加强园区招商，加快园区开发进度。进一步加强园区环保基础设施建设工作，严格执行管网铺设到哪里，哪里才能开发建设</w:t>
      </w:r>
      <w:bookmarkStart w:id="20" w:name="_GoBack"/>
      <w:bookmarkEnd w:id="20"/>
      <w:r>
        <w:rPr>
          <w:rFonts w:hint="default" w:ascii="Times New Roman" w:hAnsi="Times New Roman" w:eastAsia="仿宋" w:cs="Times New Roman"/>
          <w:color w:val="auto"/>
          <w:sz w:val="28"/>
          <w:szCs w:val="28"/>
        </w:rPr>
        <w:t>的原则，确保入驻企业废水100%得到收集并集中处理达标排放。针对园区片区二市政管网不完善的现状，</w:t>
      </w:r>
      <w:r>
        <w:rPr>
          <w:rFonts w:hint="default" w:ascii="Times New Roman" w:hAnsi="Times New Roman" w:eastAsia="仿宋" w:cs="Times New Roman"/>
          <w:color w:val="auto"/>
          <w:sz w:val="28"/>
          <w:szCs w:val="28"/>
          <w:lang w:val="en-US" w:eastAsia="zh-CN"/>
        </w:rPr>
        <w:t>进一步</w:t>
      </w:r>
      <w:r>
        <w:rPr>
          <w:rFonts w:hint="eastAsia" w:ascii="Times New Roman" w:hAnsi="Times New Roman" w:eastAsia="仿宋" w:cs="Times New Roman"/>
          <w:color w:val="auto"/>
          <w:sz w:val="28"/>
          <w:szCs w:val="28"/>
          <w:lang w:val="en-US" w:eastAsia="zh-CN"/>
        </w:rPr>
        <w:t>推进</w:t>
      </w:r>
      <w:r>
        <w:rPr>
          <w:rFonts w:hint="default" w:ascii="Times New Roman" w:hAnsi="Times New Roman" w:eastAsia="仿宋" w:cs="Times New Roman"/>
          <w:color w:val="auto"/>
          <w:sz w:val="28"/>
          <w:szCs w:val="28"/>
          <w:lang w:val="en-US" w:eastAsia="zh-CN"/>
        </w:rPr>
        <w:t>片区二废水收集及处置</w:t>
      </w:r>
      <w:r>
        <w:rPr>
          <w:rFonts w:hint="eastAsia" w:ascii="Times New Roman" w:hAnsi="Times New Roman" w:eastAsia="仿宋" w:cs="Times New Roman"/>
          <w:color w:val="auto"/>
          <w:sz w:val="28"/>
          <w:szCs w:val="28"/>
          <w:lang w:val="en-US" w:eastAsia="zh-CN"/>
        </w:rPr>
        <w:t>建设工作，</w:t>
      </w:r>
      <w:r>
        <w:rPr>
          <w:rFonts w:hint="default" w:ascii="Times New Roman" w:hAnsi="Times New Roman" w:eastAsia="仿宋" w:cs="Times New Roman"/>
          <w:color w:val="auto"/>
          <w:sz w:val="28"/>
          <w:szCs w:val="28"/>
        </w:rPr>
        <w:t>确保废水应收尽收。</w:t>
      </w:r>
    </w:p>
    <w:p w14:paraId="5C6B1070">
      <w:pPr>
        <w:pStyle w:val="2"/>
        <w:keepNext w:val="0"/>
        <w:keepLines w:val="0"/>
        <w:pageBreakBefore w:val="0"/>
        <w:numPr>
          <w:ilvl w:val="0"/>
          <w:numId w:val="3"/>
        </w:numPr>
        <w:kinsoku/>
        <w:wordWrap/>
        <w:overflowPunct/>
        <w:topLinePunct w:val="0"/>
        <w:autoSpaceDE/>
        <w:autoSpaceDN/>
        <w:bidi w:val="0"/>
        <w:adjustRightInd/>
        <w:snapToGrid/>
        <w:spacing w:after="0" w:line="360" w:lineRule="auto"/>
        <w:ind w:left="0" w:leftChars="0" w:firstLine="420" w:firstLineChars="0"/>
        <w:textAlignment w:val="auto"/>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lang w:val="en-US" w:eastAsia="zh-CN"/>
        </w:rPr>
        <w:t>加强园区应急能力建设，完成园区突发环境事件应急预案</w:t>
      </w:r>
    </w:p>
    <w:p w14:paraId="2561404D">
      <w:pPr>
        <w:pStyle w:val="2"/>
        <w:keepNext w:val="0"/>
        <w:keepLines w:val="0"/>
        <w:pageBreakBefore w:val="0"/>
        <w:numPr>
          <w:ilvl w:val="0"/>
          <w:numId w:val="0"/>
        </w:numPr>
        <w:kinsoku/>
        <w:wordWrap/>
        <w:overflowPunct/>
        <w:topLinePunct w:val="0"/>
        <w:autoSpaceDE/>
        <w:autoSpaceDN/>
        <w:bidi w:val="0"/>
        <w:adjustRightInd/>
        <w:snapToGrid/>
        <w:spacing w:after="0" w:line="360" w:lineRule="auto"/>
        <w:textAlignment w:val="auto"/>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lang w:val="en-US" w:eastAsia="zh-CN"/>
        </w:rPr>
        <w:t>修编工作</w:t>
      </w:r>
    </w:p>
    <w:p w14:paraId="582DF3FF">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 w:cs="Times New Roman"/>
          <w:b w:val="0"/>
          <w:bCs w:val="0"/>
          <w:color w:val="auto"/>
          <w:sz w:val="28"/>
          <w:szCs w:val="28"/>
          <w:lang w:val="en-US" w:eastAsia="zh-CN"/>
        </w:rPr>
      </w:pPr>
      <w:r>
        <w:rPr>
          <w:rFonts w:hint="default" w:ascii="Times New Roman" w:hAnsi="Times New Roman" w:eastAsia="仿宋" w:cs="Times New Roman"/>
          <w:b w:val="0"/>
          <w:bCs w:val="0"/>
          <w:color w:val="auto"/>
          <w:sz w:val="28"/>
          <w:szCs w:val="28"/>
          <w:lang w:val="en-US" w:eastAsia="zh-CN"/>
        </w:rPr>
        <w:t>进一步完善风险排查制度并加强排查落实，定期开展环境问题大排查行动，指导园区企业落实各项风险防范措施。依托园区空气小微站建立大气环境预警体系、依托已投用的园区环境管理监管信息平台增强预警能力，加强园区突发环境事件应急演练，切实把环境风险管控落实在隐患前面，把隐患排查治理落实在事故前面，进一步加强园区应急能力建设，并推进落实园区突发事件应急预案修编工作。</w:t>
      </w:r>
    </w:p>
    <w:p w14:paraId="0B2E6AF2">
      <w:pPr>
        <w:rPr>
          <w:rFonts w:hint="default" w:ascii="Times New Roman" w:hAnsi="Times New Roman" w:eastAsia="仿宋" w:cs="Times New Roman"/>
          <w:b w:val="0"/>
          <w:bCs w:val="0"/>
          <w:color w:val="auto"/>
          <w:sz w:val="28"/>
          <w:szCs w:val="28"/>
          <w:lang w:val="en-US" w:eastAsia="zh-CN"/>
        </w:rPr>
      </w:pPr>
      <w:r>
        <w:rPr>
          <w:rFonts w:hint="default" w:ascii="Times New Roman" w:hAnsi="Times New Roman" w:eastAsia="仿宋" w:cs="Times New Roman"/>
          <w:b w:val="0"/>
          <w:bCs w:val="0"/>
          <w:color w:val="auto"/>
          <w:sz w:val="28"/>
          <w:szCs w:val="28"/>
          <w:lang w:val="en-US" w:eastAsia="zh-CN"/>
        </w:rPr>
        <w:t>1、针对园区突发环境事件应急预案修编，园区已列入2026年环保资金支出计划，力争在2026年完成园区突发环境事件应急预案修编及备案。</w:t>
      </w:r>
    </w:p>
    <w:p w14:paraId="51458054">
      <w:pPr>
        <w:rPr>
          <w:rFonts w:hint="default" w:ascii="Times New Roman" w:hAnsi="Times New Roman" w:eastAsia="仿宋" w:cs="Times New Roman"/>
          <w:b w:val="0"/>
          <w:bCs w:val="0"/>
          <w:color w:val="auto"/>
          <w:sz w:val="28"/>
          <w:szCs w:val="28"/>
          <w:lang w:val="en-US" w:eastAsia="zh-CN"/>
        </w:rPr>
      </w:pPr>
      <w:r>
        <w:rPr>
          <w:rFonts w:hint="default" w:ascii="Times New Roman" w:hAnsi="Times New Roman" w:eastAsia="仿宋" w:cs="Times New Roman"/>
          <w:b w:val="0"/>
          <w:bCs w:val="0"/>
          <w:color w:val="auto"/>
          <w:sz w:val="28"/>
          <w:szCs w:val="28"/>
          <w:lang w:val="en-US" w:eastAsia="zh-CN"/>
        </w:rPr>
        <w:t>2、针对园区污水处理厂突发环境事件应急预案修编不及时问题，园区计划在2026年完成污水处理厂应急预案修编工作。</w:t>
      </w:r>
    </w:p>
    <w:p w14:paraId="347A3845">
      <w:pPr>
        <w:pStyle w:val="2"/>
        <w:keepNext w:val="0"/>
        <w:keepLines w:val="0"/>
        <w:pageBreakBefore w:val="0"/>
        <w:numPr>
          <w:ilvl w:val="0"/>
          <w:numId w:val="0"/>
        </w:numPr>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lang w:val="en-US" w:eastAsia="zh-CN"/>
        </w:rPr>
        <w:t>（四）持续落实环境污染第三方治理工作</w:t>
      </w:r>
    </w:p>
    <w:p w14:paraId="2E71E353">
      <w:pPr>
        <w:pStyle w:val="2"/>
        <w:keepNext w:val="0"/>
        <w:keepLines w:val="0"/>
        <w:pageBreakBefore w:val="0"/>
        <w:numPr>
          <w:ilvl w:val="0"/>
          <w:numId w:val="0"/>
        </w:numPr>
        <w:kinsoku/>
        <w:wordWrap/>
        <w:overflowPunct/>
        <w:topLinePunct w:val="0"/>
        <w:autoSpaceDE/>
        <w:autoSpaceDN/>
        <w:bidi w:val="0"/>
        <w:adjustRightInd/>
        <w:snapToGrid/>
        <w:spacing w:after="0" w:line="360" w:lineRule="auto"/>
        <w:ind w:firstLine="480"/>
        <w:textAlignment w:val="auto"/>
        <w:rPr>
          <w:rFonts w:hint="default" w:ascii="Times New Roman" w:hAnsi="Times New Roman" w:eastAsia="仿宋" w:cs="Times New Roman"/>
          <w:b w:val="0"/>
          <w:bCs w:val="0"/>
          <w:color w:val="auto"/>
          <w:sz w:val="28"/>
          <w:szCs w:val="28"/>
          <w:lang w:val="en-US" w:eastAsia="zh-CN"/>
        </w:rPr>
      </w:pPr>
      <w:r>
        <w:rPr>
          <w:rFonts w:hint="default" w:ascii="Times New Roman" w:hAnsi="Times New Roman" w:eastAsia="仿宋" w:cs="Times New Roman"/>
          <w:b w:val="0"/>
          <w:bCs w:val="0"/>
          <w:color w:val="auto"/>
          <w:sz w:val="28"/>
          <w:szCs w:val="28"/>
          <w:lang w:val="en-US" w:eastAsia="zh-CN"/>
        </w:rPr>
        <w:t>202</w:t>
      </w:r>
      <w:r>
        <w:rPr>
          <w:rFonts w:hint="eastAsia" w:ascii="Times New Roman" w:hAnsi="Times New Roman" w:eastAsia="仿宋" w:cs="Times New Roman"/>
          <w:b w:val="0"/>
          <w:bCs w:val="0"/>
          <w:color w:val="auto"/>
          <w:sz w:val="28"/>
          <w:szCs w:val="28"/>
          <w:lang w:val="en-US" w:eastAsia="zh-CN"/>
        </w:rPr>
        <w:t>6</w:t>
      </w:r>
      <w:r>
        <w:rPr>
          <w:rFonts w:hint="default" w:ascii="Times New Roman" w:hAnsi="Times New Roman" w:eastAsia="仿宋" w:cs="Times New Roman"/>
          <w:b w:val="0"/>
          <w:bCs w:val="0"/>
          <w:color w:val="auto"/>
          <w:sz w:val="28"/>
          <w:szCs w:val="28"/>
          <w:lang w:val="en-US" w:eastAsia="zh-CN"/>
        </w:rPr>
        <w:t>年度，园区将总结经验，巩固环境污染第三方治理成果，继续抓紧园区企业水、气、固体废物及噪声的污染防治，以现场核查为手段，以台账检查为抓手，帮助园区入驻企业建立完善的环境管理机制，切实提升园区及企业环境污染治理水平和污染物排放管控水平，推动园区绿色高质量发展。</w:t>
      </w:r>
    </w:p>
    <w:p w14:paraId="64118230">
      <w:pPr>
        <w:pStyle w:val="2"/>
        <w:numPr>
          <w:ilvl w:val="0"/>
          <w:numId w:val="0"/>
        </w:numPr>
        <w:spacing w:after="0" w:line="360" w:lineRule="auto"/>
        <w:ind w:firstLine="480"/>
        <w:rPr>
          <w:rFonts w:hint="default" w:ascii="Times New Roman" w:hAnsi="Times New Roman" w:eastAsia="仿宋" w:cs="Times New Roman"/>
          <w:b/>
          <w:bCs/>
          <w:color w:val="auto"/>
          <w:sz w:val="28"/>
          <w:szCs w:val="28"/>
          <w:lang w:val="en-US" w:eastAsia="zh-CN"/>
        </w:rPr>
      </w:pPr>
    </w:p>
    <w:p w14:paraId="190CE04E">
      <w:pPr>
        <w:rPr>
          <w:rFonts w:hint="default"/>
          <w:lang w:val="en-US" w:eastAsia="zh-CN"/>
        </w:rPr>
      </w:pPr>
    </w:p>
    <w:p w14:paraId="44378BAB">
      <w:pPr>
        <w:pStyle w:val="2"/>
        <w:numPr>
          <w:ilvl w:val="0"/>
          <w:numId w:val="0"/>
        </w:numPr>
        <w:spacing w:after="0" w:line="360" w:lineRule="auto"/>
        <w:ind w:firstLine="480"/>
        <w:jc w:val="right"/>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lang w:val="en-US" w:eastAsia="zh-CN"/>
        </w:rPr>
        <w:t>怀化高新技术产业开发区鹤城片区管理办公室</w:t>
      </w:r>
    </w:p>
    <w:p w14:paraId="391DCABD">
      <w:pPr>
        <w:pStyle w:val="2"/>
        <w:numPr>
          <w:ilvl w:val="0"/>
          <w:numId w:val="0"/>
        </w:numPr>
        <w:spacing w:after="0" w:line="360" w:lineRule="auto"/>
        <w:ind w:firstLine="480"/>
        <w:jc w:val="right"/>
        <w:rPr>
          <w:rFonts w:hint="default" w:ascii="Times New Roman" w:hAnsi="Times New Roman" w:eastAsia="仿宋" w:cs="Times New Roman"/>
          <w:color w:val="auto"/>
          <w:sz w:val="28"/>
          <w:szCs w:val="28"/>
        </w:rPr>
      </w:pPr>
      <w:r>
        <w:rPr>
          <w:rFonts w:hint="default" w:ascii="Times New Roman" w:hAnsi="Times New Roman" w:eastAsia="仿宋" w:cs="Times New Roman"/>
          <w:b/>
          <w:bCs/>
          <w:color w:val="auto"/>
          <w:sz w:val="32"/>
          <w:szCs w:val="32"/>
          <w:lang w:val="en-US" w:eastAsia="zh-CN"/>
        </w:rPr>
        <w:t>202</w:t>
      </w:r>
      <w:r>
        <w:rPr>
          <w:rFonts w:hint="eastAsia" w:ascii="Times New Roman" w:hAnsi="Times New Roman" w:eastAsia="仿宋" w:cs="Times New Roman"/>
          <w:b/>
          <w:bCs/>
          <w:color w:val="auto"/>
          <w:sz w:val="32"/>
          <w:szCs w:val="32"/>
          <w:lang w:val="en-US" w:eastAsia="zh-CN"/>
        </w:rPr>
        <w:t>6</w:t>
      </w:r>
      <w:r>
        <w:rPr>
          <w:rFonts w:hint="default" w:ascii="Times New Roman" w:hAnsi="Times New Roman" w:eastAsia="仿宋" w:cs="Times New Roman"/>
          <w:b/>
          <w:bCs/>
          <w:color w:val="auto"/>
          <w:sz w:val="32"/>
          <w:szCs w:val="32"/>
          <w:lang w:val="en-US" w:eastAsia="zh-CN"/>
        </w:rPr>
        <w:t>年</w:t>
      </w:r>
      <w:r>
        <w:rPr>
          <w:rFonts w:hint="eastAsia" w:ascii="Times New Roman" w:hAnsi="Times New Roman" w:eastAsia="仿宋" w:cs="Times New Roman"/>
          <w:b/>
          <w:bCs/>
          <w:color w:val="auto"/>
          <w:sz w:val="32"/>
          <w:szCs w:val="32"/>
          <w:lang w:val="en-US" w:eastAsia="zh-CN"/>
        </w:rPr>
        <w:t>1</w:t>
      </w:r>
      <w:r>
        <w:rPr>
          <w:rFonts w:hint="default" w:ascii="Times New Roman" w:hAnsi="Times New Roman" w:eastAsia="仿宋" w:cs="Times New Roman"/>
          <w:b/>
          <w:bCs/>
          <w:color w:val="auto"/>
          <w:sz w:val="32"/>
          <w:szCs w:val="32"/>
          <w:lang w:val="en-US" w:eastAsia="zh-CN"/>
        </w:rPr>
        <w:t>月</w:t>
      </w:r>
      <w:r>
        <w:rPr>
          <w:rFonts w:hint="eastAsia" w:ascii="Times New Roman" w:hAnsi="Times New Roman" w:eastAsia="仿宋" w:cs="Times New Roman"/>
          <w:b/>
          <w:bCs/>
          <w:color w:val="auto"/>
          <w:sz w:val="32"/>
          <w:szCs w:val="32"/>
          <w:lang w:val="en-US" w:eastAsia="zh-CN"/>
        </w:rPr>
        <w:t>1</w:t>
      </w:r>
      <w:r>
        <w:rPr>
          <w:rFonts w:hint="default" w:ascii="Times New Roman" w:hAnsi="Times New Roman" w:eastAsia="仿宋" w:cs="Times New Roman"/>
          <w:b/>
          <w:bCs/>
          <w:color w:val="auto"/>
          <w:sz w:val="32"/>
          <w:szCs w:val="32"/>
          <w:lang w:val="en-US" w:eastAsia="zh-CN"/>
        </w:rPr>
        <w:t>日</w:t>
      </w:r>
      <w:bookmarkEnd w:id="0"/>
    </w:p>
    <w:p w14:paraId="22E6565B">
      <w:pPr>
        <w:pStyle w:val="2"/>
        <w:spacing w:after="0" w:line="600" w:lineRule="exact"/>
        <w:ind w:left="0" w:leftChars="0" w:firstLine="562"/>
        <w:jc w:val="right"/>
        <w:rPr>
          <w:rFonts w:hint="default" w:ascii="Times New Roman" w:hAnsi="Times New Roman" w:eastAsia="仿宋" w:cs="Times New Roman"/>
          <w:b/>
          <w:color w:val="auto"/>
          <w:sz w:val="28"/>
          <w:szCs w:val="28"/>
        </w:rPr>
      </w:pPr>
      <w:r>
        <w:rPr>
          <w:rFonts w:hint="default" w:ascii="Times New Roman" w:hAnsi="Times New Roman" w:eastAsia="仿宋" w:cs="Times New Roman"/>
          <w:color w:val="auto"/>
          <w:sz w:val="28"/>
          <w:szCs w:val="28"/>
        </w:rPr>
        <w:t xml:space="preserve">       </w:t>
      </w: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7F" w:usb3="00000000" w:csb0="203F01FF" w:csb1="D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20D65">
    <w:pPr>
      <w:pStyle w:val="11"/>
      <w:jc w:val="cen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FD77A">
    <w:pPr>
      <w:pStyle w:val="11"/>
      <w:jc w:val="center"/>
      <w:rPr>
        <w:rFonts w:ascii="Times New Roman" w:hAnsi="Times New Roman" w:cs="Times New Roman"/>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45855">
    <w:pPr>
      <w:pStyle w:val="11"/>
      <w:jc w:val="center"/>
      <w:rPr>
        <w:rFonts w:ascii="Times New Roman" w:hAnsi="Times New Roman"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7000" cy="230505"/>
              <wp:effectExtent l="0" t="0" r="0" b="0"/>
              <wp:wrapNone/>
              <wp:docPr id="7" name="文本框 1"/>
              <wp:cNvGraphicFramePr/>
              <a:graphic xmlns:a="http://schemas.openxmlformats.org/drawingml/2006/main">
                <a:graphicData uri="http://schemas.microsoft.com/office/word/2010/wordprocessingShape">
                  <wps:wsp>
                    <wps:cNvSpPr>
                      <a:spLocks noChangeArrowheads="1"/>
                    </wps:cNvSpPr>
                    <wps:spPr bwMode="auto">
                      <a:xfrm>
                        <a:off x="0" y="0"/>
                        <a:ext cx="127000" cy="230505"/>
                      </a:xfrm>
                      <a:prstGeom prst="rect">
                        <a:avLst/>
                      </a:prstGeom>
                      <a:noFill/>
                      <a:ln>
                        <a:noFill/>
                      </a:ln>
                    </wps:spPr>
                    <wps:txbx>
                      <w:txbxContent>
                        <w:p w14:paraId="22EED0CE">
                          <w:pPr>
                            <w:pStyle w:val="11"/>
                            <w:jc w:val="center"/>
                            <w:rPr>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PAGE   \* MERGEFORMAT</w:instrText>
                          </w:r>
                          <w:r>
                            <w:rPr>
                              <w:rFonts w:hint="eastAsia" w:ascii="仿宋_GB2312" w:hAnsi="仿宋_GB2312" w:eastAsia="仿宋_GB2312" w:cs="仿宋_GB2312"/>
                              <w:sz w:val="21"/>
                              <w:szCs w:val="21"/>
                            </w:rPr>
                            <w:fldChar w:fldCharType="separate"/>
                          </w:r>
                          <w:r>
                            <w:rPr>
                              <w:rFonts w:ascii="仿宋_GB2312" w:hAnsi="仿宋_GB2312" w:eastAsia="仿宋_GB2312" w:cs="仿宋_GB2312"/>
                              <w:sz w:val="21"/>
                              <w:szCs w:val="21"/>
                              <w:lang w:val="zh-CN"/>
                            </w:rPr>
                            <w:t>4</w:t>
                          </w:r>
                          <w:r>
                            <w:rPr>
                              <w:rFonts w:hint="eastAsia" w:ascii="仿宋_GB2312" w:hAnsi="仿宋_GB2312" w:eastAsia="仿宋_GB2312" w:cs="仿宋_GB2312"/>
                              <w:sz w:val="21"/>
                              <w:szCs w:val="21"/>
                            </w:rPr>
                            <w:fldChar w:fldCharType="end"/>
                          </w:r>
                        </w:p>
                      </w:txbxContent>
                    </wps:txbx>
                    <wps:bodyPr rot="0" vert="horz" wrap="square" lIns="0" tIns="0" rIns="0" bIns="0" anchor="t" anchorCtr="0" upright="1">
                      <a:spAutoFit/>
                    </wps:bodyPr>
                  </wps:wsp>
                </a:graphicData>
              </a:graphic>
            </wp:anchor>
          </w:drawing>
        </mc:Choice>
        <mc:Fallback>
          <w:pict>
            <v:rect id="文本框 1" o:spid="_x0000_s1026" o:spt="1" style="position:absolute;left:0pt;margin-top:0pt;height:18.15pt;width:10pt;mso-position-horizontal:center;mso-position-horizontal-relative:margin;z-index:251659264;mso-width-relative:page;mso-height-relative:page;" filled="f" stroked="f" coordsize="21600,21600" o:gfxdata="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MhYJe0wAAAAMBAAAPAAAAAAAAAAEAIAAAACIAAABkcnMvZG93&#10;bnJldi54bWxQSwECFAAUAAAACACHTuJAnxbRpQUCAAD6AwAADgAAAAAAAAABACAAAAAiAQAAZHJz&#10;L2Uyb0RvYy54bWxQSwUGAAAAAAYABgBZAQAAmQUAAAAA&#10;">
              <v:fill on="f" focussize="0,0"/>
              <v:stroke on="f"/>
              <v:imagedata o:title=""/>
              <o:lock v:ext="edit" aspectratio="f"/>
              <v:textbox inset="0mm,0mm,0mm,0mm" style="mso-fit-shape-to-text:t;">
                <w:txbxContent>
                  <w:p w14:paraId="22EED0CE">
                    <w:pPr>
                      <w:pStyle w:val="11"/>
                      <w:jc w:val="center"/>
                      <w:rPr>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PAGE   \* MERGEFORMAT</w:instrText>
                    </w:r>
                    <w:r>
                      <w:rPr>
                        <w:rFonts w:hint="eastAsia" w:ascii="仿宋_GB2312" w:hAnsi="仿宋_GB2312" w:eastAsia="仿宋_GB2312" w:cs="仿宋_GB2312"/>
                        <w:sz w:val="21"/>
                        <w:szCs w:val="21"/>
                      </w:rPr>
                      <w:fldChar w:fldCharType="separate"/>
                    </w:r>
                    <w:r>
                      <w:rPr>
                        <w:rFonts w:ascii="仿宋_GB2312" w:hAnsi="仿宋_GB2312" w:eastAsia="仿宋_GB2312" w:cs="仿宋_GB2312"/>
                        <w:sz w:val="21"/>
                        <w:szCs w:val="21"/>
                        <w:lang w:val="zh-CN"/>
                      </w:rPr>
                      <w:t>4</w:t>
                    </w:r>
                    <w:r>
                      <w:rPr>
                        <w:rFonts w:hint="eastAsia" w:ascii="仿宋_GB2312" w:hAnsi="仿宋_GB2312" w:eastAsia="仿宋_GB2312" w:cs="仿宋_GB2312"/>
                        <w:sz w:val="21"/>
                        <w:szCs w:val="21"/>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1955E6"/>
    <w:multiLevelType w:val="singleLevel"/>
    <w:tmpl w:val="091955E6"/>
    <w:lvl w:ilvl="0" w:tentative="0">
      <w:start w:val="1"/>
      <w:numFmt w:val="chineseCounting"/>
      <w:suff w:val="nothing"/>
      <w:lvlText w:val="（%1）"/>
      <w:lvlJc w:val="left"/>
      <w:pPr>
        <w:ind w:left="0" w:firstLine="420"/>
      </w:pPr>
      <w:rPr>
        <w:rFonts w:hint="eastAsia"/>
      </w:rPr>
    </w:lvl>
  </w:abstractNum>
  <w:abstractNum w:abstractNumId="1">
    <w:nsid w:val="1751B735"/>
    <w:multiLevelType w:val="singleLevel"/>
    <w:tmpl w:val="1751B735"/>
    <w:lvl w:ilvl="0" w:tentative="0">
      <w:start w:val="2"/>
      <w:numFmt w:val="chineseCounting"/>
      <w:suff w:val="nothing"/>
      <w:lvlText w:val="（%1）"/>
      <w:lvlJc w:val="left"/>
      <w:rPr>
        <w:rFonts w:hint="eastAsia"/>
      </w:rPr>
    </w:lvl>
  </w:abstractNum>
  <w:abstractNum w:abstractNumId="2">
    <w:nsid w:val="75A87149"/>
    <w:multiLevelType w:val="multilevel"/>
    <w:tmpl w:val="75A8714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trackedChanges" w:enforcement="0"/>
  <w:defaultTabStop w:val="420"/>
  <w:drawingGridHorizontalSpacing w:val="140"/>
  <w:drawingGridVerticalSpacing w:val="38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iN2Q1N2NhOWVlNjE2ZTM1OTM3Nzg1ZjFjOWMxMzkifQ=="/>
    <w:docVar w:name="KSO_WPS_MARK_KEY" w:val="261cb1cb-8032-4dc3-9694-1dccff304304"/>
  </w:docVars>
  <w:rsids>
    <w:rsidRoot w:val="00A07498"/>
    <w:rsid w:val="00001640"/>
    <w:rsid w:val="00001AFC"/>
    <w:rsid w:val="0000258E"/>
    <w:rsid w:val="000052A2"/>
    <w:rsid w:val="00006D23"/>
    <w:rsid w:val="00006FE3"/>
    <w:rsid w:val="00011C67"/>
    <w:rsid w:val="00015D1E"/>
    <w:rsid w:val="0002197C"/>
    <w:rsid w:val="000256A1"/>
    <w:rsid w:val="00033480"/>
    <w:rsid w:val="00033EDE"/>
    <w:rsid w:val="000343AA"/>
    <w:rsid w:val="00037D7B"/>
    <w:rsid w:val="00040864"/>
    <w:rsid w:val="0004202B"/>
    <w:rsid w:val="0004537C"/>
    <w:rsid w:val="00045527"/>
    <w:rsid w:val="00046F88"/>
    <w:rsid w:val="00053EBE"/>
    <w:rsid w:val="00054560"/>
    <w:rsid w:val="00054D86"/>
    <w:rsid w:val="00062CEC"/>
    <w:rsid w:val="00064921"/>
    <w:rsid w:val="0007030C"/>
    <w:rsid w:val="00071F66"/>
    <w:rsid w:val="000737CB"/>
    <w:rsid w:val="00077106"/>
    <w:rsid w:val="00082075"/>
    <w:rsid w:val="00087E6F"/>
    <w:rsid w:val="00090870"/>
    <w:rsid w:val="00091771"/>
    <w:rsid w:val="00092D51"/>
    <w:rsid w:val="00093AA2"/>
    <w:rsid w:val="00093D3A"/>
    <w:rsid w:val="000A0B92"/>
    <w:rsid w:val="000A2B84"/>
    <w:rsid w:val="000A3CF9"/>
    <w:rsid w:val="000A5D13"/>
    <w:rsid w:val="000A7FCB"/>
    <w:rsid w:val="000B4891"/>
    <w:rsid w:val="000B5DD1"/>
    <w:rsid w:val="000B5F48"/>
    <w:rsid w:val="000B6CE5"/>
    <w:rsid w:val="000B734D"/>
    <w:rsid w:val="000B7469"/>
    <w:rsid w:val="000C182A"/>
    <w:rsid w:val="000C281E"/>
    <w:rsid w:val="000C2F3B"/>
    <w:rsid w:val="000C328C"/>
    <w:rsid w:val="000C3619"/>
    <w:rsid w:val="000C5555"/>
    <w:rsid w:val="000D0146"/>
    <w:rsid w:val="000D0729"/>
    <w:rsid w:val="000D10D6"/>
    <w:rsid w:val="000D262F"/>
    <w:rsid w:val="000D47A4"/>
    <w:rsid w:val="000D5731"/>
    <w:rsid w:val="000E126C"/>
    <w:rsid w:val="000E7CFE"/>
    <w:rsid w:val="000F069F"/>
    <w:rsid w:val="000F18F6"/>
    <w:rsid w:val="000F2D32"/>
    <w:rsid w:val="000F4060"/>
    <w:rsid w:val="000F6015"/>
    <w:rsid w:val="000F7BC1"/>
    <w:rsid w:val="00101EBB"/>
    <w:rsid w:val="00102099"/>
    <w:rsid w:val="00106604"/>
    <w:rsid w:val="00115070"/>
    <w:rsid w:val="00115A39"/>
    <w:rsid w:val="0011725E"/>
    <w:rsid w:val="001177C5"/>
    <w:rsid w:val="001209B9"/>
    <w:rsid w:val="001232D3"/>
    <w:rsid w:val="00124845"/>
    <w:rsid w:val="001313B8"/>
    <w:rsid w:val="00131663"/>
    <w:rsid w:val="001325FD"/>
    <w:rsid w:val="001349F4"/>
    <w:rsid w:val="0014138F"/>
    <w:rsid w:val="00144C8E"/>
    <w:rsid w:val="001468BD"/>
    <w:rsid w:val="001469DA"/>
    <w:rsid w:val="001479FC"/>
    <w:rsid w:val="001503F0"/>
    <w:rsid w:val="001523F0"/>
    <w:rsid w:val="00152E71"/>
    <w:rsid w:val="00153E26"/>
    <w:rsid w:val="00154707"/>
    <w:rsid w:val="00160295"/>
    <w:rsid w:val="00161ECF"/>
    <w:rsid w:val="00163A62"/>
    <w:rsid w:val="00164577"/>
    <w:rsid w:val="00167599"/>
    <w:rsid w:val="00175660"/>
    <w:rsid w:val="00175737"/>
    <w:rsid w:val="0017642B"/>
    <w:rsid w:val="001770AF"/>
    <w:rsid w:val="00184639"/>
    <w:rsid w:val="0018595D"/>
    <w:rsid w:val="00190746"/>
    <w:rsid w:val="00190C9C"/>
    <w:rsid w:val="0019231B"/>
    <w:rsid w:val="00193309"/>
    <w:rsid w:val="001948EF"/>
    <w:rsid w:val="001956A7"/>
    <w:rsid w:val="00195FBC"/>
    <w:rsid w:val="001A076D"/>
    <w:rsid w:val="001A1570"/>
    <w:rsid w:val="001A3167"/>
    <w:rsid w:val="001A3B88"/>
    <w:rsid w:val="001A5190"/>
    <w:rsid w:val="001A7C9D"/>
    <w:rsid w:val="001B1A21"/>
    <w:rsid w:val="001B1DFE"/>
    <w:rsid w:val="001B2CEC"/>
    <w:rsid w:val="001B4867"/>
    <w:rsid w:val="001C1F89"/>
    <w:rsid w:val="001C58D3"/>
    <w:rsid w:val="001C7652"/>
    <w:rsid w:val="001D13E6"/>
    <w:rsid w:val="001D2614"/>
    <w:rsid w:val="001D3F11"/>
    <w:rsid w:val="001D5CE2"/>
    <w:rsid w:val="001E1457"/>
    <w:rsid w:val="001E3AD9"/>
    <w:rsid w:val="001E457E"/>
    <w:rsid w:val="001E67E7"/>
    <w:rsid w:val="001F3D78"/>
    <w:rsid w:val="001F6479"/>
    <w:rsid w:val="001F7A0B"/>
    <w:rsid w:val="001F7CE6"/>
    <w:rsid w:val="00200C7F"/>
    <w:rsid w:val="00201C65"/>
    <w:rsid w:val="002037A4"/>
    <w:rsid w:val="00203B35"/>
    <w:rsid w:val="00220AAA"/>
    <w:rsid w:val="00233627"/>
    <w:rsid w:val="00233A0A"/>
    <w:rsid w:val="00234053"/>
    <w:rsid w:val="0023418A"/>
    <w:rsid w:val="00235968"/>
    <w:rsid w:val="00235D91"/>
    <w:rsid w:val="0023699E"/>
    <w:rsid w:val="00237C93"/>
    <w:rsid w:val="00237F80"/>
    <w:rsid w:val="00242959"/>
    <w:rsid w:val="00242E3E"/>
    <w:rsid w:val="00244397"/>
    <w:rsid w:val="002462EE"/>
    <w:rsid w:val="002469D8"/>
    <w:rsid w:val="0025099C"/>
    <w:rsid w:val="00252130"/>
    <w:rsid w:val="002568AA"/>
    <w:rsid w:val="00260467"/>
    <w:rsid w:val="002652ED"/>
    <w:rsid w:val="00271008"/>
    <w:rsid w:val="002739AD"/>
    <w:rsid w:val="00274C01"/>
    <w:rsid w:val="0027619C"/>
    <w:rsid w:val="0027695D"/>
    <w:rsid w:val="002802D1"/>
    <w:rsid w:val="00280814"/>
    <w:rsid w:val="0028119E"/>
    <w:rsid w:val="00286BE8"/>
    <w:rsid w:val="00286D44"/>
    <w:rsid w:val="0028777A"/>
    <w:rsid w:val="00287ABD"/>
    <w:rsid w:val="00290F25"/>
    <w:rsid w:val="002911B8"/>
    <w:rsid w:val="00291CB0"/>
    <w:rsid w:val="00295467"/>
    <w:rsid w:val="00296343"/>
    <w:rsid w:val="00296524"/>
    <w:rsid w:val="002967BC"/>
    <w:rsid w:val="002A007E"/>
    <w:rsid w:val="002A2F87"/>
    <w:rsid w:val="002A51FF"/>
    <w:rsid w:val="002A57EA"/>
    <w:rsid w:val="002A69B2"/>
    <w:rsid w:val="002B19AE"/>
    <w:rsid w:val="002B38EE"/>
    <w:rsid w:val="002B64A7"/>
    <w:rsid w:val="002B678D"/>
    <w:rsid w:val="002C1B0D"/>
    <w:rsid w:val="002C344D"/>
    <w:rsid w:val="002C482C"/>
    <w:rsid w:val="002C5B3E"/>
    <w:rsid w:val="002C5ED6"/>
    <w:rsid w:val="002C6E28"/>
    <w:rsid w:val="002C7857"/>
    <w:rsid w:val="002D08DA"/>
    <w:rsid w:val="002D2B07"/>
    <w:rsid w:val="002D3028"/>
    <w:rsid w:val="002D3950"/>
    <w:rsid w:val="002D44CF"/>
    <w:rsid w:val="002D5C28"/>
    <w:rsid w:val="002D6609"/>
    <w:rsid w:val="002D6FE1"/>
    <w:rsid w:val="002D7CA3"/>
    <w:rsid w:val="002E10AC"/>
    <w:rsid w:val="002E2068"/>
    <w:rsid w:val="002E3A3C"/>
    <w:rsid w:val="002E5786"/>
    <w:rsid w:val="002E6870"/>
    <w:rsid w:val="002E7E8C"/>
    <w:rsid w:val="002F042B"/>
    <w:rsid w:val="002F6959"/>
    <w:rsid w:val="003023F5"/>
    <w:rsid w:val="00304BC8"/>
    <w:rsid w:val="00305C40"/>
    <w:rsid w:val="003064F2"/>
    <w:rsid w:val="0030666C"/>
    <w:rsid w:val="00306F05"/>
    <w:rsid w:val="00307624"/>
    <w:rsid w:val="00307FC3"/>
    <w:rsid w:val="0031255D"/>
    <w:rsid w:val="00312B01"/>
    <w:rsid w:val="00313E80"/>
    <w:rsid w:val="00317A13"/>
    <w:rsid w:val="003207E3"/>
    <w:rsid w:val="00321CE4"/>
    <w:rsid w:val="00323B38"/>
    <w:rsid w:val="00324B4B"/>
    <w:rsid w:val="003250D9"/>
    <w:rsid w:val="00330D58"/>
    <w:rsid w:val="0033369A"/>
    <w:rsid w:val="003403F5"/>
    <w:rsid w:val="00342D27"/>
    <w:rsid w:val="00343B17"/>
    <w:rsid w:val="003478C8"/>
    <w:rsid w:val="0035192C"/>
    <w:rsid w:val="00352F7F"/>
    <w:rsid w:val="00357DA2"/>
    <w:rsid w:val="0036261A"/>
    <w:rsid w:val="00362843"/>
    <w:rsid w:val="00363432"/>
    <w:rsid w:val="00365110"/>
    <w:rsid w:val="00365152"/>
    <w:rsid w:val="00365F78"/>
    <w:rsid w:val="003716B1"/>
    <w:rsid w:val="00373E5E"/>
    <w:rsid w:val="00380917"/>
    <w:rsid w:val="003824C5"/>
    <w:rsid w:val="00384FCB"/>
    <w:rsid w:val="0039295F"/>
    <w:rsid w:val="00393C62"/>
    <w:rsid w:val="00394794"/>
    <w:rsid w:val="00395001"/>
    <w:rsid w:val="003A00F3"/>
    <w:rsid w:val="003A0597"/>
    <w:rsid w:val="003A1976"/>
    <w:rsid w:val="003A222E"/>
    <w:rsid w:val="003A3C24"/>
    <w:rsid w:val="003A43D9"/>
    <w:rsid w:val="003B14FB"/>
    <w:rsid w:val="003B1881"/>
    <w:rsid w:val="003B3430"/>
    <w:rsid w:val="003B51A2"/>
    <w:rsid w:val="003B5741"/>
    <w:rsid w:val="003C1D63"/>
    <w:rsid w:val="003C4895"/>
    <w:rsid w:val="003C782C"/>
    <w:rsid w:val="003D0DBA"/>
    <w:rsid w:val="003E2998"/>
    <w:rsid w:val="003E5B86"/>
    <w:rsid w:val="003E628A"/>
    <w:rsid w:val="003E6318"/>
    <w:rsid w:val="003F1892"/>
    <w:rsid w:val="003F33AE"/>
    <w:rsid w:val="003F3C1D"/>
    <w:rsid w:val="003F3F0B"/>
    <w:rsid w:val="003F4E71"/>
    <w:rsid w:val="003F6E39"/>
    <w:rsid w:val="003F7F6A"/>
    <w:rsid w:val="0040065A"/>
    <w:rsid w:val="00401CF2"/>
    <w:rsid w:val="004052F2"/>
    <w:rsid w:val="00410E95"/>
    <w:rsid w:val="0041303E"/>
    <w:rsid w:val="00414D03"/>
    <w:rsid w:val="00420226"/>
    <w:rsid w:val="00421361"/>
    <w:rsid w:val="00421B2F"/>
    <w:rsid w:val="00422033"/>
    <w:rsid w:val="00425ECB"/>
    <w:rsid w:val="00425FBB"/>
    <w:rsid w:val="004317D6"/>
    <w:rsid w:val="00432C82"/>
    <w:rsid w:val="0043318C"/>
    <w:rsid w:val="00442622"/>
    <w:rsid w:val="00444222"/>
    <w:rsid w:val="004445BB"/>
    <w:rsid w:val="004456EC"/>
    <w:rsid w:val="00445905"/>
    <w:rsid w:val="00445F0F"/>
    <w:rsid w:val="00453EB5"/>
    <w:rsid w:val="0045601E"/>
    <w:rsid w:val="00463FE7"/>
    <w:rsid w:val="00465E10"/>
    <w:rsid w:val="00471E73"/>
    <w:rsid w:val="0047313B"/>
    <w:rsid w:val="004739F5"/>
    <w:rsid w:val="00476282"/>
    <w:rsid w:val="0047637A"/>
    <w:rsid w:val="00480986"/>
    <w:rsid w:val="004810EC"/>
    <w:rsid w:val="00481A49"/>
    <w:rsid w:val="00483819"/>
    <w:rsid w:val="004911EB"/>
    <w:rsid w:val="00493C10"/>
    <w:rsid w:val="004A0F51"/>
    <w:rsid w:val="004A4C95"/>
    <w:rsid w:val="004A5921"/>
    <w:rsid w:val="004B7EB0"/>
    <w:rsid w:val="004C01F8"/>
    <w:rsid w:val="004C1638"/>
    <w:rsid w:val="004C6B04"/>
    <w:rsid w:val="004C74EC"/>
    <w:rsid w:val="004D0382"/>
    <w:rsid w:val="004D28CE"/>
    <w:rsid w:val="004D456B"/>
    <w:rsid w:val="004E0F48"/>
    <w:rsid w:val="004E10E3"/>
    <w:rsid w:val="004E1C1A"/>
    <w:rsid w:val="004E3899"/>
    <w:rsid w:val="004E6699"/>
    <w:rsid w:val="004E7CB8"/>
    <w:rsid w:val="004F0A70"/>
    <w:rsid w:val="004F2B47"/>
    <w:rsid w:val="004F31A9"/>
    <w:rsid w:val="004F4CF3"/>
    <w:rsid w:val="004F57CD"/>
    <w:rsid w:val="004F7166"/>
    <w:rsid w:val="004F7628"/>
    <w:rsid w:val="00501F68"/>
    <w:rsid w:val="005036F8"/>
    <w:rsid w:val="00505C4D"/>
    <w:rsid w:val="00506CDE"/>
    <w:rsid w:val="005071F0"/>
    <w:rsid w:val="00510C68"/>
    <w:rsid w:val="00511BBC"/>
    <w:rsid w:val="005127D5"/>
    <w:rsid w:val="005127F6"/>
    <w:rsid w:val="005140B3"/>
    <w:rsid w:val="00516600"/>
    <w:rsid w:val="005166A5"/>
    <w:rsid w:val="00517321"/>
    <w:rsid w:val="005208E3"/>
    <w:rsid w:val="00521DF0"/>
    <w:rsid w:val="005227D5"/>
    <w:rsid w:val="00522869"/>
    <w:rsid w:val="005309F5"/>
    <w:rsid w:val="00532054"/>
    <w:rsid w:val="00532803"/>
    <w:rsid w:val="00532CA5"/>
    <w:rsid w:val="00543560"/>
    <w:rsid w:val="005448EF"/>
    <w:rsid w:val="00546C02"/>
    <w:rsid w:val="0055144B"/>
    <w:rsid w:val="00551AF6"/>
    <w:rsid w:val="00552170"/>
    <w:rsid w:val="00552275"/>
    <w:rsid w:val="00552F22"/>
    <w:rsid w:val="005604D4"/>
    <w:rsid w:val="005618E7"/>
    <w:rsid w:val="00562996"/>
    <w:rsid w:val="005667AE"/>
    <w:rsid w:val="0057187C"/>
    <w:rsid w:val="00573CB7"/>
    <w:rsid w:val="00574F85"/>
    <w:rsid w:val="0057765D"/>
    <w:rsid w:val="00580EDD"/>
    <w:rsid w:val="00581115"/>
    <w:rsid w:val="0058707D"/>
    <w:rsid w:val="00587EEE"/>
    <w:rsid w:val="00590CCC"/>
    <w:rsid w:val="00591D88"/>
    <w:rsid w:val="0059219C"/>
    <w:rsid w:val="0059325E"/>
    <w:rsid w:val="005935D0"/>
    <w:rsid w:val="005955B1"/>
    <w:rsid w:val="00596139"/>
    <w:rsid w:val="005A035A"/>
    <w:rsid w:val="005A16C3"/>
    <w:rsid w:val="005A274F"/>
    <w:rsid w:val="005A4F49"/>
    <w:rsid w:val="005A53B6"/>
    <w:rsid w:val="005A7EDD"/>
    <w:rsid w:val="005B1197"/>
    <w:rsid w:val="005B1BFA"/>
    <w:rsid w:val="005B5568"/>
    <w:rsid w:val="005C0528"/>
    <w:rsid w:val="005C4119"/>
    <w:rsid w:val="005C5A2C"/>
    <w:rsid w:val="005C6178"/>
    <w:rsid w:val="005D2647"/>
    <w:rsid w:val="005D4A37"/>
    <w:rsid w:val="005E2EDC"/>
    <w:rsid w:val="005E423E"/>
    <w:rsid w:val="005F354F"/>
    <w:rsid w:val="005F48E2"/>
    <w:rsid w:val="00600F46"/>
    <w:rsid w:val="006043A7"/>
    <w:rsid w:val="00604F32"/>
    <w:rsid w:val="00605421"/>
    <w:rsid w:val="006065E6"/>
    <w:rsid w:val="00606BB2"/>
    <w:rsid w:val="00610946"/>
    <w:rsid w:val="006156D8"/>
    <w:rsid w:val="0061758C"/>
    <w:rsid w:val="00620135"/>
    <w:rsid w:val="00621444"/>
    <w:rsid w:val="00622F33"/>
    <w:rsid w:val="00623B10"/>
    <w:rsid w:val="00624B8A"/>
    <w:rsid w:val="006313E7"/>
    <w:rsid w:val="00631B7D"/>
    <w:rsid w:val="0063278A"/>
    <w:rsid w:val="006354A0"/>
    <w:rsid w:val="00636E4B"/>
    <w:rsid w:val="0064437A"/>
    <w:rsid w:val="00650C76"/>
    <w:rsid w:val="00651523"/>
    <w:rsid w:val="00651FD1"/>
    <w:rsid w:val="0065505A"/>
    <w:rsid w:val="006567DC"/>
    <w:rsid w:val="00660156"/>
    <w:rsid w:val="00660FC5"/>
    <w:rsid w:val="00661A51"/>
    <w:rsid w:val="006627CE"/>
    <w:rsid w:val="00664457"/>
    <w:rsid w:val="006748A1"/>
    <w:rsid w:val="006769B7"/>
    <w:rsid w:val="00694C70"/>
    <w:rsid w:val="00694FD0"/>
    <w:rsid w:val="006974B7"/>
    <w:rsid w:val="006A284E"/>
    <w:rsid w:val="006A2F9F"/>
    <w:rsid w:val="006A3645"/>
    <w:rsid w:val="006B2781"/>
    <w:rsid w:val="006B34FC"/>
    <w:rsid w:val="006B424C"/>
    <w:rsid w:val="006B56A4"/>
    <w:rsid w:val="006C15A9"/>
    <w:rsid w:val="006C5E66"/>
    <w:rsid w:val="006C7869"/>
    <w:rsid w:val="006D08E3"/>
    <w:rsid w:val="006D15A1"/>
    <w:rsid w:val="006D17EC"/>
    <w:rsid w:val="006D1B54"/>
    <w:rsid w:val="006D1ED8"/>
    <w:rsid w:val="006D249E"/>
    <w:rsid w:val="006D50FF"/>
    <w:rsid w:val="006E0B40"/>
    <w:rsid w:val="006E380A"/>
    <w:rsid w:val="006E7377"/>
    <w:rsid w:val="006E7A89"/>
    <w:rsid w:val="006E7D38"/>
    <w:rsid w:val="006F0136"/>
    <w:rsid w:val="006F21DB"/>
    <w:rsid w:val="006F5BD4"/>
    <w:rsid w:val="007001D8"/>
    <w:rsid w:val="00701E8E"/>
    <w:rsid w:val="0070308E"/>
    <w:rsid w:val="0070324C"/>
    <w:rsid w:val="0070488A"/>
    <w:rsid w:val="00706767"/>
    <w:rsid w:val="007129A2"/>
    <w:rsid w:val="00713CC6"/>
    <w:rsid w:val="00714444"/>
    <w:rsid w:val="007162A6"/>
    <w:rsid w:val="007229DE"/>
    <w:rsid w:val="00726386"/>
    <w:rsid w:val="007318CE"/>
    <w:rsid w:val="00731982"/>
    <w:rsid w:val="00737088"/>
    <w:rsid w:val="00737FCC"/>
    <w:rsid w:val="0074063B"/>
    <w:rsid w:val="00743D0F"/>
    <w:rsid w:val="00743E75"/>
    <w:rsid w:val="0074547B"/>
    <w:rsid w:val="00753B33"/>
    <w:rsid w:val="007573A3"/>
    <w:rsid w:val="0076230A"/>
    <w:rsid w:val="00764AA8"/>
    <w:rsid w:val="0076727D"/>
    <w:rsid w:val="007707A4"/>
    <w:rsid w:val="007725DB"/>
    <w:rsid w:val="00772C78"/>
    <w:rsid w:val="00773B61"/>
    <w:rsid w:val="00782C17"/>
    <w:rsid w:val="00783B6D"/>
    <w:rsid w:val="00784FB5"/>
    <w:rsid w:val="00787BA1"/>
    <w:rsid w:val="0079003F"/>
    <w:rsid w:val="00791259"/>
    <w:rsid w:val="00793FA3"/>
    <w:rsid w:val="007949FA"/>
    <w:rsid w:val="00794CA5"/>
    <w:rsid w:val="00795C2D"/>
    <w:rsid w:val="00797111"/>
    <w:rsid w:val="007A1FF9"/>
    <w:rsid w:val="007A2C07"/>
    <w:rsid w:val="007A3A93"/>
    <w:rsid w:val="007A4D85"/>
    <w:rsid w:val="007A7DE8"/>
    <w:rsid w:val="007C15C1"/>
    <w:rsid w:val="007C4B3C"/>
    <w:rsid w:val="007C5747"/>
    <w:rsid w:val="007C599E"/>
    <w:rsid w:val="007C5C08"/>
    <w:rsid w:val="007D0D52"/>
    <w:rsid w:val="007D2155"/>
    <w:rsid w:val="007D3FAE"/>
    <w:rsid w:val="007D4D06"/>
    <w:rsid w:val="007D66E0"/>
    <w:rsid w:val="007D6877"/>
    <w:rsid w:val="007D6DF6"/>
    <w:rsid w:val="007E3160"/>
    <w:rsid w:val="007E56A4"/>
    <w:rsid w:val="007F11A1"/>
    <w:rsid w:val="007F2DF5"/>
    <w:rsid w:val="007F4886"/>
    <w:rsid w:val="007F65B4"/>
    <w:rsid w:val="007F70A0"/>
    <w:rsid w:val="007F7B37"/>
    <w:rsid w:val="008000E3"/>
    <w:rsid w:val="00800A36"/>
    <w:rsid w:val="0080388E"/>
    <w:rsid w:val="00806116"/>
    <w:rsid w:val="00811F65"/>
    <w:rsid w:val="00812A97"/>
    <w:rsid w:val="00813475"/>
    <w:rsid w:val="00815EEF"/>
    <w:rsid w:val="0081735E"/>
    <w:rsid w:val="00817460"/>
    <w:rsid w:val="008220B5"/>
    <w:rsid w:val="00822C1D"/>
    <w:rsid w:val="00823DFA"/>
    <w:rsid w:val="00825D22"/>
    <w:rsid w:val="00825E63"/>
    <w:rsid w:val="00826DDB"/>
    <w:rsid w:val="00827119"/>
    <w:rsid w:val="00833089"/>
    <w:rsid w:val="00834BBD"/>
    <w:rsid w:val="008415C9"/>
    <w:rsid w:val="008420C1"/>
    <w:rsid w:val="00845536"/>
    <w:rsid w:val="00845A70"/>
    <w:rsid w:val="008476AD"/>
    <w:rsid w:val="00850087"/>
    <w:rsid w:val="008525E7"/>
    <w:rsid w:val="008563FB"/>
    <w:rsid w:val="0085679A"/>
    <w:rsid w:val="00856828"/>
    <w:rsid w:val="00861E1D"/>
    <w:rsid w:val="008621CE"/>
    <w:rsid w:val="00862881"/>
    <w:rsid w:val="00863ECE"/>
    <w:rsid w:val="008659F5"/>
    <w:rsid w:val="0086716F"/>
    <w:rsid w:val="00867D4A"/>
    <w:rsid w:val="008725E8"/>
    <w:rsid w:val="00875C8C"/>
    <w:rsid w:val="0087677B"/>
    <w:rsid w:val="008777FE"/>
    <w:rsid w:val="00882B47"/>
    <w:rsid w:val="00884FA4"/>
    <w:rsid w:val="00885398"/>
    <w:rsid w:val="0089063C"/>
    <w:rsid w:val="008913E5"/>
    <w:rsid w:val="00892DD9"/>
    <w:rsid w:val="008942D9"/>
    <w:rsid w:val="0089640E"/>
    <w:rsid w:val="008A0242"/>
    <w:rsid w:val="008A325C"/>
    <w:rsid w:val="008A65A6"/>
    <w:rsid w:val="008B05E2"/>
    <w:rsid w:val="008B2372"/>
    <w:rsid w:val="008B4B10"/>
    <w:rsid w:val="008B506A"/>
    <w:rsid w:val="008B597D"/>
    <w:rsid w:val="008B78D2"/>
    <w:rsid w:val="008C2D63"/>
    <w:rsid w:val="008C3880"/>
    <w:rsid w:val="008C3E4A"/>
    <w:rsid w:val="008D2D6E"/>
    <w:rsid w:val="008D313A"/>
    <w:rsid w:val="008D533B"/>
    <w:rsid w:val="008E0E35"/>
    <w:rsid w:val="008E60A7"/>
    <w:rsid w:val="008F0849"/>
    <w:rsid w:val="008F0F88"/>
    <w:rsid w:val="008F3539"/>
    <w:rsid w:val="008F6E01"/>
    <w:rsid w:val="00902540"/>
    <w:rsid w:val="00904148"/>
    <w:rsid w:val="00907DA3"/>
    <w:rsid w:val="009108DA"/>
    <w:rsid w:val="0091147B"/>
    <w:rsid w:val="009136B8"/>
    <w:rsid w:val="00915160"/>
    <w:rsid w:val="00921823"/>
    <w:rsid w:val="00921BEB"/>
    <w:rsid w:val="00923410"/>
    <w:rsid w:val="00924D46"/>
    <w:rsid w:val="00925FB8"/>
    <w:rsid w:val="009309E8"/>
    <w:rsid w:val="00930BB0"/>
    <w:rsid w:val="00931414"/>
    <w:rsid w:val="009327E1"/>
    <w:rsid w:val="009342B8"/>
    <w:rsid w:val="0093538C"/>
    <w:rsid w:val="00935854"/>
    <w:rsid w:val="0093610B"/>
    <w:rsid w:val="00941524"/>
    <w:rsid w:val="00941F45"/>
    <w:rsid w:val="00943A0C"/>
    <w:rsid w:val="00944EE9"/>
    <w:rsid w:val="00945D82"/>
    <w:rsid w:val="00947E4C"/>
    <w:rsid w:val="00950A6F"/>
    <w:rsid w:val="009555BA"/>
    <w:rsid w:val="009565CD"/>
    <w:rsid w:val="0096118C"/>
    <w:rsid w:val="00963642"/>
    <w:rsid w:val="00963E91"/>
    <w:rsid w:val="009658F3"/>
    <w:rsid w:val="00966295"/>
    <w:rsid w:val="00971001"/>
    <w:rsid w:val="009747A3"/>
    <w:rsid w:val="009759AC"/>
    <w:rsid w:val="009767FF"/>
    <w:rsid w:val="009837DC"/>
    <w:rsid w:val="00985B7E"/>
    <w:rsid w:val="00993FFC"/>
    <w:rsid w:val="00995D1D"/>
    <w:rsid w:val="009A162F"/>
    <w:rsid w:val="009A3BB8"/>
    <w:rsid w:val="009A45DB"/>
    <w:rsid w:val="009A4926"/>
    <w:rsid w:val="009A58D0"/>
    <w:rsid w:val="009B0602"/>
    <w:rsid w:val="009B1486"/>
    <w:rsid w:val="009B1A6E"/>
    <w:rsid w:val="009B23D1"/>
    <w:rsid w:val="009B26B6"/>
    <w:rsid w:val="009B2D86"/>
    <w:rsid w:val="009B342D"/>
    <w:rsid w:val="009C362C"/>
    <w:rsid w:val="009C47C5"/>
    <w:rsid w:val="009C534F"/>
    <w:rsid w:val="009C5999"/>
    <w:rsid w:val="009C6AE5"/>
    <w:rsid w:val="009C7EFB"/>
    <w:rsid w:val="009D0499"/>
    <w:rsid w:val="009D2CCD"/>
    <w:rsid w:val="009D30F0"/>
    <w:rsid w:val="009D3841"/>
    <w:rsid w:val="009D436E"/>
    <w:rsid w:val="009D4449"/>
    <w:rsid w:val="009E06C5"/>
    <w:rsid w:val="009E2398"/>
    <w:rsid w:val="009E2F39"/>
    <w:rsid w:val="009E5A7D"/>
    <w:rsid w:val="009F1BB9"/>
    <w:rsid w:val="009F310B"/>
    <w:rsid w:val="009F7613"/>
    <w:rsid w:val="00A0016F"/>
    <w:rsid w:val="00A005F9"/>
    <w:rsid w:val="00A01A9A"/>
    <w:rsid w:val="00A02ADC"/>
    <w:rsid w:val="00A0532B"/>
    <w:rsid w:val="00A062D1"/>
    <w:rsid w:val="00A07498"/>
    <w:rsid w:val="00A1277A"/>
    <w:rsid w:val="00A127C3"/>
    <w:rsid w:val="00A12E59"/>
    <w:rsid w:val="00A139C9"/>
    <w:rsid w:val="00A14A56"/>
    <w:rsid w:val="00A209E7"/>
    <w:rsid w:val="00A231F3"/>
    <w:rsid w:val="00A24E6C"/>
    <w:rsid w:val="00A27F7E"/>
    <w:rsid w:val="00A30170"/>
    <w:rsid w:val="00A30DCD"/>
    <w:rsid w:val="00A32244"/>
    <w:rsid w:val="00A354B0"/>
    <w:rsid w:val="00A41C07"/>
    <w:rsid w:val="00A42BD5"/>
    <w:rsid w:val="00A50ABE"/>
    <w:rsid w:val="00A52A70"/>
    <w:rsid w:val="00A535C0"/>
    <w:rsid w:val="00A56B1B"/>
    <w:rsid w:val="00A624BB"/>
    <w:rsid w:val="00A6453A"/>
    <w:rsid w:val="00A71DB5"/>
    <w:rsid w:val="00A76538"/>
    <w:rsid w:val="00A778A2"/>
    <w:rsid w:val="00A80214"/>
    <w:rsid w:val="00A838B4"/>
    <w:rsid w:val="00A8594F"/>
    <w:rsid w:val="00A860DE"/>
    <w:rsid w:val="00A87C19"/>
    <w:rsid w:val="00A90793"/>
    <w:rsid w:val="00A90A40"/>
    <w:rsid w:val="00A91795"/>
    <w:rsid w:val="00A93594"/>
    <w:rsid w:val="00A93D9D"/>
    <w:rsid w:val="00A955E1"/>
    <w:rsid w:val="00A96053"/>
    <w:rsid w:val="00A96BA8"/>
    <w:rsid w:val="00AA0A71"/>
    <w:rsid w:val="00AA2799"/>
    <w:rsid w:val="00AA4FA7"/>
    <w:rsid w:val="00AA616A"/>
    <w:rsid w:val="00AA7C44"/>
    <w:rsid w:val="00AB197D"/>
    <w:rsid w:val="00AB6304"/>
    <w:rsid w:val="00AC0D8C"/>
    <w:rsid w:val="00AC1D3E"/>
    <w:rsid w:val="00AC73F3"/>
    <w:rsid w:val="00AD05C9"/>
    <w:rsid w:val="00AD1715"/>
    <w:rsid w:val="00AD3BC2"/>
    <w:rsid w:val="00AD5C87"/>
    <w:rsid w:val="00AD6519"/>
    <w:rsid w:val="00AE2DC3"/>
    <w:rsid w:val="00AE3148"/>
    <w:rsid w:val="00AF15F3"/>
    <w:rsid w:val="00AF4B35"/>
    <w:rsid w:val="00AF4D19"/>
    <w:rsid w:val="00AF660A"/>
    <w:rsid w:val="00AF6D9D"/>
    <w:rsid w:val="00AF72BC"/>
    <w:rsid w:val="00B0377E"/>
    <w:rsid w:val="00B0752E"/>
    <w:rsid w:val="00B10D9A"/>
    <w:rsid w:val="00B12C75"/>
    <w:rsid w:val="00B160AF"/>
    <w:rsid w:val="00B20C7A"/>
    <w:rsid w:val="00B21770"/>
    <w:rsid w:val="00B228AC"/>
    <w:rsid w:val="00B23A91"/>
    <w:rsid w:val="00B25924"/>
    <w:rsid w:val="00B27D8C"/>
    <w:rsid w:val="00B31923"/>
    <w:rsid w:val="00B31F2D"/>
    <w:rsid w:val="00B324D5"/>
    <w:rsid w:val="00B35A27"/>
    <w:rsid w:val="00B40EE2"/>
    <w:rsid w:val="00B41EAC"/>
    <w:rsid w:val="00B43CBC"/>
    <w:rsid w:val="00B46145"/>
    <w:rsid w:val="00B505A9"/>
    <w:rsid w:val="00B522C9"/>
    <w:rsid w:val="00B552C0"/>
    <w:rsid w:val="00B61A96"/>
    <w:rsid w:val="00B64F2F"/>
    <w:rsid w:val="00B721CB"/>
    <w:rsid w:val="00B73950"/>
    <w:rsid w:val="00B74445"/>
    <w:rsid w:val="00B751EB"/>
    <w:rsid w:val="00B80448"/>
    <w:rsid w:val="00B81EEE"/>
    <w:rsid w:val="00B8388A"/>
    <w:rsid w:val="00B83F71"/>
    <w:rsid w:val="00B849D4"/>
    <w:rsid w:val="00B85325"/>
    <w:rsid w:val="00B97B4E"/>
    <w:rsid w:val="00B97EB9"/>
    <w:rsid w:val="00BA004F"/>
    <w:rsid w:val="00BA044D"/>
    <w:rsid w:val="00BA0D92"/>
    <w:rsid w:val="00BA35AF"/>
    <w:rsid w:val="00BA3B73"/>
    <w:rsid w:val="00BB6B1C"/>
    <w:rsid w:val="00BC4479"/>
    <w:rsid w:val="00BC7AB8"/>
    <w:rsid w:val="00BD0A5E"/>
    <w:rsid w:val="00BD0B01"/>
    <w:rsid w:val="00BD3C92"/>
    <w:rsid w:val="00BE22FE"/>
    <w:rsid w:val="00BE4E50"/>
    <w:rsid w:val="00BE5F79"/>
    <w:rsid w:val="00BE7B7F"/>
    <w:rsid w:val="00BE7C5C"/>
    <w:rsid w:val="00BF0800"/>
    <w:rsid w:val="00BF13A2"/>
    <w:rsid w:val="00BF7048"/>
    <w:rsid w:val="00C0171F"/>
    <w:rsid w:val="00C05DEB"/>
    <w:rsid w:val="00C06A27"/>
    <w:rsid w:val="00C1538A"/>
    <w:rsid w:val="00C17519"/>
    <w:rsid w:val="00C22990"/>
    <w:rsid w:val="00C24D19"/>
    <w:rsid w:val="00C27590"/>
    <w:rsid w:val="00C30313"/>
    <w:rsid w:val="00C32DD5"/>
    <w:rsid w:val="00C3427D"/>
    <w:rsid w:val="00C36F87"/>
    <w:rsid w:val="00C41163"/>
    <w:rsid w:val="00C44375"/>
    <w:rsid w:val="00C444F9"/>
    <w:rsid w:val="00C44696"/>
    <w:rsid w:val="00C4634D"/>
    <w:rsid w:val="00C46AC1"/>
    <w:rsid w:val="00C4764D"/>
    <w:rsid w:val="00C51ACF"/>
    <w:rsid w:val="00C51E5A"/>
    <w:rsid w:val="00C55BBA"/>
    <w:rsid w:val="00C562FD"/>
    <w:rsid w:val="00C5769A"/>
    <w:rsid w:val="00C57B57"/>
    <w:rsid w:val="00C614E7"/>
    <w:rsid w:val="00C61FCA"/>
    <w:rsid w:val="00C6269B"/>
    <w:rsid w:val="00C636CE"/>
    <w:rsid w:val="00C66BE1"/>
    <w:rsid w:val="00C71E51"/>
    <w:rsid w:val="00C72030"/>
    <w:rsid w:val="00C726C1"/>
    <w:rsid w:val="00C73B96"/>
    <w:rsid w:val="00C757B7"/>
    <w:rsid w:val="00C764FD"/>
    <w:rsid w:val="00C813C0"/>
    <w:rsid w:val="00C8146B"/>
    <w:rsid w:val="00C84A48"/>
    <w:rsid w:val="00C87D8D"/>
    <w:rsid w:val="00C87D94"/>
    <w:rsid w:val="00C915B8"/>
    <w:rsid w:val="00C9249C"/>
    <w:rsid w:val="00C927BD"/>
    <w:rsid w:val="00CA12CD"/>
    <w:rsid w:val="00CA2A87"/>
    <w:rsid w:val="00CA3F56"/>
    <w:rsid w:val="00CA5E70"/>
    <w:rsid w:val="00CB35D6"/>
    <w:rsid w:val="00CB383C"/>
    <w:rsid w:val="00CB3BDA"/>
    <w:rsid w:val="00CC15E1"/>
    <w:rsid w:val="00CC20B5"/>
    <w:rsid w:val="00CC41AE"/>
    <w:rsid w:val="00CC5BB4"/>
    <w:rsid w:val="00CC7580"/>
    <w:rsid w:val="00CD0933"/>
    <w:rsid w:val="00CD1B76"/>
    <w:rsid w:val="00CE2363"/>
    <w:rsid w:val="00CE2DD6"/>
    <w:rsid w:val="00CE53D7"/>
    <w:rsid w:val="00CE56CE"/>
    <w:rsid w:val="00CF29F2"/>
    <w:rsid w:val="00CF3504"/>
    <w:rsid w:val="00CF39EE"/>
    <w:rsid w:val="00CF5F0E"/>
    <w:rsid w:val="00D01555"/>
    <w:rsid w:val="00D06DBA"/>
    <w:rsid w:val="00D11DC1"/>
    <w:rsid w:val="00D15507"/>
    <w:rsid w:val="00D15F6D"/>
    <w:rsid w:val="00D22F14"/>
    <w:rsid w:val="00D271D3"/>
    <w:rsid w:val="00D27310"/>
    <w:rsid w:val="00D30457"/>
    <w:rsid w:val="00D30EF7"/>
    <w:rsid w:val="00D31AEC"/>
    <w:rsid w:val="00D330A1"/>
    <w:rsid w:val="00D334CF"/>
    <w:rsid w:val="00D3793F"/>
    <w:rsid w:val="00D40665"/>
    <w:rsid w:val="00D4146C"/>
    <w:rsid w:val="00D41CF5"/>
    <w:rsid w:val="00D446B6"/>
    <w:rsid w:val="00D45306"/>
    <w:rsid w:val="00D462FB"/>
    <w:rsid w:val="00D4649E"/>
    <w:rsid w:val="00D46F8D"/>
    <w:rsid w:val="00D475A7"/>
    <w:rsid w:val="00D5096B"/>
    <w:rsid w:val="00D53890"/>
    <w:rsid w:val="00D54029"/>
    <w:rsid w:val="00D54EF5"/>
    <w:rsid w:val="00D57154"/>
    <w:rsid w:val="00D62999"/>
    <w:rsid w:val="00D64F18"/>
    <w:rsid w:val="00D65F2E"/>
    <w:rsid w:val="00D663CC"/>
    <w:rsid w:val="00D70E9C"/>
    <w:rsid w:val="00D761A8"/>
    <w:rsid w:val="00D76307"/>
    <w:rsid w:val="00D770CD"/>
    <w:rsid w:val="00D80213"/>
    <w:rsid w:val="00D80CFF"/>
    <w:rsid w:val="00D81AA9"/>
    <w:rsid w:val="00D84F1E"/>
    <w:rsid w:val="00D86BB7"/>
    <w:rsid w:val="00D87437"/>
    <w:rsid w:val="00D91B5C"/>
    <w:rsid w:val="00D91E70"/>
    <w:rsid w:val="00D92AAE"/>
    <w:rsid w:val="00D9440E"/>
    <w:rsid w:val="00DA3AB2"/>
    <w:rsid w:val="00DA6885"/>
    <w:rsid w:val="00DA784F"/>
    <w:rsid w:val="00DC3A39"/>
    <w:rsid w:val="00DC4D56"/>
    <w:rsid w:val="00DC5587"/>
    <w:rsid w:val="00DC751D"/>
    <w:rsid w:val="00DC7A9B"/>
    <w:rsid w:val="00DD3447"/>
    <w:rsid w:val="00DD36B2"/>
    <w:rsid w:val="00DD5AB0"/>
    <w:rsid w:val="00DD7FBC"/>
    <w:rsid w:val="00DE0166"/>
    <w:rsid w:val="00DE099B"/>
    <w:rsid w:val="00DE0C70"/>
    <w:rsid w:val="00DE2F98"/>
    <w:rsid w:val="00DE7D9E"/>
    <w:rsid w:val="00DF06BA"/>
    <w:rsid w:val="00DF097B"/>
    <w:rsid w:val="00DF78C3"/>
    <w:rsid w:val="00E007CA"/>
    <w:rsid w:val="00E02398"/>
    <w:rsid w:val="00E1441D"/>
    <w:rsid w:val="00E1697F"/>
    <w:rsid w:val="00E17324"/>
    <w:rsid w:val="00E17CB8"/>
    <w:rsid w:val="00E22D74"/>
    <w:rsid w:val="00E30C29"/>
    <w:rsid w:val="00E30F5B"/>
    <w:rsid w:val="00E31C3A"/>
    <w:rsid w:val="00E33455"/>
    <w:rsid w:val="00E338FD"/>
    <w:rsid w:val="00E42DFD"/>
    <w:rsid w:val="00E43393"/>
    <w:rsid w:val="00E43D8F"/>
    <w:rsid w:val="00E462FA"/>
    <w:rsid w:val="00E4788C"/>
    <w:rsid w:val="00E500AD"/>
    <w:rsid w:val="00E50D96"/>
    <w:rsid w:val="00E52B98"/>
    <w:rsid w:val="00E54539"/>
    <w:rsid w:val="00E570FD"/>
    <w:rsid w:val="00E60DD0"/>
    <w:rsid w:val="00E6290B"/>
    <w:rsid w:val="00E62EE0"/>
    <w:rsid w:val="00E64AEC"/>
    <w:rsid w:val="00E65F04"/>
    <w:rsid w:val="00E6717B"/>
    <w:rsid w:val="00E67F7F"/>
    <w:rsid w:val="00E71655"/>
    <w:rsid w:val="00E7230E"/>
    <w:rsid w:val="00E818A8"/>
    <w:rsid w:val="00E87F60"/>
    <w:rsid w:val="00E904B6"/>
    <w:rsid w:val="00E91E16"/>
    <w:rsid w:val="00E9262F"/>
    <w:rsid w:val="00E93EF7"/>
    <w:rsid w:val="00E94168"/>
    <w:rsid w:val="00E945E2"/>
    <w:rsid w:val="00E95893"/>
    <w:rsid w:val="00EA31F6"/>
    <w:rsid w:val="00EA653A"/>
    <w:rsid w:val="00EB0C70"/>
    <w:rsid w:val="00EB596F"/>
    <w:rsid w:val="00EB7802"/>
    <w:rsid w:val="00EC197D"/>
    <w:rsid w:val="00EC285D"/>
    <w:rsid w:val="00EC2E97"/>
    <w:rsid w:val="00EC3173"/>
    <w:rsid w:val="00EC49C1"/>
    <w:rsid w:val="00EC51E0"/>
    <w:rsid w:val="00EC6420"/>
    <w:rsid w:val="00EC7111"/>
    <w:rsid w:val="00ED3C66"/>
    <w:rsid w:val="00ED40CD"/>
    <w:rsid w:val="00ED472B"/>
    <w:rsid w:val="00EE3263"/>
    <w:rsid w:val="00EE4F3D"/>
    <w:rsid w:val="00EE60EE"/>
    <w:rsid w:val="00EE63F6"/>
    <w:rsid w:val="00EF06E7"/>
    <w:rsid w:val="00EF1882"/>
    <w:rsid w:val="00EF2911"/>
    <w:rsid w:val="00EF37F5"/>
    <w:rsid w:val="00EF4075"/>
    <w:rsid w:val="00EF55B8"/>
    <w:rsid w:val="00EF7BF3"/>
    <w:rsid w:val="00EF7DC7"/>
    <w:rsid w:val="00F01A98"/>
    <w:rsid w:val="00F043B6"/>
    <w:rsid w:val="00F04726"/>
    <w:rsid w:val="00F0572D"/>
    <w:rsid w:val="00F05C19"/>
    <w:rsid w:val="00F0694A"/>
    <w:rsid w:val="00F123A6"/>
    <w:rsid w:val="00F125BE"/>
    <w:rsid w:val="00F21BDC"/>
    <w:rsid w:val="00F22F86"/>
    <w:rsid w:val="00F23093"/>
    <w:rsid w:val="00F25C8D"/>
    <w:rsid w:val="00F30FCB"/>
    <w:rsid w:val="00F329B0"/>
    <w:rsid w:val="00F32DC3"/>
    <w:rsid w:val="00F33129"/>
    <w:rsid w:val="00F40514"/>
    <w:rsid w:val="00F40A48"/>
    <w:rsid w:val="00F40E74"/>
    <w:rsid w:val="00F456F0"/>
    <w:rsid w:val="00F51419"/>
    <w:rsid w:val="00F531F8"/>
    <w:rsid w:val="00F55D1A"/>
    <w:rsid w:val="00F5700F"/>
    <w:rsid w:val="00F575DC"/>
    <w:rsid w:val="00F60B9A"/>
    <w:rsid w:val="00F648C7"/>
    <w:rsid w:val="00F65251"/>
    <w:rsid w:val="00F65F37"/>
    <w:rsid w:val="00F734D9"/>
    <w:rsid w:val="00F74220"/>
    <w:rsid w:val="00F7539E"/>
    <w:rsid w:val="00F75DB1"/>
    <w:rsid w:val="00F77493"/>
    <w:rsid w:val="00F80448"/>
    <w:rsid w:val="00F83562"/>
    <w:rsid w:val="00F85D63"/>
    <w:rsid w:val="00F85DA4"/>
    <w:rsid w:val="00F8728C"/>
    <w:rsid w:val="00F87A6F"/>
    <w:rsid w:val="00F87F96"/>
    <w:rsid w:val="00F90C5F"/>
    <w:rsid w:val="00F92109"/>
    <w:rsid w:val="00F94657"/>
    <w:rsid w:val="00F95E41"/>
    <w:rsid w:val="00FA0C60"/>
    <w:rsid w:val="00FA2CE6"/>
    <w:rsid w:val="00FA4387"/>
    <w:rsid w:val="00FA4FB9"/>
    <w:rsid w:val="00FB6939"/>
    <w:rsid w:val="00FC352A"/>
    <w:rsid w:val="00FC354E"/>
    <w:rsid w:val="00FD1B96"/>
    <w:rsid w:val="00FD305D"/>
    <w:rsid w:val="00FD4D1F"/>
    <w:rsid w:val="00FD538B"/>
    <w:rsid w:val="00FD7234"/>
    <w:rsid w:val="00FD77EE"/>
    <w:rsid w:val="00FE00B4"/>
    <w:rsid w:val="00FE0D83"/>
    <w:rsid w:val="00FE59F2"/>
    <w:rsid w:val="00FF2AB2"/>
    <w:rsid w:val="00FF346C"/>
    <w:rsid w:val="00FF43C5"/>
    <w:rsid w:val="00FF510D"/>
    <w:rsid w:val="00FF590B"/>
    <w:rsid w:val="00FF70D7"/>
    <w:rsid w:val="00FF7C8B"/>
    <w:rsid w:val="02740815"/>
    <w:rsid w:val="02DE3352"/>
    <w:rsid w:val="02F005A2"/>
    <w:rsid w:val="031421DC"/>
    <w:rsid w:val="03367AB9"/>
    <w:rsid w:val="03A84E15"/>
    <w:rsid w:val="042450C8"/>
    <w:rsid w:val="04755FA8"/>
    <w:rsid w:val="04CD2E69"/>
    <w:rsid w:val="05AD45F6"/>
    <w:rsid w:val="064D08FF"/>
    <w:rsid w:val="0668353D"/>
    <w:rsid w:val="066F7191"/>
    <w:rsid w:val="071C6FC5"/>
    <w:rsid w:val="07563FF1"/>
    <w:rsid w:val="079444BF"/>
    <w:rsid w:val="07A351D0"/>
    <w:rsid w:val="084E1401"/>
    <w:rsid w:val="088E2AB4"/>
    <w:rsid w:val="08AF1A93"/>
    <w:rsid w:val="091E12D9"/>
    <w:rsid w:val="0B960D6E"/>
    <w:rsid w:val="0BAC6A16"/>
    <w:rsid w:val="0BC62A15"/>
    <w:rsid w:val="0C031DB4"/>
    <w:rsid w:val="0C0F1616"/>
    <w:rsid w:val="0C295CF5"/>
    <w:rsid w:val="0CE40585"/>
    <w:rsid w:val="0D675D97"/>
    <w:rsid w:val="0DBB57C7"/>
    <w:rsid w:val="0E0C5EFC"/>
    <w:rsid w:val="0E1E7AC7"/>
    <w:rsid w:val="0EAB26A2"/>
    <w:rsid w:val="0ECD6FA8"/>
    <w:rsid w:val="0F2B7B26"/>
    <w:rsid w:val="0F743702"/>
    <w:rsid w:val="0FC87CEA"/>
    <w:rsid w:val="100C31D5"/>
    <w:rsid w:val="10571BBC"/>
    <w:rsid w:val="10CA1771"/>
    <w:rsid w:val="11087AF3"/>
    <w:rsid w:val="113312D2"/>
    <w:rsid w:val="11847C41"/>
    <w:rsid w:val="11F748B7"/>
    <w:rsid w:val="12003BFF"/>
    <w:rsid w:val="1265257D"/>
    <w:rsid w:val="134442A6"/>
    <w:rsid w:val="136C2CC2"/>
    <w:rsid w:val="14690A40"/>
    <w:rsid w:val="14B86DC4"/>
    <w:rsid w:val="15F57363"/>
    <w:rsid w:val="1605405D"/>
    <w:rsid w:val="1633218B"/>
    <w:rsid w:val="164A0307"/>
    <w:rsid w:val="169819B4"/>
    <w:rsid w:val="17321EED"/>
    <w:rsid w:val="177C1D48"/>
    <w:rsid w:val="179F10B2"/>
    <w:rsid w:val="17A91453"/>
    <w:rsid w:val="17FB1BA0"/>
    <w:rsid w:val="18023FB5"/>
    <w:rsid w:val="181E525A"/>
    <w:rsid w:val="18423329"/>
    <w:rsid w:val="18657951"/>
    <w:rsid w:val="19304820"/>
    <w:rsid w:val="19790228"/>
    <w:rsid w:val="197B4AA4"/>
    <w:rsid w:val="19AC57E4"/>
    <w:rsid w:val="1A714A2F"/>
    <w:rsid w:val="1A8F1969"/>
    <w:rsid w:val="1AA91F20"/>
    <w:rsid w:val="1AF0278E"/>
    <w:rsid w:val="1C6A4117"/>
    <w:rsid w:val="1CB3697B"/>
    <w:rsid w:val="1DC43CB7"/>
    <w:rsid w:val="1E960B39"/>
    <w:rsid w:val="1FC4556F"/>
    <w:rsid w:val="206B06C0"/>
    <w:rsid w:val="20C55B80"/>
    <w:rsid w:val="2144119B"/>
    <w:rsid w:val="21492939"/>
    <w:rsid w:val="216126D8"/>
    <w:rsid w:val="219B743A"/>
    <w:rsid w:val="21B434DF"/>
    <w:rsid w:val="22154E1B"/>
    <w:rsid w:val="229C0B63"/>
    <w:rsid w:val="22A27582"/>
    <w:rsid w:val="22F80095"/>
    <w:rsid w:val="239A6BC4"/>
    <w:rsid w:val="23BF7940"/>
    <w:rsid w:val="2473119B"/>
    <w:rsid w:val="25776AFF"/>
    <w:rsid w:val="25A16BBC"/>
    <w:rsid w:val="25FF77E9"/>
    <w:rsid w:val="268B4EB3"/>
    <w:rsid w:val="26A809E6"/>
    <w:rsid w:val="274911AA"/>
    <w:rsid w:val="2762725F"/>
    <w:rsid w:val="27627884"/>
    <w:rsid w:val="27636091"/>
    <w:rsid w:val="28D90CDE"/>
    <w:rsid w:val="291F707D"/>
    <w:rsid w:val="29A7676B"/>
    <w:rsid w:val="2A09566D"/>
    <w:rsid w:val="2A8F446C"/>
    <w:rsid w:val="2B9D021B"/>
    <w:rsid w:val="2BD826D8"/>
    <w:rsid w:val="2BFB148E"/>
    <w:rsid w:val="2C977ECE"/>
    <w:rsid w:val="2D9D06E4"/>
    <w:rsid w:val="2DB917D9"/>
    <w:rsid w:val="2DD218DC"/>
    <w:rsid w:val="2E0E6DB8"/>
    <w:rsid w:val="2EDC4FC4"/>
    <w:rsid w:val="2F12441C"/>
    <w:rsid w:val="2F580C6C"/>
    <w:rsid w:val="2FE46850"/>
    <w:rsid w:val="30122F6E"/>
    <w:rsid w:val="30507E04"/>
    <w:rsid w:val="305D200D"/>
    <w:rsid w:val="3119524D"/>
    <w:rsid w:val="317105E3"/>
    <w:rsid w:val="323703B5"/>
    <w:rsid w:val="323A28BD"/>
    <w:rsid w:val="32AE2FB4"/>
    <w:rsid w:val="32B36E98"/>
    <w:rsid w:val="32CB72E3"/>
    <w:rsid w:val="338E5508"/>
    <w:rsid w:val="341076EC"/>
    <w:rsid w:val="34256C0A"/>
    <w:rsid w:val="34967EA3"/>
    <w:rsid w:val="354E41DB"/>
    <w:rsid w:val="36892D2E"/>
    <w:rsid w:val="36CB7281"/>
    <w:rsid w:val="36EF34FF"/>
    <w:rsid w:val="37015C42"/>
    <w:rsid w:val="37180145"/>
    <w:rsid w:val="38680848"/>
    <w:rsid w:val="38B3694E"/>
    <w:rsid w:val="38DF5E2F"/>
    <w:rsid w:val="39742B18"/>
    <w:rsid w:val="39E84D6F"/>
    <w:rsid w:val="3A9B533C"/>
    <w:rsid w:val="3AA13C26"/>
    <w:rsid w:val="3AAE741E"/>
    <w:rsid w:val="3AD73FBC"/>
    <w:rsid w:val="3C03033D"/>
    <w:rsid w:val="3C0E4427"/>
    <w:rsid w:val="3C4C3631"/>
    <w:rsid w:val="3C7C7425"/>
    <w:rsid w:val="3CC418AA"/>
    <w:rsid w:val="3CD37D25"/>
    <w:rsid w:val="3CF42A2B"/>
    <w:rsid w:val="3D22018A"/>
    <w:rsid w:val="3DC96858"/>
    <w:rsid w:val="3E78202C"/>
    <w:rsid w:val="3ED65C74"/>
    <w:rsid w:val="3F374B19"/>
    <w:rsid w:val="3FC8069C"/>
    <w:rsid w:val="40143E43"/>
    <w:rsid w:val="40903735"/>
    <w:rsid w:val="409C6F9A"/>
    <w:rsid w:val="40DA490E"/>
    <w:rsid w:val="417128D1"/>
    <w:rsid w:val="417F3A67"/>
    <w:rsid w:val="42070DF0"/>
    <w:rsid w:val="420B7C88"/>
    <w:rsid w:val="42507548"/>
    <w:rsid w:val="42A93885"/>
    <w:rsid w:val="42AC7C32"/>
    <w:rsid w:val="42BF647C"/>
    <w:rsid w:val="43046F38"/>
    <w:rsid w:val="434A2908"/>
    <w:rsid w:val="43995F2A"/>
    <w:rsid w:val="439F6792"/>
    <w:rsid w:val="448B2815"/>
    <w:rsid w:val="44B87626"/>
    <w:rsid w:val="44C419B0"/>
    <w:rsid w:val="454F55B6"/>
    <w:rsid w:val="45833DF4"/>
    <w:rsid w:val="459B211B"/>
    <w:rsid w:val="459C67FB"/>
    <w:rsid w:val="46E64D11"/>
    <w:rsid w:val="470227AA"/>
    <w:rsid w:val="470E1E6C"/>
    <w:rsid w:val="47AF258A"/>
    <w:rsid w:val="47BB52E5"/>
    <w:rsid w:val="486725C3"/>
    <w:rsid w:val="494450E1"/>
    <w:rsid w:val="49842186"/>
    <w:rsid w:val="4986232E"/>
    <w:rsid w:val="49C34AA3"/>
    <w:rsid w:val="4A480F6C"/>
    <w:rsid w:val="4B201A81"/>
    <w:rsid w:val="4B262808"/>
    <w:rsid w:val="4B6613BB"/>
    <w:rsid w:val="4B6A38AC"/>
    <w:rsid w:val="4BB52F89"/>
    <w:rsid w:val="4BC42C29"/>
    <w:rsid w:val="4BEE2E63"/>
    <w:rsid w:val="4C5053EF"/>
    <w:rsid w:val="4C710F17"/>
    <w:rsid w:val="4C8C66ED"/>
    <w:rsid w:val="4D125940"/>
    <w:rsid w:val="4D4964A5"/>
    <w:rsid w:val="4D6A2CF5"/>
    <w:rsid w:val="4D8F03FC"/>
    <w:rsid w:val="4D9D3203"/>
    <w:rsid w:val="4E5B23A5"/>
    <w:rsid w:val="4EE54797"/>
    <w:rsid w:val="4F035350"/>
    <w:rsid w:val="4F1D6E5E"/>
    <w:rsid w:val="4FA109E7"/>
    <w:rsid w:val="4FCE73B7"/>
    <w:rsid w:val="50083C27"/>
    <w:rsid w:val="501274A5"/>
    <w:rsid w:val="506C44CE"/>
    <w:rsid w:val="51817C89"/>
    <w:rsid w:val="518D3AD8"/>
    <w:rsid w:val="51B113F5"/>
    <w:rsid w:val="51C74865"/>
    <w:rsid w:val="51D13AD5"/>
    <w:rsid w:val="52D55BF7"/>
    <w:rsid w:val="52E52A3A"/>
    <w:rsid w:val="52FF737F"/>
    <w:rsid w:val="53892DEA"/>
    <w:rsid w:val="54996B2C"/>
    <w:rsid w:val="54B31911"/>
    <w:rsid w:val="54CE0DDF"/>
    <w:rsid w:val="54D549AB"/>
    <w:rsid w:val="55025731"/>
    <w:rsid w:val="56134D3C"/>
    <w:rsid w:val="56A533E0"/>
    <w:rsid w:val="56E81838"/>
    <w:rsid w:val="57925AB5"/>
    <w:rsid w:val="586631C9"/>
    <w:rsid w:val="592025F8"/>
    <w:rsid w:val="593B4656"/>
    <w:rsid w:val="59774600"/>
    <w:rsid w:val="59861649"/>
    <w:rsid w:val="59FB3809"/>
    <w:rsid w:val="5A3410A5"/>
    <w:rsid w:val="5A672A61"/>
    <w:rsid w:val="5B461B6B"/>
    <w:rsid w:val="5B547C51"/>
    <w:rsid w:val="5C0C58D5"/>
    <w:rsid w:val="5C177915"/>
    <w:rsid w:val="5C801C72"/>
    <w:rsid w:val="5CC670C2"/>
    <w:rsid w:val="5D0744DC"/>
    <w:rsid w:val="5DD42CF4"/>
    <w:rsid w:val="5DD463E7"/>
    <w:rsid w:val="5E0D40E7"/>
    <w:rsid w:val="5E6B0686"/>
    <w:rsid w:val="5E764C6B"/>
    <w:rsid w:val="5F442221"/>
    <w:rsid w:val="5F5875E4"/>
    <w:rsid w:val="5FAF6EC1"/>
    <w:rsid w:val="5FD93B1F"/>
    <w:rsid w:val="5FDE21DF"/>
    <w:rsid w:val="600E5283"/>
    <w:rsid w:val="600F0E5B"/>
    <w:rsid w:val="606F4BE5"/>
    <w:rsid w:val="60883EF9"/>
    <w:rsid w:val="60B33738"/>
    <w:rsid w:val="616A51E5"/>
    <w:rsid w:val="61A71A5F"/>
    <w:rsid w:val="61C16941"/>
    <w:rsid w:val="61F12337"/>
    <w:rsid w:val="62193498"/>
    <w:rsid w:val="623271AA"/>
    <w:rsid w:val="623F4168"/>
    <w:rsid w:val="62781C77"/>
    <w:rsid w:val="62943A50"/>
    <w:rsid w:val="629B6165"/>
    <w:rsid w:val="633B667E"/>
    <w:rsid w:val="64085B12"/>
    <w:rsid w:val="64EC051E"/>
    <w:rsid w:val="655D305B"/>
    <w:rsid w:val="658D4468"/>
    <w:rsid w:val="65BF6A56"/>
    <w:rsid w:val="6632531A"/>
    <w:rsid w:val="676656CF"/>
    <w:rsid w:val="67A40223"/>
    <w:rsid w:val="67BB149A"/>
    <w:rsid w:val="67BF46A4"/>
    <w:rsid w:val="68F71C1C"/>
    <w:rsid w:val="6A531CE0"/>
    <w:rsid w:val="6A9B3383"/>
    <w:rsid w:val="6ACE55D2"/>
    <w:rsid w:val="6B044C40"/>
    <w:rsid w:val="6C1A2BE6"/>
    <w:rsid w:val="6C4340E9"/>
    <w:rsid w:val="6C944351"/>
    <w:rsid w:val="6CE1032F"/>
    <w:rsid w:val="6D2445E4"/>
    <w:rsid w:val="6E3C7818"/>
    <w:rsid w:val="6E423939"/>
    <w:rsid w:val="6EBA7973"/>
    <w:rsid w:val="6EDB5DB6"/>
    <w:rsid w:val="70D12393"/>
    <w:rsid w:val="70E20EAB"/>
    <w:rsid w:val="7104058D"/>
    <w:rsid w:val="718D39AF"/>
    <w:rsid w:val="719721EE"/>
    <w:rsid w:val="71EC253A"/>
    <w:rsid w:val="72A21342"/>
    <w:rsid w:val="7380576C"/>
    <w:rsid w:val="74873851"/>
    <w:rsid w:val="74D45750"/>
    <w:rsid w:val="76B5325A"/>
    <w:rsid w:val="773F2FCD"/>
    <w:rsid w:val="78342285"/>
    <w:rsid w:val="78FA1E5E"/>
    <w:rsid w:val="790A2611"/>
    <w:rsid w:val="79C04D08"/>
    <w:rsid w:val="79CC3BDB"/>
    <w:rsid w:val="79EB767A"/>
    <w:rsid w:val="7A4B1DC7"/>
    <w:rsid w:val="7A8D5B09"/>
    <w:rsid w:val="7A92612F"/>
    <w:rsid w:val="7AF65AA6"/>
    <w:rsid w:val="7B08648E"/>
    <w:rsid w:val="7B415CBB"/>
    <w:rsid w:val="7B764324"/>
    <w:rsid w:val="7C14663A"/>
    <w:rsid w:val="7C577F16"/>
    <w:rsid w:val="7E1B638F"/>
    <w:rsid w:val="7E9B616C"/>
    <w:rsid w:val="7E9F3F68"/>
    <w:rsid w:val="7F7724CF"/>
    <w:rsid w:val="7FD57953"/>
    <w:rsid w:val="7FF71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黑体"/>
      <w:kern w:val="2"/>
      <w:sz w:val="28"/>
      <w:szCs w:val="22"/>
      <w:lang w:val="en-US" w:eastAsia="zh-CN" w:bidi="ar-SA"/>
    </w:rPr>
  </w:style>
  <w:style w:type="paragraph" w:styleId="5">
    <w:name w:val="heading 1"/>
    <w:basedOn w:val="1"/>
    <w:next w:val="1"/>
    <w:qFormat/>
    <w:uiPriority w:val="9"/>
    <w:pPr>
      <w:keepNext/>
      <w:keepLines/>
      <w:spacing w:line="360" w:lineRule="auto"/>
      <w:outlineLvl w:val="0"/>
    </w:pPr>
    <w:rPr>
      <w:b/>
      <w:bCs/>
      <w:kern w:val="44"/>
      <w:sz w:val="44"/>
      <w:szCs w:val="4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Calibri" w:hAnsi="Calibri" w:eastAsia="宋体" w:cs="Times New Roman"/>
      <w:sz w:val="32"/>
    </w:rPr>
  </w:style>
  <w:style w:type="paragraph" w:styleId="3">
    <w:name w:val="Body Text Indent"/>
    <w:basedOn w:val="1"/>
    <w:next w:val="4"/>
    <w:unhideWhenUsed/>
    <w:qFormat/>
    <w:uiPriority w:val="99"/>
    <w:pPr>
      <w:spacing w:after="120"/>
      <w:ind w:left="420" w:leftChars="200"/>
    </w:pPr>
  </w:style>
  <w:style w:type="paragraph" w:customStyle="1" w:styleId="4">
    <w:name w:val="样式 正文文本缩进 + 行距: 1.5 倍行距"/>
    <w:basedOn w:val="1"/>
    <w:qFormat/>
    <w:uiPriority w:val="0"/>
    <w:pPr>
      <w:spacing w:after="120"/>
      <w:ind w:left="90" w:leftChars="32" w:firstLine="560" w:firstLineChars="200"/>
    </w:pPr>
    <w:rPr>
      <w:rFonts w:cs="宋体"/>
    </w:rPr>
  </w:style>
  <w:style w:type="paragraph" w:styleId="6">
    <w:name w:val="annotation text"/>
    <w:basedOn w:val="1"/>
    <w:link w:val="42"/>
    <w:unhideWhenUsed/>
    <w:qFormat/>
    <w:uiPriority w:val="99"/>
    <w:pPr>
      <w:jc w:val="left"/>
    </w:pPr>
  </w:style>
  <w:style w:type="paragraph" w:styleId="7">
    <w:name w:val="Body Text"/>
    <w:basedOn w:val="1"/>
    <w:next w:val="8"/>
    <w:qFormat/>
    <w:uiPriority w:val="0"/>
    <w:pPr>
      <w:spacing w:after="120"/>
    </w:pPr>
  </w:style>
  <w:style w:type="paragraph" w:customStyle="1" w:styleId="8">
    <w:name w:val="xl27"/>
    <w:basedOn w:val="1"/>
    <w:qFormat/>
    <w:uiPriority w:val="0"/>
    <w:pPr>
      <w:widowControl/>
      <w:spacing w:before="100" w:beforeAutospacing="1" w:after="100" w:afterAutospacing="1"/>
      <w:jc w:val="center"/>
    </w:pPr>
    <w:rPr>
      <w:rFonts w:hint="eastAsia" w:ascii="楷体_GB2312" w:hAnsi="Arial Unicode MS" w:eastAsia="楷体_GB2312"/>
      <w:kern w:val="0"/>
      <w:szCs w:val="28"/>
    </w:rPr>
  </w:style>
  <w:style w:type="paragraph" w:styleId="9">
    <w:name w:val="toc 5"/>
    <w:basedOn w:val="1"/>
    <w:next w:val="1"/>
    <w:qFormat/>
    <w:uiPriority w:val="0"/>
    <w:pPr>
      <w:ind w:left="1680"/>
    </w:pPr>
  </w:style>
  <w:style w:type="paragraph" w:styleId="10">
    <w:name w:val="Balloon Text"/>
    <w:basedOn w:val="1"/>
    <w:link w:val="29"/>
    <w:unhideWhenUsed/>
    <w:qFormat/>
    <w:uiPriority w:val="99"/>
    <w:rPr>
      <w:sz w:val="18"/>
      <w:szCs w:val="18"/>
    </w:rPr>
  </w:style>
  <w:style w:type="paragraph" w:styleId="11">
    <w:name w:val="footer"/>
    <w:basedOn w:val="1"/>
    <w:link w:val="25"/>
    <w:unhideWhenUsed/>
    <w:qFormat/>
    <w:uiPriority w:val="0"/>
    <w:pPr>
      <w:tabs>
        <w:tab w:val="center" w:pos="4153"/>
        <w:tab w:val="right" w:pos="8306"/>
      </w:tabs>
      <w:snapToGrid w:val="0"/>
      <w:jc w:val="left"/>
    </w:pPr>
    <w:rPr>
      <w:sz w:val="18"/>
      <w:szCs w:val="18"/>
    </w:rPr>
  </w:style>
  <w:style w:type="paragraph" w:styleId="12">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toc 2"/>
    <w:basedOn w:val="1"/>
    <w:next w:val="1"/>
    <w:unhideWhenUsed/>
    <w:qFormat/>
    <w:uiPriority w:val="39"/>
    <w:pPr>
      <w:ind w:left="420" w:leftChars="200"/>
    </w:pPr>
  </w:style>
  <w:style w:type="paragraph" w:styleId="15">
    <w:name w:val="Normal (Web)"/>
    <w:basedOn w:val="1"/>
    <w:qFormat/>
    <w:uiPriority w:val="99"/>
    <w:pPr>
      <w:spacing w:beforeAutospacing="1" w:afterAutospacing="1"/>
      <w:jc w:val="left"/>
    </w:pPr>
    <w:rPr>
      <w:rFonts w:cs="Times New Roman" w:asciiTheme="minorHAnsi" w:hAnsiTheme="minorHAnsi" w:eastAsiaTheme="minorEastAsia"/>
      <w:kern w:val="0"/>
      <w:sz w:val="24"/>
      <w:szCs w:val="24"/>
    </w:rPr>
  </w:style>
  <w:style w:type="paragraph" w:styleId="16">
    <w:name w:val="Title"/>
    <w:basedOn w:val="1"/>
    <w:next w:val="1"/>
    <w:link w:val="41"/>
    <w:qFormat/>
    <w:uiPriority w:val="10"/>
    <w:pPr>
      <w:spacing w:before="240" w:after="60"/>
      <w:jc w:val="center"/>
      <w:outlineLvl w:val="0"/>
    </w:pPr>
    <w:rPr>
      <w:rFonts w:eastAsia="宋体" w:asciiTheme="majorHAnsi" w:hAnsiTheme="majorHAnsi" w:cstheme="majorBidi"/>
      <w:b/>
      <w:bCs/>
      <w:sz w:val="32"/>
      <w:szCs w:val="32"/>
    </w:rPr>
  </w:style>
  <w:style w:type="paragraph" w:styleId="17">
    <w:name w:val="annotation subject"/>
    <w:basedOn w:val="6"/>
    <w:next w:val="6"/>
    <w:link w:val="43"/>
    <w:semiHidden/>
    <w:unhideWhenUsed/>
    <w:qFormat/>
    <w:uiPriority w:val="0"/>
    <w:rPr>
      <w:b/>
      <w:bCs/>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Hyperlink"/>
    <w:basedOn w:val="20"/>
    <w:unhideWhenUsed/>
    <w:qFormat/>
    <w:uiPriority w:val="99"/>
    <w:rPr>
      <w:color w:val="0000FF" w:themeColor="hyperlink"/>
      <w:u w:val="single"/>
      <w14:textFill>
        <w14:solidFill>
          <w14:schemeClr w14:val="hlink"/>
        </w14:solidFill>
      </w14:textFill>
    </w:rPr>
  </w:style>
  <w:style w:type="character" w:styleId="22">
    <w:name w:val="annotation reference"/>
    <w:unhideWhenUsed/>
    <w:qFormat/>
    <w:uiPriority w:val="99"/>
    <w:rPr>
      <w:sz w:val="21"/>
      <w:szCs w:val="21"/>
    </w:rPr>
  </w:style>
  <w:style w:type="paragraph" w:customStyle="1" w:styleId="23">
    <w:name w:val="标准文字"/>
    <w:basedOn w:val="1"/>
    <w:link w:val="26"/>
    <w:qFormat/>
    <w:uiPriority w:val="0"/>
    <w:pPr>
      <w:overflowPunct w:val="0"/>
      <w:spacing w:line="360" w:lineRule="auto"/>
      <w:ind w:firstLine="600" w:firstLineChars="200"/>
    </w:pPr>
    <w:rPr>
      <w:rFonts w:ascii="Times New Roman" w:hAnsi="Times New Roman" w:eastAsia="仿宋_GB2312" w:cs="Times New Roman"/>
      <w:sz w:val="30"/>
      <w:szCs w:val="30"/>
    </w:rPr>
  </w:style>
  <w:style w:type="character" w:customStyle="1" w:styleId="24">
    <w:name w:val="页脚 字符"/>
    <w:semiHidden/>
    <w:qFormat/>
    <w:uiPriority w:val="99"/>
    <w:rPr>
      <w:sz w:val="18"/>
      <w:szCs w:val="18"/>
    </w:rPr>
  </w:style>
  <w:style w:type="character" w:customStyle="1" w:styleId="25">
    <w:name w:val="页脚 Char"/>
    <w:link w:val="11"/>
    <w:qFormat/>
    <w:uiPriority w:val="0"/>
    <w:rPr>
      <w:sz w:val="18"/>
      <w:szCs w:val="18"/>
    </w:rPr>
  </w:style>
  <w:style w:type="character" w:customStyle="1" w:styleId="26">
    <w:name w:val="标准文字 Char"/>
    <w:link w:val="23"/>
    <w:qFormat/>
    <w:locked/>
    <w:uiPriority w:val="0"/>
    <w:rPr>
      <w:rFonts w:ascii="Times New Roman" w:hAnsi="Times New Roman" w:eastAsia="仿宋_GB2312" w:cs="Times New Roman"/>
      <w:sz w:val="30"/>
      <w:szCs w:val="30"/>
    </w:rPr>
  </w:style>
  <w:style w:type="character" w:customStyle="1" w:styleId="27">
    <w:name w:val="NormalCharacter"/>
    <w:qFormat/>
    <w:uiPriority w:val="0"/>
  </w:style>
  <w:style w:type="character" w:customStyle="1" w:styleId="28">
    <w:name w:val="页眉 Char"/>
    <w:link w:val="12"/>
    <w:qFormat/>
    <w:uiPriority w:val="99"/>
    <w:rPr>
      <w:sz w:val="18"/>
      <w:szCs w:val="18"/>
    </w:rPr>
  </w:style>
  <w:style w:type="character" w:customStyle="1" w:styleId="29">
    <w:name w:val="批注框文本 Char"/>
    <w:link w:val="10"/>
    <w:semiHidden/>
    <w:qFormat/>
    <w:uiPriority w:val="99"/>
    <w:rPr>
      <w:sz w:val="18"/>
      <w:szCs w:val="18"/>
    </w:rPr>
  </w:style>
  <w:style w:type="table" w:customStyle="1" w:styleId="30">
    <w:name w:val="TableGrid"/>
    <w:qFormat/>
    <w:uiPriority w:val="0"/>
    <w:tblPr>
      <w:tblCellMar>
        <w:top w:w="0" w:type="dxa"/>
        <w:left w:w="0" w:type="dxa"/>
        <w:bottom w:w="0" w:type="dxa"/>
        <w:right w:w="0" w:type="dxa"/>
      </w:tblCellMar>
    </w:tblPr>
  </w:style>
  <w:style w:type="character" w:customStyle="1" w:styleId="31">
    <w:name w:val="font61"/>
    <w:basedOn w:val="20"/>
    <w:qFormat/>
    <w:uiPriority w:val="0"/>
    <w:rPr>
      <w:rFonts w:hint="default" w:ascii="仿宋_GB2312" w:eastAsia="仿宋_GB2312" w:cs="仿宋_GB2312"/>
      <w:b/>
      <w:color w:val="000000"/>
      <w:sz w:val="24"/>
      <w:szCs w:val="24"/>
      <w:u w:val="none"/>
    </w:rPr>
  </w:style>
  <w:style w:type="character" w:customStyle="1" w:styleId="32">
    <w:name w:val="font71"/>
    <w:basedOn w:val="20"/>
    <w:qFormat/>
    <w:uiPriority w:val="0"/>
    <w:rPr>
      <w:rFonts w:hint="default" w:ascii="仿宋_GB2312" w:eastAsia="仿宋_GB2312" w:cs="仿宋_GB2312"/>
      <w:color w:val="000000"/>
      <w:sz w:val="24"/>
      <w:szCs w:val="24"/>
      <w:u w:val="none"/>
    </w:rPr>
  </w:style>
  <w:style w:type="character" w:customStyle="1" w:styleId="33">
    <w:name w:val="font81"/>
    <w:basedOn w:val="20"/>
    <w:qFormat/>
    <w:uiPriority w:val="0"/>
    <w:rPr>
      <w:rFonts w:hint="default" w:ascii="Times New Roman" w:hAnsi="Times New Roman" w:cs="Times New Roman"/>
      <w:color w:val="000000"/>
      <w:sz w:val="14"/>
      <w:szCs w:val="14"/>
      <w:u w:val="none"/>
    </w:rPr>
  </w:style>
  <w:style w:type="character" w:customStyle="1" w:styleId="34">
    <w:name w:val="font31"/>
    <w:basedOn w:val="20"/>
    <w:qFormat/>
    <w:uiPriority w:val="0"/>
    <w:rPr>
      <w:rFonts w:hint="default" w:ascii="仿宋_GB2312" w:eastAsia="仿宋_GB2312" w:cs="仿宋_GB2312"/>
      <w:color w:val="000000"/>
      <w:sz w:val="24"/>
      <w:szCs w:val="24"/>
      <w:u w:val="none"/>
    </w:rPr>
  </w:style>
  <w:style w:type="character" w:customStyle="1" w:styleId="35">
    <w:name w:val="font11"/>
    <w:basedOn w:val="20"/>
    <w:qFormat/>
    <w:uiPriority w:val="0"/>
    <w:rPr>
      <w:rFonts w:hint="default" w:ascii="仿宋_GB2312" w:eastAsia="仿宋_GB2312" w:cs="仿宋_GB2312"/>
      <w:b/>
      <w:color w:val="000000"/>
      <w:sz w:val="24"/>
      <w:szCs w:val="24"/>
      <w:u w:val="none"/>
    </w:rPr>
  </w:style>
  <w:style w:type="character" w:customStyle="1" w:styleId="36">
    <w:name w:val="font41"/>
    <w:basedOn w:val="20"/>
    <w:qFormat/>
    <w:uiPriority w:val="0"/>
    <w:rPr>
      <w:rFonts w:hint="default" w:ascii="Times New Roman" w:hAnsi="Times New Roman" w:cs="Times New Roman"/>
      <w:color w:val="000000"/>
      <w:sz w:val="21"/>
      <w:szCs w:val="21"/>
      <w:u w:val="none"/>
    </w:rPr>
  </w:style>
  <w:style w:type="paragraph" w:customStyle="1" w:styleId="37">
    <w:name w:val="S正文"/>
    <w:basedOn w:val="1"/>
    <w:link w:val="38"/>
    <w:qFormat/>
    <w:uiPriority w:val="0"/>
    <w:pPr>
      <w:wordWrap w:val="0"/>
      <w:spacing w:line="360" w:lineRule="auto"/>
      <w:ind w:firstLine="480" w:firstLineChars="200"/>
    </w:pPr>
    <w:rPr>
      <w:rFonts w:ascii="Times New Roman" w:hAnsi="Times New Roman" w:eastAsia="宋体" w:cs="Times New Roman"/>
      <w:sz w:val="24"/>
    </w:rPr>
  </w:style>
  <w:style w:type="character" w:customStyle="1" w:styleId="38">
    <w:name w:val="S正文 字符"/>
    <w:link w:val="37"/>
    <w:qFormat/>
    <w:uiPriority w:val="0"/>
    <w:rPr>
      <w:kern w:val="2"/>
      <w:sz w:val="24"/>
      <w:szCs w:val="22"/>
    </w:rPr>
  </w:style>
  <w:style w:type="paragraph" w:customStyle="1" w:styleId="39">
    <w:name w:val="S表正文"/>
    <w:basedOn w:val="16"/>
    <w:link w:val="40"/>
    <w:qFormat/>
    <w:uiPriority w:val="0"/>
    <w:pPr>
      <w:wordWrap w:val="0"/>
      <w:spacing w:before="0" w:after="0"/>
      <w:outlineLvl w:val="9"/>
    </w:pPr>
    <w:rPr>
      <w:rFonts w:ascii="Times New Roman" w:hAnsi="Times New Roman" w:cs="Times New Roman"/>
      <w:b w:val="0"/>
      <w:bCs w:val="0"/>
      <w:sz w:val="21"/>
    </w:rPr>
  </w:style>
  <w:style w:type="character" w:customStyle="1" w:styleId="40">
    <w:name w:val="S表正文 字符"/>
    <w:link w:val="39"/>
    <w:qFormat/>
    <w:uiPriority w:val="0"/>
    <w:rPr>
      <w:kern w:val="2"/>
      <w:sz w:val="21"/>
      <w:szCs w:val="32"/>
    </w:rPr>
  </w:style>
  <w:style w:type="character" w:customStyle="1" w:styleId="41">
    <w:name w:val="标题 Char"/>
    <w:basedOn w:val="20"/>
    <w:link w:val="16"/>
    <w:qFormat/>
    <w:uiPriority w:val="10"/>
    <w:rPr>
      <w:rFonts w:asciiTheme="majorHAnsi" w:hAnsiTheme="majorHAnsi" w:cstheme="majorBidi"/>
      <w:b/>
      <w:bCs/>
      <w:kern w:val="2"/>
      <w:sz w:val="32"/>
      <w:szCs w:val="32"/>
    </w:rPr>
  </w:style>
  <w:style w:type="character" w:customStyle="1" w:styleId="42">
    <w:name w:val="批注文字 Char"/>
    <w:basedOn w:val="20"/>
    <w:link w:val="6"/>
    <w:qFormat/>
    <w:uiPriority w:val="99"/>
    <w:rPr>
      <w:rFonts w:ascii="等线" w:hAnsi="等线" w:eastAsia="等线" w:cs="黑体"/>
      <w:kern w:val="2"/>
      <w:sz w:val="28"/>
      <w:szCs w:val="22"/>
    </w:rPr>
  </w:style>
  <w:style w:type="character" w:customStyle="1" w:styleId="43">
    <w:name w:val="批注主题 Char"/>
    <w:basedOn w:val="42"/>
    <w:link w:val="17"/>
    <w:semiHidden/>
    <w:qFormat/>
    <w:uiPriority w:val="0"/>
    <w:rPr>
      <w:rFonts w:ascii="等线" w:hAnsi="等线" w:eastAsia="等线" w:cs="黑体"/>
      <w:b/>
      <w:bCs/>
      <w:kern w:val="2"/>
      <w:sz w:val="28"/>
      <w:szCs w:val="22"/>
    </w:rPr>
  </w:style>
  <w:style w:type="paragraph" w:customStyle="1" w:styleId="44">
    <w:name w:val="操作-表文"/>
    <w:basedOn w:val="1"/>
    <w:qFormat/>
    <w:uiPriority w:val="0"/>
    <w:pPr>
      <w:spacing w:line="360" w:lineRule="auto"/>
    </w:pPr>
    <w:rPr>
      <w:rFonts w:ascii="仿宋" w:hAnsi="仿宋" w:eastAsia="仿宋" w:cs="仿宋"/>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9518DB-0851-451D-92B0-5A67990872ED}">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35</Pages>
  <Words>2011</Words>
  <Characters>2196</Characters>
  <Lines>182</Lines>
  <Paragraphs>51</Paragraphs>
  <TotalTime>0</TotalTime>
  <ScaleCrop>false</ScaleCrop>
  <LinksUpToDate>false</LinksUpToDate>
  <CharactersWithSpaces>2219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2023-02-17T03:51:00Z</dcterms:created>
  <dc:creator>傲德姆</dc:creator>
  <cp:lastModifiedBy>枫叶</cp:lastModifiedBy>
  <cp:lastPrinted>2020-12-28T02:52:00Z</cp:lastPrinted>
  <dcterms:modified xsi:type="dcterms:W3CDTF">2026-07-30T00:41:34Z</dcterms:modified>
  <dc:title>x x 省x x市城市黑臭水体</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CA75D917A22A4F28BDB6C1252A32DF4B_13</vt:lpwstr>
  </property>
  <property fmtid="{D5CDD505-2E9C-101B-9397-08002B2CF9AE}" pid="4" name="KSOTemplateDocerSaveRecord">
    <vt:lpwstr>eyJoZGlkIjoiZmJjYWE4NjljMWI3YTA0MjlhYzU4NGFhNTMyNTNiZWYiLCJ1c2VySWQiOiI2MjU3NjIzODkifQ==</vt:lpwstr>
  </property>
</Properties>
</file>