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3CF15">
      <w:pPr>
        <w:pStyle w:val="7"/>
        <w:ind w:left="0" w:leftChars="0" w:firstLine="0" w:firstLineChars="0"/>
        <w:rPr>
          <w:rFonts w:hint="eastAsia"/>
        </w:rPr>
      </w:pPr>
    </w:p>
    <w:p w14:paraId="4A49387E">
      <w:pPr>
        <w:adjustRightInd w:val="0"/>
        <w:snapToGrid w:val="0"/>
        <w:spacing w:line="360" w:lineRule="auto"/>
        <w:jc w:val="center"/>
        <w:rPr>
          <w:rFonts w:hint="eastAsia" w:ascii="宋体" w:hAnsi="宋体" w:eastAsia="宋体" w:cs="宋体"/>
          <w:b/>
          <w:bCs/>
          <w:color w:val="000000" w:themeColor="text1"/>
          <w:sz w:val="84"/>
          <w:szCs w:val="84"/>
          <w:lang w:val="en-US" w:eastAsia="zh-CN"/>
          <w14:textFill>
            <w14:solidFill>
              <w14:schemeClr w14:val="tx1"/>
            </w14:solidFill>
          </w14:textFill>
        </w:rPr>
      </w:pPr>
      <w:r>
        <w:rPr>
          <w:rFonts w:hint="eastAsia" w:ascii="宋体" w:hAnsi="宋体" w:cs="宋体"/>
          <w:b/>
          <w:bCs/>
          <w:color w:val="000000" w:themeColor="text1"/>
          <w:sz w:val="84"/>
          <w:szCs w:val="84"/>
          <w:lang w:val="en-US" w:eastAsia="zh-CN"/>
          <w14:textFill>
            <w14:solidFill>
              <w14:schemeClr w14:val="tx1"/>
            </w14:solidFill>
          </w14:textFill>
        </w:rPr>
        <w:t>采购</w:t>
      </w:r>
    </w:p>
    <w:p w14:paraId="0F61D9A1">
      <w:pPr>
        <w:adjustRightInd w:val="0"/>
        <w:snapToGrid w:val="0"/>
        <w:spacing w:line="360" w:lineRule="auto"/>
        <w:jc w:val="center"/>
        <w:rPr>
          <w:rFonts w:hint="eastAsia"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bCs/>
          <w:color w:val="000000" w:themeColor="text1"/>
          <w:sz w:val="84"/>
          <w:szCs w:val="84"/>
          <w14:textFill>
            <w14:solidFill>
              <w14:schemeClr w14:val="tx1"/>
            </w14:solidFill>
          </w14:textFill>
        </w:rPr>
        <w:t>竞争性谈判文件</w:t>
      </w:r>
    </w:p>
    <w:p w14:paraId="5F27EA2C">
      <w:pPr>
        <w:adjustRightInd w:val="0"/>
        <w:snapToGrid w:val="0"/>
        <w:spacing w:line="360" w:lineRule="auto"/>
        <w:ind w:left="2563" w:leftChars="554" w:hanging="1400" w:hangingChars="700"/>
        <w:rPr>
          <w:rFonts w:hint="eastAsia" w:ascii="宋体" w:hAnsi="宋体" w:eastAsia="宋体" w:cs="宋体"/>
          <w:color w:val="000000" w:themeColor="text1"/>
          <w:sz w:val="20"/>
          <w:szCs w:val="20"/>
          <w14:textFill>
            <w14:solidFill>
              <w14:schemeClr w14:val="tx1"/>
            </w14:solidFill>
          </w14:textFill>
        </w:rPr>
      </w:pPr>
    </w:p>
    <w:p w14:paraId="24087729">
      <w:pPr>
        <w:pStyle w:val="28"/>
        <w:rPr>
          <w:rFonts w:hint="eastAsia" w:ascii="宋体" w:hAnsi="宋体" w:eastAsia="宋体" w:cs="宋体"/>
          <w:color w:val="000000" w:themeColor="text1"/>
          <w:sz w:val="20"/>
          <w:szCs w:val="20"/>
          <w14:textFill>
            <w14:solidFill>
              <w14:schemeClr w14:val="tx1"/>
            </w14:solidFill>
          </w14:textFill>
        </w:rPr>
      </w:pPr>
    </w:p>
    <w:p w14:paraId="61EB3BE0">
      <w:pPr>
        <w:pStyle w:val="28"/>
        <w:rPr>
          <w:rFonts w:hint="eastAsia" w:ascii="宋体" w:hAnsi="宋体" w:eastAsia="宋体" w:cs="宋体"/>
          <w:color w:val="000000" w:themeColor="text1"/>
          <w:sz w:val="20"/>
          <w:szCs w:val="20"/>
          <w14:textFill>
            <w14:solidFill>
              <w14:schemeClr w14:val="tx1"/>
            </w14:solidFill>
          </w14:textFill>
        </w:rPr>
      </w:pPr>
    </w:p>
    <w:p w14:paraId="20A95A3A">
      <w:pPr>
        <w:pStyle w:val="28"/>
        <w:rPr>
          <w:rFonts w:hint="eastAsia" w:ascii="宋体" w:hAnsi="宋体" w:eastAsia="宋体" w:cs="宋体"/>
          <w:color w:val="000000" w:themeColor="text1"/>
          <w:sz w:val="20"/>
          <w:szCs w:val="20"/>
          <w14:textFill>
            <w14:solidFill>
              <w14:schemeClr w14:val="tx1"/>
            </w14:solidFill>
          </w14:textFill>
        </w:rPr>
      </w:pPr>
    </w:p>
    <w:p w14:paraId="24F9954F">
      <w:pPr>
        <w:pStyle w:val="28"/>
        <w:rPr>
          <w:rFonts w:hint="eastAsia" w:ascii="宋体" w:hAnsi="宋体" w:eastAsia="宋体" w:cs="宋体"/>
          <w:color w:val="000000" w:themeColor="text1"/>
          <w:sz w:val="20"/>
          <w:szCs w:val="20"/>
          <w14:textFill>
            <w14:solidFill>
              <w14:schemeClr w14:val="tx1"/>
            </w14:solidFill>
          </w14:textFill>
        </w:rPr>
      </w:pPr>
    </w:p>
    <w:p w14:paraId="70668F9E">
      <w:pPr>
        <w:pStyle w:val="28"/>
        <w:rPr>
          <w:rFonts w:hint="eastAsia" w:ascii="宋体" w:hAnsi="宋体" w:eastAsia="宋体" w:cs="宋体"/>
          <w:color w:val="000000" w:themeColor="text1"/>
          <w:sz w:val="20"/>
          <w:szCs w:val="20"/>
          <w14:textFill>
            <w14:solidFill>
              <w14:schemeClr w14:val="tx1"/>
            </w14:solidFill>
          </w14:textFill>
        </w:rPr>
      </w:pPr>
    </w:p>
    <w:p w14:paraId="00F7CE6D">
      <w:pPr>
        <w:pStyle w:val="28"/>
        <w:rPr>
          <w:rFonts w:hint="eastAsia" w:ascii="宋体" w:hAnsi="宋体" w:eastAsia="宋体" w:cs="宋体"/>
          <w:color w:val="000000" w:themeColor="text1"/>
          <w:sz w:val="20"/>
          <w:szCs w:val="20"/>
          <w14:textFill>
            <w14:solidFill>
              <w14:schemeClr w14:val="tx1"/>
            </w14:solidFill>
          </w14:textFill>
        </w:rPr>
      </w:pPr>
    </w:p>
    <w:p w14:paraId="39B53CB1">
      <w:pPr>
        <w:adjustRightInd w:val="0"/>
        <w:snapToGrid w:val="0"/>
        <w:spacing w:line="360" w:lineRule="auto"/>
        <w:rPr>
          <w:rFonts w:hint="eastAsia" w:ascii="宋体" w:hAnsi="宋体" w:eastAsia="宋体" w:cs="宋体"/>
          <w:b/>
          <w:color w:val="000000" w:themeColor="text1"/>
          <w:sz w:val="32"/>
          <w:szCs w:val="32"/>
          <w14:textFill>
            <w14:solidFill>
              <w14:schemeClr w14:val="tx1"/>
            </w14:solidFill>
          </w14:textFill>
        </w:rPr>
      </w:pPr>
    </w:p>
    <w:p w14:paraId="43186D45">
      <w:pPr>
        <w:adjustRightInd w:val="0"/>
        <w:snapToGrid w:val="0"/>
        <w:spacing w:line="360" w:lineRule="auto"/>
        <w:ind w:left="2249" w:hanging="2249" w:hangingChars="700"/>
        <w:rPr>
          <w:rFonts w:hint="eastAsia" w:ascii="宋体" w:hAnsi="宋体" w:cs="宋体"/>
          <w:b w:val="0"/>
          <w:bCs/>
          <w:color w:val="000000" w:themeColor="text1"/>
          <w:sz w:val="32"/>
          <w:szCs w:val="32"/>
          <w:u w:val="single"/>
          <w:lang w:val="en-US" w:eastAsia="zh-CN"/>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采购项目名称：</w:t>
      </w:r>
      <w:r>
        <w:rPr>
          <w:rFonts w:hint="eastAsia" w:ascii="宋体" w:hAnsi="宋体" w:cs="宋体"/>
          <w:b w:val="0"/>
          <w:bCs/>
          <w:color w:val="000000" w:themeColor="text1"/>
          <w:sz w:val="32"/>
          <w:szCs w:val="32"/>
          <w:u w:val="single"/>
          <w:lang w:eastAsia="zh-CN"/>
          <w14:textFill>
            <w14:solidFill>
              <w14:schemeClr w14:val="tx1"/>
            </w14:solidFill>
          </w14:textFill>
        </w:rPr>
        <w:t>怀化市鹤城区城市建设投资有限公司(区执法局充电桩)配电工程（第三次）</w:t>
      </w:r>
    </w:p>
    <w:p w14:paraId="26FDF3D3">
      <w:pPr>
        <w:adjustRightInd w:val="0"/>
        <w:snapToGrid w:val="0"/>
        <w:spacing w:line="360" w:lineRule="auto"/>
        <w:rPr>
          <w:rFonts w:hint="default" w:ascii="宋体" w:hAnsi="宋体" w:eastAsia="宋体" w:cs="宋体"/>
          <w:b/>
          <w:color w:val="000000" w:themeColor="text1"/>
          <w:sz w:val="32"/>
          <w:szCs w:val="32"/>
          <w:lang w:val="en-US" w:eastAsia="zh-CN"/>
          <w14:textFill>
            <w14:solidFill>
              <w14:schemeClr w14:val="tx1"/>
            </w14:solidFill>
          </w14:textFill>
        </w:rPr>
      </w:pPr>
      <w:r>
        <w:rPr>
          <w:rFonts w:hint="eastAsia" w:ascii="宋体" w:hAnsi="宋体" w:eastAsia="宋体" w:cs="宋体"/>
          <w:b/>
          <w:color w:val="000000" w:themeColor="text1"/>
          <w:sz w:val="32"/>
          <w:szCs w:val="32"/>
          <w:lang w:val="en-US" w:eastAsia="zh-CN"/>
          <w14:textFill>
            <w14:solidFill>
              <w14:schemeClr w14:val="tx1"/>
            </w14:solidFill>
          </w14:textFill>
        </w:rPr>
        <w:t>采购编号：</w:t>
      </w:r>
      <w:r>
        <w:rPr>
          <w:rFonts w:hint="eastAsia" w:ascii="宋体" w:hAnsi="宋体" w:eastAsia="宋体" w:cs="宋体"/>
          <w:b w:val="0"/>
          <w:bCs/>
          <w:color w:val="000000" w:themeColor="text1"/>
          <w:sz w:val="32"/>
          <w:szCs w:val="32"/>
          <w:u w:val="single"/>
          <w:lang w:val="en-US" w:eastAsia="zh-CN"/>
          <w14:textFill>
            <w14:solidFill>
              <w14:schemeClr w14:val="tx1"/>
            </w14:solidFill>
          </w14:textFill>
        </w:rPr>
        <w:t>2026-0</w:t>
      </w:r>
      <w:r>
        <w:rPr>
          <w:rFonts w:hint="eastAsia" w:ascii="宋体" w:hAnsi="宋体" w:cs="宋体"/>
          <w:b w:val="0"/>
          <w:bCs/>
          <w:color w:val="000000" w:themeColor="text1"/>
          <w:sz w:val="32"/>
          <w:szCs w:val="32"/>
          <w:u w:val="single"/>
          <w:lang w:val="en-US" w:eastAsia="zh-CN"/>
          <w14:textFill>
            <w14:solidFill>
              <w14:schemeClr w14:val="tx1"/>
            </w14:solidFill>
          </w14:textFill>
        </w:rPr>
        <w:t>8</w:t>
      </w:r>
      <w:r>
        <w:rPr>
          <w:rFonts w:hint="eastAsia" w:ascii="宋体" w:hAnsi="宋体" w:eastAsia="宋体" w:cs="宋体"/>
          <w:b/>
          <w:color w:val="000000" w:themeColor="text1"/>
          <w:sz w:val="32"/>
          <w:szCs w:val="32"/>
          <w:u w:val="single"/>
          <w:lang w:val="en-US" w:eastAsia="zh-CN"/>
          <w14:textFill>
            <w14:solidFill>
              <w14:schemeClr w14:val="tx1"/>
            </w14:solidFill>
          </w14:textFill>
        </w:rPr>
        <w:t xml:space="preserve"> </w:t>
      </w:r>
    </w:p>
    <w:p w14:paraId="74F77C4C">
      <w:pPr>
        <w:adjustRightInd w:val="0"/>
        <w:snapToGrid w:val="0"/>
        <w:spacing w:line="360" w:lineRule="auto"/>
        <w:rPr>
          <w:rFonts w:hint="default" w:ascii="宋体" w:hAnsi="宋体" w:eastAsia="宋体" w:cs="宋体"/>
          <w:b/>
          <w:color w:val="000000" w:themeColor="text1"/>
          <w:sz w:val="32"/>
          <w:szCs w:val="32"/>
          <w:lang w:val="en-US" w:eastAsia="zh-CN"/>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委托代理编号：</w:t>
      </w:r>
      <w:r>
        <w:rPr>
          <w:rFonts w:hint="eastAsia" w:ascii="宋体" w:hAnsi="宋体" w:cs="宋体"/>
          <w:b w:val="0"/>
          <w:bCs/>
          <w:color w:val="000000" w:themeColor="text1"/>
          <w:sz w:val="32"/>
          <w:szCs w:val="32"/>
          <w:u w:val="single"/>
          <w:lang w:eastAsia="zh-CN"/>
          <w14:textFill>
            <w14:solidFill>
              <w14:schemeClr w14:val="tx1"/>
            </w14:solidFill>
          </w14:textFill>
        </w:rPr>
        <w:t>HNZLF-2026-GC(HH)-24</w:t>
      </w:r>
      <w:r>
        <w:rPr>
          <w:rFonts w:hint="eastAsia" w:ascii="宋体" w:hAnsi="宋体" w:cs="宋体"/>
          <w:b w:val="0"/>
          <w:bCs/>
          <w:color w:val="000000" w:themeColor="text1"/>
          <w:sz w:val="32"/>
          <w:szCs w:val="32"/>
          <w:u w:val="single"/>
          <w:lang w:val="en-US" w:eastAsia="zh-CN"/>
          <w14:textFill>
            <w14:solidFill>
              <w14:schemeClr w14:val="tx1"/>
            </w14:solidFill>
          </w14:textFill>
        </w:rPr>
        <w:t xml:space="preserve"> </w:t>
      </w:r>
    </w:p>
    <w:p w14:paraId="2C40500E">
      <w:pPr>
        <w:adjustRightInd w:val="0"/>
        <w:snapToGrid w:val="0"/>
        <w:spacing w:line="360" w:lineRule="auto"/>
        <w:rPr>
          <w:rFonts w:hint="default" w:ascii="宋体" w:hAnsi="宋体" w:eastAsia="宋体" w:cs="宋体"/>
          <w:b w:val="0"/>
          <w:bCs/>
          <w:color w:val="000000" w:themeColor="text1"/>
          <w:sz w:val="32"/>
          <w:szCs w:val="32"/>
          <w:u w:val="single"/>
          <w:lang w:val="en-US"/>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采   购   人：</w:t>
      </w:r>
      <w:r>
        <w:rPr>
          <w:rFonts w:hint="eastAsia" w:ascii="宋体" w:hAnsi="宋体" w:cs="宋体"/>
          <w:b w:val="0"/>
          <w:bCs/>
          <w:color w:val="000000" w:themeColor="text1"/>
          <w:sz w:val="32"/>
          <w:szCs w:val="32"/>
          <w:u w:val="single"/>
          <w:lang w:val="en-US" w:eastAsia="zh-CN"/>
          <w14:textFill>
            <w14:solidFill>
              <w14:schemeClr w14:val="tx1"/>
            </w14:solidFill>
          </w14:textFill>
        </w:rPr>
        <w:t>怀化市鹤城区城市建设投资有限公司</w:t>
      </w:r>
    </w:p>
    <w:p w14:paraId="5E990A6B">
      <w:pPr>
        <w:adjustRightInd w:val="0"/>
        <w:snapToGrid w:val="0"/>
        <w:spacing w:line="360" w:lineRule="auto"/>
        <w:jc w:val="both"/>
        <w:rPr>
          <w:rFonts w:hint="default" w:ascii="宋体" w:hAnsi="宋体" w:eastAsia="宋体" w:cs="宋体"/>
          <w:b/>
          <w:color w:val="000000" w:themeColor="text1"/>
          <w:sz w:val="32"/>
          <w:szCs w:val="32"/>
          <w:lang w:val="en-US"/>
          <w14:textFill>
            <w14:solidFill>
              <w14:schemeClr w14:val="tx1"/>
            </w14:solidFill>
          </w14:textFill>
        </w:rPr>
      </w:pPr>
      <w:r>
        <w:rPr>
          <w:rFonts w:hint="eastAsia" w:ascii="宋体" w:hAnsi="宋体" w:eastAsia="宋体" w:cs="宋体"/>
          <w:b/>
          <w:color w:val="000000" w:themeColor="text1"/>
          <w:sz w:val="32"/>
          <w:szCs w:val="21"/>
          <w14:textFill>
            <w14:solidFill>
              <w14:schemeClr w14:val="tx1"/>
            </w14:solidFill>
          </w14:textFill>
        </w:rPr>
        <w:t>采购代理机构：</w:t>
      </w:r>
      <w:r>
        <w:rPr>
          <w:rFonts w:hint="eastAsia" w:ascii="宋体" w:hAnsi="宋体" w:cs="宋体"/>
          <w:b w:val="0"/>
          <w:bCs/>
          <w:color w:val="000000" w:themeColor="text1"/>
          <w:sz w:val="32"/>
          <w:szCs w:val="21"/>
          <w:u w:val="single"/>
          <w:lang w:val="en-US" w:eastAsia="zh-CN"/>
          <w14:textFill>
            <w14:solidFill>
              <w14:schemeClr w14:val="tx1"/>
            </w14:solidFill>
          </w14:textFill>
        </w:rPr>
        <w:t>湖南智立方工程项目管理有限公司</w:t>
      </w:r>
    </w:p>
    <w:p w14:paraId="14A7BCEA">
      <w:pPr>
        <w:adjustRightInd w:val="0"/>
        <w:snapToGrid w:val="0"/>
        <w:spacing w:line="360" w:lineRule="auto"/>
        <w:jc w:val="center"/>
        <w:rPr>
          <w:rFonts w:hint="eastAsia" w:ascii="宋体" w:hAnsi="宋体" w:eastAsia="宋体" w:cs="宋体"/>
          <w:b/>
          <w:color w:val="000000" w:themeColor="text1"/>
          <w:sz w:val="32"/>
          <w:szCs w:val="21"/>
          <w14:textFill>
            <w14:solidFill>
              <w14:schemeClr w14:val="tx1"/>
            </w14:solidFill>
          </w14:textFill>
        </w:rPr>
      </w:pPr>
    </w:p>
    <w:p w14:paraId="48E4847C">
      <w:pPr>
        <w:adjustRightInd w:val="0"/>
        <w:snapToGrid w:val="0"/>
        <w:spacing w:line="360" w:lineRule="auto"/>
        <w:jc w:val="center"/>
        <w:rPr>
          <w:rFonts w:hint="eastAsia" w:ascii="宋体" w:hAnsi="宋体" w:eastAsia="宋体" w:cs="宋体"/>
          <w:b/>
          <w:color w:val="000000" w:themeColor="text1"/>
          <w:sz w:val="32"/>
          <w:szCs w:val="21"/>
          <w14:textFill>
            <w14:solidFill>
              <w14:schemeClr w14:val="tx1"/>
            </w14:solidFill>
          </w14:textFill>
        </w:rPr>
      </w:pPr>
    </w:p>
    <w:p w14:paraId="7E9CA2BD">
      <w:pPr>
        <w:pStyle w:val="28"/>
        <w:rPr>
          <w:rFonts w:hint="eastAsia" w:ascii="宋体" w:hAnsi="宋体" w:eastAsia="宋体" w:cs="宋体"/>
          <w:b/>
          <w:color w:val="000000" w:themeColor="text1"/>
          <w:sz w:val="32"/>
          <w:szCs w:val="21"/>
          <w14:textFill>
            <w14:solidFill>
              <w14:schemeClr w14:val="tx1"/>
            </w14:solidFill>
          </w14:textFill>
        </w:rPr>
      </w:pPr>
    </w:p>
    <w:p w14:paraId="13C2DA1E">
      <w:pPr>
        <w:pStyle w:val="28"/>
        <w:rPr>
          <w:rFonts w:hint="eastAsia" w:ascii="宋体" w:hAnsi="宋体" w:eastAsia="宋体" w:cs="宋体"/>
          <w:b/>
          <w:color w:val="000000" w:themeColor="text1"/>
          <w:sz w:val="32"/>
          <w:szCs w:val="21"/>
          <w14:textFill>
            <w14:solidFill>
              <w14:schemeClr w14:val="tx1"/>
            </w14:solidFill>
          </w14:textFill>
        </w:rPr>
      </w:pPr>
    </w:p>
    <w:p w14:paraId="0E7B4881">
      <w:pPr>
        <w:adjustRightInd w:val="0"/>
        <w:snapToGrid w:val="0"/>
        <w:spacing w:line="360" w:lineRule="auto"/>
        <w:jc w:val="center"/>
        <w:rPr>
          <w:rFonts w:hint="eastAsia" w:ascii="宋体" w:hAnsi="宋体" w:eastAsia="宋体" w:cs="宋体"/>
          <w:b/>
          <w:color w:val="000000" w:themeColor="text1"/>
          <w:sz w:val="32"/>
          <w:szCs w:val="21"/>
          <w14:textFill>
            <w14:solidFill>
              <w14:schemeClr w14:val="tx1"/>
            </w14:solidFill>
          </w14:textFill>
        </w:rPr>
      </w:pPr>
      <w:r>
        <w:rPr>
          <w:rFonts w:hint="eastAsia" w:ascii="宋体" w:hAnsi="宋体" w:eastAsia="宋体" w:cs="宋体"/>
          <w:b/>
          <w:color w:val="000000" w:themeColor="text1"/>
          <w:sz w:val="32"/>
          <w:szCs w:val="21"/>
          <w:lang w:val="en-US" w:eastAsia="zh-CN"/>
          <w14:textFill>
            <w14:solidFill>
              <w14:schemeClr w14:val="tx1"/>
            </w14:solidFill>
          </w14:textFill>
        </w:rPr>
        <w:t>202</w:t>
      </w:r>
      <w:r>
        <w:rPr>
          <w:rFonts w:hint="eastAsia" w:ascii="宋体" w:hAnsi="宋体" w:cs="宋体"/>
          <w:b/>
          <w:color w:val="000000" w:themeColor="text1"/>
          <w:sz w:val="32"/>
          <w:szCs w:val="21"/>
          <w:lang w:val="en-US" w:eastAsia="zh-CN"/>
          <w14:textFill>
            <w14:solidFill>
              <w14:schemeClr w14:val="tx1"/>
            </w14:solidFill>
          </w14:textFill>
        </w:rPr>
        <w:t>6</w:t>
      </w:r>
      <w:r>
        <w:rPr>
          <w:rFonts w:hint="eastAsia" w:ascii="宋体" w:hAnsi="宋体" w:eastAsia="宋体" w:cs="宋体"/>
          <w:b/>
          <w:color w:val="000000" w:themeColor="text1"/>
          <w:sz w:val="32"/>
          <w:szCs w:val="21"/>
          <w14:textFill>
            <w14:solidFill>
              <w14:schemeClr w14:val="tx1"/>
            </w14:solidFill>
          </w14:textFill>
        </w:rPr>
        <w:t>年</w:t>
      </w:r>
      <w:r>
        <w:rPr>
          <w:rFonts w:hint="eastAsia" w:ascii="宋体" w:hAnsi="宋体" w:cs="宋体"/>
          <w:b/>
          <w:color w:val="000000" w:themeColor="text1"/>
          <w:sz w:val="32"/>
          <w:szCs w:val="21"/>
          <w:lang w:val="en-US" w:eastAsia="zh-CN"/>
          <w14:textFill>
            <w14:solidFill>
              <w14:schemeClr w14:val="tx1"/>
            </w14:solidFill>
          </w14:textFill>
        </w:rPr>
        <w:t>6</w:t>
      </w:r>
      <w:r>
        <w:rPr>
          <w:rFonts w:hint="eastAsia" w:ascii="宋体" w:hAnsi="宋体" w:eastAsia="宋体" w:cs="宋体"/>
          <w:b/>
          <w:color w:val="000000" w:themeColor="text1"/>
          <w:sz w:val="32"/>
          <w:szCs w:val="21"/>
          <w14:textFill>
            <w14:solidFill>
              <w14:schemeClr w14:val="tx1"/>
            </w14:solidFill>
          </w14:textFill>
        </w:rPr>
        <w:t>月</w:t>
      </w:r>
    </w:p>
    <w:p w14:paraId="460BFE27">
      <w:pPr>
        <w:pStyle w:val="30"/>
        <w:rPr>
          <w:rFonts w:hint="eastAsia" w:ascii="宋体" w:hAnsi="宋体" w:eastAsia="宋体" w:cs="宋体"/>
          <w:b/>
          <w:color w:val="000000" w:themeColor="text1"/>
          <w:spacing w:val="160"/>
          <w:sz w:val="32"/>
          <w:szCs w:val="32"/>
          <w14:textFill>
            <w14:solidFill>
              <w14:schemeClr w14:val="tx1"/>
            </w14:solidFill>
          </w14:textFill>
        </w:rPr>
        <w:sectPr>
          <w:footerReference r:id="rId3" w:type="default"/>
          <w:pgSz w:w="11906" w:h="16838"/>
          <w:pgMar w:top="1474" w:right="1474" w:bottom="1474" w:left="1588" w:header="851" w:footer="992" w:gutter="0"/>
          <w:cols w:space="720" w:num="1"/>
          <w:docGrid w:type="lines" w:linePitch="312" w:charSpace="0"/>
        </w:sectPr>
      </w:pPr>
    </w:p>
    <w:p w14:paraId="12325458">
      <w:pPr>
        <w:adjustRightInd w:val="0"/>
        <w:snapToGrid w:val="0"/>
        <w:spacing w:line="360" w:lineRule="auto"/>
        <w:jc w:val="center"/>
        <w:rPr>
          <w:rFonts w:ascii="黑体" w:hAnsi="宋体" w:eastAsia="黑体" w:cs="Courier New"/>
          <w:b/>
          <w:color w:val="000000" w:themeColor="text1"/>
          <w:spacing w:val="160"/>
          <w:sz w:val="32"/>
          <w:szCs w:val="32"/>
          <w14:textFill>
            <w14:solidFill>
              <w14:schemeClr w14:val="tx1"/>
            </w14:solidFill>
          </w14:textFill>
        </w:rPr>
      </w:pPr>
      <w:r>
        <w:rPr>
          <w:rFonts w:hint="eastAsia" w:ascii="黑体" w:hAnsi="宋体" w:eastAsia="黑体" w:cs="Courier New"/>
          <w:b/>
          <w:color w:val="000000" w:themeColor="text1"/>
          <w:spacing w:val="160"/>
          <w:sz w:val="32"/>
          <w:szCs w:val="32"/>
          <w14:textFill>
            <w14:solidFill>
              <w14:schemeClr w14:val="tx1"/>
            </w14:solidFill>
          </w14:textFill>
        </w:rPr>
        <w:t>目录</w:t>
      </w:r>
    </w:p>
    <w:p w14:paraId="2CD01111">
      <w:pPr>
        <w:pStyle w:val="17"/>
        <w:tabs>
          <w:tab w:val="right" w:leader="dot" w:pos="8844"/>
        </w:tabs>
      </w:pPr>
      <w:r>
        <w:rPr>
          <w:rFonts w:hAnsi="宋体"/>
          <w:bCs/>
          <w:color w:val="000000" w:themeColor="text1"/>
          <w:sz w:val="28"/>
          <w14:textFill>
            <w14:solidFill>
              <w14:schemeClr w14:val="tx1"/>
            </w14:solidFill>
          </w14:textFill>
        </w:rPr>
        <w:fldChar w:fldCharType="begin"/>
      </w:r>
      <w:r>
        <w:rPr>
          <w:rFonts w:hAnsi="宋体"/>
          <w:bCs/>
          <w:color w:val="000000" w:themeColor="text1"/>
          <w:sz w:val="28"/>
          <w14:textFill>
            <w14:solidFill>
              <w14:schemeClr w14:val="tx1"/>
            </w14:solidFill>
          </w14:textFill>
        </w:rPr>
        <w:instrText xml:space="preserve"> TOC \o "1-3" \h \z \u </w:instrText>
      </w:r>
      <w:r>
        <w:rPr>
          <w:rFonts w:hAnsi="宋体"/>
          <w:bCs/>
          <w:color w:val="000000" w:themeColor="text1"/>
          <w:sz w:val="28"/>
          <w14:textFill>
            <w14:solidFill>
              <w14:schemeClr w14:val="tx1"/>
            </w14:solidFill>
          </w14:textFill>
        </w:rPr>
        <w:fldChar w:fldCharType="separate"/>
      </w:r>
      <w:r>
        <w:rPr>
          <w:rFonts w:hAnsi="宋体"/>
          <w:bCs/>
          <w:color w:val="000000" w:themeColor="text1"/>
          <w14:textFill>
            <w14:solidFill>
              <w14:schemeClr w14:val="tx1"/>
            </w14:solidFill>
          </w14:textFill>
        </w:rPr>
        <w:fldChar w:fldCharType="begin"/>
      </w:r>
      <w:r>
        <w:rPr>
          <w:rFonts w:hAnsi="宋体"/>
          <w:bCs/>
        </w:rPr>
        <w:instrText xml:space="preserve"> HYPERLINK \l _Toc11980 </w:instrText>
      </w:r>
      <w:r>
        <w:rPr>
          <w:rFonts w:hAnsi="宋体"/>
          <w:bCs/>
        </w:rPr>
        <w:fldChar w:fldCharType="separate"/>
      </w:r>
      <w:r>
        <w:rPr>
          <w:rFonts w:hint="eastAsia" w:ascii="黑体" w:hAnsi="黑体" w:eastAsia="黑体"/>
          <w:bCs/>
          <w:szCs w:val="32"/>
        </w:rPr>
        <w:t>第一章 谈判</w:t>
      </w:r>
      <w:r>
        <w:rPr>
          <w:rFonts w:hint="eastAsia" w:ascii="黑体" w:hAnsi="黑体" w:eastAsia="黑体"/>
          <w:bCs/>
          <w:szCs w:val="32"/>
          <w:highlight w:val="none"/>
          <w:lang w:eastAsia="zh-CN"/>
        </w:rPr>
        <w:t>公告</w:t>
      </w:r>
      <w:r>
        <w:tab/>
      </w:r>
      <w:r>
        <w:fldChar w:fldCharType="begin"/>
      </w:r>
      <w:r>
        <w:instrText xml:space="preserve"> PAGEREF _Toc11980 \h </w:instrText>
      </w:r>
      <w:r>
        <w:fldChar w:fldCharType="separate"/>
      </w:r>
      <w:r>
        <w:t>2</w:t>
      </w:r>
      <w:r>
        <w:fldChar w:fldCharType="end"/>
      </w:r>
      <w:r>
        <w:rPr>
          <w:rFonts w:hAnsi="宋体"/>
          <w:bCs/>
          <w:color w:val="000000" w:themeColor="text1"/>
          <w14:textFill>
            <w14:solidFill>
              <w14:schemeClr w14:val="tx1"/>
            </w14:solidFill>
          </w14:textFill>
        </w:rPr>
        <w:fldChar w:fldCharType="end"/>
      </w:r>
    </w:p>
    <w:p w14:paraId="73717B7C">
      <w:pPr>
        <w:pStyle w:val="18"/>
        <w:tabs>
          <w:tab w:val="right" w:leader="dot" w:pos="8844"/>
        </w:tabs>
      </w:pPr>
      <w:r>
        <w:rPr>
          <w:color w:val="000000" w:themeColor="text1"/>
          <w14:textFill>
            <w14:solidFill>
              <w14:schemeClr w14:val="tx1"/>
            </w14:solidFill>
          </w14:textFill>
        </w:rPr>
        <w:fldChar w:fldCharType="begin"/>
      </w:r>
      <w:r>
        <w:instrText xml:space="preserve"> HYPERLINK \l _Toc15997 </w:instrText>
      </w:r>
      <w:r>
        <w:fldChar w:fldCharType="separate"/>
      </w:r>
      <w:r>
        <w:rPr>
          <w:rFonts w:hint="eastAsia" w:ascii="黑体" w:hAnsi="黑体" w:eastAsia="黑体"/>
          <w:bCs/>
          <w:szCs w:val="32"/>
        </w:rPr>
        <w:t>一、采购项目基本情况</w:t>
      </w:r>
      <w:r>
        <w:tab/>
      </w:r>
      <w:r>
        <w:fldChar w:fldCharType="begin"/>
      </w:r>
      <w:r>
        <w:instrText xml:space="preserve"> PAGEREF _Toc15997 \h </w:instrText>
      </w:r>
      <w:r>
        <w:fldChar w:fldCharType="separate"/>
      </w:r>
      <w:r>
        <w:t>2</w:t>
      </w:r>
      <w:r>
        <w:fldChar w:fldCharType="end"/>
      </w:r>
      <w:r>
        <w:rPr>
          <w:color w:val="000000" w:themeColor="text1"/>
          <w14:textFill>
            <w14:solidFill>
              <w14:schemeClr w14:val="tx1"/>
            </w14:solidFill>
          </w14:textFill>
        </w:rPr>
        <w:fldChar w:fldCharType="end"/>
      </w:r>
    </w:p>
    <w:p w14:paraId="592CD97A">
      <w:pPr>
        <w:pStyle w:val="18"/>
        <w:tabs>
          <w:tab w:val="right" w:leader="dot" w:pos="8844"/>
        </w:tabs>
      </w:pPr>
      <w:r>
        <w:rPr>
          <w:color w:val="000000" w:themeColor="text1"/>
          <w14:textFill>
            <w14:solidFill>
              <w14:schemeClr w14:val="tx1"/>
            </w14:solidFill>
          </w14:textFill>
        </w:rPr>
        <w:fldChar w:fldCharType="begin"/>
      </w:r>
      <w:r>
        <w:instrText xml:space="preserve"> HYPERLINK \l _Toc11386 </w:instrText>
      </w:r>
      <w:r>
        <w:fldChar w:fldCharType="separate"/>
      </w:r>
      <w:r>
        <w:rPr>
          <w:rFonts w:hint="eastAsia" w:ascii="黑体" w:hAnsi="黑体" w:eastAsia="黑体"/>
          <w:bCs/>
          <w:szCs w:val="32"/>
        </w:rPr>
        <w:t>二、 采购</w:t>
      </w:r>
      <w:r>
        <w:rPr>
          <w:rFonts w:hint="eastAsia" w:ascii="黑体" w:hAnsi="黑体" w:eastAsia="黑体"/>
          <w:bCs/>
          <w:szCs w:val="32"/>
          <w:lang w:eastAsia="zh-CN"/>
        </w:rPr>
        <w:t>目录：</w:t>
      </w:r>
      <w:r>
        <w:tab/>
      </w:r>
      <w:r>
        <w:fldChar w:fldCharType="begin"/>
      </w:r>
      <w:r>
        <w:instrText xml:space="preserve"> PAGEREF _Toc11386 \h </w:instrText>
      </w:r>
      <w:r>
        <w:fldChar w:fldCharType="separate"/>
      </w:r>
      <w:r>
        <w:t>2</w:t>
      </w:r>
      <w:r>
        <w:fldChar w:fldCharType="end"/>
      </w:r>
      <w:r>
        <w:rPr>
          <w:color w:val="000000" w:themeColor="text1"/>
          <w14:textFill>
            <w14:solidFill>
              <w14:schemeClr w14:val="tx1"/>
            </w14:solidFill>
          </w14:textFill>
        </w:rPr>
        <w:fldChar w:fldCharType="end"/>
      </w:r>
    </w:p>
    <w:p w14:paraId="6347C603">
      <w:pPr>
        <w:pStyle w:val="18"/>
        <w:tabs>
          <w:tab w:val="right" w:leader="dot" w:pos="8844"/>
        </w:tabs>
      </w:pPr>
      <w:r>
        <w:rPr>
          <w:color w:val="000000" w:themeColor="text1"/>
          <w14:textFill>
            <w14:solidFill>
              <w14:schemeClr w14:val="tx1"/>
            </w14:solidFill>
          </w14:textFill>
        </w:rPr>
        <w:fldChar w:fldCharType="begin"/>
      </w:r>
      <w:r>
        <w:instrText xml:space="preserve"> HYPERLINK \l _Toc3907 </w:instrText>
      </w:r>
      <w:r>
        <w:fldChar w:fldCharType="separate"/>
      </w:r>
      <w:r>
        <w:rPr>
          <w:rFonts w:hint="eastAsia" w:ascii="黑体" w:hAnsi="黑体" w:eastAsia="黑体"/>
          <w:bCs/>
          <w:szCs w:val="32"/>
        </w:rPr>
        <w:t>三、采购项目需落实的政府采购政策</w:t>
      </w:r>
      <w:r>
        <w:tab/>
      </w:r>
      <w:r>
        <w:fldChar w:fldCharType="begin"/>
      </w:r>
      <w:r>
        <w:instrText xml:space="preserve"> PAGEREF _Toc3907 \h </w:instrText>
      </w:r>
      <w:r>
        <w:fldChar w:fldCharType="separate"/>
      </w:r>
      <w:r>
        <w:t>2</w:t>
      </w:r>
      <w:r>
        <w:fldChar w:fldCharType="end"/>
      </w:r>
      <w:r>
        <w:rPr>
          <w:color w:val="000000" w:themeColor="text1"/>
          <w14:textFill>
            <w14:solidFill>
              <w14:schemeClr w14:val="tx1"/>
            </w14:solidFill>
          </w14:textFill>
        </w:rPr>
        <w:fldChar w:fldCharType="end"/>
      </w:r>
    </w:p>
    <w:p w14:paraId="336725BC">
      <w:pPr>
        <w:pStyle w:val="18"/>
        <w:tabs>
          <w:tab w:val="right" w:leader="dot" w:pos="8844"/>
        </w:tabs>
      </w:pPr>
      <w:r>
        <w:rPr>
          <w:color w:val="000000" w:themeColor="text1"/>
          <w14:textFill>
            <w14:solidFill>
              <w14:schemeClr w14:val="tx1"/>
            </w14:solidFill>
          </w14:textFill>
        </w:rPr>
        <w:fldChar w:fldCharType="begin"/>
      </w:r>
      <w:r>
        <w:instrText xml:space="preserve"> HYPERLINK \l _Toc5338 </w:instrText>
      </w:r>
      <w:r>
        <w:fldChar w:fldCharType="separate"/>
      </w:r>
      <w:r>
        <w:rPr>
          <w:rFonts w:hint="eastAsia" w:ascii="黑体" w:hAnsi="黑体" w:eastAsia="黑体"/>
          <w:bCs/>
          <w:szCs w:val="32"/>
        </w:rPr>
        <w:t>五、获取谈判文件的时间、地点及方式</w:t>
      </w:r>
      <w:r>
        <w:tab/>
      </w:r>
      <w:r>
        <w:fldChar w:fldCharType="begin"/>
      </w:r>
      <w:r>
        <w:instrText xml:space="preserve"> PAGEREF _Toc5338 \h </w:instrText>
      </w:r>
      <w:r>
        <w:fldChar w:fldCharType="separate"/>
      </w:r>
      <w:r>
        <w:t>3</w:t>
      </w:r>
      <w:r>
        <w:fldChar w:fldCharType="end"/>
      </w:r>
      <w:r>
        <w:rPr>
          <w:color w:val="000000" w:themeColor="text1"/>
          <w14:textFill>
            <w14:solidFill>
              <w14:schemeClr w14:val="tx1"/>
            </w14:solidFill>
          </w14:textFill>
        </w:rPr>
        <w:fldChar w:fldCharType="end"/>
      </w:r>
    </w:p>
    <w:p w14:paraId="5BB025CF">
      <w:pPr>
        <w:pStyle w:val="18"/>
        <w:tabs>
          <w:tab w:val="right" w:leader="dot" w:pos="8844"/>
        </w:tabs>
      </w:pPr>
      <w:r>
        <w:rPr>
          <w:color w:val="000000" w:themeColor="text1"/>
          <w14:textFill>
            <w14:solidFill>
              <w14:schemeClr w14:val="tx1"/>
            </w14:solidFill>
          </w14:textFill>
        </w:rPr>
        <w:fldChar w:fldCharType="begin"/>
      </w:r>
      <w:r>
        <w:instrText xml:space="preserve"> HYPERLINK \l _Toc7600 </w:instrText>
      </w:r>
      <w:r>
        <w:fldChar w:fldCharType="separate"/>
      </w:r>
      <w:r>
        <w:rPr>
          <w:rFonts w:hint="eastAsia" w:ascii="黑体" w:hAnsi="黑体" w:eastAsia="黑体"/>
          <w:bCs/>
          <w:szCs w:val="32"/>
          <w:lang w:val="en-US" w:eastAsia="zh-CN"/>
        </w:rPr>
        <w:t>六、确认</w:t>
      </w:r>
      <w:r>
        <w:tab/>
      </w:r>
      <w:r>
        <w:fldChar w:fldCharType="begin"/>
      </w:r>
      <w:r>
        <w:instrText xml:space="preserve"> PAGEREF _Toc7600 \h </w:instrText>
      </w:r>
      <w:r>
        <w:fldChar w:fldCharType="separate"/>
      </w:r>
      <w:r>
        <w:t>3</w:t>
      </w:r>
      <w:r>
        <w:fldChar w:fldCharType="end"/>
      </w:r>
      <w:r>
        <w:rPr>
          <w:color w:val="000000" w:themeColor="text1"/>
          <w14:textFill>
            <w14:solidFill>
              <w14:schemeClr w14:val="tx1"/>
            </w14:solidFill>
          </w14:textFill>
        </w:rPr>
        <w:fldChar w:fldCharType="end"/>
      </w:r>
    </w:p>
    <w:p w14:paraId="576C2331">
      <w:pPr>
        <w:pStyle w:val="18"/>
        <w:tabs>
          <w:tab w:val="right" w:leader="dot" w:pos="8844"/>
        </w:tabs>
      </w:pPr>
      <w:r>
        <w:rPr>
          <w:color w:val="000000" w:themeColor="text1"/>
          <w14:textFill>
            <w14:solidFill>
              <w14:schemeClr w14:val="tx1"/>
            </w14:solidFill>
          </w14:textFill>
        </w:rPr>
        <w:fldChar w:fldCharType="begin"/>
      </w:r>
      <w:r>
        <w:instrText xml:space="preserve"> HYPERLINK \l _Toc3088 </w:instrText>
      </w:r>
      <w:r>
        <w:fldChar w:fldCharType="separate"/>
      </w:r>
      <w:r>
        <w:rPr>
          <w:rFonts w:hint="eastAsia" w:ascii="黑体" w:hAnsi="黑体" w:eastAsia="黑体"/>
          <w:bCs/>
          <w:szCs w:val="32"/>
          <w:lang w:val="en-US" w:eastAsia="zh-CN"/>
        </w:rPr>
        <w:t>七</w:t>
      </w:r>
      <w:r>
        <w:rPr>
          <w:rFonts w:hint="eastAsia" w:ascii="黑体" w:hAnsi="黑体" w:eastAsia="黑体"/>
          <w:bCs/>
          <w:szCs w:val="32"/>
        </w:rPr>
        <w:t>、提交首次响应文件的截止时间、谈判时间及地点</w:t>
      </w:r>
      <w:r>
        <w:tab/>
      </w:r>
      <w:r>
        <w:fldChar w:fldCharType="begin"/>
      </w:r>
      <w:r>
        <w:instrText xml:space="preserve"> PAGEREF _Toc3088 \h </w:instrText>
      </w:r>
      <w:r>
        <w:fldChar w:fldCharType="separate"/>
      </w:r>
      <w:r>
        <w:t>3</w:t>
      </w:r>
      <w:r>
        <w:fldChar w:fldCharType="end"/>
      </w:r>
      <w:r>
        <w:rPr>
          <w:color w:val="000000" w:themeColor="text1"/>
          <w14:textFill>
            <w14:solidFill>
              <w14:schemeClr w14:val="tx1"/>
            </w14:solidFill>
          </w14:textFill>
        </w:rPr>
        <w:fldChar w:fldCharType="end"/>
      </w:r>
    </w:p>
    <w:p w14:paraId="22A29A29">
      <w:pPr>
        <w:pStyle w:val="18"/>
        <w:tabs>
          <w:tab w:val="right" w:leader="dot" w:pos="8844"/>
        </w:tabs>
      </w:pPr>
      <w:r>
        <w:rPr>
          <w:color w:val="000000" w:themeColor="text1"/>
          <w14:textFill>
            <w14:solidFill>
              <w14:schemeClr w14:val="tx1"/>
            </w14:solidFill>
          </w14:textFill>
        </w:rPr>
        <w:fldChar w:fldCharType="begin"/>
      </w:r>
      <w:r>
        <w:instrText xml:space="preserve"> HYPERLINK \l _Toc25912 </w:instrText>
      </w:r>
      <w:r>
        <w:fldChar w:fldCharType="separate"/>
      </w:r>
      <w:r>
        <w:rPr>
          <w:rFonts w:hint="eastAsia" w:ascii="黑体" w:hAnsi="黑体" w:eastAsia="黑体"/>
          <w:bCs/>
          <w:szCs w:val="32"/>
          <w:lang w:val="en-US" w:eastAsia="zh-CN"/>
        </w:rPr>
        <w:t>八</w:t>
      </w:r>
      <w:r>
        <w:rPr>
          <w:rFonts w:hint="eastAsia" w:ascii="黑体" w:hAnsi="黑体" w:eastAsia="黑体"/>
          <w:bCs/>
          <w:szCs w:val="32"/>
        </w:rPr>
        <w:t>、询问及质疑</w:t>
      </w:r>
      <w:r>
        <w:tab/>
      </w:r>
      <w:r>
        <w:fldChar w:fldCharType="begin"/>
      </w:r>
      <w:r>
        <w:instrText xml:space="preserve"> PAGEREF _Toc25912 \h </w:instrText>
      </w:r>
      <w:r>
        <w:fldChar w:fldCharType="separate"/>
      </w:r>
      <w:r>
        <w:t>4</w:t>
      </w:r>
      <w:r>
        <w:fldChar w:fldCharType="end"/>
      </w:r>
      <w:r>
        <w:rPr>
          <w:color w:val="000000" w:themeColor="text1"/>
          <w14:textFill>
            <w14:solidFill>
              <w14:schemeClr w14:val="tx1"/>
            </w14:solidFill>
          </w14:textFill>
        </w:rPr>
        <w:fldChar w:fldCharType="end"/>
      </w:r>
    </w:p>
    <w:p w14:paraId="0EDCF33F">
      <w:pPr>
        <w:pStyle w:val="18"/>
        <w:tabs>
          <w:tab w:val="right" w:leader="dot" w:pos="8844"/>
        </w:tabs>
      </w:pPr>
      <w:r>
        <w:rPr>
          <w:color w:val="000000" w:themeColor="text1"/>
          <w14:textFill>
            <w14:solidFill>
              <w14:schemeClr w14:val="tx1"/>
            </w14:solidFill>
          </w14:textFill>
        </w:rPr>
        <w:fldChar w:fldCharType="begin"/>
      </w:r>
      <w:r>
        <w:instrText xml:space="preserve"> HYPERLINK \l _Toc28697 </w:instrText>
      </w:r>
      <w:r>
        <w:fldChar w:fldCharType="separate"/>
      </w:r>
      <w:r>
        <w:rPr>
          <w:rFonts w:hint="eastAsia" w:ascii="黑体" w:hAnsi="黑体" w:eastAsia="黑体"/>
          <w:bCs/>
          <w:szCs w:val="32"/>
          <w:lang w:val="en-US" w:eastAsia="zh-CN"/>
        </w:rPr>
        <w:t>九</w:t>
      </w:r>
      <w:r>
        <w:rPr>
          <w:rFonts w:hint="eastAsia" w:ascii="黑体" w:hAnsi="黑体" w:eastAsia="黑体"/>
          <w:bCs/>
          <w:szCs w:val="32"/>
        </w:rPr>
        <w:t>、谈判</w:t>
      </w:r>
      <w:r>
        <w:rPr>
          <w:rFonts w:hint="eastAsia" w:ascii="黑体" w:hAnsi="黑体" w:eastAsia="黑体"/>
          <w:bCs/>
          <w:szCs w:val="32"/>
          <w:lang w:val="en-US" w:eastAsia="zh-CN"/>
        </w:rPr>
        <w:t>说明</w:t>
      </w:r>
      <w:r>
        <w:tab/>
      </w:r>
      <w:r>
        <w:fldChar w:fldCharType="begin"/>
      </w:r>
      <w:r>
        <w:instrText xml:space="preserve"> PAGEREF _Toc28697 \h </w:instrText>
      </w:r>
      <w:r>
        <w:fldChar w:fldCharType="separate"/>
      </w:r>
      <w:r>
        <w:t>4</w:t>
      </w:r>
      <w:r>
        <w:fldChar w:fldCharType="end"/>
      </w:r>
      <w:r>
        <w:rPr>
          <w:color w:val="000000" w:themeColor="text1"/>
          <w14:textFill>
            <w14:solidFill>
              <w14:schemeClr w14:val="tx1"/>
            </w14:solidFill>
          </w14:textFill>
        </w:rPr>
        <w:fldChar w:fldCharType="end"/>
      </w:r>
    </w:p>
    <w:p w14:paraId="3BD9EC9D">
      <w:pPr>
        <w:pStyle w:val="18"/>
        <w:tabs>
          <w:tab w:val="right" w:leader="dot" w:pos="8844"/>
        </w:tabs>
      </w:pPr>
      <w:r>
        <w:rPr>
          <w:color w:val="000000" w:themeColor="text1"/>
          <w14:textFill>
            <w14:solidFill>
              <w14:schemeClr w14:val="tx1"/>
            </w14:solidFill>
          </w14:textFill>
        </w:rPr>
        <w:fldChar w:fldCharType="begin"/>
      </w:r>
      <w:r>
        <w:instrText xml:space="preserve"> HYPERLINK \l _Toc17111 </w:instrText>
      </w:r>
      <w:r>
        <w:fldChar w:fldCharType="separate"/>
      </w:r>
      <w:r>
        <w:rPr>
          <w:rFonts w:hint="eastAsia" w:ascii="黑体" w:hAnsi="黑体" w:eastAsia="黑体"/>
          <w:bCs/>
          <w:szCs w:val="32"/>
          <w:lang w:val="en-US" w:eastAsia="zh-CN"/>
        </w:rPr>
        <w:t>十</w:t>
      </w:r>
      <w:r>
        <w:rPr>
          <w:rFonts w:hint="eastAsia" w:ascii="黑体" w:hAnsi="黑体" w:eastAsia="黑体"/>
          <w:bCs/>
          <w:szCs w:val="32"/>
        </w:rPr>
        <w:t>、</w:t>
      </w:r>
      <w:r>
        <w:rPr>
          <w:rFonts w:hint="eastAsia" w:ascii="黑体" w:hAnsi="黑体" w:eastAsia="黑体"/>
          <w:bCs/>
          <w:szCs w:val="21"/>
        </w:rPr>
        <w:t>采购项目联系人姓名和电话</w:t>
      </w:r>
      <w:r>
        <w:tab/>
      </w:r>
      <w:r>
        <w:fldChar w:fldCharType="begin"/>
      </w:r>
      <w:r>
        <w:instrText xml:space="preserve"> PAGEREF _Toc17111 \h </w:instrText>
      </w:r>
      <w:r>
        <w:fldChar w:fldCharType="separate"/>
      </w:r>
      <w:r>
        <w:t>4</w:t>
      </w:r>
      <w:r>
        <w:fldChar w:fldCharType="end"/>
      </w:r>
      <w:r>
        <w:rPr>
          <w:color w:val="000000" w:themeColor="text1"/>
          <w14:textFill>
            <w14:solidFill>
              <w14:schemeClr w14:val="tx1"/>
            </w14:solidFill>
          </w14:textFill>
        </w:rPr>
        <w:fldChar w:fldCharType="end"/>
      </w:r>
    </w:p>
    <w:p w14:paraId="3BC90401">
      <w:pPr>
        <w:pStyle w:val="18"/>
        <w:tabs>
          <w:tab w:val="right" w:leader="dot" w:pos="8844"/>
        </w:tabs>
      </w:pPr>
      <w:r>
        <w:rPr>
          <w:color w:val="000000" w:themeColor="text1"/>
          <w14:textFill>
            <w14:solidFill>
              <w14:schemeClr w14:val="tx1"/>
            </w14:solidFill>
          </w14:textFill>
        </w:rPr>
        <w:fldChar w:fldCharType="begin"/>
      </w:r>
      <w:r>
        <w:instrText xml:space="preserve"> HYPERLINK \l _Toc3375 </w:instrText>
      </w:r>
      <w:r>
        <w:fldChar w:fldCharType="separate"/>
      </w:r>
      <w:r>
        <w:rPr>
          <w:rFonts w:hint="eastAsia" w:ascii="黑体" w:hAnsi="黑体" w:eastAsia="黑体"/>
          <w:bCs/>
          <w:szCs w:val="32"/>
        </w:rPr>
        <w:t>十</w:t>
      </w:r>
      <w:r>
        <w:rPr>
          <w:rFonts w:hint="eastAsia" w:ascii="黑体" w:hAnsi="黑体" w:eastAsia="黑体"/>
          <w:bCs/>
          <w:szCs w:val="32"/>
          <w:lang w:val="en-US" w:eastAsia="zh-CN"/>
        </w:rPr>
        <w:t>一</w:t>
      </w:r>
      <w:r>
        <w:rPr>
          <w:rFonts w:hint="eastAsia" w:ascii="黑体" w:hAnsi="黑体" w:eastAsia="黑体"/>
          <w:bCs/>
          <w:szCs w:val="32"/>
        </w:rPr>
        <w:t>、采购人、采购代理机构的名称、地址和联系方法</w:t>
      </w:r>
      <w:r>
        <w:tab/>
      </w:r>
      <w:r>
        <w:fldChar w:fldCharType="begin"/>
      </w:r>
      <w:r>
        <w:instrText xml:space="preserve"> PAGEREF _Toc3375 \h </w:instrText>
      </w:r>
      <w:r>
        <w:fldChar w:fldCharType="separate"/>
      </w:r>
      <w:r>
        <w:t>4</w:t>
      </w:r>
      <w:r>
        <w:fldChar w:fldCharType="end"/>
      </w:r>
      <w:r>
        <w:rPr>
          <w:color w:val="000000" w:themeColor="text1"/>
          <w14:textFill>
            <w14:solidFill>
              <w14:schemeClr w14:val="tx1"/>
            </w14:solidFill>
          </w14:textFill>
        </w:rPr>
        <w:fldChar w:fldCharType="end"/>
      </w:r>
    </w:p>
    <w:p w14:paraId="2FC94C29">
      <w:pPr>
        <w:pStyle w:val="12"/>
        <w:tabs>
          <w:tab w:val="right" w:leader="dot" w:pos="8844"/>
        </w:tabs>
      </w:pPr>
      <w:r>
        <w:rPr>
          <w:color w:val="000000" w:themeColor="text1"/>
          <w14:textFill>
            <w14:solidFill>
              <w14:schemeClr w14:val="tx1"/>
            </w14:solidFill>
          </w14:textFill>
        </w:rPr>
        <w:fldChar w:fldCharType="begin"/>
      </w:r>
      <w:r>
        <w:instrText xml:space="preserve"> HYPERLINK \l _Toc20576 </w:instrText>
      </w:r>
      <w:r>
        <w:fldChar w:fldCharType="separate"/>
      </w:r>
      <w:r>
        <w:rPr>
          <w:rFonts w:hint="eastAsia" w:ascii="宋体" w:hAnsi="宋体" w:cs="宋体"/>
          <w:szCs w:val="21"/>
        </w:rPr>
        <w:t>附件：</w:t>
      </w:r>
      <w:r>
        <w:rPr>
          <w:rFonts w:hint="eastAsia" w:ascii="宋体" w:hAnsi="宋体" w:cs="宋体"/>
          <w:spacing w:val="-3"/>
          <w:szCs w:val="21"/>
        </w:rPr>
        <w:t>确</w:t>
      </w:r>
      <w:r>
        <w:rPr>
          <w:rFonts w:hint="eastAsia" w:ascii="宋体" w:hAnsi="宋体" w:cs="宋体"/>
          <w:szCs w:val="21"/>
        </w:rPr>
        <w:t>认通知</w:t>
      </w:r>
      <w:r>
        <w:tab/>
      </w:r>
      <w:r>
        <w:fldChar w:fldCharType="begin"/>
      </w:r>
      <w:r>
        <w:instrText xml:space="preserve"> PAGEREF _Toc20576 \h </w:instrText>
      </w:r>
      <w:r>
        <w:fldChar w:fldCharType="separate"/>
      </w:r>
      <w:r>
        <w:t>5</w:t>
      </w:r>
      <w:r>
        <w:fldChar w:fldCharType="end"/>
      </w:r>
      <w:r>
        <w:rPr>
          <w:color w:val="000000" w:themeColor="text1"/>
          <w14:textFill>
            <w14:solidFill>
              <w14:schemeClr w14:val="tx1"/>
            </w14:solidFill>
          </w14:textFill>
        </w:rPr>
        <w:fldChar w:fldCharType="end"/>
      </w:r>
    </w:p>
    <w:p w14:paraId="4036B4DC">
      <w:pPr>
        <w:pStyle w:val="17"/>
        <w:tabs>
          <w:tab w:val="right" w:leader="dot" w:pos="8844"/>
        </w:tabs>
      </w:pPr>
      <w:r>
        <w:rPr>
          <w:color w:val="000000" w:themeColor="text1"/>
          <w14:textFill>
            <w14:solidFill>
              <w14:schemeClr w14:val="tx1"/>
            </w14:solidFill>
          </w14:textFill>
        </w:rPr>
        <w:fldChar w:fldCharType="begin"/>
      </w:r>
      <w:r>
        <w:instrText xml:space="preserve"> HYPERLINK \l _Toc8782 </w:instrText>
      </w:r>
      <w:r>
        <w:fldChar w:fldCharType="separate"/>
      </w:r>
      <w:r>
        <w:rPr>
          <w:rFonts w:hint="eastAsia" w:ascii="黑体" w:hAnsi="黑体" w:eastAsia="黑体"/>
          <w:bCs/>
          <w:szCs w:val="32"/>
        </w:rPr>
        <w:t>第二章 谈判须知</w:t>
      </w:r>
      <w:r>
        <w:tab/>
      </w:r>
      <w:r>
        <w:fldChar w:fldCharType="begin"/>
      </w:r>
      <w:r>
        <w:instrText xml:space="preserve"> PAGEREF _Toc8782 \h </w:instrText>
      </w:r>
      <w:r>
        <w:fldChar w:fldCharType="separate"/>
      </w:r>
      <w:r>
        <w:t>6</w:t>
      </w:r>
      <w:r>
        <w:fldChar w:fldCharType="end"/>
      </w:r>
      <w:r>
        <w:rPr>
          <w:color w:val="000000" w:themeColor="text1"/>
          <w14:textFill>
            <w14:solidFill>
              <w14:schemeClr w14:val="tx1"/>
            </w14:solidFill>
          </w14:textFill>
        </w:rPr>
        <w:fldChar w:fldCharType="end"/>
      </w:r>
    </w:p>
    <w:p w14:paraId="0B8060D2">
      <w:pPr>
        <w:pStyle w:val="18"/>
        <w:tabs>
          <w:tab w:val="right" w:leader="dot" w:pos="8844"/>
        </w:tabs>
      </w:pPr>
      <w:r>
        <w:rPr>
          <w:color w:val="000000" w:themeColor="text1"/>
          <w14:textFill>
            <w14:solidFill>
              <w14:schemeClr w14:val="tx1"/>
            </w14:solidFill>
          </w14:textFill>
        </w:rPr>
        <w:fldChar w:fldCharType="begin"/>
      </w:r>
      <w:r>
        <w:instrText xml:space="preserve"> HYPERLINK \l _Toc4979 </w:instrText>
      </w:r>
      <w:r>
        <w:fldChar w:fldCharType="separate"/>
      </w:r>
      <w:r>
        <w:rPr>
          <w:rFonts w:hint="eastAsia" w:ascii="黑体" w:hAnsi="黑体" w:eastAsia="黑体"/>
          <w:bCs/>
          <w:szCs w:val="28"/>
        </w:rPr>
        <w:t>第一节 谈判须知前附表</w:t>
      </w:r>
      <w:r>
        <w:tab/>
      </w:r>
      <w:r>
        <w:fldChar w:fldCharType="begin"/>
      </w:r>
      <w:r>
        <w:instrText xml:space="preserve"> PAGEREF _Toc4979 \h </w:instrText>
      </w:r>
      <w:r>
        <w:fldChar w:fldCharType="separate"/>
      </w:r>
      <w:r>
        <w:t>6</w:t>
      </w:r>
      <w:r>
        <w:fldChar w:fldCharType="end"/>
      </w:r>
      <w:r>
        <w:rPr>
          <w:color w:val="000000" w:themeColor="text1"/>
          <w14:textFill>
            <w14:solidFill>
              <w14:schemeClr w14:val="tx1"/>
            </w14:solidFill>
          </w14:textFill>
        </w:rPr>
        <w:fldChar w:fldCharType="end"/>
      </w:r>
    </w:p>
    <w:p w14:paraId="3C008375">
      <w:pPr>
        <w:pStyle w:val="18"/>
        <w:tabs>
          <w:tab w:val="right" w:leader="dot" w:pos="8844"/>
        </w:tabs>
      </w:pPr>
      <w:r>
        <w:rPr>
          <w:color w:val="000000" w:themeColor="text1"/>
          <w14:textFill>
            <w14:solidFill>
              <w14:schemeClr w14:val="tx1"/>
            </w14:solidFill>
          </w14:textFill>
        </w:rPr>
        <w:fldChar w:fldCharType="begin"/>
      </w:r>
      <w:r>
        <w:instrText xml:space="preserve"> HYPERLINK \l _Toc7906 </w:instrText>
      </w:r>
      <w:r>
        <w:fldChar w:fldCharType="separate"/>
      </w:r>
      <w:r>
        <w:rPr>
          <w:rFonts w:hint="eastAsia" w:ascii="黑体" w:hAnsi="黑体" w:eastAsia="黑体"/>
          <w:bCs/>
          <w:szCs w:val="32"/>
        </w:rPr>
        <w:t>第二节 谈判须知正文</w:t>
      </w:r>
      <w:r>
        <w:tab/>
      </w:r>
      <w:r>
        <w:fldChar w:fldCharType="begin"/>
      </w:r>
      <w:r>
        <w:instrText xml:space="preserve"> PAGEREF _Toc7906 \h </w:instrText>
      </w:r>
      <w:r>
        <w:fldChar w:fldCharType="separate"/>
      </w:r>
      <w:r>
        <w:t>11</w:t>
      </w:r>
      <w:r>
        <w:fldChar w:fldCharType="end"/>
      </w:r>
      <w:r>
        <w:rPr>
          <w:color w:val="000000" w:themeColor="text1"/>
          <w14:textFill>
            <w14:solidFill>
              <w14:schemeClr w14:val="tx1"/>
            </w14:solidFill>
          </w14:textFill>
        </w:rPr>
        <w:fldChar w:fldCharType="end"/>
      </w:r>
    </w:p>
    <w:p w14:paraId="08AC6C24">
      <w:pPr>
        <w:pStyle w:val="12"/>
        <w:tabs>
          <w:tab w:val="right" w:leader="dot" w:pos="8844"/>
        </w:tabs>
      </w:pPr>
      <w:r>
        <w:rPr>
          <w:color w:val="000000" w:themeColor="text1"/>
          <w14:textFill>
            <w14:solidFill>
              <w14:schemeClr w14:val="tx1"/>
            </w14:solidFill>
          </w14:textFill>
        </w:rPr>
        <w:fldChar w:fldCharType="begin"/>
      </w:r>
      <w:r>
        <w:instrText xml:space="preserve"> HYPERLINK \l _Toc25841 </w:instrText>
      </w:r>
      <w:r>
        <w:fldChar w:fldCharType="separate"/>
      </w:r>
      <w:r>
        <w:rPr>
          <w:rFonts w:hint="eastAsia" w:ascii="黑体" w:hAnsi="黑体" w:eastAsia="黑体"/>
          <w:bCs/>
          <w:szCs w:val="28"/>
        </w:rPr>
        <w:t>一、说明</w:t>
      </w:r>
      <w:r>
        <w:tab/>
      </w:r>
      <w:r>
        <w:fldChar w:fldCharType="begin"/>
      </w:r>
      <w:r>
        <w:instrText xml:space="preserve"> PAGEREF _Toc25841 \h </w:instrText>
      </w:r>
      <w:r>
        <w:fldChar w:fldCharType="separate"/>
      </w:r>
      <w:r>
        <w:t>11</w:t>
      </w:r>
      <w:r>
        <w:fldChar w:fldCharType="end"/>
      </w:r>
      <w:r>
        <w:rPr>
          <w:color w:val="000000" w:themeColor="text1"/>
          <w14:textFill>
            <w14:solidFill>
              <w14:schemeClr w14:val="tx1"/>
            </w14:solidFill>
          </w14:textFill>
        </w:rPr>
        <w:fldChar w:fldCharType="end"/>
      </w:r>
    </w:p>
    <w:p w14:paraId="414FD9ED">
      <w:pPr>
        <w:pStyle w:val="12"/>
        <w:tabs>
          <w:tab w:val="right" w:leader="dot" w:pos="8844"/>
        </w:tabs>
      </w:pPr>
      <w:r>
        <w:rPr>
          <w:color w:val="000000" w:themeColor="text1"/>
          <w14:textFill>
            <w14:solidFill>
              <w14:schemeClr w14:val="tx1"/>
            </w14:solidFill>
          </w14:textFill>
        </w:rPr>
        <w:fldChar w:fldCharType="begin"/>
      </w:r>
      <w:r>
        <w:instrText xml:space="preserve"> HYPERLINK \l _Toc2787 </w:instrText>
      </w:r>
      <w:r>
        <w:fldChar w:fldCharType="separate"/>
      </w:r>
      <w:r>
        <w:rPr>
          <w:rFonts w:hint="eastAsia" w:ascii="黑体" w:hAnsi="黑体" w:eastAsia="黑体"/>
          <w:bCs/>
          <w:szCs w:val="28"/>
        </w:rPr>
        <w:t>二、谈判文件</w:t>
      </w:r>
      <w:r>
        <w:tab/>
      </w:r>
      <w:r>
        <w:fldChar w:fldCharType="begin"/>
      </w:r>
      <w:r>
        <w:instrText xml:space="preserve"> PAGEREF _Toc2787 \h </w:instrText>
      </w:r>
      <w:r>
        <w:fldChar w:fldCharType="separate"/>
      </w:r>
      <w:r>
        <w:t>12</w:t>
      </w:r>
      <w:r>
        <w:fldChar w:fldCharType="end"/>
      </w:r>
      <w:r>
        <w:rPr>
          <w:color w:val="000000" w:themeColor="text1"/>
          <w14:textFill>
            <w14:solidFill>
              <w14:schemeClr w14:val="tx1"/>
            </w14:solidFill>
          </w14:textFill>
        </w:rPr>
        <w:fldChar w:fldCharType="end"/>
      </w:r>
    </w:p>
    <w:p w14:paraId="7E9C871F">
      <w:pPr>
        <w:pStyle w:val="12"/>
        <w:tabs>
          <w:tab w:val="right" w:leader="dot" w:pos="8844"/>
        </w:tabs>
      </w:pPr>
      <w:r>
        <w:rPr>
          <w:color w:val="000000" w:themeColor="text1"/>
          <w14:textFill>
            <w14:solidFill>
              <w14:schemeClr w14:val="tx1"/>
            </w14:solidFill>
          </w14:textFill>
        </w:rPr>
        <w:fldChar w:fldCharType="begin"/>
      </w:r>
      <w:r>
        <w:instrText xml:space="preserve"> HYPERLINK \l _Toc23836 </w:instrText>
      </w:r>
      <w:r>
        <w:fldChar w:fldCharType="separate"/>
      </w:r>
      <w:r>
        <w:rPr>
          <w:rFonts w:hint="eastAsia" w:ascii="黑体" w:hAnsi="黑体" w:eastAsia="黑体"/>
          <w:bCs/>
          <w:szCs w:val="28"/>
        </w:rPr>
        <w:t>三、响应文件</w:t>
      </w:r>
      <w:r>
        <w:tab/>
      </w:r>
      <w:r>
        <w:fldChar w:fldCharType="begin"/>
      </w:r>
      <w:r>
        <w:instrText xml:space="preserve"> PAGEREF _Toc23836 \h </w:instrText>
      </w:r>
      <w:r>
        <w:fldChar w:fldCharType="separate"/>
      </w:r>
      <w:r>
        <w:t>12</w:t>
      </w:r>
      <w:r>
        <w:fldChar w:fldCharType="end"/>
      </w:r>
      <w:r>
        <w:rPr>
          <w:color w:val="000000" w:themeColor="text1"/>
          <w14:textFill>
            <w14:solidFill>
              <w14:schemeClr w14:val="tx1"/>
            </w14:solidFill>
          </w14:textFill>
        </w:rPr>
        <w:fldChar w:fldCharType="end"/>
      </w:r>
    </w:p>
    <w:p w14:paraId="10C1AEFB">
      <w:pPr>
        <w:pStyle w:val="12"/>
        <w:tabs>
          <w:tab w:val="right" w:leader="dot" w:pos="8844"/>
        </w:tabs>
      </w:pPr>
      <w:r>
        <w:rPr>
          <w:color w:val="000000" w:themeColor="text1"/>
          <w14:textFill>
            <w14:solidFill>
              <w14:schemeClr w14:val="tx1"/>
            </w14:solidFill>
          </w14:textFill>
        </w:rPr>
        <w:fldChar w:fldCharType="begin"/>
      </w:r>
      <w:r>
        <w:instrText xml:space="preserve"> HYPERLINK \l _Toc21748 </w:instrText>
      </w:r>
      <w:r>
        <w:fldChar w:fldCharType="separate"/>
      </w:r>
      <w:r>
        <w:rPr>
          <w:rFonts w:hint="eastAsia" w:ascii="黑体" w:hAnsi="黑体" w:eastAsia="黑体"/>
          <w:bCs/>
          <w:szCs w:val="28"/>
        </w:rPr>
        <w:t>四、响应文件的递交</w:t>
      </w:r>
      <w:r>
        <w:tab/>
      </w:r>
      <w:r>
        <w:fldChar w:fldCharType="begin"/>
      </w:r>
      <w:r>
        <w:instrText xml:space="preserve"> PAGEREF _Toc21748 \h </w:instrText>
      </w:r>
      <w:r>
        <w:fldChar w:fldCharType="separate"/>
      </w:r>
      <w:r>
        <w:t>15</w:t>
      </w:r>
      <w:r>
        <w:fldChar w:fldCharType="end"/>
      </w:r>
      <w:r>
        <w:rPr>
          <w:color w:val="000000" w:themeColor="text1"/>
          <w14:textFill>
            <w14:solidFill>
              <w14:schemeClr w14:val="tx1"/>
            </w14:solidFill>
          </w14:textFill>
        </w:rPr>
        <w:fldChar w:fldCharType="end"/>
      </w:r>
    </w:p>
    <w:p w14:paraId="6B40967E">
      <w:pPr>
        <w:pStyle w:val="12"/>
        <w:tabs>
          <w:tab w:val="right" w:leader="dot" w:pos="8844"/>
        </w:tabs>
      </w:pPr>
      <w:r>
        <w:rPr>
          <w:color w:val="000000" w:themeColor="text1"/>
          <w14:textFill>
            <w14:solidFill>
              <w14:schemeClr w14:val="tx1"/>
            </w14:solidFill>
          </w14:textFill>
        </w:rPr>
        <w:fldChar w:fldCharType="begin"/>
      </w:r>
      <w:r>
        <w:instrText xml:space="preserve"> HYPERLINK \l _Toc12753 </w:instrText>
      </w:r>
      <w:r>
        <w:fldChar w:fldCharType="separate"/>
      </w:r>
      <w:r>
        <w:rPr>
          <w:rFonts w:hint="eastAsia" w:ascii="黑体" w:hAnsi="黑体" w:eastAsia="黑体"/>
          <w:bCs/>
          <w:szCs w:val="28"/>
        </w:rPr>
        <w:t>五、响应文件的评审与谈判</w:t>
      </w:r>
      <w:r>
        <w:tab/>
      </w:r>
      <w:r>
        <w:fldChar w:fldCharType="begin"/>
      </w:r>
      <w:r>
        <w:instrText xml:space="preserve"> PAGEREF _Toc12753 \h </w:instrText>
      </w:r>
      <w:r>
        <w:fldChar w:fldCharType="separate"/>
      </w:r>
      <w:r>
        <w:t>15</w:t>
      </w:r>
      <w:r>
        <w:fldChar w:fldCharType="end"/>
      </w:r>
      <w:r>
        <w:rPr>
          <w:color w:val="000000" w:themeColor="text1"/>
          <w14:textFill>
            <w14:solidFill>
              <w14:schemeClr w14:val="tx1"/>
            </w14:solidFill>
          </w14:textFill>
        </w:rPr>
        <w:fldChar w:fldCharType="end"/>
      </w:r>
    </w:p>
    <w:p w14:paraId="7B79D0BE">
      <w:pPr>
        <w:pStyle w:val="12"/>
        <w:tabs>
          <w:tab w:val="right" w:leader="dot" w:pos="8844"/>
        </w:tabs>
      </w:pPr>
      <w:r>
        <w:rPr>
          <w:color w:val="000000" w:themeColor="text1"/>
          <w14:textFill>
            <w14:solidFill>
              <w14:schemeClr w14:val="tx1"/>
            </w14:solidFill>
          </w14:textFill>
        </w:rPr>
        <w:fldChar w:fldCharType="begin"/>
      </w:r>
      <w:r>
        <w:instrText xml:space="preserve"> HYPERLINK \l _Toc24119 </w:instrText>
      </w:r>
      <w:r>
        <w:fldChar w:fldCharType="separate"/>
      </w:r>
      <w:r>
        <w:rPr>
          <w:rFonts w:hint="eastAsia" w:ascii="黑体" w:hAnsi="黑体" w:eastAsia="黑体"/>
          <w:bCs/>
          <w:szCs w:val="28"/>
        </w:rPr>
        <w:t>六、成交结果信息公布与授予合同</w:t>
      </w:r>
      <w:r>
        <w:tab/>
      </w:r>
      <w:r>
        <w:fldChar w:fldCharType="begin"/>
      </w:r>
      <w:r>
        <w:instrText xml:space="preserve"> PAGEREF _Toc24119 \h </w:instrText>
      </w:r>
      <w:r>
        <w:fldChar w:fldCharType="separate"/>
      </w:r>
      <w:r>
        <w:t>19</w:t>
      </w:r>
      <w:r>
        <w:fldChar w:fldCharType="end"/>
      </w:r>
      <w:r>
        <w:rPr>
          <w:color w:val="000000" w:themeColor="text1"/>
          <w14:textFill>
            <w14:solidFill>
              <w14:schemeClr w14:val="tx1"/>
            </w14:solidFill>
          </w14:textFill>
        </w:rPr>
        <w:fldChar w:fldCharType="end"/>
      </w:r>
    </w:p>
    <w:p w14:paraId="204589F6">
      <w:pPr>
        <w:pStyle w:val="12"/>
        <w:tabs>
          <w:tab w:val="right" w:leader="dot" w:pos="8844"/>
        </w:tabs>
      </w:pPr>
      <w:r>
        <w:rPr>
          <w:color w:val="000000" w:themeColor="text1"/>
          <w14:textFill>
            <w14:solidFill>
              <w14:schemeClr w14:val="tx1"/>
            </w14:solidFill>
          </w14:textFill>
        </w:rPr>
        <w:fldChar w:fldCharType="begin"/>
      </w:r>
      <w:r>
        <w:instrText xml:space="preserve"> HYPERLINK \l _Toc8062 </w:instrText>
      </w:r>
      <w:r>
        <w:fldChar w:fldCharType="separate"/>
      </w:r>
      <w:r>
        <w:rPr>
          <w:rFonts w:hint="eastAsia" w:ascii="黑体" w:hAnsi="黑体" w:eastAsia="黑体"/>
          <w:bCs/>
          <w:szCs w:val="28"/>
        </w:rPr>
        <w:t>七、政府采购政策</w:t>
      </w:r>
      <w:r>
        <w:tab/>
      </w:r>
      <w:r>
        <w:fldChar w:fldCharType="begin"/>
      </w:r>
      <w:r>
        <w:instrText xml:space="preserve"> PAGEREF _Toc8062 \h </w:instrText>
      </w:r>
      <w:r>
        <w:fldChar w:fldCharType="separate"/>
      </w:r>
      <w:r>
        <w:t>21</w:t>
      </w:r>
      <w:r>
        <w:fldChar w:fldCharType="end"/>
      </w:r>
      <w:r>
        <w:rPr>
          <w:color w:val="000000" w:themeColor="text1"/>
          <w14:textFill>
            <w14:solidFill>
              <w14:schemeClr w14:val="tx1"/>
            </w14:solidFill>
          </w14:textFill>
        </w:rPr>
        <w:fldChar w:fldCharType="end"/>
      </w:r>
    </w:p>
    <w:p w14:paraId="3D6D7D10">
      <w:pPr>
        <w:pStyle w:val="12"/>
        <w:tabs>
          <w:tab w:val="right" w:leader="dot" w:pos="8844"/>
        </w:tabs>
      </w:pPr>
      <w:r>
        <w:rPr>
          <w:color w:val="000000" w:themeColor="text1"/>
          <w14:textFill>
            <w14:solidFill>
              <w14:schemeClr w14:val="tx1"/>
            </w14:solidFill>
          </w14:textFill>
        </w:rPr>
        <w:fldChar w:fldCharType="begin"/>
      </w:r>
      <w:r>
        <w:instrText xml:space="preserve"> HYPERLINK \l _Toc6640 </w:instrText>
      </w:r>
      <w:r>
        <w:fldChar w:fldCharType="separate"/>
      </w:r>
      <w:r>
        <w:rPr>
          <w:rFonts w:hint="eastAsia" w:ascii="黑体" w:hAnsi="黑体" w:eastAsia="黑体"/>
          <w:bCs/>
          <w:szCs w:val="28"/>
        </w:rPr>
        <w:t>八、其他规定</w:t>
      </w:r>
      <w:r>
        <w:tab/>
      </w:r>
      <w:r>
        <w:fldChar w:fldCharType="begin"/>
      </w:r>
      <w:r>
        <w:instrText xml:space="preserve"> PAGEREF _Toc6640 \h </w:instrText>
      </w:r>
      <w:r>
        <w:fldChar w:fldCharType="separate"/>
      </w:r>
      <w:r>
        <w:t>23</w:t>
      </w:r>
      <w:r>
        <w:fldChar w:fldCharType="end"/>
      </w:r>
      <w:r>
        <w:rPr>
          <w:color w:val="000000" w:themeColor="text1"/>
          <w14:textFill>
            <w14:solidFill>
              <w14:schemeClr w14:val="tx1"/>
            </w14:solidFill>
          </w14:textFill>
        </w:rPr>
        <w:fldChar w:fldCharType="end"/>
      </w:r>
    </w:p>
    <w:p w14:paraId="1795B2A1">
      <w:pPr>
        <w:pStyle w:val="17"/>
        <w:tabs>
          <w:tab w:val="right" w:leader="dot" w:pos="8844"/>
        </w:tabs>
      </w:pPr>
      <w:r>
        <w:rPr>
          <w:color w:val="000000" w:themeColor="text1"/>
          <w14:textFill>
            <w14:solidFill>
              <w14:schemeClr w14:val="tx1"/>
            </w14:solidFill>
          </w14:textFill>
        </w:rPr>
        <w:fldChar w:fldCharType="begin"/>
      </w:r>
      <w:r>
        <w:instrText xml:space="preserve"> HYPERLINK \l _Toc31415 </w:instrText>
      </w:r>
      <w:r>
        <w:fldChar w:fldCharType="separate"/>
      </w:r>
      <w:r>
        <w:rPr>
          <w:rFonts w:hint="eastAsia" w:ascii="黑体" w:hAnsi="黑体" w:eastAsia="黑体"/>
          <w:bCs/>
          <w:szCs w:val="32"/>
        </w:rPr>
        <w:t>第四章 合同草案条款</w:t>
      </w:r>
      <w:r>
        <w:tab/>
      </w:r>
      <w:r>
        <w:fldChar w:fldCharType="begin"/>
      </w:r>
      <w:r>
        <w:instrText xml:space="preserve"> PAGEREF _Toc31415 \h </w:instrText>
      </w:r>
      <w:r>
        <w:fldChar w:fldCharType="separate"/>
      </w:r>
      <w:r>
        <w:t>27</w:t>
      </w:r>
      <w:r>
        <w:fldChar w:fldCharType="end"/>
      </w:r>
      <w:r>
        <w:rPr>
          <w:color w:val="000000" w:themeColor="text1"/>
          <w14:textFill>
            <w14:solidFill>
              <w14:schemeClr w14:val="tx1"/>
            </w14:solidFill>
          </w14:textFill>
        </w:rPr>
        <w:fldChar w:fldCharType="end"/>
      </w:r>
    </w:p>
    <w:p w14:paraId="2FFFCF97">
      <w:pPr>
        <w:pStyle w:val="18"/>
        <w:tabs>
          <w:tab w:val="right" w:leader="dot" w:pos="8844"/>
        </w:tabs>
        <w:rPr>
          <w:rFonts w:hint="eastAsia" w:eastAsia="宋体"/>
          <w:lang w:val="en-US" w:eastAsia="zh-CN"/>
        </w:rPr>
      </w:pPr>
      <w:r>
        <w:rPr>
          <w:color w:val="000000" w:themeColor="text1"/>
          <w14:textFill>
            <w14:solidFill>
              <w14:schemeClr w14:val="tx1"/>
            </w14:solidFill>
          </w14:textFill>
        </w:rPr>
        <w:fldChar w:fldCharType="begin"/>
      </w:r>
      <w:r>
        <w:instrText xml:space="preserve"> HYPERLINK \l _Toc1849 </w:instrText>
      </w:r>
      <w:r>
        <w:fldChar w:fldCharType="separate"/>
      </w:r>
      <w:r>
        <w:rPr>
          <w:rFonts w:hint="eastAsia" w:ascii="黑体" w:hAnsi="华文中宋" w:eastAsia="黑体"/>
          <w:bCs/>
          <w:szCs w:val="28"/>
        </w:rPr>
        <w:t>第一节 合同协议书</w:t>
      </w:r>
      <w:r>
        <w:tab/>
      </w:r>
      <w:r>
        <w:rPr>
          <w:rFonts w:hint="eastAsia"/>
          <w:lang w:val="en-US" w:eastAsia="zh-CN"/>
        </w:rPr>
        <w:t>2</w:t>
      </w:r>
      <w:r>
        <w:rPr>
          <w:color w:val="000000" w:themeColor="text1"/>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7</w:t>
      </w:r>
    </w:p>
    <w:p w14:paraId="7C431720">
      <w:pPr>
        <w:pStyle w:val="18"/>
        <w:tabs>
          <w:tab w:val="right" w:leader="dot" w:pos="8844"/>
        </w:tabs>
      </w:pPr>
      <w:r>
        <w:rPr>
          <w:color w:val="000000" w:themeColor="text1"/>
          <w14:textFill>
            <w14:solidFill>
              <w14:schemeClr w14:val="tx1"/>
            </w14:solidFill>
          </w14:textFill>
        </w:rPr>
        <w:fldChar w:fldCharType="begin"/>
      </w:r>
      <w:r>
        <w:instrText xml:space="preserve"> HYPERLINK \l _Toc14242 </w:instrText>
      </w:r>
      <w:r>
        <w:fldChar w:fldCharType="separate"/>
      </w:r>
      <w:r>
        <w:rPr>
          <w:rFonts w:hint="eastAsia" w:ascii="黑体" w:hAnsi="黑体" w:eastAsia="黑体"/>
          <w:bCs/>
          <w:szCs w:val="28"/>
        </w:rPr>
        <w:t>第二节 政府采购合同</w:t>
      </w:r>
      <w:r>
        <w:tab/>
      </w:r>
      <w:r>
        <w:fldChar w:fldCharType="begin"/>
      </w:r>
      <w:r>
        <w:instrText xml:space="preserve"> PAGEREF _Toc14242 \h </w:instrText>
      </w:r>
      <w:r>
        <w:fldChar w:fldCharType="separate"/>
      </w:r>
      <w:r>
        <w:t>27</w:t>
      </w:r>
      <w:r>
        <w:fldChar w:fldCharType="end"/>
      </w:r>
      <w:r>
        <w:rPr>
          <w:color w:val="000000" w:themeColor="text1"/>
          <w14:textFill>
            <w14:solidFill>
              <w14:schemeClr w14:val="tx1"/>
            </w14:solidFill>
          </w14:textFill>
        </w:rPr>
        <w:fldChar w:fldCharType="end"/>
      </w:r>
    </w:p>
    <w:p w14:paraId="3C8251B8">
      <w:pPr>
        <w:pStyle w:val="18"/>
        <w:tabs>
          <w:tab w:val="right" w:leader="dot" w:pos="8844"/>
        </w:tabs>
      </w:pPr>
      <w:r>
        <w:rPr>
          <w:color w:val="000000" w:themeColor="text1"/>
          <w14:textFill>
            <w14:solidFill>
              <w14:schemeClr w14:val="tx1"/>
            </w14:solidFill>
          </w14:textFill>
        </w:rPr>
        <w:fldChar w:fldCharType="begin"/>
      </w:r>
      <w:r>
        <w:instrText xml:space="preserve"> HYPERLINK \l _Toc15693 </w:instrText>
      </w:r>
      <w:r>
        <w:fldChar w:fldCharType="separate"/>
      </w:r>
      <w:r>
        <w:rPr>
          <w:rFonts w:hint="eastAsia" w:ascii="黑体" w:hAnsi="华文中宋" w:eastAsia="黑体"/>
          <w:szCs w:val="28"/>
        </w:rPr>
        <w:t>第三节 政府采购合同专用条款</w:t>
      </w:r>
      <w:r>
        <w:tab/>
      </w:r>
      <w:r>
        <w:fldChar w:fldCharType="begin"/>
      </w:r>
      <w:r>
        <w:instrText xml:space="preserve"> PAGEREF _Toc15693 \h </w:instrText>
      </w:r>
      <w:r>
        <w:fldChar w:fldCharType="separate"/>
      </w:r>
      <w:r>
        <w:t>49</w:t>
      </w:r>
      <w:r>
        <w:fldChar w:fldCharType="end"/>
      </w:r>
      <w:r>
        <w:rPr>
          <w:color w:val="000000" w:themeColor="text1"/>
          <w14:textFill>
            <w14:solidFill>
              <w14:schemeClr w14:val="tx1"/>
            </w14:solidFill>
          </w14:textFill>
        </w:rPr>
        <w:fldChar w:fldCharType="end"/>
      </w:r>
    </w:p>
    <w:p w14:paraId="43848295">
      <w:pPr>
        <w:pStyle w:val="17"/>
        <w:tabs>
          <w:tab w:val="right" w:leader="dot" w:pos="8844"/>
        </w:tabs>
      </w:pPr>
      <w:r>
        <w:rPr>
          <w:color w:val="000000" w:themeColor="text1"/>
          <w14:textFill>
            <w14:solidFill>
              <w14:schemeClr w14:val="tx1"/>
            </w14:solidFill>
          </w14:textFill>
        </w:rPr>
        <w:fldChar w:fldCharType="begin"/>
      </w:r>
      <w:r>
        <w:instrText xml:space="preserve"> HYPERLINK \l _Toc23950 </w:instrText>
      </w:r>
      <w:r>
        <w:fldChar w:fldCharType="separate"/>
      </w:r>
      <w:r>
        <w:rPr>
          <w:rFonts w:hint="eastAsia" w:ascii="黑体" w:hAnsi="黑体" w:eastAsia="黑体"/>
          <w:bCs/>
          <w:szCs w:val="32"/>
        </w:rPr>
        <w:t>第五章 响应文件组成</w:t>
      </w:r>
      <w:r>
        <w:tab/>
      </w:r>
      <w:r>
        <w:fldChar w:fldCharType="begin"/>
      </w:r>
      <w:r>
        <w:instrText xml:space="preserve"> PAGEREF _Toc23950 \h </w:instrText>
      </w:r>
      <w:r>
        <w:fldChar w:fldCharType="separate"/>
      </w:r>
      <w:r>
        <w:t>50</w:t>
      </w:r>
      <w:r>
        <w:fldChar w:fldCharType="end"/>
      </w:r>
      <w:r>
        <w:rPr>
          <w:color w:val="000000" w:themeColor="text1"/>
          <w14:textFill>
            <w14:solidFill>
              <w14:schemeClr w14:val="tx1"/>
            </w14:solidFill>
          </w14:textFill>
        </w:rPr>
        <w:fldChar w:fldCharType="end"/>
      </w:r>
    </w:p>
    <w:p w14:paraId="5EDC9ED0">
      <w:pPr>
        <w:rPr>
          <w:color w:val="000000" w:themeColor="text1"/>
          <w14:textFill>
            <w14:solidFill>
              <w14:schemeClr w14:val="tx1"/>
            </w14:solidFill>
          </w14:textFill>
        </w:rPr>
      </w:pPr>
      <w:r>
        <w:rPr>
          <w:color w:val="000000" w:themeColor="text1"/>
          <w14:textFill>
            <w14:solidFill>
              <w14:schemeClr w14:val="tx1"/>
            </w14:solidFill>
          </w14:textFill>
        </w:rPr>
        <w:fldChar w:fldCharType="end"/>
      </w:r>
    </w:p>
    <w:p w14:paraId="62F78DFF">
      <w:pPr>
        <w:tabs>
          <w:tab w:val="left" w:pos="7274"/>
        </w:tabs>
        <w:bidi w:val="0"/>
        <w:jc w:val="left"/>
        <w:rPr>
          <w:color w:val="000000" w:themeColor="text1"/>
          <w:lang w:val="en-US" w:eastAsia="zh-CN"/>
          <w14:textFill>
            <w14:solidFill>
              <w14:schemeClr w14:val="tx1"/>
            </w14:solidFill>
          </w14:textFill>
        </w:rPr>
        <w:sectPr>
          <w:footerReference r:id="rId4" w:type="default"/>
          <w:pgSz w:w="11906" w:h="16838"/>
          <w:pgMar w:top="1474" w:right="1474" w:bottom="1474" w:left="1588" w:header="851" w:footer="992" w:gutter="0"/>
          <w:pgNumType w:fmt="decimal" w:start="1"/>
          <w:cols w:space="720" w:num="1"/>
          <w:docGrid w:type="lines" w:linePitch="312" w:charSpace="0"/>
        </w:sectPr>
      </w:pPr>
      <w:r>
        <w:rPr>
          <w:rFonts w:hint="eastAsia"/>
          <w:color w:val="000000" w:themeColor="text1"/>
          <w:lang w:val="en-US" w:eastAsia="zh-CN"/>
          <w14:textFill>
            <w14:solidFill>
              <w14:schemeClr w14:val="tx1"/>
            </w14:solidFill>
          </w14:textFill>
        </w:rPr>
        <w:tab/>
      </w:r>
    </w:p>
    <w:p w14:paraId="2161C338">
      <w:pPr>
        <w:keepNext/>
        <w:adjustRightInd w:val="0"/>
        <w:snapToGrid w:val="0"/>
        <w:spacing w:before="156" w:beforeLines="50" w:line="360" w:lineRule="auto"/>
        <w:jc w:val="center"/>
        <w:outlineLvl w:val="0"/>
        <w:rPr>
          <w:rFonts w:hint="default" w:ascii="黑体" w:hAnsi="黑体" w:eastAsia="黑体"/>
          <w:b/>
          <w:bCs/>
          <w:color w:val="000000" w:themeColor="text1"/>
          <w:sz w:val="32"/>
          <w:szCs w:val="32"/>
          <w:highlight w:val="yellow"/>
          <w:lang w:val="en-US" w:eastAsia="zh-CN"/>
          <w14:textFill>
            <w14:solidFill>
              <w14:schemeClr w14:val="tx1"/>
            </w14:solidFill>
          </w14:textFill>
        </w:rPr>
      </w:pPr>
      <w:bookmarkStart w:id="0" w:name="_Toc11980"/>
      <w:r>
        <w:rPr>
          <w:rFonts w:hint="eastAsia" w:ascii="黑体" w:hAnsi="黑体" w:eastAsia="黑体"/>
          <w:b/>
          <w:bCs/>
          <w:color w:val="000000" w:themeColor="text1"/>
          <w:sz w:val="32"/>
          <w:szCs w:val="32"/>
          <w14:textFill>
            <w14:solidFill>
              <w14:schemeClr w14:val="tx1"/>
            </w14:solidFill>
          </w14:textFill>
        </w:rPr>
        <w:t>第一章 谈判</w:t>
      </w:r>
      <w:bookmarkEnd w:id="0"/>
      <w:r>
        <w:rPr>
          <w:rFonts w:hint="eastAsia" w:ascii="黑体" w:hAnsi="黑体" w:eastAsia="黑体"/>
          <w:b/>
          <w:bCs/>
          <w:color w:val="000000" w:themeColor="text1"/>
          <w:sz w:val="32"/>
          <w:szCs w:val="32"/>
          <w:highlight w:val="none"/>
          <w:lang w:val="en-US" w:eastAsia="zh-CN"/>
          <w14:textFill>
            <w14:solidFill>
              <w14:schemeClr w14:val="tx1"/>
            </w14:solidFill>
          </w14:textFill>
        </w:rPr>
        <w:t>邀请</w:t>
      </w:r>
    </w:p>
    <w:p w14:paraId="5C96BBE2">
      <w:pPr>
        <w:pageBreakBefore w:val="0"/>
        <w:widowControl w:val="0"/>
        <w:kinsoku/>
        <w:wordWrap/>
        <w:overflowPunct/>
        <w:topLinePunct w:val="0"/>
        <w:bidi w:val="0"/>
        <w:adjustRightInd w:val="0"/>
        <w:snapToGrid w:val="0"/>
        <w:spacing w:line="360" w:lineRule="auto"/>
        <w:textAlignment w:val="auto"/>
        <w:rPr>
          <w:rFonts w:ascii="宋体" w:hAnsi="宋体"/>
          <w:color w:val="auto"/>
          <w:szCs w:val="21"/>
          <w:highlight w:val="none"/>
        </w:rPr>
      </w:pPr>
      <w:r>
        <w:rPr>
          <w:rFonts w:hint="eastAsia" w:ascii="宋体" w:hAnsi="宋体"/>
          <w:color w:val="auto"/>
          <w:szCs w:val="21"/>
          <w:u w:val="single"/>
          <w:lang w:val="en-US" w:eastAsia="zh-CN"/>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(被邀请供应商名称)：</w:t>
      </w:r>
    </w:p>
    <w:p w14:paraId="20A8FF2C">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u w:val="single"/>
          <w:lang w:val="en-US" w:eastAsia="zh-CN"/>
          <w14:textFill>
            <w14:solidFill>
              <w14:schemeClr w14:val="tx1"/>
            </w14:solidFill>
          </w14:textFill>
        </w:rPr>
        <w:t xml:space="preserve">怀化市鹤城区城市建设投资有限公司 </w:t>
      </w:r>
      <w:r>
        <w:rPr>
          <w:rFonts w:hint="eastAsia" w:ascii="宋体" w:hAnsi="宋体"/>
          <w:color w:val="000000" w:themeColor="text1"/>
          <w:szCs w:val="21"/>
          <w:highlight w:val="none"/>
          <w14:textFill>
            <w14:solidFill>
              <w14:schemeClr w14:val="tx1"/>
            </w14:solidFill>
          </w14:textFill>
        </w:rPr>
        <w:t>（采购人名称）的</w:t>
      </w:r>
      <w:r>
        <w:rPr>
          <w:rFonts w:hint="eastAsia" w:ascii="宋体" w:hAnsi="宋体"/>
          <w:color w:val="000000" w:themeColor="text1"/>
          <w:szCs w:val="21"/>
          <w:highlight w:val="none"/>
          <w:u w:val="single"/>
          <w:lang w:eastAsia="zh-CN"/>
          <w14:textFill>
            <w14:solidFill>
              <w14:schemeClr w14:val="tx1"/>
            </w14:solidFill>
          </w14:textFill>
        </w:rPr>
        <w:t>怀化市鹤城区城市建设投资有限公司(区执法局充电桩)配电工程（第三次）</w:t>
      </w:r>
      <w:r>
        <w:rPr>
          <w:rFonts w:hint="eastAsia" w:ascii="宋体" w:hAnsi="宋体"/>
          <w:color w:val="000000" w:themeColor="text1"/>
          <w:szCs w:val="21"/>
          <w:highlight w:val="none"/>
          <w14:textFill>
            <w14:solidFill>
              <w14:schemeClr w14:val="tx1"/>
            </w14:solidFill>
          </w14:textFill>
        </w:rPr>
        <w:t>(项目名称)</w:t>
      </w:r>
      <w:r>
        <w:rPr>
          <w:rFonts w:hint="eastAsia" w:ascii="宋体" w:hAnsi="宋体"/>
          <w:color w:val="auto"/>
          <w:szCs w:val="21"/>
          <w:highlight w:val="none"/>
        </w:rPr>
        <w:t>进行竞争性谈判采购，邀请你单位参</w:t>
      </w:r>
      <w:r>
        <w:rPr>
          <w:rFonts w:hint="eastAsia" w:ascii="宋体" w:hAnsi="宋体"/>
          <w:color w:val="auto"/>
          <w:szCs w:val="21"/>
        </w:rPr>
        <w:t>加谈判采购活动。</w:t>
      </w:r>
    </w:p>
    <w:p w14:paraId="72994CBF">
      <w:pPr>
        <w:keepNext/>
        <w:keepLines/>
        <w:adjustRightInd w:val="0"/>
        <w:snapToGrid w:val="0"/>
        <w:spacing w:before="156" w:beforeLines="50" w:line="360" w:lineRule="auto"/>
        <w:outlineLvl w:val="1"/>
        <w:rPr>
          <w:rFonts w:ascii="黑体" w:hAnsi="黑体" w:eastAsia="黑体"/>
          <w:b/>
          <w:bCs/>
          <w:color w:val="000000" w:themeColor="text1"/>
          <w:sz w:val="24"/>
          <w:szCs w:val="32"/>
          <w14:textFill>
            <w14:solidFill>
              <w14:schemeClr w14:val="tx1"/>
            </w14:solidFill>
          </w14:textFill>
        </w:rPr>
      </w:pPr>
      <w:bookmarkStart w:id="1" w:name="_Toc22201055"/>
      <w:bookmarkStart w:id="2" w:name="_Toc15997"/>
      <w:r>
        <w:rPr>
          <w:rFonts w:hint="eastAsia" w:ascii="黑体" w:hAnsi="黑体" w:eastAsia="黑体"/>
          <w:b/>
          <w:bCs/>
          <w:color w:val="000000" w:themeColor="text1"/>
          <w:sz w:val="24"/>
          <w:szCs w:val="32"/>
          <w14:textFill>
            <w14:solidFill>
              <w14:schemeClr w14:val="tx1"/>
            </w14:solidFill>
          </w14:textFill>
        </w:rPr>
        <w:t>一、采购项目</w:t>
      </w:r>
      <w:bookmarkEnd w:id="1"/>
      <w:r>
        <w:rPr>
          <w:rFonts w:hint="eastAsia" w:ascii="黑体" w:hAnsi="黑体" w:eastAsia="黑体"/>
          <w:b/>
          <w:bCs/>
          <w:color w:val="000000" w:themeColor="text1"/>
          <w:sz w:val="24"/>
          <w:szCs w:val="32"/>
          <w14:textFill>
            <w14:solidFill>
              <w14:schemeClr w14:val="tx1"/>
            </w14:solidFill>
          </w14:textFill>
        </w:rPr>
        <w:t>基本情况</w:t>
      </w:r>
      <w:bookmarkEnd w:id="2"/>
    </w:p>
    <w:p w14:paraId="3E3F53AE">
      <w:pPr>
        <w:adjustRightInd w:val="0"/>
        <w:snapToGrid w:val="0"/>
        <w:spacing w:line="360" w:lineRule="auto"/>
        <w:ind w:firstLine="420" w:firstLineChars="200"/>
        <w:rPr>
          <w:rFonts w:hint="eastAsia" w:ascii="宋体" w:hAnsi="宋体" w:eastAsia="宋体"/>
          <w:color w:val="000000" w:themeColor="text1"/>
          <w:szCs w:val="21"/>
          <w:u w:val="single"/>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1、采购项目名称：</w:t>
      </w:r>
      <w:r>
        <w:rPr>
          <w:rFonts w:hint="eastAsia" w:ascii="宋体" w:hAnsi="宋体"/>
          <w:color w:val="000000" w:themeColor="text1"/>
          <w:szCs w:val="21"/>
          <w:u w:val="single"/>
          <w:lang w:eastAsia="zh-CN"/>
          <w14:textFill>
            <w14:solidFill>
              <w14:schemeClr w14:val="tx1"/>
            </w14:solidFill>
          </w14:textFill>
        </w:rPr>
        <w:t>怀化市鹤城区城市建设投资有限公司(区执法局充电桩)配电工程（第三次）</w:t>
      </w:r>
    </w:p>
    <w:p w14:paraId="40ABC5BD">
      <w:pPr>
        <w:adjustRightInd w:val="0"/>
        <w:snapToGrid w:val="0"/>
        <w:spacing w:line="360" w:lineRule="auto"/>
        <w:ind w:firstLine="420" w:firstLineChars="200"/>
        <w:rPr>
          <w:rFonts w:hint="eastAsia" w:ascii="宋体" w:hAnsi="宋体" w:cs="宋体"/>
          <w:i w:val="0"/>
          <w:iCs w:val="0"/>
          <w:caps w:val="0"/>
          <w:color w:val="auto"/>
          <w:spacing w:val="0"/>
          <w:kern w:val="0"/>
          <w:sz w:val="21"/>
          <w:szCs w:val="21"/>
          <w:u w:val="single"/>
          <w:lang w:val="en-US" w:eastAsia="zh-CN" w:bidi="ar"/>
        </w:rPr>
      </w:pPr>
      <w:r>
        <w:rPr>
          <w:rFonts w:hint="eastAsia" w:ascii="宋体" w:hAnsi="宋体" w:cs="宋体"/>
          <w:i w:val="0"/>
          <w:iCs w:val="0"/>
          <w:caps w:val="0"/>
          <w:color w:val="auto"/>
          <w:spacing w:val="0"/>
          <w:kern w:val="0"/>
          <w:sz w:val="21"/>
          <w:szCs w:val="21"/>
          <w:u w:val="none"/>
          <w:lang w:val="en-US" w:eastAsia="zh-CN" w:bidi="ar"/>
        </w:rPr>
        <w:t>2、采购编号：</w:t>
      </w:r>
      <w:r>
        <w:rPr>
          <w:rFonts w:hint="eastAsia" w:ascii="宋体" w:hAnsi="宋体" w:cs="宋体"/>
          <w:i w:val="0"/>
          <w:iCs w:val="0"/>
          <w:caps w:val="0"/>
          <w:color w:val="auto"/>
          <w:spacing w:val="0"/>
          <w:kern w:val="0"/>
          <w:sz w:val="21"/>
          <w:szCs w:val="21"/>
          <w:u w:val="single"/>
          <w:lang w:val="en-US" w:eastAsia="zh-CN" w:bidi="ar"/>
        </w:rPr>
        <w:t>2026-08</w:t>
      </w:r>
    </w:p>
    <w:p w14:paraId="496741FE">
      <w:pPr>
        <w:adjustRightInd w:val="0"/>
        <w:snapToGrid w:val="0"/>
        <w:spacing w:line="360" w:lineRule="auto"/>
        <w:ind w:firstLine="420" w:firstLineChars="200"/>
        <w:rPr>
          <w:rFonts w:hint="default" w:ascii="宋体" w:hAnsi="宋体" w:eastAsia="宋体"/>
          <w:color w:val="000000" w:themeColor="text1"/>
          <w:szCs w:val="21"/>
          <w:u w:val="single"/>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w:t>
      </w:r>
      <w:r>
        <w:rPr>
          <w:rFonts w:hint="eastAsia" w:ascii="宋体" w:hAnsi="宋体" w:eastAsia="宋体"/>
          <w:color w:val="000000" w:themeColor="text1"/>
          <w:szCs w:val="21"/>
          <w14:textFill>
            <w14:solidFill>
              <w14:schemeClr w14:val="tx1"/>
            </w14:solidFill>
          </w14:textFill>
        </w:rPr>
        <w:t>、委托代理编号：</w:t>
      </w:r>
      <w:bookmarkStart w:id="3" w:name="_Toc22201056"/>
      <w:r>
        <w:rPr>
          <w:rFonts w:hint="eastAsia" w:ascii="宋体" w:hAnsi="宋体"/>
          <w:color w:val="auto"/>
          <w:szCs w:val="21"/>
          <w:u w:val="single"/>
          <w:lang w:val="en-US" w:eastAsia="zh-CN"/>
        </w:rPr>
        <w:t>HNZLF-2026-GC(HH)-24</w:t>
      </w:r>
    </w:p>
    <w:p w14:paraId="276EED99">
      <w:pPr>
        <w:adjustRightInd w:val="0"/>
        <w:snapToGrid w:val="0"/>
        <w:spacing w:line="360" w:lineRule="auto"/>
        <w:ind w:firstLine="420" w:firstLineChars="200"/>
        <w:rPr>
          <w:rFonts w:hint="default" w:ascii="宋体" w:hAnsi="宋体" w:eastAsia="宋体"/>
          <w:bCs/>
          <w:color w:val="000000" w:themeColor="text1"/>
          <w:szCs w:val="21"/>
          <w:lang w:val="en-US" w:eastAsia="zh-CN"/>
          <w14:textFill>
            <w14:solidFill>
              <w14:schemeClr w14:val="tx1"/>
            </w14:solidFill>
          </w14:textFill>
        </w:rPr>
      </w:pPr>
      <w:r>
        <w:rPr>
          <w:rFonts w:hint="eastAsia" w:ascii="宋体" w:hAnsi="宋体"/>
          <w:bCs/>
          <w:color w:val="000000" w:themeColor="text1"/>
          <w:szCs w:val="21"/>
          <w:lang w:val="en-US" w:eastAsia="zh-CN"/>
          <w14:textFill>
            <w14:solidFill>
              <w14:schemeClr w14:val="tx1"/>
            </w14:solidFill>
          </w14:textFill>
        </w:rPr>
        <w:t>4</w:t>
      </w:r>
      <w:r>
        <w:rPr>
          <w:rFonts w:hint="eastAsia" w:ascii="宋体" w:hAnsi="宋体"/>
          <w:bCs/>
          <w:color w:val="000000" w:themeColor="text1"/>
          <w:szCs w:val="21"/>
          <w14:textFill>
            <w14:solidFill>
              <w14:schemeClr w14:val="tx1"/>
            </w14:solidFill>
          </w14:textFill>
        </w:rPr>
        <w:t>、采购项目预算：</w:t>
      </w:r>
      <w:r>
        <w:rPr>
          <w:rFonts w:hint="eastAsia" w:ascii="宋体" w:hAnsi="宋体"/>
          <w:bCs/>
          <w:color w:val="000000" w:themeColor="text1"/>
          <w:szCs w:val="21"/>
          <w:u w:val="single"/>
          <w:lang w:val="en-US" w:eastAsia="zh-CN"/>
          <w14:textFill>
            <w14:solidFill>
              <w14:schemeClr w14:val="tx1"/>
            </w14:solidFill>
          </w14:textFill>
        </w:rPr>
        <w:t xml:space="preserve"> 551135.85元</w:t>
      </w:r>
    </w:p>
    <w:p w14:paraId="67B7685C">
      <w:pPr>
        <w:adjustRightInd w:val="0"/>
        <w:snapToGrid w:val="0"/>
        <w:spacing w:line="360" w:lineRule="auto"/>
        <w:ind w:firstLine="630" w:firstLineChars="300"/>
        <w:rPr>
          <w:rFonts w:ascii="宋体" w:hAnsi="宋体"/>
          <w:bCs/>
          <w:color w:val="000000" w:themeColor="text1"/>
          <w:szCs w:val="21"/>
          <w:u w:val="single"/>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支持</w:t>
      </w:r>
      <w:r>
        <w:rPr>
          <w:rFonts w:hint="eastAsia" w:ascii="宋体" w:hAnsi="宋体"/>
          <w:bCs/>
          <w:color w:val="000000" w:themeColor="text1"/>
          <w:szCs w:val="21"/>
          <w14:textFill>
            <w14:solidFill>
              <w14:schemeClr w14:val="tx1"/>
            </w14:solidFill>
          </w14:textFill>
        </w:rPr>
        <w:t>预付款，预付比例：</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iCs/>
          <w:color w:val="000000" w:themeColor="text1"/>
          <w:u w:val="single"/>
          <w:lang w:val="en-US" w:eastAsia="zh-CN"/>
          <w14:textFill>
            <w14:solidFill>
              <w14:schemeClr w14:val="tx1"/>
            </w14:solidFill>
          </w14:textFill>
        </w:rPr>
        <w:t>/</w:t>
      </w:r>
      <w:r>
        <w:rPr>
          <w:rFonts w:hint="eastAsia" w:ascii="宋体" w:hAnsi="宋体"/>
          <w:bCs/>
          <w:color w:val="000000" w:themeColor="text1"/>
          <w:szCs w:val="21"/>
          <w:u w:val="single"/>
          <w14:textFill>
            <w14:solidFill>
              <w14:schemeClr w14:val="tx1"/>
            </w14:solidFill>
          </w14:textFill>
        </w:rPr>
        <w:t xml:space="preserve">     </w:t>
      </w:r>
    </w:p>
    <w:p w14:paraId="07043EA6">
      <w:pPr>
        <w:adjustRightInd w:val="0"/>
        <w:snapToGrid w:val="0"/>
        <w:spacing w:line="360" w:lineRule="auto"/>
        <w:ind w:firstLine="420" w:firstLineChars="200"/>
        <w:rPr>
          <w:rFonts w:ascii="宋体" w:hAnsi="宋体"/>
          <w:color w:val="000000" w:themeColor="text1"/>
          <w:szCs w:val="21"/>
          <w:u w:val="single"/>
          <w14:textFill>
            <w14:solidFill>
              <w14:schemeClr w14:val="tx1"/>
            </w14:solidFill>
          </w14:textFill>
        </w:rPr>
      </w:pPr>
      <w:r>
        <w:rPr>
          <w:rFonts w:hint="eastAsia" w:ascii="宋体" w:hAnsi="宋体"/>
          <w:bCs/>
          <w:color w:val="000000" w:themeColor="text1"/>
          <w:szCs w:val="21"/>
          <w:lang w:val="en-US" w:eastAsia="zh-CN"/>
          <w14:textFill>
            <w14:solidFill>
              <w14:schemeClr w14:val="tx1"/>
            </w14:solidFill>
          </w14:textFill>
        </w:rPr>
        <w:t>5</w:t>
      </w:r>
      <w:r>
        <w:rPr>
          <w:rFonts w:hint="eastAsia" w:ascii="宋体" w:hAnsi="宋体"/>
          <w:bCs/>
          <w:color w:val="000000" w:themeColor="text1"/>
          <w:szCs w:val="21"/>
          <w14:textFill>
            <w14:solidFill>
              <w14:schemeClr w14:val="tx1"/>
            </w14:solidFill>
          </w14:textFill>
        </w:rPr>
        <w:t>、本项目</w:t>
      </w:r>
      <w:r>
        <w:rPr>
          <w:rFonts w:hint="eastAsia" w:ascii="宋体" w:hAnsi="宋体"/>
          <w:color w:val="000000" w:themeColor="text1"/>
          <w:szCs w:val="21"/>
          <w14:textFill>
            <w14:solidFill>
              <w14:schemeClr w14:val="tx1"/>
            </w14:solidFill>
          </w14:textFill>
        </w:rPr>
        <w:t>对应的中小企业划分标准所属行业：</w:t>
      </w:r>
      <w:r>
        <w:rPr>
          <w:rFonts w:hint="eastAsia" w:ascii="宋体" w:hAnsi="宋体"/>
          <w:color w:val="000000" w:themeColor="text1"/>
          <w:szCs w:val="21"/>
          <w:u w:val="single"/>
          <w:lang w:val="en-US" w:eastAsia="zh-CN"/>
          <w14:textFill>
            <w14:solidFill>
              <w14:schemeClr w14:val="tx1"/>
            </w14:solidFill>
          </w14:textFill>
        </w:rPr>
        <w:t>建筑业</w:t>
      </w:r>
      <w:r>
        <w:rPr>
          <w:rFonts w:hint="eastAsia" w:ascii="宋体" w:hAnsi="宋体"/>
          <w:color w:val="000000" w:themeColor="text1"/>
          <w:szCs w:val="21"/>
          <w:u w:val="single"/>
          <w14:textFill>
            <w14:solidFill>
              <w14:schemeClr w14:val="tx1"/>
            </w14:solidFill>
          </w14:textFill>
        </w:rPr>
        <w:t xml:space="preserve"> </w:t>
      </w:r>
    </w:p>
    <w:p w14:paraId="0AF879B7">
      <w:pPr>
        <w:adjustRightInd w:val="0"/>
        <w:snapToGrid w:val="0"/>
        <w:spacing w:line="360" w:lineRule="auto"/>
        <w:ind w:firstLine="420" w:firstLineChars="200"/>
        <w:rPr>
          <w:rFonts w:ascii="宋体" w:hAnsi="宋体"/>
          <w:bCs/>
          <w:color w:val="000000" w:themeColor="text1"/>
          <w:szCs w:val="21"/>
          <w:u w:val="single"/>
          <w14:textFill>
            <w14:solidFill>
              <w14:schemeClr w14:val="tx1"/>
            </w14:solidFill>
          </w14:textFill>
        </w:rPr>
      </w:pPr>
      <w:r>
        <w:rPr>
          <w:rFonts w:hint="eastAsia" w:ascii="宋体" w:hAnsi="宋体"/>
          <w:bCs/>
          <w:color w:val="000000" w:themeColor="text1"/>
          <w:szCs w:val="21"/>
          <w:lang w:val="en-US" w:eastAsia="zh-CN"/>
          <w14:textFill>
            <w14:solidFill>
              <w14:schemeClr w14:val="tx1"/>
            </w14:solidFill>
          </w14:textFill>
        </w:rPr>
        <w:t>6</w:t>
      </w:r>
      <w:r>
        <w:rPr>
          <w:rFonts w:hint="eastAsia" w:ascii="宋体" w:hAnsi="宋体"/>
          <w:bCs/>
          <w:color w:val="000000" w:themeColor="text1"/>
          <w:szCs w:val="21"/>
          <w14:textFill>
            <w14:solidFill>
              <w14:schemeClr w14:val="tx1"/>
            </w14:solidFill>
          </w14:textFill>
        </w:rPr>
        <w:t>、合同定价方式：</w:t>
      </w: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固定总价</w:t>
      </w: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sym w:font="Wingdings" w:char="00FE"/>
      </w:r>
      <w:r>
        <w:rPr>
          <w:rFonts w:hint="eastAsia" w:ascii="宋体" w:hAnsi="宋体"/>
          <w:iCs/>
          <w:color w:val="000000" w:themeColor="text1"/>
          <w:szCs w:val="21"/>
          <w:highlight w:val="none"/>
          <w14:textFill>
            <w14:solidFill>
              <w14:schemeClr w14:val="tx1"/>
            </w14:solidFill>
          </w14:textFill>
        </w:rPr>
        <w:t>固定单价</w:t>
      </w:r>
      <w:r>
        <w:rPr>
          <w:rFonts w:hint="eastAsia" w:ascii="宋体" w:hAnsi="宋体"/>
          <w:iCs/>
          <w:color w:val="000000" w:themeColor="text1"/>
          <w:szCs w:val="21"/>
          <w14:textFill>
            <w14:solidFill>
              <w14:schemeClr w14:val="tx1"/>
            </w14:solidFill>
          </w14:textFill>
        </w:rPr>
        <w:t xml:space="preserve"> </w:t>
      </w: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 xml:space="preserve">成本补偿 </w:t>
      </w: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绩效激励</w:t>
      </w:r>
    </w:p>
    <w:p w14:paraId="7F915839">
      <w:pPr>
        <w:adjustRightInd w:val="0"/>
        <w:snapToGrid w:val="0"/>
        <w:spacing w:line="360" w:lineRule="auto"/>
        <w:ind w:firstLine="420" w:firstLineChars="200"/>
        <w:rPr>
          <w:rFonts w:hint="default" w:ascii="宋体" w:hAnsi="宋体"/>
          <w:bCs/>
          <w:color w:val="auto"/>
          <w:szCs w:val="21"/>
          <w:u w:val="single"/>
          <w:lang w:val="en-US"/>
        </w:rPr>
      </w:pPr>
      <w:r>
        <w:rPr>
          <w:rFonts w:hint="eastAsia" w:ascii="宋体" w:hAnsi="宋体"/>
          <w:bCs/>
          <w:color w:val="auto"/>
          <w:szCs w:val="21"/>
          <w:lang w:val="en-US" w:eastAsia="zh-CN"/>
        </w:rPr>
        <w:t>7</w:t>
      </w:r>
      <w:r>
        <w:rPr>
          <w:rFonts w:hint="eastAsia" w:ascii="宋体" w:hAnsi="宋体"/>
          <w:bCs/>
          <w:color w:val="auto"/>
          <w:szCs w:val="21"/>
        </w:rPr>
        <w:t>、合同履行</w:t>
      </w:r>
      <w:r>
        <w:rPr>
          <w:rFonts w:hint="eastAsia" w:ascii="宋体" w:hAnsi="宋体"/>
          <w:bCs/>
          <w:color w:val="auto"/>
          <w:szCs w:val="21"/>
          <w:lang w:val="en-US" w:eastAsia="zh-CN"/>
        </w:rPr>
        <w:t>工期</w:t>
      </w:r>
      <w:r>
        <w:rPr>
          <w:rFonts w:hint="eastAsia" w:ascii="宋体" w:hAnsi="宋体"/>
          <w:bCs/>
          <w:color w:val="auto"/>
          <w:szCs w:val="21"/>
        </w:rPr>
        <w:t>：</w:t>
      </w:r>
      <w:r>
        <w:rPr>
          <w:rFonts w:hint="eastAsia" w:ascii="宋体" w:hAnsi="宋体"/>
          <w:bCs/>
          <w:color w:val="auto"/>
          <w:szCs w:val="21"/>
          <w:u w:val="single"/>
          <w:lang w:val="en-US" w:eastAsia="zh-CN"/>
        </w:rPr>
        <w:t xml:space="preserve">  60日历天    </w:t>
      </w:r>
    </w:p>
    <w:p w14:paraId="368F4AB9">
      <w:pPr>
        <w:pStyle w:val="28"/>
        <w:rPr>
          <w:color w:val="000000" w:themeColor="text1"/>
          <w14:textFill>
            <w14:solidFill>
              <w14:schemeClr w14:val="tx1"/>
            </w14:solidFill>
          </w14:textFill>
        </w:rPr>
      </w:pPr>
      <w:r>
        <w:rPr>
          <w:rFonts w:hint="eastAsia" w:ascii="宋体" w:hAnsi="宋体"/>
          <w:bCs/>
          <w:color w:val="000000" w:themeColor="text1"/>
          <w:lang w:val="en-US" w:eastAsia="zh-CN"/>
          <w14:textFill>
            <w14:solidFill>
              <w14:schemeClr w14:val="tx1"/>
            </w14:solidFill>
          </w14:textFill>
        </w:rPr>
        <w:t>7</w:t>
      </w:r>
      <w:r>
        <w:rPr>
          <w:rFonts w:hint="eastAsia" w:ascii="宋体" w:hAnsi="宋体"/>
          <w:bCs/>
          <w:color w:val="000000" w:themeColor="text1"/>
          <w14:textFill>
            <w14:solidFill>
              <w14:schemeClr w14:val="tx1"/>
            </w14:solidFill>
          </w14:textFill>
        </w:rPr>
        <w:t>、</w:t>
      </w:r>
      <w:r>
        <w:rPr>
          <w:rFonts w:hint="eastAsia"/>
          <w:color w:val="000000" w:themeColor="text1"/>
          <w14:textFill>
            <w14:solidFill>
              <w14:schemeClr w14:val="tx1"/>
            </w14:solidFill>
          </w14:textFill>
        </w:rPr>
        <w:t>本项目分阶段要求供应商提供以下保证：</w:t>
      </w:r>
    </w:p>
    <w:p w14:paraId="20AF4F7D">
      <w:pPr>
        <w:pStyle w:val="28"/>
        <w:spacing w:line="360" w:lineRule="auto"/>
        <w:rPr>
          <w:rFonts w:ascii="宋体" w:hAnsi="宋体"/>
          <w:iCs/>
          <w:color w:val="000000" w:themeColor="text1"/>
          <w14:textFill>
            <w14:solidFill>
              <w14:schemeClr w14:val="tx1"/>
            </w14:solidFill>
          </w14:textFill>
        </w:rPr>
      </w:pPr>
      <w:r>
        <w:rPr>
          <w:rFonts w:hint="eastAsia" w:ascii="宋体" w:hAnsi="宋体"/>
          <w:iCs/>
          <w:color w:val="000000" w:themeColor="text1"/>
          <w14:textFill>
            <w14:solidFill>
              <w14:schemeClr w14:val="tx1"/>
            </w14:solidFill>
          </w14:textFill>
        </w:rPr>
        <w:sym w:font="Wingdings" w:char="00A8"/>
      </w:r>
      <w:r>
        <w:rPr>
          <w:rFonts w:hint="eastAsia" w:ascii="宋体" w:hAnsi="宋体"/>
          <w:color w:val="000000" w:themeColor="text1"/>
          <w14:textFill>
            <w14:solidFill>
              <w14:schemeClr w14:val="tx1"/>
            </w14:solidFill>
          </w14:textFill>
        </w:rPr>
        <w:t>谈判保证金：</w:t>
      </w:r>
      <w:r>
        <w:rPr>
          <w:rFonts w:hint="eastAsia" w:ascii="宋体" w:hAnsi="宋体"/>
          <w:iCs/>
          <w:color w:val="000000" w:themeColor="text1"/>
          <w14:textFill>
            <w14:solidFill>
              <w14:schemeClr w14:val="tx1"/>
            </w14:solidFill>
          </w14:textFill>
        </w:rPr>
        <w:t>采购项目预算的</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u w:val="single"/>
          <w:lang w:val="en-US" w:eastAsia="zh-CN"/>
          <w14:textFill>
            <w14:solidFill>
              <w14:schemeClr w14:val="tx1"/>
            </w14:solidFill>
          </w14:textFill>
        </w:rPr>
        <w:t>/</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w:t>
      </w:r>
    </w:p>
    <w:p w14:paraId="2D4FEEFC">
      <w:pPr>
        <w:pStyle w:val="28"/>
        <w:spacing w:line="360" w:lineRule="auto"/>
        <w:rPr>
          <w:rFonts w:ascii="宋体" w:hAnsi="宋体"/>
          <w:iCs/>
          <w:color w:val="000000" w:themeColor="text1"/>
          <w14:textFill>
            <w14:solidFill>
              <w14:schemeClr w14:val="tx1"/>
            </w14:solidFill>
          </w14:textFill>
        </w:rPr>
      </w:pPr>
      <w:r>
        <w:rPr>
          <w:rFonts w:hint="eastAsia" w:ascii="宋体" w:hAnsi="宋体"/>
          <w:iCs/>
          <w:color w:val="000000" w:themeColor="text1"/>
          <w14:textFill>
            <w14:solidFill>
              <w14:schemeClr w14:val="tx1"/>
            </w14:solidFill>
          </w14:textFill>
        </w:rPr>
        <w:sym w:font="Wingdings" w:char="00A8"/>
      </w:r>
      <w:r>
        <w:rPr>
          <w:rFonts w:hint="eastAsia" w:ascii="宋体" w:hAnsi="宋体"/>
          <w:color w:val="000000" w:themeColor="text1"/>
          <w14:textFill>
            <w14:solidFill>
              <w14:schemeClr w14:val="tx1"/>
            </w14:solidFill>
          </w14:textFill>
        </w:rPr>
        <w:t>履约保证金：</w:t>
      </w:r>
      <w:r>
        <w:rPr>
          <w:rFonts w:hint="eastAsia" w:ascii="宋体" w:hAnsi="宋体"/>
          <w:iCs/>
          <w:color w:val="000000" w:themeColor="text1"/>
          <w14:textFill>
            <w14:solidFill>
              <w14:schemeClr w14:val="tx1"/>
            </w14:solidFill>
          </w14:textFill>
        </w:rPr>
        <w:t>中标金额的</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u w:val="single"/>
          <w:lang w:val="en-US" w:eastAsia="zh-CN"/>
          <w14:textFill>
            <w14:solidFill>
              <w14:schemeClr w14:val="tx1"/>
            </w14:solidFill>
          </w14:textFill>
        </w:rPr>
        <w:t>/</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w:t>
      </w:r>
    </w:p>
    <w:p w14:paraId="23265B13">
      <w:pPr>
        <w:pStyle w:val="28"/>
        <w:spacing w:line="360" w:lineRule="auto"/>
        <w:rPr>
          <w:rFonts w:ascii="宋体" w:hAnsi="宋体"/>
          <w:iCs/>
          <w:color w:val="000000" w:themeColor="text1"/>
          <w14:textFill>
            <w14:solidFill>
              <w14:schemeClr w14:val="tx1"/>
            </w14:solidFill>
          </w14:textFill>
        </w:rPr>
      </w:pPr>
      <w:r>
        <w:rPr>
          <w:rFonts w:hint="eastAsia" w:ascii="宋体" w:hAnsi="宋体"/>
          <w:iCs/>
          <w:color w:val="000000" w:themeColor="text1"/>
          <w14:textFill>
            <w14:solidFill>
              <w14:schemeClr w14:val="tx1"/>
            </w14:solidFill>
          </w14:textFill>
        </w:rPr>
        <w:sym w:font="Wingdings" w:char="00A8"/>
      </w:r>
      <w:r>
        <w:rPr>
          <w:rFonts w:hint="eastAsia" w:ascii="宋体" w:hAnsi="宋体"/>
          <w:iCs/>
          <w:color w:val="000000" w:themeColor="text1"/>
          <w14:textFill>
            <w14:solidFill>
              <w14:schemeClr w14:val="tx1"/>
            </w14:solidFill>
          </w14:textFill>
        </w:rPr>
        <w:t>预付款保证金：预付款的</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u w:val="single"/>
          <w:lang w:val="en-US" w:eastAsia="zh-CN"/>
          <w14:textFill>
            <w14:solidFill>
              <w14:schemeClr w14:val="tx1"/>
            </w14:solidFill>
          </w14:textFill>
        </w:rPr>
        <w:t>/</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14:textFill>
            <w14:solidFill>
              <w14:schemeClr w14:val="tx1"/>
            </w14:solidFill>
          </w14:textFill>
        </w:rPr>
        <w:t>%；</w:t>
      </w:r>
    </w:p>
    <w:p w14:paraId="5C0AF12A">
      <w:pPr>
        <w:pStyle w:val="28"/>
        <w:spacing w:line="360" w:lineRule="auto"/>
        <w:rPr>
          <w:rFonts w:ascii="宋体" w:hAnsi="宋体"/>
          <w:iCs/>
          <w:color w:val="000000" w:themeColor="text1"/>
          <w14:textFill>
            <w14:solidFill>
              <w14:schemeClr w14:val="tx1"/>
            </w14:solidFill>
          </w14:textFill>
        </w:rPr>
      </w:pPr>
      <w:r>
        <w:rPr>
          <w:rFonts w:hint="eastAsia" w:ascii="宋体" w:hAnsi="宋体"/>
          <w:iCs/>
          <w:color w:val="000000" w:themeColor="text1"/>
          <w14:textFill>
            <w14:solidFill>
              <w14:schemeClr w14:val="tx1"/>
            </w14:solidFill>
          </w14:textFill>
        </w:rPr>
        <w:sym w:font="Wingdings" w:char="00FE"/>
      </w:r>
      <w:r>
        <w:rPr>
          <w:rFonts w:hint="eastAsia" w:ascii="宋体" w:hAnsi="宋体"/>
          <w:iCs/>
          <w:color w:val="000000" w:themeColor="text1"/>
          <w14:textFill>
            <w14:solidFill>
              <w14:schemeClr w14:val="tx1"/>
            </w14:solidFill>
          </w14:textFill>
        </w:rPr>
        <w:t>质量保证金：合同金额的</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u w:val="single"/>
          <w:lang w:val="en-US" w:eastAsia="zh-CN"/>
          <w14:textFill>
            <w14:solidFill>
              <w14:schemeClr w14:val="tx1"/>
            </w14:solidFill>
          </w14:textFill>
        </w:rPr>
        <w:t>3</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14:textFill>
            <w14:solidFill>
              <w14:schemeClr w14:val="tx1"/>
            </w14:solidFill>
          </w14:textFill>
        </w:rPr>
        <w:t>%。</w:t>
      </w:r>
    </w:p>
    <w:p w14:paraId="79991343">
      <w:pPr>
        <w:keepNext/>
        <w:keepLines/>
        <w:numPr>
          <w:ilvl w:val="0"/>
          <w:numId w:val="1"/>
        </w:numPr>
        <w:adjustRightInd w:val="0"/>
        <w:snapToGrid w:val="0"/>
        <w:spacing w:before="156" w:beforeLines="50" w:line="360" w:lineRule="auto"/>
        <w:outlineLvl w:val="1"/>
        <w:rPr>
          <w:rFonts w:hint="eastAsia" w:ascii="黑体" w:hAnsi="黑体" w:eastAsia="黑体"/>
          <w:b/>
          <w:bCs/>
          <w:color w:val="000000" w:themeColor="text1"/>
          <w:sz w:val="24"/>
          <w:szCs w:val="32"/>
          <w14:textFill>
            <w14:solidFill>
              <w14:schemeClr w14:val="tx1"/>
            </w14:solidFill>
          </w14:textFill>
        </w:rPr>
      </w:pPr>
      <w:bookmarkStart w:id="4" w:name="_Toc11386"/>
      <w:r>
        <w:rPr>
          <w:rFonts w:hint="eastAsia" w:ascii="黑体" w:hAnsi="黑体" w:eastAsia="黑体"/>
          <w:b/>
          <w:bCs/>
          <w:color w:val="000000" w:themeColor="text1"/>
          <w:sz w:val="24"/>
          <w:szCs w:val="32"/>
          <w14:textFill>
            <w14:solidFill>
              <w14:schemeClr w14:val="tx1"/>
            </w14:solidFill>
          </w14:textFill>
        </w:rPr>
        <w:t>采购</w:t>
      </w:r>
      <w:bookmarkEnd w:id="3"/>
      <w:r>
        <w:rPr>
          <w:rFonts w:hint="eastAsia" w:ascii="黑体" w:hAnsi="黑体" w:eastAsia="黑体"/>
          <w:b/>
          <w:bCs/>
          <w:color w:val="000000" w:themeColor="text1"/>
          <w:sz w:val="24"/>
          <w:szCs w:val="32"/>
          <w:lang w:eastAsia="zh-CN"/>
          <w14:textFill>
            <w14:solidFill>
              <w14:schemeClr w14:val="tx1"/>
            </w14:solidFill>
          </w14:textFill>
        </w:rPr>
        <w:t>目录：</w:t>
      </w:r>
      <w:bookmarkEnd w:id="4"/>
    </w:p>
    <w:tbl>
      <w:tblPr>
        <w:tblStyle w:val="23"/>
        <w:tblW w:w="9606"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4" w:space="0"/>
        </w:tblBorders>
        <w:tblLayout w:type="fixed"/>
        <w:tblCellMar>
          <w:top w:w="0" w:type="dxa"/>
          <w:left w:w="108" w:type="dxa"/>
          <w:bottom w:w="0" w:type="dxa"/>
          <w:right w:w="108" w:type="dxa"/>
        </w:tblCellMar>
      </w:tblPr>
      <w:tblGrid>
        <w:gridCol w:w="573"/>
        <w:gridCol w:w="1513"/>
        <w:gridCol w:w="1525"/>
        <w:gridCol w:w="1033"/>
        <w:gridCol w:w="484"/>
        <w:gridCol w:w="1607"/>
        <w:gridCol w:w="1453"/>
        <w:gridCol w:w="709"/>
        <w:gridCol w:w="709"/>
      </w:tblGrid>
      <w:tr w14:paraId="418B6241">
        <w:tblPrEx>
          <w:tblBorders>
            <w:top w:val="double" w:color="auto" w:sz="4" w:space="0"/>
            <w:left w:val="double" w:color="auto" w:sz="4" w:space="0"/>
            <w:bottom w:val="double" w:color="auto" w:sz="4" w:space="0"/>
            <w:right w:val="double" w:color="auto" w:sz="4" w:space="0"/>
            <w:insideH w:val="single" w:color="auto" w:sz="6" w:space="0"/>
            <w:insideV w:val="single" w:color="auto" w:sz="4" w:space="0"/>
          </w:tblBorders>
          <w:tblCellMar>
            <w:top w:w="0" w:type="dxa"/>
            <w:left w:w="108" w:type="dxa"/>
            <w:bottom w:w="0" w:type="dxa"/>
            <w:right w:w="108" w:type="dxa"/>
          </w:tblCellMar>
        </w:tblPrEx>
        <w:trPr>
          <w:cantSplit/>
          <w:trHeight w:val="1022" w:hRule="atLeast"/>
        </w:trPr>
        <w:tc>
          <w:tcPr>
            <w:tcW w:w="573" w:type="dxa"/>
            <w:tcBorders>
              <w:tl2br w:val="nil"/>
              <w:tr2bl w:val="nil"/>
            </w:tcBorders>
            <w:noWrap w:val="0"/>
            <w:vAlign w:val="center"/>
          </w:tcPr>
          <w:p w14:paraId="07C99756">
            <w:pPr>
              <w:adjustRightInd w:val="0"/>
              <w:snapToGrid w:val="0"/>
              <w:jc w:val="center"/>
              <w:rPr>
                <w:szCs w:val="21"/>
              </w:rPr>
            </w:pPr>
            <w:r>
              <w:rPr>
                <w:rFonts w:hint="eastAsia"/>
                <w:szCs w:val="21"/>
              </w:rPr>
              <w:t xml:space="preserve">包号 </w:t>
            </w:r>
          </w:p>
        </w:tc>
        <w:tc>
          <w:tcPr>
            <w:tcW w:w="1513" w:type="dxa"/>
            <w:tcBorders>
              <w:tl2br w:val="nil"/>
              <w:tr2bl w:val="nil"/>
            </w:tcBorders>
            <w:noWrap w:val="0"/>
            <w:vAlign w:val="center"/>
          </w:tcPr>
          <w:p w14:paraId="74065F49">
            <w:pPr>
              <w:adjustRightInd w:val="0"/>
              <w:snapToGrid w:val="0"/>
              <w:jc w:val="center"/>
              <w:rPr>
                <w:szCs w:val="21"/>
              </w:rPr>
            </w:pPr>
            <w:r>
              <w:rPr>
                <w:rFonts w:hint="eastAsia"/>
                <w:szCs w:val="21"/>
              </w:rPr>
              <w:t>包名称</w:t>
            </w:r>
          </w:p>
        </w:tc>
        <w:tc>
          <w:tcPr>
            <w:tcW w:w="1525" w:type="dxa"/>
            <w:tcBorders>
              <w:tl2br w:val="nil"/>
              <w:tr2bl w:val="nil"/>
            </w:tcBorders>
            <w:noWrap w:val="0"/>
            <w:vAlign w:val="center"/>
          </w:tcPr>
          <w:p w14:paraId="27F703DE">
            <w:pPr>
              <w:adjustRightInd w:val="0"/>
              <w:snapToGrid w:val="0"/>
              <w:jc w:val="center"/>
              <w:rPr>
                <w:szCs w:val="21"/>
              </w:rPr>
            </w:pPr>
            <w:r>
              <w:rPr>
                <w:rFonts w:hint="eastAsia"/>
                <w:szCs w:val="21"/>
              </w:rPr>
              <w:t>标的名称</w:t>
            </w:r>
          </w:p>
        </w:tc>
        <w:tc>
          <w:tcPr>
            <w:tcW w:w="1033" w:type="dxa"/>
            <w:tcBorders>
              <w:tl2br w:val="nil"/>
              <w:tr2bl w:val="nil"/>
            </w:tcBorders>
            <w:noWrap w:val="0"/>
            <w:vAlign w:val="center"/>
          </w:tcPr>
          <w:p w14:paraId="718EDF5C">
            <w:pPr>
              <w:adjustRightInd w:val="0"/>
              <w:snapToGrid w:val="0"/>
              <w:jc w:val="center"/>
              <w:rPr>
                <w:szCs w:val="21"/>
              </w:rPr>
            </w:pPr>
            <w:r>
              <w:rPr>
                <w:rFonts w:hint="eastAsia"/>
                <w:szCs w:val="21"/>
              </w:rPr>
              <w:t>简要技术要求</w:t>
            </w:r>
          </w:p>
        </w:tc>
        <w:tc>
          <w:tcPr>
            <w:tcW w:w="484" w:type="dxa"/>
            <w:tcBorders>
              <w:tl2br w:val="nil"/>
              <w:tr2bl w:val="nil"/>
            </w:tcBorders>
            <w:noWrap w:val="0"/>
            <w:vAlign w:val="center"/>
          </w:tcPr>
          <w:p w14:paraId="18D7777C">
            <w:pPr>
              <w:adjustRightInd w:val="0"/>
              <w:snapToGrid w:val="0"/>
              <w:jc w:val="center"/>
              <w:rPr>
                <w:rFonts w:ascii="宋体" w:hAnsi="宋体" w:cs="宋体"/>
                <w:kern w:val="0"/>
                <w:szCs w:val="21"/>
              </w:rPr>
            </w:pPr>
            <w:r>
              <w:rPr>
                <w:rFonts w:hint="eastAsia"/>
                <w:szCs w:val="21"/>
              </w:rPr>
              <w:t>数量</w:t>
            </w:r>
          </w:p>
        </w:tc>
        <w:tc>
          <w:tcPr>
            <w:tcW w:w="1607" w:type="dxa"/>
            <w:tcBorders>
              <w:tl2br w:val="nil"/>
              <w:tr2bl w:val="nil"/>
            </w:tcBorders>
            <w:noWrap w:val="0"/>
            <w:vAlign w:val="center"/>
          </w:tcPr>
          <w:p w14:paraId="1EA4255B">
            <w:pPr>
              <w:adjustRightInd w:val="0"/>
              <w:snapToGrid w:val="0"/>
              <w:jc w:val="center"/>
              <w:rPr>
                <w:szCs w:val="21"/>
              </w:rPr>
            </w:pPr>
            <w:r>
              <w:rPr>
                <w:rFonts w:hint="eastAsia"/>
                <w:szCs w:val="21"/>
              </w:rPr>
              <w:t>标的预算</w:t>
            </w:r>
          </w:p>
        </w:tc>
        <w:tc>
          <w:tcPr>
            <w:tcW w:w="1453" w:type="dxa"/>
            <w:tcBorders>
              <w:tl2br w:val="nil"/>
              <w:tr2bl w:val="nil"/>
            </w:tcBorders>
            <w:noWrap w:val="0"/>
            <w:vAlign w:val="center"/>
          </w:tcPr>
          <w:p w14:paraId="1DC71BD4">
            <w:pPr>
              <w:adjustRightInd w:val="0"/>
              <w:snapToGrid w:val="0"/>
              <w:jc w:val="center"/>
              <w:rPr>
                <w:szCs w:val="21"/>
              </w:rPr>
            </w:pPr>
            <w:r>
              <w:rPr>
                <w:rFonts w:hint="eastAsia"/>
                <w:szCs w:val="21"/>
              </w:rPr>
              <w:t>最高限价</w:t>
            </w:r>
          </w:p>
        </w:tc>
        <w:tc>
          <w:tcPr>
            <w:tcW w:w="709" w:type="dxa"/>
            <w:tcBorders>
              <w:tl2br w:val="nil"/>
              <w:tr2bl w:val="nil"/>
            </w:tcBorders>
            <w:noWrap w:val="0"/>
            <w:vAlign w:val="center"/>
          </w:tcPr>
          <w:p w14:paraId="676AD33C">
            <w:pPr>
              <w:adjustRightInd w:val="0"/>
              <w:snapToGrid w:val="0"/>
              <w:jc w:val="center"/>
              <w:rPr>
                <w:szCs w:val="21"/>
              </w:rPr>
            </w:pPr>
            <w:r>
              <w:rPr>
                <w:rFonts w:hint="eastAsia"/>
                <w:szCs w:val="21"/>
              </w:rPr>
              <w:t>节能产品</w:t>
            </w:r>
          </w:p>
        </w:tc>
        <w:tc>
          <w:tcPr>
            <w:tcW w:w="709" w:type="dxa"/>
            <w:tcBorders>
              <w:tl2br w:val="nil"/>
              <w:tr2bl w:val="nil"/>
            </w:tcBorders>
            <w:noWrap w:val="0"/>
            <w:vAlign w:val="center"/>
          </w:tcPr>
          <w:p w14:paraId="13BE980E">
            <w:pPr>
              <w:adjustRightInd w:val="0"/>
              <w:snapToGrid w:val="0"/>
              <w:jc w:val="center"/>
              <w:rPr>
                <w:szCs w:val="21"/>
              </w:rPr>
            </w:pPr>
            <w:r>
              <w:rPr>
                <w:rFonts w:hint="eastAsia"/>
                <w:szCs w:val="21"/>
              </w:rPr>
              <w:t>进口产品</w:t>
            </w:r>
          </w:p>
        </w:tc>
      </w:tr>
      <w:tr w14:paraId="23995D52">
        <w:tblPrEx>
          <w:tblBorders>
            <w:top w:val="double" w:color="auto" w:sz="4" w:space="0"/>
            <w:left w:val="double" w:color="auto" w:sz="4" w:space="0"/>
            <w:bottom w:val="double" w:color="auto" w:sz="4" w:space="0"/>
            <w:right w:val="double" w:color="auto" w:sz="4" w:space="0"/>
            <w:insideH w:val="single" w:color="auto" w:sz="6" w:space="0"/>
            <w:insideV w:val="single" w:color="auto" w:sz="4" w:space="0"/>
          </w:tblBorders>
          <w:tblCellMar>
            <w:top w:w="0" w:type="dxa"/>
            <w:left w:w="108" w:type="dxa"/>
            <w:bottom w:w="0" w:type="dxa"/>
            <w:right w:w="108" w:type="dxa"/>
          </w:tblCellMar>
        </w:tblPrEx>
        <w:trPr>
          <w:cantSplit/>
          <w:trHeight w:val="1358" w:hRule="atLeast"/>
        </w:trPr>
        <w:tc>
          <w:tcPr>
            <w:tcW w:w="573" w:type="dxa"/>
            <w:tcBorders>
              <w:tl2br w:val="nil"/>
              <w:tr2bl w:val="nil"/>
            </w:tcBorders>
            <w:noWrap w:val="0"/>
            <w:vAlign w:val="center"/>
          </w:tcPr>
          <w:p w14:paraId="56A61213">
            <w:pPr>
              <w:adjustRightInd w:val="0"/>
              <w:snapToGrid w:val="0"/>
              <w:spacing w:beforeLines="50" w:line="360" w:lineRule="auto"/>
              <w:jc w:val="center"/>
              <w:rPr>
                <w:szCs w:val="21"/>
              </w:rPr>
            </w:pPr>
            <w:r>
              <w:rPr>
                <w:rFonts w:hint="eastAsia"/>
                <w:szCs w:val="21"/>
              </w:rPr>
              <w:t>1</w:t>
            </w:r>
          </w:p>
        </w:tc>
        <w:tc>
          <w:tcPr>
            <w:tcW w:w="1513" w:type="dxa"/>
            <w:tcBorders>
              <w:tl2br w:val="nil"/>
              <w:tr2bl w:val="nil"/>
            </w:tcBorders>
            <w:noWrap w:val="0"/>
            <w:vAlign w:val="center"/>
          </w:tcPr>
          <w:p w14:paraId="15C4B26A">
            <w:pPr>
              <w:adjustRightInd w:val="0"/>
              <w:snapToGrid w:val="0"/>
              <w:jc w:val="center"/>
              <w:rPr>
                <w:rFonts w:hint="eastAsia"/>
                <w:szCs w:val="21"/>
                <w:lang w:eastAsia="zh-CN"/>
              </w:rPr>
            </w:pPr>
            <w:r>
              <w:rPr>
                <w:rFonts w:hint="eastAsia"/>
                <w:szCs w:val="21"/>
                <w:lang w:eastAsia="zh-CN"/>
              </w:rPr>
              <w:t>怀化市鹤城区城市建设投资有限公司(区执法局充电桩)配电工程（第三次）</w:t>
            </w:r>
          </w:p>
        </w:tc>
        <w:tc>
          <w:tcPr>
            <w:tcW w:w="1525" w:type="dxa"/>
            <w:tcBorders>
              <w:tl2br w:val="nil"/>
              <w:tr2bl w:val="nil"/>
            </w:tcBorders>
            <w:noWrap w:val="0"/>
            <w:vAlign w:val="center"/>
          </w:tcPr>
          <w:p w14:paraId="33ED63E5">
            <w:pPr>
              <w:adjustRightInd w:val="0"/>
              <w:snapToGrid w:val="0"/>
              <w:jc w:val="center"/>
              <w:rPr>
                <w:rFonts w:hint="eastAsia"/>
                <w:color w:val="auto"/>
                <w:szCs w:val="21"/>
                <w:lang w:eastAsia="zh-CN"/>
              </w:rPr>
            </w:pPr>
            <w:r>
              <w:rPr>
                <w:rFonts w:hint="eastAsia"/>
                <w:color w:val="auto"/>
                <w:szCs w:val="21"/>
                <w:lang w:eastAsia="zh-CN"/>
              </w:rPr>
              <w:t>怀化市鹤城区城市建设投资有限公司(区执法局充电桩)配电工程（第三次）</w:t>
            </w:r>
          </w:p>
        </w:tc>
        <w:tc>
          <w:tcPr>
            <w:tcW w:w="1033" w:type="dxa"/>
            <w:tcBorders>
              <w:tl2br w:val="nil"/>
              <w:tr2bl w:val="nil"/>
            </w:tcBorders>
            <w:noWrap w:val="0"/>
            <w:vAlign w:val="center"/>
          </w:tcPr>
          <w:p w14:paraId="097F897B">
            <w:pPr>
              <w:adjustRightInd w:val="0"/>
              <w:snapToGrid w:val="0"/>
              <w:spacing w:beforeLines="50" w:line="360" w:lineRule="auto"/>
              <w:jc w:val="center"/>
              <w:rPr>
                <w:rFonts w:hint="eastAsia"/>
                <w:color w:val="auto"/>
                <w:szCs w:val="21"/>
              </w:rPr>
            </w:pPr>
            <w:r>
              <w:rPr>
                <w:rFonts w:hint="eastAsia"/>
                <w:color w:val="auto"/>
                <w:szCs w:val="21"/>
                <w:highlight w:val="none"/>
              </w:rPr>
              <w:t>详见</w:t>
            </w:r>
            <w:r>
              <w:rPr>
                <w:rFonts w:hint="eastAsia"/>
                <w:color w:val="auto"/>
                <w:szCs w:val="21"/>
                <w:highlight w:val="none"/>
                <w:lang w:val="en-US" w:eastAsia="zh-CN"/>
              </w:rPr>
              <w:t>谈判</w:t>
            </w:r>
            <w:r>
              <w:rPr>
                <w:rFonts w:hint="eastAsia"/>
                <w:color w:val="auto"/>
                <w:szCs w:val="21"/>
                <w:highlight w:val="none"/>
              </w:rPr>
              <w:t>文</w:t>
            </w:r>
            <w:r>
              <w:rPr>
                <w:rFonts w:hint="eastAsia"/>
                <w:color w:val="auto"/>
                <w:szCs w:val="21"/>
              </w:rPr>
              <w:t>件</w:t>
            </w:r>
          </w:p>
        </w:tc>
        <w:tc>
          <w:tcPr>
            <w:tcW w:w="484" w:type="dxa"/>
            <w:tcBorders>
              <w:tl2br w:val="nil"/>
              <w:tr2bl w:val="nil"/>
            </w:tcBorders>
            <w:noWrap w:val="0"/>
            <w:vAlign w:val="center"/>
          </w:tcPr>
          <w:p w14:paraId="1453E40F">
            <w:pPr>
              <w:adjustRightInd w:val="0"/>
              <w:snapToGrid w:val="0"/>
              <w:spacing w:beforeLines="50" w:line="360" w:lineRule="auto"/>
              <w:jc w:val="center"/>
              <w:rPr>
                <w:rFonts w:hint="default" w:eastAsia="宋体"/>
                <w:color w:val="auto"/>
                <w:szCs w:val="21"/>
                <w:lang w:val="en-US" w:eastAsia="zh-CN"/>
              </w:rPr>
            </w:pPr>
            <w:r>
              <w:rPr>
                <w:rFonts w:hint="eastAsia"/>
                <w:color w:val="auto"/>
                <w:szCs w:val="21"/>
                <w:lang w:val="en-US" w:eastAsia="zh-CN"/>
              </w:rPr>
              <w:t>1</w:t>
            </w:r>
          </w:p>
        </w:tc>
        <w:tc>
          <w:tcPr>
            <w:tcW w:w="1607" w:type="dxa"/>
            <w:tcBorders>
              <w:tl2br w:val="nil"/>
              <w:tr2bl w:val="nil"/>
            </w:tcBorders>
            <w:noWrap w:val="0"/>
            <w:vAlign w:val="center"/>
          </w:tcPr>
          <w:p w14:paraId="2C3C9A12">
            <w:pPr>
              <w:adjustRightInd w:val="0"/>
              <w:snapToGrid w:val="0"/>
              <w:jc w:val="center"/>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551135.85元</w:t>
            </w:r>
          </w:p>
        </w:tc>
        <w:tc>
          <w:tcPr>
            <w:tcW w:w="1453" w:type="dxa"/>
            <w:tcBorders>
              <w:tl2br w:val="nil"/>
              <w:tr2bl w:val="nil"/>
            </w:tcBorders>
            <w:noWrap w:val="0"/>
            <w:vAlign w:val="center"/>
          </w:tcPr>
          <w:p w14:paraId="6FD2CBB6">
            <w:pPr>
              <w:adjustRightInd w:val="0"/>
              <w:snapToGrid w:val="0"/>
              <w:jc w:val="center"/>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lang w:val="en-US" w:eastAsia="zh-CN"/>
              </w:rPr>
              <w:t>551135.85元</w:t>
            </w:r>
          </w:p>
        </w:tc>
        <w:tc>
          <w:tcPr>
            <w:tcW w:w="709" w:type="dxa"/>
            <w:tcBorders>
              <w:tl2br w:val="nil"/>
              <w:tr2bl w:val="nil"/>
            </w:tcBorders>
            <w:noWrap w:val="0"/>
            <w:vAlign w:val="center"/>
          </w:tcPr>
          <w:p w14:paraId="4DF2652A">
            <w:pPr>
              <w:adjustRightInd w:val="0"/>
              <w:snapToGrid w:val="0"/>
              <w:spacing w:beforeLines="50" w:line="360" w:lineRule="auto"/>
              <w:jc w:val="center"/>
              <w:rPr>
                <w:szCs w:val="21"/>
              </w:rPr>
            </w:pPr>
            <w:r>
              <w:rPr>
                <w:rFonts w:hint="eastAsia" w:ascii="宋体" w:hAnsi="宋体"/>
                <w:iCs/>
                <w:szCs w:val="21"/>
              </w:rPr>
              <w:t>/</w:t>
            </w:r>
          </w:p>
        </w:tc>
        <w:tc>
          <w:tcPr>
            <w:tcW w:w="709" w:type="dxa"/>
            <w:tcBorders>
              <w:tl2br w:val="nil"/>
              <w:tr2bl w:val="nil"/>
            </w:tcBorders>
            <w:noWrap w:val="0"/>
            <w:vAlign w:val="center"/>
          </w:tcPr>
          <w:p w14:paraId="27B3C335">
            <w:pPr>
              <w:adjustRightInd w:val="0"/>
              <w:snapToGrid w:val="0"/>
              <w:spacing w:beforeLines="50" w:line="360" w:lineRule="auto"/>
              <w:jc w:val="center"/>
              <w:rPr>
                <w:szCs w:val="21"/>
              </w:rPr>
            </w:pPr>
            <w:r>
              <w:rPr>
                <w:rFonts w:hint="eastAsia" w:ascii="宋体" w:hAnsi="宋体"/>
                <w:iCs/>
                <w:szCs w:val="21"/>
              </w:rPr>
              <w:t>/</w:t>
            </w:r>
          </w:p>
        </w:tc>
      </w:tr>
    </w:tbl>
    <w:p w14:paraId="0711471C">
      <w:pPr>
        <w:adjustRightInd w:val="0"/>
        <w:snapToGrid w:val="0"/>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说明：</w:t>
      </w:r>
    </w:p>
    <w:p w14:paraId="2772D986">
      <w:pPr>
        <w:adjustRightInd w:val="0"/>
        <w:snapToGrid w:val="0"/>
        <w:spacing w:line="360" w:lineRule="auto"/>
        <w:ind w:firstLine="420" w:firstLineChars="200"/>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.节能产品实行强制采购的，需提供国家认证机构出具的、处于有效期内的节能产品证书。</w:t>
      </w:r>
    </w:p>
    <w:p w14:paraId="04EAD043">
      <w:pPr>
        <w:keepNext/>
        <w:keepLines/>
        <w:adjustRightInd w:val="0"/>
        <w:snapToGrid w:val="0"/>
        <w:spacing w:line="360" w:lineRule="auto"/>
        <w:ind w:firstLine="420" w:firstLineChars="200"/>
        <w:outlineLvl w:val="1"/>
        <w:rPr>
          <w:rFonts w:hint="eastAsia" w:ascii="宋体" w:hAnsi="宋体" w:cs="宋体"/>
          <w:szCs w:val="21"/>
          <w:lang w:val="en-US" w:eastAsia="zh-CN"/>
        </w:rPr>
      </w:pPr>
      <w:bookmarkStart w:id="5" w:name="_Toc3907"/>
      <w:r>
        <w:rPr>
          <w:rFonts w:hint="eastAsia" w:ascii="宋体" w:hAnsi="宋体" w:cs="宋体"/>
          <w:szCs w:val="21"/>
          <w:lang w:val="en-US" w:eastAsia="zh-CN"/>
        </w:rPr>
        <w:t>2.本项目</w:t>
      </w:r>
      <w:r>
        <w:rPr>
          <w:rFonts w:hint="eastAsia" w:ascii="宋体" w:hAnsi="宋体" w:cs="宋体"/>
          <w:b/>
          <w:bCs/>
          <w:szCs w:val="21"/>
          <w:u w:val="single"/>
          <w:lang w:val="en-US" w:eastAsia="zh-CN"/>
        </w:rPr>
        <w:t>拒绝</w:t>
      </w:r>
      <w:r>
        <w:rPr>
          <w:rFonts w:hint="eastAsia" w:ascii="宋体" w:hAnsi="宋体" w:cs="宋体"/>
          <w:szCs w:val="21"/>
          <w:lang w:val="en-US" w:eastAsia="zh-CN"/>
        </w:rPr>
        <w:t>进口产品。</w:t>
      </w:r>
    </w:p>
    <w:p w14:paraId="295142BB">
      <w:pPr>
        <w:keepNext/>
        <w:keepLines/>
        <w:adjustRightInd w:val="0"/>
        <w:snapToGrid w:val="0"/>
        <w:spacing w:line="360" w:lineRule="auto"/>
        <w:outlineLvl w:val="1"/>
        <w:rPr>
          <w:rFonts w:ascii="黑体" w:hAnsi="黑体" w:eastAsia="黑体"/>
          <w:b/>
          <w:bCs/>
          <w:color w:val="000000" w:themeColor="text1"/>
          <w:sz w:val="24"/>
          <w:szCs w:val="32"/>
          <w14:textFill>
            <w14:solidFill>
              <w14:schemeClr w14:val="tx1"/>
            </w14:solidFill>
          </w14:textFill>
        </w:rPr>
      </w:pPr>
      <w:r>
        <w:rPr>
          <w:rFonts w:hint="eastAsia" w:ascii="黑体" w:hAnsi="黑体" w:eastAsia="黑体"/>
          <w:b/>
          <w:bCs/>
          <w:color w:val="000000" w:themeColor="text1"/>
          <w:sz w:val="24"/>
          <w:szCs w:val="32"/>
          <w14:textFill>
            <w14:solidFill>
              <w14:schemeClr w14:val="tx1"/>
            </w14:solidFill>
          </w14:textFill>
        </w:rPr>
        <w:t>三、采购项目需落实的政府采购政策</w:t>
      </w:r>
      <w:bookmarkEnd w:id="5"/>
    </w:p>
    <w:p w14:paraId="245E9CB0">
      <w:pPr>
        <w:adjustRightInd w:val="0"/>
        <w:snapToGrid w:val="0"/>
        <w:spacing w:line="360" w:lineRule="auto"/>
        <w:ind w:firstLine="420" w:firstLineChars="200"/>
        <w:rPr>
          <w:rFonts w:hint="eastAsia" w:ascii="宋体" w:hAnsi="宋体"/>
          <w:szCs w:val="21"/>
        </w:rPr>
      </w:pPr>
      <w:bookmarkStart w:id="6" w:name="_Toc35393799"/>
      <w:bookmarkStart w:id="7" w:name="_Toc35393630"/>
      <w:bookmarkStart w:id="8" w:name="_Toc28359090"/>
      <w:bookmarkStart w:id="9" w:name="_Toc107997941"/>
      <w:bookmarkStart w:id="10" w:name="_Toc28359013"/>
      <w:bookmarkStart w:id="11" w:name="_Toc62225405"/>
      <w:r>
        <w:rPr>
          <w:rFonts w:hint="eastAsia" w:ascii="宋体" w:hAnsi="宋体"/>
          <w:szCs w:val="21"/>
        </w:rPr>
        <w:t>1、优先采购：节能产品、环境标志产品享受加分或价格折扣。</w:t>
      </w:r>
    </w:p>
    <w:p w14:paraId="6989107C">
      <w:pPr>
        <w:adjustRightInd w:val="0"/>
        <w:snapToGrid w:val="0"/>
        <w:spacing w:line="360" w:lineRule="auto"/>
        <w:ind w:firstLine="420" w:firstLineChars="200"/>
        <w:rPr>
          <w:rFonts w:hint="eastAsia" w:ascii="宋体" w:hAnsi="宋体"/>
          <w:szCs w:val="21"/>
        </w:rPr>
      </w:pPr>
      <w:r>
        <w:rPr>
          <w:rFonts w:hint="eastAsia" w:ascii="宋体" w:hAnsi="宋体"/>
          <w:szCs w:val="21"/>
        </w:rPr>
        <w:t>2、支持中小企业：中小企业享受预留采购份额或价格折扣。</w:t>
      </w:r>
    </w:p>
    <w:p w14:paraId="66A659E3">
      <w:pPr>
        <w:adjustRightInd w:val="0"/>
        <w:snapToGrid w:val="0"/>
        <w:spacing w:line="360" w:lineRule="auto"/>
        <w:rPr>
          <w:rFonts w:hint="eastAsia" w:ascii="黑体" w:hAnsi="黑体" w:eastAsia="黑体"/>
          <w:b/>
          <w:bCs/>
          <w:color w:val="000000" w:themeColor="text1"/>
          <w:sz w:val="24"/>
          <w:szCs w:val="32"/>
          <w14:textFill>
            <w14:solidFill>
              <w14:schemeClr w14:val="tx1"/>
            </w14:solidFill>
          </w14:textFill>
        </w:rPr>
      </w:pPr>
      <w:r>
        <w:rPr>
          <w:rFonts w:hint="eastAsia" w:ascii="黑体" w:hAnsi="黑体" w:eastAsia="黑体"/>
          <w:b/>
          <w:bCs/>
          <w:color w:val="000000" w:themeColor="text1"/>
          <w:sz w:val="24"/>
          <w:szCs w:val="32"/>
          <w14:textFill>
            <w14:solidFill>
              <w14:schemeClr w14:val="tx1"/>
            </w14:solidFill>
          </w14:textFill>
        </w:rPr>
        <w:t>四、供应商的资格要求</w:t>
      </w:r>
      <w:bookmarkEnd w:id="6"/>
      <w:bookmarkEnd w:id="7"/>
      <w:bookmarkEnd w:id="8"/>
      <w:bookmarkEnd w:id="9"/>
      <w:bookmarkEnd w:id="10"/>
      <w:bookmarkEnd w:id="11"/>
    </w:p>
    <w:p w14:paraId="5A1218CE">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1、满足《中华人民共和国政府采购法》第二十二条规定；</w:t>
      </w:r>
    </w:p>
    <w:p w14:paraId="1D3BE060">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2、落实政府采购政策需满足的资格要求：</w:t>
      </w:r>
    </w:p>
    <w:p w14:paraId="108AB73A">
      <w:pPr>
        <w:adjustRightInd w:val="0"/>
        <w:snapToGrid w:val="0"/>
        <w:spacing w:line="360" w:lineRule="auto"/>
        <w:ind w:firstLine="630" w:firstLineChars="300"/>
        <w:rPr>
          <w:rFonts w:ascii="宋体" w:hAnsi="宋体"/>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专门面向</w:t>
      </w:r>
      <w:r>
        <w:rPr>
          <w:rFonts w:hint="eastAsia" w:ascii="宋体" w:hAnsi="宋体"/>
          <w:bCs/>
          <w:color w:val="000000" w:themeColor="text1"/>
          <w:szCs w:val="21"/>
          <w:highlight w:val="none"/>
          <w14:textFill>
            <w14:solidFill>
              <w14:schemeClr w14:val="tx1"/>
            </w14:solidFill>
          </w14:textFill>
        </w:rPr>
        <w:t>：</w:t>
      </w:r>
      <w:r>
        <w:rPr>
          <w:rFonts w:hint="eastAsia" w:ascii="宋体" w:hAnsi="宋体"/>
          <w:iCs/>
          <w:color w:val="000000" w:themeColor="text1"/>
          <w:szCs w:val="21"/>
          <w:highlight w:val="none"/>
          <w14:textFill>
            <w14:solidFill>
              <w14:schemeClr w14:val="tx1"/>
            </w14:solidFill>
          </w14:textFill>
        </w:rPr>
        <w:sym w:font="Wingdings" w:char="00A8"/>
      </w:r>
      <w:r>
        <w:rPr>
          <w:rFonts w:hint="eastAsia" w:ascii="宋体" w:hAnsi="宋体"/>
          <w:iCs/>
          <w:color w:val="000000" w:themeColor="text1"/>
          <w:szCs w:val="21"/>
          <w:highlight w:val="none"/>
          <w14:textFill>
            <w14:solidFill>
              <w14:schemeClr w14:val="tx1"/>
            </w14:solidFill>
          </w14:textFill>
        </w:rPr>
        <w:t xml:space="preserve">中小企业  </w:t>
      </w: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 xml:space="preserve">小微企业 </w:t>
      </w: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 xml:space="preserve">监狱企业 </w:t>
      </w: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福利性单位。</w:t>
      </w:r>
    </w:p>
    <w:p w14:paraId="00A229BF">
      <w:pPr>
        <w:adjustRightInd w:val="0"/>
        <w:snapToGrid w:val="0"/>
        <w:spacing w:line="360" w:lineRule="auto"/>
        <w:ind w:firstLine="630" w:firstLineChars="300"/>
        <w:rPr>
          <w:rFonts w:ascii="宋体" w:hAnsi="宋体"/>
          <w:bCs/>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强制</w:t>
      </w:r>
      <w:r>
        <w:rPr>
          <w:rFonts w:hint="eastAsia" w:ascii="宋体" w:hAnsi="宋体"/>
          <w:bCs/>
          <w:color w:val="000000" w:themeColor="text1"/>
          <w:szCs w:val="21"/>
          <w14:textFill>
            <w14:solidFill>
              <w14:schemeClr w14:val="tx1"/>
            </w14:solidFill>
          </w14:textFill>
        </w:rPr>
        <w:t>分包：大型企业应将采购份额的</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u w:val="single"/>
          <w:lang w:val="en-US" w:eastAsia="zh-CN"/>
          <w14:textFill>
            <w14:solidFill>
              <w14:schemeClr w14:val="tx1"/>
            </w14:solidFill>
          </w14:textFill>
        </w:rPr>
        <w:t>/</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%分包给中小企业。</w:t>
      </w:r>
    </w:p>
    <w:p w14:paraId="4FFA4950">
      <w:pPr>
        <w:keepNext w:val="0"/>
        <w:keepLines w:val="0"/>
        <w:pageBreakBefore w:val="0"/>
        <w:numPr>
          <w:ilvl w:val="0"/>
          <w:numId w:val="0"/>
        </w:numPr>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color w:val="000000" w:themeColor="text1"/>
          <w:szCs w:val="21"/>
          <w:lang w:val="en-US" w:eastAsia="zh-CN"/>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3、</w:t>
      </w:r>
      <w:r>
        <w:rPr>
          <w:rFonts w:hint="eastAsia" w:ascii="宋体" w:hAnsi="宋体"/>
          <w:color w:val="000000" w:themeColor="text1"/>
          <w:szCs w:val="21"/>
          <w14:textFill>
            <w14:solidFill>
              <w14:schemeClr w14:val="tx1"/>
            </w14:solidFill>
          </w14:textFill>
        </w:rPr>
        <w:t>本项目的特定资格要求</w:t>
      </w:r>
      <w:r>
        <w:rPr>
          <w:rFonts w:hint="eastAsia" w:ascii="宋体" w:hAnsi="宋体"/>
          <w:color w:val="000000" w:themeColor="text1"/>
          <w:szCs w:val="21"/>
          <w:lang w:val="en-US" w:eastAsia="zh-CN"/>
          <w14:textFill>
            <w14:solidFill>
              <w14:schemeClr w14:val="tx1"/>
            </w14:solidFill>
          </w14:textFill>
        </w:rPr>
        <w:t>：</w:t>
      </w:r>
    </w:p>
    <w:p w14:paraId="486EB16D">
      <w:pPr>
        <w:keepNext w:val="0"/>
        <w:keepLines w:val="0"/>
        <w:pageBreakBefore w:val="0"/>
        <w:widowControl/>
        <w:suppressLineNumbers w:val="0"/>
        <w:kinsoku/>
        <w:wordWrap/>
        <w:overflowPunct/>
        <w:topLinePunct w:val="0"/>
        <w:autoSpaceDE/>
        <w:autoSpaceDN/>
        <w:bidi w:val="0"/>
        <w:adjustRightInd/>
        <w:snapToGrid/>
        <w:spacing w:before="50" w:beforeAutospacing="0" w:after="100" w:afterAutospacing="0" w:line="300" w:lineRule="exact"/>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bookmarkStart w:id="12" w:name="_Toc22201058"/>
      <w:bookmarkStart w:id="13" w:name="_Toc5338"/>
      <w:r>
        <w:rPr>
          <w:rFonts w:hint="eastAsia" w:ascii="宋体" w:hAnsi="宋体" w:eastAsia="宋体" w:cs="宋体"/>
          <w:i w:val="0"/>
          <w:iCs w:val="0"/>
          <w:caps w:val="0"/>
          <w:color w:val="000000"/>
          <w:spacing w:val="0"/>
          <w:kern w:val="0"/>
          <w:sz w:val="21"/>
          <w:szCs w:val="21"/>
          <w:lang w:val="en-US" w:eastAsia="zh-CN" w:bidi="ar"/>
        </w:rPr>
        <w:t>（1）湖南省外企业须办理省外入湘企业基本情况登记（以湖南省住房和城乡建设网查询为准）或具有入湘施工登记证（有效期内）。</w:t>
      </w:r>
    </w:p>
    <w:p w14:paraId="75798291">
      <w:pPr>
        <w:keepNext w:val="0"/>
        <w:keepLines w:val="0"/>
        <w:pageBreakBefore w:val="0"/>
        <w:widowControl/>
        <w:suppressLineNumbers w:val="0"/>
        <w:kinsoku/>
        <w:wordWrap/>
        <w:overflowPunct/>
        <w:topLinePunct w:val="0"/>
        <w:autoSpaceDE/>
        <w:autoSpaceDN/>
        <w:bidi w:val="0"/>
        <w:adjustRightInd/>
        <w:snapToGrid/>
        <w:spacing w:before="50" w:beforeAutospacing="0" w:after="100" w:afterAutospacing="0" w:line="300" w:lineRule="exact"/>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（2）供应商须具备建设行政主管部门颁发的电力工程施工总承包三级及以上资质（安全生产许可证处于有效期），且电力承装(修、试)三级及以上资质 并《安全生产许可证》（处于有效期），并在人员、设备、资金等方面具备相应的施工能力。</w:t>
      </w:r>
    </w:p>
    <w:p w14:paraId="0F10A1D3">
      <w:pPr>
        <w:keepNext w:val="0"/>
        <w:keepLines w:val="0"/>
        <w:pageBreakBefore w:val="0"/>
        <w:widowControl/>
        <w:suppressLineNumbers w:val="0"/>
        <w:kinsoku/>
        <w:wordWrap/>
        <w:overflowPunct/>
        <w:topLinePunct w:val="0"/>
        <w:autoSpaceDE/>
        <w:autoSpaceDN/>
        <w:bidi w:val="0"/>
        <w:adjustRightInd/>
        <w:snapToGrid/>
        <w:spacing w:before="50" w:beforeAutospacing="0" w:after="100" w:afterAutospacing="0" w:line="300" w:lineRule="exact"/>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 xml:space="preserve">（3）拟任项目负责人须具备机电工程专业二级及以上注册建造师执业资格，项目负责人须具备B类安全生产考核合格证书,提供无在建承诺书。 </w:t>
      </w:r>
    </w:p>
    <w:p w14:paraId="00947036">
      <w:pPr>
        <w:keepNext w:val="0"/>
        <w:keepLines w:val="0"/>
        <w:pageBreakBefore w:val="0"/>
        <w:widowControl/>
        <w:suppressLineNumbers w:val="0"/>
        <w:kinsoku/>
        <w:wordWrap/>
        <w:overflowPunct/>
        <w:topLinePunct w:val="0"/>
        <w:autoSpaceDE/>
        <w:autoSpaceDN/>
        <w:bidi w:val="0"/>
        <w:adjustRightInd/>
        <w:snapToGrid/>
        <w:spacing w:before="50" w:beforeAutospacing="0" w:after="100" w:afterAutospacing="0" w:line="300" w:lineRule="exact"/>
        <w:ind w:left="0" w:right="0" w:firstLine="420"/>
        <w:jc w:val="left"/>
        <w:textAlignment w:val="auto"/>
        <w:rPr>
          <w:rFonts w:hint="default"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（4）项目其他关键岗位人员，可承诺（格式自拟）中标后施工项目部关键岗位人员按《湖南省建设工程施工项目部和现场监理部关键岗位人员配备管理办法》（湘建建〔2020〕208 号）要求配备。</w:t>
      </w:r>
    </w:p>
    <w:p w14:paraId="718DB57E">
      <w:pPr>
        <w:keepNext w:val="0"/>
        <w:keepLines w:val="0"/>
        <w:pageBreakBefore w:val="0"/>
        <w:widowControl/>
        <w:suppressLineNumbers w:val="0"/>
        <w:kinsoku/>
        <w:wordWrap/>
        <w:overflowPunct/>
        <w:topLinePunct w:val="0"/>
        <w:autoSpaceDE/>
        <w:autoSpaceDN/>
        <w:bidi w:val="0"/>
        <w:adjustRightInd/>
        <w:snapToGrid/>
        <w:spacing w:before="50" w:beforeAutospacing="0" w:after="100" w:afterAutospacing="0" w:line="300" w:lineRule="exact"/>
        <w:ind w:left="0" w:right="0" w:firstLine="420"/>
        <w:jc w:val="left"/>
        <w:textAlignment w:val="auto"/>
        <w:rPr>
          <w:rFonts w:hint="eastAsia" w:ascii="微软雅黑" w:hAnsi="微软雅黑" w:eastAsia="微软雅黑" w:cs="微软雅黑"/>
          <w:i w:val="0"/>
          <w:iCs w:val="0"/>
          <w:caps w:val="0"/>
          <w:color w:val="000000"/>
          <w:spacing w:val="0"/>
          <w:sz w:val="27"/>
          <w:szCs w:val="27"/>
        </w:rPr>
      </w:pPr>
      <w:r>
        <w:rPr>
          <w:rFonts w:hint="eastAsia" w:ascii="宋体" w:hAnsi="宋体" w:eastAsia="宋体" w:cs="宋体"/>
          <w:i w:val="0"/>
          <w:iCs w:val="0"/>
          <w:caps w:val="0"/>
          <w:color w:val="000000"/>
          <w:spacing w:val="0"/>
          <w:kern w:val="0"/>
          <w:sz w:val="21"/>
          <w:szCs w:val="21"/>
          <w:lang w:val="en-US" w:eastAsia="zh-CN" w:bidi="ar"/>
        </w:rPr>
        <w:t>4、单位负责人为同一人或者存在直接控股、管理关系的不同供应商，不得参加同一合同项下的政府采购活动。</w:t>
      </w:r>
    </w:p>
    <w:p w14:paraId="460126FA">
      <w:pPr>
        <w:keepNext w:val="0"/>
        <w:keepLines w:val="0"/>
        <w:pageBreakBefore w:val="0"/>
        <w:widowControl/>
        <w:suppressLineNumbers w:val="0"/>
        <w:kinsoku/>
        <w:wordWrap/>
        <w:overflowPunct/>
        <w:topLinePunct w:val="0"/>
        <w:autoSpaceDE/>
        <w:autoSpaceDN/>
        <w:bidi w:val="0"/>
        <w:adjustRightInd/>
        <w:snapToGrid/>
        <w:spacing w:before="50" w:beforeAutospacing="0" w:after="100" w:afterAutospacing="0" w:line="300" w:lineRule="exact"/>
        <w:ind w:left="0" w:right="0" w:firstLine="420"/>
        <w:jc w:val="left"/>
        <w:textAlignment w:val="auto"/>
        <w:rPr>
          <w:rFonts w:hint="eastAsia" w:ascii="微软雅黑" w:hAnsi="微软雅黑" w:eastAsia="微软雅黑" w:cs="微软雅黑"/>
          <w:i w:val="0"/>
          <w:iCs w:val="0"/>
          <w:caps w:val="0"/>
          <w:color w:val="000000"/>
          <w:spacing w:val="0"/>
          <w:sz w:val="27"/>
          <w:szCs w:val="27"/>
        </w:rPr>
      </w:pPr>
      <w:r>
        <w:rPr>
          <w:rFonts w:hint="eastAsia" w:ascii="宋体" w:hAnsi="宋体" w:eastAsia="宋体" w:cs="宋体"/>
          <w:i w:val="0"/>
          <w:iCs w:val="0"/>
          <w:caps w:val="0"/>
          <w:color w:val="000000"/>
          <w:spacing w:val="0"/>
          <w:kern w:val="0"/>
          <w:sz w:val="21"/>
          <w:szCs w:val="21"/>
          <w:lang w:val="en-US" w:eastAsia="zh-CN" w:bidi="ar"/>
        </w:rPr>
        <w:t>5、为本采购项目提供整体设计、规范编制或者项目管理、监理、检测等服务的，不得再参加此项目的其他采购活动。</w:t>
      </w:r>
    </w:p>
    <w:p w14:paraId="1FE360E4">
      <w:pPr>
        <w:keepNext w:val="0"/>
        <w:keepLines w:val="0"/>
        <w:pageBreakBefore w:val="0"/>
        <w:widowControl/>
        <w:suppressLineNumbers w:val="0"/>
        <w:kinsoku/>
        <w:wordWrap/>
        <w:overflowPunct/>
        <w:topLinePunct w:val="0"/>
        <w:autoSpaceDE/>
        <w:autoSpaceDN/>
        <w:bidi w:val="0"/>
        <w:adjustRightInd/>
        <w:snapToGrid/>
        <w:spacing w:before="50" w:beforeAutospacing="0" w:after="100" w:afterAutospacing="0" w:line="300" w:lineRule="exact"/>
        <w:ind w:left="0" w:right="0" w:firstLine="420"/>
        <w:jc w:val="left"/>
        <w:textAlignment w:val="auto"/>
        <w:rPr>
          <w:rFonts w:hint="eastAsia" w:ascii="微软雅黑" w:hAnsi="微软雅黑" w:eastAsia="微软雅黑" w:cs="微软雅黑"/>
          <w:i w:val="0"/>
          <w:iCs w:val="0"/>
          <w:caps w:val="0"/>
          <w:color w:val="000000"/>
          <w:spacing w:val="0"/>
          <w:sz w:val="27"/>
          <w:szCs w:val="27"/>
        </w:rPr>
      </w:pPr>
      <w:r>
        <w:rPr>
          <w:rFonts w:hint="eastAsia" w:ascii="宋体" w:hAnsi="宋体" w:eastAsia="宋体" w:cs="宋体"/>
          <w:i w:val="0"/>
          <w:iCs w:val="0"/>
          <w:caps w:val="0"/>
          <w:color w:val="000000"/>
          <w:spacing w:val="0"/>
          <w:kern w:val="0"/>
          <w:sz w:val="21"/>
          <w:szCs w:val="21"/>
          <w:lang w:val="en-US" w:eastAsia="zh-CN" w:bidi="ar"/>
        </w:rPr>
        <w:t>6、列入失信被执行人、重大税收违法失信主体名单、政府采购严重违法失信行为记录名单的，拒绝其参与政府采购活动。</w:t>
      </w:r>
    </w:p>
    <w:p w14:paraId="5A3BA185">
      <w:pPr>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7、联合体响应。本次采购</w:t>
      </w:r>
      <w:r>
        <w:rPr>
          <w:rFonts w:hint="eastAsia" w:ascii="宋体" w:hAnsi="宋体" w:eastAsia="宋体" w:cs="宋体"/>
          <w:i w:val="0"/>
          <w:iCs w:val="0"/>
          <w:caps w:val="0"/>
          <w:color w:val="000000"/>
          <w:spacing w:val="0"/>
          <w:kern w:val="0"/>
          <w:sz w:val="21"/>
          <w:szCs w:val="21"/>
          <w:u w:val="single"/>
          <w:lang w:val="en-US" w:eastAsia="zh-CN" w:bidi="ar"/>
        </w:rPr>
        <w:t> 不接受 </w:t>
      </w:r>
      <w:r>
        <w:rPr>
          <w:rFonts w:hint="eastAsia" w:ascii="宋体" w:hAnsi="宋体" w:eastAsia="宋体" w:cs="宋体"/>
          <w:i w:val="0"/>
          <w:iCs w:val="0"/>
          <w:caps w:val="0"/>
          <w:color w:val="000000"/>
          <w:spacing w:val="0"/>
          <w:kern w:val="0"/>
          <w:sz w:val="21"/>
          <w:szCs w:val="21"/>
          <w:lang w:val="en-US" w:eastAsia="zh-CN" w:bidi="ar"/>
        </w:rPr>
        <w:t>(接受或不接受)联合体。</w:t>
      </w:r>
    </w:p>
    <w:p w14:paraId="1385A582">
      <w:pPr>
        <w:keepNext/>
        <w:keepLines/>
        <w:adjustRightInd w:val="0"/>
        <w:snapToGrid w:val="0"/>
        <w:spacing w:before="156" w:beforeLines="50" w:line="360" w:lineRule="auto"/>
        <w:outlineLvl w:val="1"/>
        <w:rPr>
          <w:rFonts w:ascii="黑体" w:hAnsi="黑体" w:eastAsia="黑体"/>
          <w:b/>
          <w:bCs/>
          <w:color w:val="000000" w:themeColor="text1"/>
          <w:sz w:val="24"/>
          <w:szCs w:val="32"/>
          <w14:textFill>
            <w14:solidFill>
              <w14:schemeClr w14:val="tx1"/>
            </w14:solidFill>
          </w14:textFill>
        </w:rPr>
      </w:pPr>
      <w:r>
        <w:rPr>
          <w:rFonts w:hint="eastAsia" w:ascii="黑体" w:hAnsi="黑体" w:eastAsia="黑体"/>
          <w:b/>
          <w:bCs/>
          <w:color w:val="000000" w:themeColor="text1"/>
          <w:sz w:val="24"/>
          <w:szCs w:val="32"/>
          <w14:textFill>
            <w14:solidFill>
              <w14:schemeClr w14:val="tx1"/>
            </w14:solidFill>
          </w14:textFill>
        </w:rPr>
        <w:t>五、获取谈判文件的时间、地点</w:t>
      </w:r>
      <w:bookmarkEnd w:id="12"/>
      <w:bookmarkEnd w:id="13"/>
    </w:p>
    <w:p w14:paraId="1C6B7CEB">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时间：</w:t>
      </w:r>
      <w:r>
        <w:rPr>
          <w:rFonts w:hint="eastAsia" w:ascii="宋体" w:hAnsi="宋体"/>
          <w:bCs/>
          <w:color w:val="auto"/>
          <w:szCs w:val="21"/>
          <w:u w:val="single"/>
          <w:lang w:val="en-US" w:eastAsia="zh-CN"/>
        </w:rPr>
        <w:t>2026年6月8日至 2026年6月11日，每天上午09:00至12:00，下午14:30至17:00（北京时间，法定节假日除外）</w:t>
      </w:r>
    </w:p>
    <w:p w14:paraId="24ED9AD9">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地点：</w:t>
      </w:r>
      <w:r>
        <w:rPr>
          <w:rFonts w:hint="eastAsia" w:ascii="宋体" w:hAnsi="宋体"/>
          <w:bCs/>
          <w:color w:val="auto"/>
          <w:szCs w:val="21"/>
          <w:u w:val="single"/>
          <w:lang w:val="en-US" w:eastAsia="zh-CN"/>
        </w:rPr>
        <w:t>湖南智立方工程项目管理有限公司（怀化市鹤城区南环路碧桂园鹤州府20栋一单元1802号）</w:t>
      </w:r>
      <w:r>
        <w:rPr>
          <w:rFonts w:ascii="宋体" w:hAnsi="宋体"/>
          <w:color w:val="auto"/>
          <w:szCs w:val="21"/>
          <w:u w:val="single"/>
        </w:rPr>
        <w:t xml:space="preserve"> </w:t>
      </w:r>
    </w:p>
    <w:p w14:paraId="260020B7">
      <w:pPr>
        <w:keepNext/>
        <w:keepLines/>
        <w:adjustRightInd w:val="0"/>
        <w:snapToGrid w:val="0"/>
        <w:spacing w:before="156" w:beforeLines="50" w:line="360" w:lineRule="auto"/>
        <w:outlineLvl w:val="1"/>
        <w:rPr>
          <w:rFonts w:hint="eastAsia" w:ascii="黑体" w:hAnsi="黑体" w:eastAsia="黑体"/>
          <w:b/>
          <w:bCs/>
          <w:color w:val="auto"/>
          <w:sz w:val="24"/>
          <w:szCs w:val="32"/>
          <w:lang w:val="en-US" w:eastAsia="zh-CN"/>
        </w:rPr>
      </w:pPr>
      <w:bookmarkStart w:id="14" w:name="_Toc10257"/>
      <w:bookmarkStart w:id="15" w:name="_Toc7600"/>
      <w:r>
        <w:rPr>
          <w:rFonts w:hint="eastAsia" w:ascii="黑体" w:hAnsi="黑体" w:eastAsia="黑体"/>
          <w:b/>
          <w:bCs/>
          <w:color w:val="auto"/>
          <w:sz w:val="24"/>
          <w:szCs w:val="32"/>
          <w:lang w:val="en-US" w:eastAsia="zh-CN"/>
        </w:rPr>
        <w:t>六、确认</w:t>
      </w:r>
      <w:bookmarkEnd w:id="14"/>
      <w:bookmarkEnd w:id="15"/>
    </w:p>
    <w:p w14:paraId="52C342FA">
      <w:pPr>
        <w:pStyle w:val="28"/>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你单位请于</w:t>
      </w:r>
      <w:r>
        <w:rPr>
          <w:rFonts w:hint="eastAsia" w:ascii="宋体" w:hAnsi="宋体" w:eastAsia="宋体" w:cs="宋体"/>
          <w:color w:val="auto"/>
          <w:kern w:val="2"/>
          <w:sz w:val="21"/>
          <w:szCs w:val="21"/>
          <w:highlight w:val="none"/>
          <w:u w:val="single"/>
          <w:lang w:val="en-US" w:eastAsia="zh-CN" w:bidi="ar-SA"/>
        </w:rPr>
        <w:t>202</w:t>
      </w:r>
      <w:r>
        <w:rPr>
          <w:rFonts w:hint="eastAsia" w:ascii="宋体" w:hAnsi="宋体" w:cs="宋体"/>
          <w:color w:val="auto"/>
          <w:kern w:val="2"/>
          <w:sz w:val="21"/>
          <w:szCs w:val="21"/>
          <w:highlight w:val="none"/>
          <w:u w:val="single"/>
          <w:lang w:val="en-US" w:eastAsia="zh-CN" w:bidi="ar-SA"/>
        </w:rPr>
        <w:t>6</w:t>
      </w:r>
      <w:r>
        <w:rPr>
          <w:rFonts w:hint="eastAsia" w:ascii="宋体" w:hAnsi="宋体" w:eastAsia="宋体" w:cs="宋体"/>
          <w:color w:val="auto"/>
          <w:kern w:val="2"/>
          <w:sz w:val="21"/>
          <w:szCs w:val="21"/>
          <w:highlight w:val="none"/>
          <w:lang w:val="en-US" w:eastAsia="zh-CN" w:bidi="ar-SA"/>
        </w:rPr>
        <w:t>年</w:t>
      </w:r>
      <w:r>
        <w:rPr>
          <w:rFonts w:hint="eastAsia" w:ascii="宋体" w:hAnsi="宋体" w:cs="宋体"/>
          <w:color w:val="auto"/>
          <w:kern w:val="2"/>
          <w:sz w:val="21"/>
          <w:szCs w:val="21"/>
          <w:highlight w:val="none"/>
          <w:u w:val="single"/>
          <w:lang w:val="en-US" w:eastAsia="zh-CN" w:bidi="ar-SA"/>
        </w:rPr>
        <w:t xml:space="preserve"> 6 </w:t>
      </w:r>
      <w:r>
        <w:rPr>
          <w:rFonts w:hint="eastAsia" w:ascii="宋体" w:hAnsi="宋体" w:eastAsia="宋体" w:cs="宋体"/>
          <w:color w:val="auto"/>
          <w:kern w:val="2"/>
          <w:sz w:val="21"/>
          <w:szCs w:val="21"/>
          <w:highlight w:val="none"/>
          <w:lang w:val="en-US" w:eastAsia="zh-CN" w:bidi="ar-SA"/>
        </w:rPr>
        <w:t>月</w:t>
      </w:r>
      <w:r>
        <w:rPr>
          <w:rFonts w:hint="eastAsia" w:ascii="宋体" w:hAnsi="宋体" w:cs="宋体"/>
          <w:color w:val="auto"/>
          <w:kern w:val="2"/>
          <w:sz w:val="21"/>
          <w:szCs w:val="21"/>
          <w:highlight w:val="none"/>
          <w:u w:val="single"/>
          <w:lang w:val="en-US" w:eastAsia="zh-CN" w:bidi="ar-SA"/>
        </w:rPr>
        <w:t xml:space="preserve"> 11 </w:t>
      </w:r>
      <w:r>
        <w:rPr>
          <w:rFonts w:hint="eastAsia" w:ascii="宋体" w:hAnsi="宋体" w:eastAsia="宋体" w:cs="宋体"/>
          <w:color w:val="auto"/>
          <w:kern w:val="2"/>
          <w:sz w:val="21"/>
          <w:szCs w:val="21"/>
          <w:highlight w:val="none"/>
          <w:lang w:val="en-US" w:eastAsia="zh-CN" w:bidi="ar-SA"/>
        </w:rPr>
        <w:t>日</w:t>
      </w:r>
      <w:r>
        <w:rPr>
          <w:rFonts w:hint="eastAsia" w:ascii="宋体" w:hAnsi="宋体" w:eastAsia="宋体" w:cs="宋体"/>
          <w:color w:val="auto"/>
          <w:kern w:val="2"/>
          <w:sz w:val="21"/>
          <w:szCs w:val="21"/>
          <w:lang w:val="en-US" w:eastAsia="zh-CN" w:bidi="ar-SA"/>
        </w:rPr>
        <w:t>1</w:t>
      </w:r>
      <w:r>
        <w:rPr>
          <w:rFonts w:hint="eastAsia" w:ascii="宋体" w:hAnsi="宋体" w:cs="宋体"/>
          <w:color w:val="auto"/>
          <w:kern w:val="2"/>
          <w:sz w:val="21"/>
          <w:szCs w:val="21"/>
          <w:lang w:val="en-US" w:eastAsia="zh-CN" w:bidi="ar-SA"/>
        </w:rPr>
        <w:t>7</w:t>
      </w:r>
      <w:r>
        <w:rPr>
          <w:rFonts w:hint="eastAsia" w:ascii="宋体" w:hAnsi="宋体" w:eastAsia="宋体" w:cs="宋体"/>
          <w:color w:val="auto"/>
          <w:kern w:val="2"/>
          <w:sz w:val="21"/>
          <w:szCs w:val="21"/>
          <w:lang w:val="en-US" w:eastAsia="zh-CN" w:bidi="ar-SA"/>
        </w:rPr>
        <w:t>:00时前，以书面形式确认是否参加谈判采购，如未提供视为主动放弃本次谈判采购；</w:t>
      </w:r>
    </w:p>
    <w:p w14:paraId="423A77C6">
      <w:pPr>
        <w:keepNext/>
        <w:keepLines/>
        <w:adjustRightInd w:val="0"/>
        <w:snapToGrid w:val="0"/>
        <w:spacing w:before="156" w:beforeLines="50" w:line="360" w:lineRule="auto"/>
        <w:outlineLvl w:val="1"/>
        <w:rPr>
          <w:rFonts w:ascii="黑体" w:hAnsi="黑体" w:eastAsia="黑体"/>
          <w:b/>
          <w:bCs/>
          <w:color w:val="auto"/>
          <w:sz w:val="24"/>
          <w:szCs w:val="32"/>
        </w:rPr>
      </w:pPr>
      <w:bookmarkStart w:id="16" w:name="_Toc3088"/>
      <w:bookmarkStart w:id="17" w:name="_Toc22201059"/>
      <w:r>
        <w:rPr>
          <w:rFonts w:hint="eastAsia" w:ascii="黑体" w:hAnsi="黑体" w:eastAsia="黑体"/>
          <w:b/>
          <w:bCs/>
          <w:color w:val="auto"/>
          <w:sz w:val="24"/>
          <w:szCs w:val="32"/>
          <w:lang w:val="en-US" w:eastAsia="zh-CN"/>
        </w:rPr>
        <w:t>七</w:t>
      </w:r>
      <w:r>
        <w:rPr>
          <w:rFonts w:hint="eastAsia" w:ascii="黑体" w:hAnsi="黑体" w:eastAsia="黑体"/>
          <w:b/>
          <w:bCs/>
          <w:color w:val="auto"/>
          <w:sz w:val="24"/>
          <w:szCs w:val="32"/>
        </w:rPr>
        <w:t>、提交首次响应文件的截止时间、谈判时间及地点</w:t>
      </w:r>
      <w:bookmarkEnd w:id="16"/>
      <w:bookmarkEnd w:id="17"/>
    </w:p>
    <w:p w14:paraId="52591B30">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提交首次响应文件的截止时间</w:t>
      </w:r>
      <w:r>
        <w:rPr>
          <w:rFonts w:hint="eastAsia" w:ascii="宋体" w:hAnsi="宋体"/>
          <w:color w:val="auto"/>
          <w:szCs w:val="21"/>
          <w:highlight w:val="none"/>
        </w:rPr>
        <w:t>：</w:t>
      </w:r>
      <w:r>
        <w:rPr>
          <w:rFonts w:hint="eastAsia" w:ascii="宋体" w:hAnsi="宋体"/>
          <w:color w:val="auto"/>
          <w:szCs w:val="21"/>
          <w:highlight w:val="none"/>
          <w:u w:val="single"/>
          <w:lang w:val="en-US" w:eastAsia="zh-CN"/>
        </w:rPr>
        <w:t>2026</w:t>
      </w:r>
      <w:r>
        <w:rPr>
          <w:rFonts w:hint="eastAsia" w:ascii="宋体" w:hAnsi="宋体"/>
          <w:color w:val="auto"/>
          <w:szCs w:val="21"/>
          <w:highlight w:val="none"/>
        </w:rPr>
        <w:t>年</w:t>
      </w:r>
      <w:r>
        <w:rPr>
          <w:rFonts w:hint="eastAsia" w:ascii="宋体" w:hAnsi="宋体"/>
          <w:color w:val="auto"/>
          <w:szCs w:val="21"/>
          <w:highlight w:val="none"/>
          <w:u w:val="single"/>
          <w:lang w:val="en-US" w:eastAsia="zh-CN"/>
        </w:rPr>
        <w:t xml:space="preserve"> 6 </w:t>
      </w:r>
      <w:r>
        <w:rPr>
          <w:rFonts w:hint="eastAsia" w:ascii="宋体" w:hAnsi="宋体"/>
          <w:color w:val="auto"/>
          <w:szCs w:val="21"/>
          <w:highlight w:val="none"/>
        </w:rPr>
        <w:t>月</w:t>
      </w:r>
      <w:r>
        <w:rPr>
          <w:rFonts w:hint="eastAsia" w:ascii="宋体" w:hAnsi="宋体"/>
          <w:color w:val="auto"/>
          <w:szCs w:val="21"/>
          <w:highlight w:val="none"/>
          <w:u w:val="single"/>
          <w:lang w:val="en-US" w:eastAsia="zh-CN"/>
        </w:rPr>
        <w:t xml:space="preserve"> 12 </w:t>
      </w:r>
      <w:r>
        <w:rPr>
          <w:rFonts w:hint="eastAsia" w:ascii="宋体" w:hAnsi="宋体"/>
          <w:color w:val="auto"/>
          <w:szCs w:val="21"/>
          <w:highlight w:val="none"/>
        </w:rPr>
        <w:t>日</w:t>
      </w:r>
      <w:r>
        <w:rPr>
          <w:rFonts w:hint="eastAsia" w:ascii="宋体" w:hAnsi="宋体"/>
          <w:color w:val="auto"/>
          <w:szCs w:val="21"/>
          <w:highlight w:val="none"/>
          <w:u w:val="single"/>
          <w:lang w:val="en-US" w:eastAsia="zh-CN"/>
        </w:rPr>
        <w:t xml:space="preserve"> 09 </w:t>
      </w:r>
      <w:r>
        <w:rPr>
          <w:rFonts w:hint="eastAsia" w:ascii="宋体" w:hAnsi="宋体"/>
          <w:color w:val="auto"/>
          <w:szCs w:val="21"/>
          <w:highlight w:val="none"/>
        </w:rPr>
        <w:t>时</w:t>
      </w:r>
      <w:r>
        <w:rPr>
          <w:rFonts w:hint="eastAsia" w:ascii="宋体" w:hAnsi="宋体"/>
          <w:color w:val="auto"/>
          <w:szCs w:val="21"/>
          <w:highlight w:val="none"/>
          <w:u w:val="single"/>
          <w:lang w:val="en-US" w:eastAsia="zh-CN"/>
        </w:rPr>
        <w:t xml:space="preserve"> 30 </w:t>
      </w:r>
      <w:r>
        <w:rPr>
          <w:rFonts w:hint="eastAsia" w:ascii="宋体" w:hAnsi="宋体"/>
          <w:color w:val="auto"/>
          <w:szCs w:val="21"/>
          <w:highlight w:val="none"/>
        </w:rPr>
        <w:t>分（北</w:t>
      </w:r>
      <w:r>
        <w:rPr>
          <w:rFonts w:hint="eastAsia" w:ascii="宋体" w:hAnsi="宋体"/>
          <w:color w:val="auto"/>
          <w:szCs w:val="21"/>
        </w:rPr>
        <w:t>京时间）</w:t>
      </w:r>
    </w:p>
    <w:p w14:paraId="3B5D4E29">
      <w:pPr>
        <w:adjustRightInd w:val="0"/>
        <w:snapToGrid w:val="0"/>
        <w:spacing w:line="360" w:lineRule="auto"/>
        <w:ind w:firstLine="420" w:firstLineChars="200"/>
        <w:rPr>
          <w:rFonts w:hint="eastAsia" w:ascii="宋体" w:hAnsi="宋体"/>
          <w:bCs/>
          <w:color w:val="auto"/>
          <w:szCs w:val="21"/>
          <w:u w:val="single"/>
          <w:lang w:val="en-US" w:eastAsia="zh-CN"/>
        </w:rPr>
      </w:pPr>
      <w:r>
        <w:rPr>
          <w:rFonts w:hint="eastAsia" w:ascii="宋体" w:hAnsi="宋体"/>
          <w:color w:val="auto"/>
          <w:szCs w:val="21"/>
        </w:rPr>
        <w:t>提交首次响应文件的地点：</w:t>
      </w:r>
      <w:r>
        <w:rPr>
          <w:rFonts w:hint="eastAsia" w:ascii="宋体" w:hAnsi="宋体"/>
          <w:bCs/>
          <w:color w:val="auto"/>
          <w:szCs w:val="21"/>
          <w:u w:val="single"/>
          <w:lang w:val="en-US" w:eastAsia="zh-CN"/>
        </w:rPr>
        <w:t>湖南智立方工程项目管理有限公司（怀化市鹤城区南环路碧桂园鹤州府20栋一单元1802号）</w:t>
      </w:r>
    </w:p>
    <w:p w14:paraId="02523465">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首次响应文件开启时间：</w:t>
      </w:r>
      <w:r>
        <w:rPr>
          <w:rFonts w:hint="eastAsia" w:ascii="宋体" w:hAnsi="宋体"/>
          <w:color w:val="auto"/>
          <w:szCs w:val="21"/>
          <w:highlight w:val="none"/>
          <w:u w:val="single"/>
          <w:lang w:val="en-US" w:eastAsia="zh-CN"/>
        </w:rPr>
        <w:t>2026</w:t>
      </w:r>
      <w:r>
        <w:rPr>
          <w:rFonts w:hint="eastAsia" w:ascii="宋体" w:hAnsi="宋体"/>
          <w:color w:val="auto"/>
          <w:szCs w:val="21"/>
          <w:highlight w:val="none"/>
        </w:rPr>
        <w:t>年</w:t>
      </w:r>
      <w:r>
        <w:rPr>
          <w:rFonts w:hint="eastAsia" w:ascii="宋体" w:hAnsi="宋体"/>
          <w:color w:val="auto"/>
          <w:szCs w:val="21"/>
          <w:highlight w:val="none"/>
          <w:u w:val="single"/>
          <w:lang w:val="en-US" w:eastAsia="zh-CN"/>
        </w:rPr>
        <w:t xml:space="preserve"> 6 </w:t>
      </w:r>
      <w:r>
        <w:rPr>
          <w:rFonts w:hint="eastAsia" w:ascii="宋体" w:hAnsi="宋体"/>
          <w:color w:val="auto"/>
          <w:szCs w:val="21"/>
          <w:highlight w:val="none"/>
        </w:rPr>
        <w:t>月</w:t>
      </w:r>
      <w:r>
        <w:rPr>
          <w:rFonts w:hint="eastAsia" w:ascii="宋体" w:hAnsi="宋体"/>
          <w:color w:val="auto"/>
          <w:szCs w:val="21"/>
          <w:highlight w:val="none"/>
          <w:u w:val="single"/>
          <w:lang w:val="en-US" w:eastAsia="zh-CN"/>
        </w:rPr>
        <w:t xml:space="preserve"> 12 </w:t>
      </w:r>
      <w:r>
        <w:rPr>
          <w:rFonts w:hint="eastAsia" w:ascii="宋体" w:hAnsi="宋体"/>
          <w:color w:val="auto"/>
          <w:szCs w:val="21"/>
          <w:highlight w:val="none"/>
        </w:rPr>
        <w:t>日</w:t>
      </w:r>
      <w:r>
        <w:rPr>
          <w:rFonts w:hint="eastAsia" w:ascii="宋体" w:hAnsi="宋体"/>
          <w:color w:val="auto"/>
          <w:szCs w:val="21"/>
          <w:highlight w:val="none"/>
          <w:u w:val="single"/>
          <w:lang w:val="en-US" w:eastAsia="zh-CN"/>
        </w:rPr>
        <w:t xml:space="preserve"> 09 </w:t>
      </w:r>
      <w:r>
        <w:rPr>
          <w:rFonts w:hint="eastAsia" w:ascii="宋体" w:hAnsi="宋体"/>
          <w:color w:val="auto"/>
          <w:szCs w:val="21"/>
          <w:highlight w:val="none"/>
        </w:rPr>
        <w:t>时</w:t>
      </w:r>
      <w:r>
        <w:rPr>
          <w:rFonts w:hint="eastAsia" w:ascii="宋体" w:hAnsi="宋体"/>
          <w:color w:val="auto"/>
          <w:szCs w:val="21"/>
          <w:highlight w:val="none"/>
          <w:u w:val="single"/>
          <w:lang w:val="en-US" w:eastAsia="zh-CN"/>
        </w:rPr>
        <w:t xml:space="preserve"> 30 </w:t>
      </w:r>
      <w:r>
        <w:rPr>
          <w:rFonts w:hint="eastAsia" w:ascii="宋体" w:hAnsi="宋体"/>
          <w:color w:val="auto"/>
          <w:szCs w:val="21"/>
          <w:highlight w:val="none"/>
        </w:rPr>
        <w:t>分</w:t>
      </w:r>
      <w:r>
        <w:rPr>
          <w:rFonts w:hint="eastAsia" w:ascii="宋体" w:hAnsi="宋体"/>
          <w:color w:val="auto"/>
          <w:szCs w:val="21"/>
        </w:rPr>
        <w:t>（北京时间）</w:t>
      </w:r>
    </w:p>
    <w:p w14:paraId="2D695702">
      <w:pPr>
        <w:adjustRightInd w:val="0"/>
        <w:snapToGrid w:val="0"/>
        <w:spacing w:line="360" w:lineRule="auto"/>
        <w:ind w:firstLine="420" w:firstLineChars="200"/>
        <w:rPr>
          <w:rFonts w:hint="default" w:ascii="宋体" w:hAnsi="宋体"/>
          <w:bCs/>
          <w:color w:val="FF0000"/>
          <w:szCs w:val="21"/>
          <w:u w:val="single"/>
          <w:lang w:val="en-US"/>
        </w:rPr>
      </w:pPr>
      <w:r>
        <w:rPr>
          <w:rFonts w:hint="eastAsia" w:ascii="宋体" w:hAnsi="宋体"/>
          <w:color w:val="auto"/>
          <w:szCs w:val="21"/>
        </w:rPr>
        <w:t>首次响应文件开启地点：</w:t>
      </w:r>
      <w:r>
        <w:rPr>
          <w:rFonts w:hint="eastAsia" w:ascii="宋体" w:hAnsi="宋体"/>
          <w:bCs/>
          <w:color w:val="auto"/>
          <w:szCs w:val="21"/>
          <w:u w:val="single"/>
          <w:lang w:val="en-US" w:eastAsia="zh-CN"/>
        </w:rPr>
        <w:t>湖南智立方工程项目管理有限公司（怀化市鹤城区南环路碧桂园鹤州府20栋一单元1802号）</w:t>
      </w:r>
    </w:p>
    <w:p w14:paraId="626293BD">
      <w:pPr>
        <w:keepNext/>
        <w:keepLines/>
        <w:adjustRightInd w:val="0"/>
        <w:snapToGrid w:val="0"/>
        <w:spacing w:before="156" w:beforeLines="50" w:line="360" w:lineRule="auto"/>
        <w:outlineLvl w:val="1"/>
        <w:rPr>
          <w:rFonts w:ascii="黑体" w:hAnsi="黑体" w:eastAsia="黑体"/>
          <w:b/>
          <w:bCs/>
          <w:color w:val="000000" w:themeColor="text1"/>
          <w:sz w:val="24"/>
          <w:szCs w:val="32"/>
          <w14:textFill>
            <w14:solidFill>
              <w14:schemeClr w14:val="tx1"/>
            </w14:solidFill>
          </w14:textFill>
        </w:rPr>
      </w:pPr>
      <w:bookmarkStart w:id="18" w:name="_Toc22201061"/>
      <w:bookmarkStart w:id="19" w:name="_Toc25912"/>
      <w:r>
        <w:rPr>
          <w:rFonts w:hint="eastAsia" w:ascii="黑体" w:hAnsi="黑体" w:eastAsia="黑体"/>
          <w:b/>
          <w:bCs/>
          <w:color w:val="000000" w:themeColor="text1"/>
          <w:sz w:val="24"/>
          <w:szCs w:val="32"/>
          <w:lang w:val="en-US" w:eastAsia="zh-CN"/>
          <w14:textFill>
            <w14:solidFill>
              <w14:schemeClr w14:val="tx1"/>
            </w14:solidFill>
          </w14:textFill>
        </w:rPr>
        <w:t>八</w:t>
      </w:r>
      <w:r>
        <w:rPr>
          <w:rFonts w:hint="eastAsia" w:ascii="黑体" w:hAnsi="黑体" w:eastAsia="黑体"/>
          <w:b/>
          <w:bCs/>
          <w:color w:val="000000" w:themeColor="text1"/>
          <w:sz w:val="24"/>
          <w:szCs w:val="32"/>
          <w14:textFill>
            <w14:solidFill>
              <w14:schemeClr w14:val="tx1"/>
            </w14:solidFill>
          </w14:textFill>
        </w:rPr>
        <w:t>、询问及质疑</w:t>
      </w:r>
      <w:bookmarkEnd w:id="18"/>
      <w:bookmarkEnd w:id="19"/>
    </w:p>
    <w:p w14:paraId="7B296A67">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1、供应商对政府采购活动事项如有疑问的，可以向采购人、采购代理机构提出询问。采购人、采购代理机构将在3个工作日内作出答复。</w:t>
      </w:r>
    </w:p>
    <w:p w14:paraId="333622C4">
      <w:pPr>
        <w:keepNext/>
        <w:keepLines/>
        <w:adjustRightInd w:val="0"/>
        <w:snapToGrid w:val="0"/>
        <w:spacing w:line="360" w:lineRule="auto"/>
        <w:ind w:firstLine="420" w:firstLineChars="200"/>
        <w:outlineLvl w:val="1"/>
        <w:rPr>
          <w:rFonts w:hint="eastAsia" w:ascii="宋体" w:hAnsi="宋体"/>
          <w:color w:val="000000" w:themeColor="text1"/>
          <w:szCs w:val="21"/>
          <w14:textFill>
            <w14:solidFill>
              <w14:schemeClr w14:val="tx1"/>
            </w14:solidFill>
          </w14:textFill>
        </w:rPr>
      </w:pPr>
      <w:bookmarkStart w:id="20" w:name="_Toc28697"/>
      <w:r>
        <w:rPr>
          <w:rFonts w:hint="eastAsia" w:ascii="宋体" w:hAnsi="宋体"/>
          <w:color w:val="000000" w:themeColor="text1"/>
          <w:szCs w:val="21"/>
          <w14:textFill>
            <w14:solidFill>
              <w14:schemeClr w14:val="tx1"/>
            </w14:solidFill>
          </w14:textFill>
        </w:rPr>
        <w:t>2、供应商认为本邀请公告使自己的合法权益受到损害的，可以在邀请公告期限届满之日起7个工作日内，按《湖南省财政厅关于印发＜政府采购质疑答复和投诉处理操作规程＞的通知》(湘财购〔2024〕67号)规定，以书面形式向采购人、采购代理机构提出质疑。</w:t>
      </w:r>
    </w:p>
    <w:p w14:paraId="369F4C7A">
      <w:pPr>
        <w:keepNext/>
        <w:keepLines/>
        <w:adjustRightInd w:val="0"/>
        <w:snapToGrid w:val="0"/>
        <w:spacing w:line="360" w:lineRule="auto"/>
        <w:outlineLvl w:val="1"/>
        <w:rPr>
          <w:rFonts w:hint="eastAsia" w:ascii="黑体" w:hAnsi="黑体" w:eastAsia="黑体"/>
          <w:b/>
          <w:bCs/>
          <w:color w:val="000000" w:themeColor="text1"/>
          <w:sz w:val="24"/>
          <w:szCs w:val="32"/>
          <w:lang w:eastAsia="zh-CN"/>
          <w14:textFill>
            <w14:solidFill>
              <w14:schemeClr w14:val="tx1"/>
            </w14:solidFill>
          </w14:textFill>
        </w:rPr>
      </w:pPr>
      <w:r>
        <w:rPr>
          <w:rFonts w:hint="eastAsia" w:ascii="黑体" w:hAnsi="黑体" w:eastAsia="黑体"/>
          <w:b/>
          <w:bCs/>
          <w:color w:val="000000" w:themeColor="text1"/>
          <w:sz w:val="24"/>
          <w:szCs w:val="32"/>
          <w:lang w:val="en-US" w:eastAsia="zh-CN"/>
          <w14:textFill>
            <w14:solidFill>
              <w14:schemeClr w14:val="tx1"/>
            </w14:solidFill>
          </w14:textFill>
        </w:rPr>
        <w:t>九</w:t>
      </w:r>
      <w:r>
        <w:rPr>
          <w:rFonts w:hint="eastAsia" w:ascii="黑体" w:hAnsi="黑体" w:eastAsia="黑体"/>
          <w:b/>
          <w:bCs/>
          <w:color w:val="000000" w:themeColor="text1"/>
          <w:sz w:val="24"/>
          <w:szCs w:val="32"/>
          <w14:textFill>
            <w14:solidFill>
              <w14:schemeClr w14:val="tx1"/>
            </w14:solidFill>
          </w14:textFill>
        </w:rPr>
        <w:t>、谈判</w:t>
      </w:r>
      <w:r>
        <w:rPr>
          <w:rFonts w:hint="eastAsia" w:ascii="黑体" w:hAnsi="黑体" w:eastAsia="黑体"/>
          <w:b/>
          <w:bCs/>
          <w:color w:val="000000" w:themeColor="text1"/>
          <w:sz w:val="24"/>
          <w:szCs w:val="32"/>
          <w:lang w:val="en-US" w:eastAsia="zh-CN"/>
          <w14:textFill>
            <w14:solidFill>
              <w14:schemeClr w14:val="tx1"/>
            </w14:solidFill>
          </w14:textFill>
        </w:rPr>
        <w:t>说明</w:t>
      </w:r>
      <w:bookmarkEnd w:id="20"/>
    </w:p>
    <w:p w14:paraId="7DAB6EC8">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谈判邀请选项：</w:t>
      </w:r>
      <w:r>
        <w:rPr>
          <w:rFonts w:hint="eastAsia" w:ascii="宋体" w:hAnsi="宋体"/>
          <w:color w:val="000000" w:themeColor="text1"/>
          <w:szCs w:val="21"/>
          <w:lang w:val="en-US" w:eastAsia="zh-CN"/>
          <w14:textFill>
            <w14:solidFill>
              <w14:schemeClr w14:val="tx1"/>
            </w14:solidFill>
          </w14:textFill>
        </w:rPr>
        <w:sym w:font="Wingdings" w:char="00FE"/>
      </w:r>
      <w:r>
        <w:rPr>
          <w:rFonts w:hint="eastAsia" w:ascii="宋体" w:hAnsi="宋体"/>
          <w:color w:val="000000" w:themeColor="text1"/>
          <w:szCs w:val="21"/>
          <w:lang w:val="en-US" w:eastAsia="zh-CN"/>
          <w14:textFill>
            <w14:solidFill>
              <w14:schemeClr w14:val="tx1"/>
            </w14:solidFill>
          </w14:textFill>
        </w:rPr>
        <w:t>表示选择，</w:t>
      </w:r>
      <w:r>
        <w:rPr>
          <w:rFonts w:hint="eastAsia" w:ascii="宋体" w:hAnsi="宋体"/>
          <w:color w:val="000000" w:themeColor="text1"/>
          <w:szCs w:val="21"/>
          <w:lang w:val="en-US" w:eastAsia="zh-CN"/>
          <w14:textFill>
            <w14:solidFill>
              <w14:schemeClr w14:val="tx1"/>
            </w14:solidFill>
          </w14:textFill>
        </w:rPr>
        <w:sym w:font="Wingdings" w:char="00A8"/>
      </w:r>
      <w:r>
        <w:rPr>
          <w:rFonts w:hint="eastAsia" w:ascii="宋体" w:hAnsi="宋体"/>
          <w:color w:val="000000" w:themeColor="text1"/>
          <w:szCs w:val="21"/>
          <w:lang w:val="en-US" w:eastAsia="zh-CN"/>
          <w14:textFill>
            <w14:solidFill>
              <w14:schemeClr w14:val="tx1"/>
            </w14:solidFill>
          </w14:textFill>
        </w:rPr>
        <w:t>表示未选择。</w:t>
      </w:r>
    </w:p>
    <w:p w14:paraId="311314CD">
      <w:pPr>
        <w:keepNext/>
        <w:keepLines/>
        <w:adjustRightInd w:val="0"/>
        <w:snapToGrid w:val="0"/>
        <w:spacing w:line="360" w:lineRule="auto"/>
        <w:outlineLvl w:val="1"/>
        <w:rPr>
          <w:rFonts w:ascii="黑体" w:hAnsi="黑体" w:eastAsia="黑体"/>
          <w:b/>
          <w:bCs/>
          <w:color w:val="000000" w:themeColor="text1"/>
          <w:sz w:val="24"/>
          <w:szCs w:val="32"/>
          <w14:textFill>
            <w14:solidFill>
              <w14:schemeClr w14:val="tx1"/>
            </w14:solidFill>
          </w14:textFill>
        </w:rPr>
      </w:pPr>
      <w:bookmarkStart w:id="21" w:name="_Toc17111"/>
      <w:r>
        <w:rPr>
          <w:rFonts w:hint="eastAsia" w:ascii="黑体" w:hAnsi="黑体" w:eastAsia="黑体"/>
          <w:b/>
          <w:bCs/>
          <w:color w:val="000000" w:themeColor="text1"/>
          <w:sz w:val="24"/>
          <w:szCs w:val="32"/>
          <w:lang w:val="en-US" w:eastAsia="zh-CN"/>
          <w14:textFill>
            <w14:solidFill>
              <w14:schemeClr w14:val="tx1"/>
            </w14:solidFill>
          </w14:textFill>
        </w:rPr>
        <w:t>十</w:t>
      </w:r>
      <w:r>
        <w:rPr>
          <w:rFonts w:hint="eastAsia" w:ascii="黑体" w:hAnsi="黑体" w:eastAsia="黑体"/>
          <w:b/>
          <w:bCs/>
          <w:color w:val="000000" w:themeColor="text1"/>
          <w:sz w:val="24"/>
          <w:szCs w:val="32"/>
          <w14:textFill>
            <w14:solidFill>
              <w14:schemeClr w14:val="tx1"/>
            </w14:solidFill>
          </w14:textFill>
        </w:rPr>
        <w:t>、</w:t>
      </w:r>
      <w:r>
        <w:rPr>
          <w:rFonts w:hint="eastAsia" w:ascii="黑体" w:hAnsi="黑体" w:eastAsia="黑体"/>
          <w:b/>
          <w:bCs/>
          <w:color w:val="000000" w:themeColor="text1"/>
          <w:sz w:val="24"/>
          <w:szCs w:val="21"/>
          <w14:textFill>
            <w14:solidFill>
              <w14:schemeClr w14:val="tx1"/>
            </w14:solidFill>
          </w14:textFill>
        </w:rPr>
        <w:t>采购项目联系人姓名和电话</w:t>
      </w:r>
      <w:bookmarkEnd w:id="21"/>
    </w:p>
    <w:p w14:paraId="0DCE35BF">
      <w:pPr>
        <w:adjustRightInd w:val="0"/>
        <w:snapToGrid w:val="0"/>
        <w:spacing w:line="360" w:lineRule="auto"/>
        <w:ind w:firstLine="420" w:firstLineChars="200"/>
        <w:rPr>
          <w:rFonts w:hint="default" w:ascii="宋体" w:hAnsi="宋体"/>
          <w:color w:val="auto"/>
          <w:szCs w:val="21"/>
          <w:u w:val="single"/>
          <w:lang w:val="en-US"/>
        </w:rPr>
      </w:pPr>
      <w:r>
        <w:rPr>
          <w:rFonts w:hint="eastAsia" w:ascii="宋体" w:hAnsi="宋体"/>
          <w:color w:val="auto"/>
          <w:szCs w:val="21"/>
        </w:rPr>
        <w:t>1、联系人姓名：</w:t>
      </w:r>
      <w:r>
        <w:rPr>
          <w:rFonts w:hint="eastAsia" w:ascii="宋体" w:hAnsi="宋体"/>
          <w:color w:val="auto"/>
          <w:szCs w:val="21"/>
          <w:u w:val="single"/>
        </w:rPr>
        <w:t>卢女士</w:t>
      </w:r>
    </w:p>
    <w:p w14:paraId="5405FE45">
      <w:pPr>
        <w:adjustRightInd w:val="0"/>
        <w:snapToGrid w:val="0"/>
        <w:spacing w:line="360" w:lineRule="auto"/>
        <w:ind w:firstLine="420" w:firstLineChars="200"/>
        <w:rPr>
          <w:rFonts w:hint="eastAsia" w:ascii="宋体" w:hAnsi="宋体" w:eastAsia="宋体"/>
          <w:color w:val="auto"/>
          <w:szCs w:val="21"/>
          <w:u w:val="single"/>
          <w:lang w:val="en-US" w:eastAsia="zh-CN"/>
        </w:rPr>
      </w:pPr>
      <w:r>
        <w:rPr>
          <w:rFonts w:hint="eastAsia" w:ascii="宋体" w:hAnsi="宋体"/>
          <w:color w:val="auto"/>
          <w:szCs w:val="21"/>
          <w:u w:val="none"/>
        </w:rPr>
        <w:t>2、电话：</w:t>
      </w:r>
      <w:r>
        <w:rPr>
          <w:rFonts w:hint="eastAsia" w:ascii="宋体" w:hAnsi="宋体"/>
          <w:color w:val="auto"/>
          <w:szCs w:val="21"/>
          <w:u w:val="single"/>
          <w:lang w:val="en-US" w:eastAsia="zh-CN"/>
        </w:rPr>
        <w:t>0745-2557950</w:t>
      </w:r>
    </w:p>
    <w:p w14:paraId="6B6F3CBD">
      <w:pPr>
        <w:keepNext/>
        <w:keepLines/>
        <w:adjustRightInd w:val="0"/>
        <w:snapToGrid w:val="0"/>
        <w:spacing w:line="360" w:lineRule="auto"/>
        <w:outlineLvl w:val="1"/>
        <w:rPr>
          <w:rFonts w:ascii="黑体" w:hAnsi="黑体" w:eastAsia="黑体"/>
          <w:b/>
          <w:bCs/>
          <w:color w:val="auto"/>
          <w:sz w:val="24"/>
          <w:szCs w:val="32"/>
        </w:rPr>
      </w:pPr>
      <w:bookmarkStart w:id="22" w:name="_Toc3375"/>
      <w:r>
        <w:rPr>
          <w:rFonts w:hint="eastAsia" w:ascii="黑体" w:hAnsi="黑体" w:eastAsia="黑体"/>
          <w:b/>
          <w:bCs/>
          <w:color w:val="auto"/>
          <w:sz w:val="24"/>
          <w:szCs w:val="32"/>
        </w:rPr>
        <w:t>十</w:t>
      </w:r>
      <w:r>
        <w:rPr>
          <w:rFonts w:hint="eastAsia" w:ascii="黑体" w:hAnsi="黑体" w:eastAsia="黑体"/>
          <w:b/>
          <w:bCs/>
          <w:color w:val="auto"/>
          <w:sz w:val="24"/>
          <w:szCs w:val="32"/>
          <w:lang w:val="en-US" w:eastAsia="zh-CN"/>
        </w:rPr>
        <w:t>一</w:t>
      </w:r>
      <w:r>
        <w:rPr>
          <w:rFonts w:hint="eastAsia" w:ascii="黑体" w:hAnsi="黑体" w:eastAsia="黑体"/>
          <w:b/>
          <w:bCs/>
          <w:color w:val="auto"/>
          <w:sz w:val="24"/>
          <w:szCs w:val="32"/>
        </w:rPr>
        <w:t>、采购人、采购代理机构的名称、地址和联系方法</w:t>
      </w:r>
      <w:bookmarkEnd w:id="22"/>
    </w:p>
    <w:p w14:paraId="0BD3DA6E">
      <w:pPr>
        <w:adjustRightInd w:val="0"/>
        <w:snapToGrid w:val="0"/>
        <w:spacing w:line="360" w:lineRule="auto"/>
        <w:ind w:firstLine="411" w:firstLineChars="196"/>
        <w:rPr>
          <w:rFonts w:ascii="宋体" w:hAnsi="宋体"/>
          <w:b/>
          <w:bCs/>
          <w:color w:val="auto"/>
          <w:szCs w:val="21"/>
        </w:rPr>
      </w:pPr>
      <w:r>
        <w:rPr>
          <w:rFonts w:hint="eastAsia" w:ascii="宋体" w:hAnsi="宋体"/>
          <w:b/>
          <w:bCs/>
          <w:color w:val="auto"/>
          <w:szCs w:val="21"/>
        </w:rPr>
        <w:t>1</w:t>
      </w:r>
      <w:r>
        <w:rPr>
          <w:rFonts w:hint="eastAsia" w:ascii="宋体" w:hAnsi="宋体"/>
          <w:color w:val="auto"/>
          <w:szCs w:val="21"/>
        </w:rPr>
        <w:t>、</w:t>
      </w:r>
      <w:r>
        <w:rPr>
          <w:rFonts w:hint="eastAsia" w:ascii="宋体" w:hAnsi="宋体"/>
          <w:b/>
          <w:bCs/>
          <w:color w:val="auto"/>
          <w:szCs w:val="21"/>
        </w:rPr>
        <w:t>采购人信息</w:t>
      </w:r>
    </w:p>
    <w:p w14:paraId="131D9E10">
      <w:pPr>
        <w:adjustRightInd w:val="0"/>
        <w:snapToGrid w:val="0"/>
        <w:spacing w:line="360" w:lineRule="auto"/>
        <w:ind w:firstLine="420" w:firstLineChars="200"/>
        <w:rPr>
          <w:rFonts w:hint="eastAsia" w:ascii="宋体" w:hAnsi="宋体"/>
          <w:color w:val="auto"/>
          <w:szCs w:val="21"/>
          <w:u w:val="single"/>
          <w:lang w:val="en-US" w:eastAsia="zh-CN"/>
        </w:rPr>
      </w:pPr>
      <w:r>
        <w:rPr>
          <w:rFonts w:hint="eastAsia" w:ascii="宋体" w:hAnsi="宋体"/>
          <w:color w:val="auto"/>
          <w:szCs w:val="21"/>
        </w:rPr>
        <w:t>（1）</w:t>
      </w:r>
      <w:r>
        <w:rPr>
          <w:rFonts w:hint="eastAsia" w:ascii="宋体" w:hAnsi="宋体"/>
          <w:bCs/>
          <w:color w:val="auto"/>
          <w:szCs w:val="21"/>
        </w:rPr>
        <w:t>名  称：</w:t>
      </w:r>
      <w:r>
        <w:rPr>
          <w:rFonts w:hint="eastAsia" w:ascii="宋体" w:hAnsi="宋体"/>
          <w:color w:val="auto"/>
          <w:szCs w:val="21"/>
          <w:u w:val="single"/>
          <w:lang w:val="en-US" w:eastAsia="zh-CN"/>
        </w:rPr>
        <w:t xml:space="preserve">怀化市鹤城区城市建设投资有限公司 </w:t>
      </w:r>
    </w:p>
    <w:p w14:paraId="48398ED8">
      <w:pPr>
        <w:adjustRightInd w:val="0"/>
        <w:snapToGrid w:val="0"/>
        <w:spacing w:line="360" w:lineRule="auto"/>
        <w:ind w:firstLine="420" w:firstLineChars="200"/>
        <w:rPr>
          <w:rFonts w:hint="default" w:ascii="宋体" w:hAnsi="宋体" w:eastAsia="宋体"/>
          <w:color w:val="auto"/>
          <w:szCs w:val="21"/>
          <w:u w:val="single"/>
          <w:lang w:val="en-US" w:eastAsia="zh-CN"/>
        </w:rPr>
      </w:pPr>
      <w:r>
        <w:rPr>
          <w:rFonts w:hint="eastAsia" w:ascii="宋体" w:hAnsi="宋体"/>
          <w:color w:val="auto"/>
          <w:szCs w:val="21"/>
        </w:rPr>
        <w:t>（2）地  址：</w:t>
      </w:r>
      <w:r>
        <w:rPr>
          <w:rFonts w:hint="eastAsia" w:ascii="宋体" w:hAnsi="宋体"/>
          <w:color w:val="auto"/>
          <w:szCs w:val="21"/>
          <w:u w:val="single"/>
        </w:rPr>
        <w:t>湖南省怀化市鹤城区金海路</w:t>
      </w:r>
      <w:r>
        <w:rPr>
          <w:rFonts w:hint="eastAsia" w:ascii="宋体" w:hAnsi="宋体"/>
          <w:color w:val="auto"/>
          <w:szCs w:val="21"/>
          <w:u w:val="single"/>
          <w:lang w:val="en-US" w:eastAsia="zh-CN"/>
        </w:rPr>
        <w:t>225</w:t>
      </w:r>
      <w:r>
        <w:rPr>
          <w:rFonts w:hint="eastAsia" w:ascii="宋体" w:hAnsi="宋体"/>
          <w:color w:val="auto"/>
          <w:szCs w:val="21"/>
          <w:u w:val="single"/>
        </w:rPr>
        <w:t>号</w:t>
      </w:r>
    </w:p>
    <w:p w14:paraId="5DD74E43">
      <w:pPr>
        <w:adjustRightInd w:val="0"/>
        <w:snapToGrid w:val="0"/>
        <w:spacing w:line="360" w:lineRule="auto"/>
        <w:ind w:firstLine="420" w:firstLineChars="200"/>
        <w:rPr>
          <w:rFonts w:hint="default" w:ascii="宋体" w:hAnsi="宋体"/>
          <w:color w:val="auto"/>
          <w:szCs w:val="21"/>
          <w:lang w:val="en-US"/>
        </w:rPr>
      </w:pPr>
      <w:r>
        <w:rPr>
          <w:rFonts w:hint="eastAsia" w:ascii="宋体" w:hAnsi="宋体"/>
          <w:color w:val="auto"/>
          <w:szCs w:val="21"/>
        </w:rPr>
        <w:t>（3）联系人</w:t>
      </w:r>
      <w:r>
        <w:rPr>
          <w:rFonts w:hint="eastAsia" w:ascii="宋体" w:hAnsi="宋体"/>
          <w:color w:val="auto"/>
          <w:szCs w:val="21"/>
          <w:lang w:eastAsia="zh-CN"/>
        </w:rPr>
        <w:t>：</w:t>
      </w:r>
      <w:r>
        <w:rPr>
          <w:rFonts w:hint="eastAsia" w:ascii="宋体" w:hAnsi="宋体"/>
          <w:color w:val="auto"/>
          <w:szCs w:val="21"/>
          <w:u w:val="single"/>
        </w:rPr>
        <w:t>卢女士</w:t>
      </w:r>
    </w:p>
    <w:p w14:paraId="6290D7F0">
      <w:pPr>
        <w:adjustRightInd w:val="0"/>
        <w:snapToGrid w:val="0"/>
        <w:spacing w:line="360" w:lineRule="auto"/>
        <w:ind w:firstLine="420" w:firstLineChars="200"/>
        <w:rPr>
          <w:rFonts w:hint="default" w:ascii="宋体" w:hAnsi="宋体" w:eastAsia="宋体"/>
          <w:color w:val="auto"/>
          <w:szCs w:val="21"/>
          <w:u w:val="single"/>
          <w:lang w:val="en-US" w:eastAsia="zh-CN"/>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）电  话：</w:t>
      </w:r>
      <w:r>
        <w:rPr>
          <w:rFonts w:hint="eastAsia" w:ascii="宋体" w:hAnsi="宋体"/>
          <w:color w:val="auto"/>
          <w:szCs w:val="21"/>
          <w:u w:val="single"/>
          <w:lang w:val="en-US" w:eastAsia="zh-CN"/>
        </w:rPr>
        <w:t>0745-2557950</w:t>
      </w:r>
    </w:p>
    <w:p w14:paraId="057DFC69">
      <w:pPr>
        <w:adjustRightInd w:val="0"/>
        <w:snapToGrid w:val="0"/>
        <w:spacing w:line="360" w:lineRule="auto"/>
        <w:ind w:firstLine="411" w:firstLineChars="196"/>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采购代理机构信息</w:t>
      </w:r>
    </w:p>
    <w:p w14:paraId="53270020">
      <w:pPr>
        <w:keepNext w:val="0"/>
        <w:keepLines w:val="0"/>
        <w:widowControl/>
        <w:suppressLineNumbers w:val="0"/>
        <w:spacing w:before="100" w:beforeAutospacing="0" w:after="100" w:afterAutospacing="0" w:line="360" w:lineRule="atLeast"/>
        <w:ind w:left="0" w:right="0" w:firstLine="413"/>
        <w:jc w:val="left"/>
        <w:rPr>
          <w:rFonts w:hint="eastAsia" w:ascii="宋体" w:hAnsi="宋体" w:eastAsia="宋体" w:cs="宋体"/>
          <w:i w:val="0"/>
          <w:iCs w:val="0"/>
          <w:caps w:val="0"/>
          <w:color w:val="000000"/>
          <w:spacing w:val="0"/>
          <w:kern w:val="0"/>
          <w:sz w:val="21"/>
          <w:szCs w:val="21"/>
          <w:u w:val="single"/>
          <w:lang w:val="en-US" w:eastAsia="zh-CN" w:bidi="ar"/>
        </w:rPr>
      </w:pPr>
      <w:r>
        <w:rPr>
          <w:rFonts w:hint="eastAsia" w:ascii="宋体" w:hAnsi="宋体" w:eastAsia="宋体" w:cs="宋体"/>
          <w:i w:val="0"/>
          <w:iCs w:val="0"/>
          <w:caps w:val="0"/>
          <w:color w:val="000000"/>
          <w:spacing w:val="0"/>
          <w:kern w:val="0"/>
          <w:sz w:val="21"/>
          <w:szCs w:val="21"/>
          <w:lang w:val="en-US" w:eastAsia="zh-CN" w:bidi="ar"/>
        </w:rPr>
        <w:t>（1）名  称：</w:t>
      </w:r>
      <w:r>
        <w:rPr>
          <w:rFonts w:hint="eastAsia" w:ascii="宋体" w:hAnsi="宋体" w:eastAsia="宋体" w:cs="宋体"/>
          <w:i w:val="0"/>
          <w:iCs w:val="0"/>
          <w:caps w:val="0"/>
          <w:color w:val="000000"/>
          <w:spacing w:val="0"/>
          <w:kern w:val="0"/>
          <w:sz w:val="21"/>
          <w:szCs w:val="21"/>
          <w:u w:val="single"/>
          <w:lang w:val="en-US" w:eastAsia="zh-CN" w:bidi="ar"/>
        </w:rPr>
        <w:t xml:space="preserve"> 湖南智立方工程项目管理有限公司</w:t>
      </w:r>
    </w:p>
    <w:p w14:paraId="51EF30EE">
      <w:pPr>
        <w:keepNext w:val="0"/>
        <w:keepLines w:val="0"/>
        <w:widowControl/>
        <w:suppressLineNumbers w:val="0"/>
        <w:spacing w:before="100" w:beforeAutospacing="0" w:after="100" w:afterAutospacing="0" w:line="360" w:lineRule="atLeast"/>
        <w:ind w:left="0" w:right="0" w:firstLine="413"/>
        <w:jc w:val="left"/>
        <w:rPr>
          <w:rFonts w:hint="eastAsia" w:ascii="宋体" w:hAnsi="宋体" w:eastAsia="宋体" w:cs="宋体"/>
          <w:i w:val="0"/>
          <w:iCs w:val="0"/>
          <w:caps w:val="0"/>
          <w:color w:val="000000"/>
          <w:spacing w:val="0"/>
          <w:kern w:val="0"/>
          <w:sz w:val="21"/>
          <w:szCs w:val="21"/>
          <w:u w:val="single"/>
          <w:lang w:val="en-US" w:eastAsia="zh-CN" w:bidi="ar"/>
        </w:rPr>
      </w:pPr>
      <w:r>
        <w:rPr>
          <w:rFonts w:hint="eastAsia" w:ascii="宋体" w:hAnsi="宋体" w:eastAsia="宋体" w:cs="宋体"/>
          <w:i w:val="0"/>
          <w:iCs w:val="0"/>
          <w:caps w:val="0"/>
          <w:color w:val="000000"/>
          <w:spacing w:val="0"/>
          <w:kern w:val="0"/>
          <w:sz w:val="21"/>
          <w:szCs w:val="21"/>
          <w:lang w:val="en-US" w:eastAsia="zh-CN" w:bidi="ar"/>
        </w:rPr>
        <w:t>（2）地  址：</w:t>
      </w:r>
      <w:r>
        <w:rPr>
          <w:rFonts w:hint="eastAsia" w:ascii="宋体" w:hAnsi="宋体" w:eastAsia="宋体" w:cs="宋体"/>
          <w:i w:val="0"/>
          <w:iCs w:val="0"/>
          <w:caps w:val="0"/>
          <w:color w:val="000000"/>
          <w:spacing w:val="0"/>
          <w:kern w:val="0"/>
          <w:sz w:val="21"/>
          <w:szCs w:val="21"/>
          <w:u w:val="single"/>
          <w:lang w:val="en-US" w:eastAsia="zh-CN" w:bidi="ar"/>
        </w:rPr>
        <w:t>怀化市鹤城区南环路碧桂园</w:t>
      </w:r>
      <w:r>
        <w:rPr>
          <w:rFonts w:hint="eastAsia" w:ascii="宋体" w:hAnsi="宋体" w:cs="宋体"/>
          <w:i w:val="0"/>
          <w:iCs w:val="0"/>
          <w:caps w:val="0"/>
          <w:color w:val="000000"/>
          <w:spacing w:val="0"/>
          <w:kern w:val="0"/>
          <w:sz w:val="21"/>
          <w:szCs w:val="21"/>
          <w:u w:val="single"/>
          <w:lang w:val="en-US" w:eastAsia="zh-CN" w:bidi="ar"/>
        </w:rPr>
        <w:t>鹤州府</w:t>
      </w:r>
      <w:r>
        <w:rPr>
          <w:rFonts w:hint="eastAsia" w:ascii="宋体" w:hAnsi="宋体" w:eastAsia="宋体" w:cs="宋体"/>
          <w:i w:val="0"/>
          <w:iCs w:val="0"/>
          <w:caps w:val="0"/>
          <w:color w:val="000000"/>
          <w:spacing w:val="0"/>
          <w:kern w:val="0"/>
          <w:sz w:val="21"/>
          <w:szCs w:val="21"/>
          <w:u w:val="single"/>
          <w:lang w:val="en-US" w:eastAsia="zh-CN" w:bidi="ar"/>
        </w:rPr>
        <w:t>20栋1单元1802号</w:t>
      </w:r>
    </w:p>
    <w:p w14:paraId="5A03C102">
      <w:pPr>
        <w:keepNext w:val="0"/>
        <w:keepLines w:val="0"/>
        <w:widowControl/>
        <w:suppressLineNumbers w:val="0"/>
        <w:spacing w:before="100" w:beforeAutospacing="0" w:after="100" w:afterAutospacing="0" w:line="360" w:lineRule="atLeast"/>
        <w:ind w:left="0" w:right="0" w:firstLine="413"/>
        <w:jc w:val="left"/>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 xml:space="preserve">（3）联系人： </w:t>
      </w:r>
      <w:r>
        <w:rPr>
          <w:rFonts w:hint="eastAsia" w:ascii="宋体" w:hAnsi="宋体" w:eastAsia="宋体" w:cs="宋体"/>
          <w:i w:val="0"/>
          <w:iCs w:val="0"/>
          <w:caps w:val="0"/>
          <w:color w:val="000000"/>
          <w:spacing w:val="0"/>
          <w:kern w:val="0"/>
          <w:sz w:val="21"/>
          <w:szCs w:val="21"/>
          <w:u w:val="single"/>
          <w:lang w:val="en-US" w:eastAsia="zh-CN" w:bidi="ar"/>
        </w:rPr>
        <w:t xml:space="preserve">段女士 </w:t>
      </w:r>
    </w:p>
    <w:p w14:paraId="473B6DA9">
      <w:pPr>
        <w:keepNext w:val="0"/>
        <w:keepLines w:val="0"/>
        <w:widowControl/>
        <w:suppressLineNumbers w:val="0"/>
        <w:spacing w:before="100" w:beforeAutospacing="0" w:after="100" w:afterAutospacing="0" w:line="360" w:lineRule="atLeast"/>
        <w:ind w:left="0" w:right="0" w:firstLine="413"/>
        <w:jc w:val="left"/>
        <w:rPr>
          <w:rFonts w:hint="default"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（4）电  话：</w:t>
      </w:r>
      <w:r>
        <w:rPr>
          <w:rFonts w:hint="eastAsia" w:ascii="宋体" w:hAnsi="宋体" w:cs="宋体"/>
          <w:i w:val="0"/>
          <w:iCs w:val="0"/>
          <w:caps w:val="0"/>
          <w:color w:val="000000"/>
          <w:spacing w:val="0"/>
          <w:kern w:val="0"/>
          <w:sz w:val="21"/>
          <w:szCs w:val="21"/>
          <w:u w:val="single"/>
          <w:lang w:val="en-US" w:eastAsia="zh-CN" w:bidi="ar"/>
        </w:rPr>
        <w:t>15115205142</w:t>
      </w:r>
    </w:p>
    <w:p w14:paraId="467685F3">
      <w:pPr>
        <w:rPr>
          <w:rFonts w:hint="eastAsia" w:ascii="宋体" w:hAnsi="宋体"/>
          <w:color w:val="000000" w:themeColor="text1"/>
          <w:szCs w:val="21"/>
          <w:u w:val="single"/>
          <w:lang w:val="en-US" w:eastAsia="zh-CN"/>
          <w14:textFill>
            <w14:solidFill>
              <w14:schemeClr w14:val="tx1"/>
            </w14:solidFill>
          </w14:textFill>
        </w:rPr>
      </w:pPr>
      <w:r>
        <w:rPr>
          <w:rFonts w:hint="eastAsia" w:ascii="宋体" w:hAnsi="宋体"/>
          <w:color w:val="000000" w:themeColor="text1"/>
          <w:szCs w:val="21"/>
          <w:u w:val="single"/>
          <w:lang w:val="en-US" w:eastAsia="zh-CN"/>
          <w14:textFill>
            <w14:solidFill>
              <w14:schemeClr w14:val="tx1"/>
            </w14:solidFill>
          </w14:textFill>
        </w:rPr>
        <w:br w:type="page"/>
      </w:r>
    </w:p>
    <w:p w14:paraId="121FB347">
      <w:pPr>
        <w:pStyle w:val="4"/>
        <w:adjustRightInd w:val="0"/>
        <w:snapToGrid w:val="0"/>
        <w:spacing w:before="0" w:after="0" w:line="360" w:lineRule="auto"/>
        <w:rPr>
          <w:rFonts w:ascii="宋体"/>
          <w:sz w:val="21"/>
          <w:szCs w:val="21"/>
        </w:rPr>
      </w:pPr>
      <w:bookmarkStart w:id="23" w:name="_Toc20576"/>
      <w:bookmarkStart w:id="24" w:name="_Toc30849"/>
      <w:r>
        <w:rPr>
          <w:rFonts w:hint="eastAsia" w:ascii="宋体" w:hAnsi="宋体" w:cs="宋体"/>
          <w:sz w:val="21"/>
          <w:szCs w:val="21"/>
        </w:rPr>
        <w:t>附件：</w:t>
      </w:r>
      <w:r>
        <w:rPr>
          <w:rFonts w:hint="eastAsia" w:ascii="宋体" w:hAnsi="宋体" w:cs="宋体"/>
          <w:spacing w:val="-3"/>
          <w:sz w:val="21"/>
          <w:szCs w:val="21"/>
        </w:rPr>
        <w:t>确</w:t>
      </w:r>
      <w:r>
        <w:rPr>
          <w:rFonts w:hint="eastAsia" w:ascii="宋体" w:hAnsi="宋体" w:cs="宋体"/>
          <w:sz w:val="21"/>
          <w:szCs w:val="21"/>
        </w:rPr>
        <w:t>认通知</w:t>
      </w:r>
      <w:bookmarkEnd w:id="23"/>
      <w:bookmarkEnd w:id="24"/>
    </w:p>
    <w:p w14:paraId="749B5742">
      <w:pPr>
        <w:autoSpaceDE w:val="0"/>
        <w:autoSpaceDN w:val="0"/>
        <w:adjustRightInd w:val="0"/>
        <w:snapToGrid w:val="0"/>
        <w:spacing w:beforeLines="50" w:line="360" w:lineRule="auto"/>
        <w:ind w:right="3816"/>
        <w:jc w:val="center"/>
        <w:rPr>
          <w:rFonts w:ascii="黑体" w:hAnsi="黑体" w:eastAsia="黑体"/>
          <w:b/>
          <w:bCs/>
          <w:kern w:val="0"/>
          <w:sz w:val="28"/>
          <w:szCs w:val="28"/>
        </w:rPr>
      </w:pPr>
      <w:r>
        <w:rPr>
          <w:rFonts w:ascii="黑体" w:hAnsi="黑体" w:eastAsia="黑体" w:cs="黑体"/>
          <w:kern w:val="0"/>
          <w:position w:val="-3"/>
          <w:sz w:val="28"/>
          <w:szCs w:val="28"/>
        </w:rPr>
        <w:t xml:space="preserve">                      </w:t>
      </w:r>
      <w:r>
        <w:rPr>
          <w:rFonts w:ascii="黑体" w:hAnsi="黑体" w:eastAsia="黑体" w:cs="黑体"/>
          <w:b/>
          <w:bCs/>
          <w:kern w:val="0"/>
          <w:position w:val="-3"/>
          <w:sz w:val="28"/>
          <w:szCs w:val="28"/>
        </w:rPr>
        <w:t xml:space="preserve"> </w:t>
      </w:r>
      <w:r>
        <w:rPr>
          <w:rFonts w:hint="eastAsia" w:ascii="黑体" w:hAnsi="黑体" w:eastAsia="黑体" w:cs="黑体"/>
          <w:b/>
          <w:bCs/>
          <w:kern w:val="0"/>
          <w:position w:val="-3"/>
          <w:sz w:val="28"/>
          <w:szCs w:val="28"/>
        </w:rPr>
        <w:t>确认通知</w:t>
      </w:r>
    </w:p>
    <w:p w14:paraId="7864C075">
      <w:pPr>
        <w:tabs>
          <w:tab w:val="left" w:pos="1980"/>
        </w:tabs>
        <w:autoSpaceDE w:val="0"/>
        <w:autoSpaceDN w:val="0"/>
        <w:adjustRightInd w:val="0"/>
        <w:snapToGrid w:val="0"/>
        <w:spacing w:beforeLines="50" w:line="360" w:lineRule="auto"/>
        <w:ind w:right="-20"/>
        <w:jc w:val="left"/>
        <w:rPr>
          <w:rFonts w:hint="eastAsia" w:asciiTheme="minorEastAsia" w:hAnsiTheme="minorEastAsia" w:eastAsiaTheme="minorEastAsia" w:cstheme="minorEastAsia"/>
          <w:spacing w:val="-108"/>
          <w:kern w:val="0"/>
          <w:position w:val="-2"/>
          <w:sz w:val="24"/>
          <w:szCs w:val="24"/>
        </w:rPr>
      </w:pPr>
      <w:r>
        <w:rPr>
          <w:rFonts w:hint="eastAsia" w:asciiTheme="minorEastAsia" w:hAnsiTheme="minorEastAsia" w:eastAsiaTheme="minorEastAsia" w:cstheme="minorEastAsia"/>
          <w:w w:val="169"/>
          <w:kern w:val="0"/>
          <w:position w:val="-2"/>
          <w:sz w:val="24"/>
          <w:szCs w:val="24"/>
          <w:u w:val="single"/>
        </w:rPr>
        <w:t xml:space="preserve">         </w:t>
      </w:r>
      <w:r>
        <w:rPr>
          <w:rFonts w:hint="eastAsia" w:asciiTheme="minorEastAsia" w:hAnsiTheme="minorEastAsia" w:eastAsiaTheme="minorEastAsia" w:cstheme="minorEastAsia"/>
          <w:kern w:val="0"/>
          <w:position w:val="-2"/>
          <w:sz w:val="24"/>
          <w:szCs w:val="24"/>
        </w:rPr>
        <w:t>（采购人、采购代理机构</w:t>
      </w:r>
      <w:r>
        <w:rPr>
          <w:rFonts w:hint="eastAsia" w:asciiTheme="minorEastAsia" w:hAnsiTheme="minorEastAsia" w:eastAsiaTheme="minorEastAsia" w:cstheme="minorEastAsia"/>
          <w:spacing w:val="-2"/>
          <w:kern w:val="0"/>
          <w:sz w:val="24"/>
          <w:szCs w:val="24"/>
        </w:rPr>
        <w:t>）：</w:t>
      </w:r>
    </w:p>
    <w:p w14:paraId="2E0B8B72">
      <w:pPr>
        <w:tabs>
          <w:tab w:val="left" w:pos="1980"/>
        </w:tabs>
        <w:autoSpaceDE w:val="0"/>
        <w:autoSpaceDN w:val="0"/>
        <w:adjustRightInd w:val="0"/>
        <w:snapToGrid w:val="0"/>
        <w:spacing w:beforeLines="50" w:line="360" w:lineRule="auto"/>
        <w:ind w:right="-23"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position w:val="-2"/>
          <w:sz w:val="24"/>
          <w:szCs w:val="24"/>
        </w:rPr>
        <w:t>我单位</w:t>
      </w:r>
      <w:r>
        <w:rPr>
          <w:rFonts w:hint="eastAsia" w:asciiTheme="minorEastAsia" w:hAnsiTheme="minorEastAsia" w:eastAsiaTheme="minorEastAsia" w:cstheme="minorEastAsia"/>
          <w:spacing w:val="-2"/>
          <w:kern w:val="0"/>
          <w:position w:val="-2"/>
          <w:sz w:val="24"/>
          <w:szCs w:val="24"/>
        </w:rPr>
        <w:t>已</w:t>
      </w:r>
      <w:r>
        <w:rPr>
          <w:rFonts w:hint="eastAsia" w:asciiTheme="minorEastAsia" w:hAnsiTheme="minorEastAsia" w:eastAsiaTheme="minorEastAsia" w:cstheme="minorEastAsia"/>
          <w:kern w:val="0"/>
          <w:position w:val="-2"/>
          <w:sz w:val="24"/>
          <w:szCs w:val="24"/>
        </w:rPr>
        <w:t>于</w:t>
      </w:r>
      <w:r>
        <w:rPr>
          <w:rFonts w:hint="eastAsia" w:asciiTheme="minorEastAsia" w:hAnsiTheme="minorEastAsia" w:eastAsiaTheme="minorEastAsia" w:cstheme="minorEastAsia"/>
          <w:w w:val="169"/>
          <w:kern w:val="0"/>
          <w:position w:val="-2"/>
          <w:sz w:val="24"/>
          <w:szCs w:val="24"/>
          <w:u w:val="single"/>
        </w:rPr>
        <w:t xml:space="preserve">     </w:t>
      </w:r>
      <w:r>
        <w:rPr>
          <w:rFonts w:hint="eastAsia" w:asciiTheme="minorEastAsia" w:hAnsiTheme="minorEastAsia" w:eastAsiaTheme="minorEastAsia" w:cstheme="minorEastAsia"/>
          <w:spacing w:val="1"/>
          <w:kern w:val="0"/>
          <w:position w:val="-2"/>
          <w:sz w:val="24"/>
          <w:szCs w:val="24"/>
        </w:rPr>
        <w:t>年</w:t>
      </w:r>
      <w:r>
        <w:rPr>
          <w:rFonts w:hint="eastAsia" w:asciiTheme="minorEastAsia" w:hAnsiTheme="minorEastAsia" w:eastAsiaTheme="minorEastAsia" w:cstheme="minorEastAsia"/>
          <w:w w:val="169"/>
          <w:kern w:val="0"/>
          <w:position w:val="-2"/>
          <w:sz w:val="24"/>
          <w:szCs w:val="24"/>
          <w:u w:val="single"/>
        </w:rPr>
        <w:t xml:space="preserve">  </w:t>
      </w:r>
      <w:r>
        <w:rPr>
          <w:rFonts w:hint="eastAsia" w:asciiTheme="minorEastAsia" w:hAnsiTheme="minorEastAsia" w:eastAsiaTheme="minorEastAsia" w:cstheme="minorEastAsia"/>
          <w:kern w:val="0"/>
          <w:position w:val="-2"/>
          <w:sz w:val="24"/>
          <w:szCs w:val="24"/>
        </w:rPr>
        <w:t>月</w:t>
      </w:r>
      <w:r>
        <w:rPr>
          <w:rFonts w:hint="eastAsia" w:asciiTheme="minorEastAsia" w:hAnsiTheme="minorEastAsia" w:eastAsiaTheme="minorEastAsia" w:cstheme="minorEastAsia"/>
          <w:w w:val="169"/>
          <w:kern w:val="0"/>
          <w:position w:val="-2"/>
          <w:sz w:val="24"/>
          <w:szCs w:val="24"/>
          <w:u w:val="single"/>
        </w:rPr>
        <w:t xml:space="preserve">  </w:t>
      </w:r>
      <w:r>
        <w:rPr>
          <w:rFonts w:hint="eastAsia" w:asciiTheme="minorEastAsia" w:hAnsiTheme="minorEastAsia" w:eastAsiaTheme="minorEastAsia" w:cstheme="minorEastAsia"/>
          <w:spacing w:val="-2"/>
          <w:kern w:val="0"/>
          <w:position w:val="-2"/>
          <w:sz w:val="24"/>
          <w:szCs w:val="24"/>
        </w:rPr>
        <w:t>日</w:t>
      </w:r>
      <w:r>
        <w:rPr>
          <w:rFonts w:hint="eastAsia" w:asciiTheme="minorEastAsia" w:hAnsiTheme="minorEastAsia" w:eastAsiaTheme="minorEastAsia" w:cstheme="minorEastAsia"/>
          <w:kern w:val="0"/>
          <w:position w:val="-2"/>
          <w:sz w:val="24"/>
          <w:szCs w:val="24"/>
        </w:rPr>
        <w:t>收</w:t>
      </w:r>
      <w:r>
        <w:rPr>
          <w:rFonts w:hint="eastAsia" w:asciiTheme="minorEastAsia" w:hAnsiTheme="minorEastAsia" w:eastAsiaTheme="minorEastAsia" w:cstheme="minorEastAsia"/>
          <w:spacing w:val="-2"/>
          <w:kern w:val="0"/>
          <w:position w:val="-2"/>
          <w:sz w:val="24"/>
          <w:szCs w:val="24"/>
        </w:rPr>
        <w:t>到</w:t>
      </w:r>
      <w:r>
        <w:rPr>
          <w:rFonts w:hint="eastAsia" w:asciiTheme="minorEastAsia" w:hAnsiTheme="minorEastAsia" w:eastAsiaTheme="minorEastAsia" w:cstheme="minorEastAsia"/>
          <w:kern w:val="0"/>
          <w:position w:val="-2"/>
          <w:sz w:val="24"/>
          <w:szCs w:val="24"/>
        </w:rPr>
        <w:t>你单位</w:t>
      </w:r>
      <w:r>
        <w:rPr>
          <w:rFonts w:hint="eastAsia" w:asciiTheme="minorEastAsia" w:hAnsiTheme="minorEastAsia" w:eastAsiaTheme="minorEastAsia" w:cstheme="minorEastAsia"/>
          <w:w w:val="169"/>
          <w:kern w:val="0"/>
          <w:position w:val="-2"/>
          <w:sz w:val="24"/>
          <w:szCs w:val="24"/>
          <w:u w:val="single"/>
        </w:rPr>
        <w:t xml:space="preserve">    </w:t>
      </w:r>
      <w:r>
        <w:rPr>
          <w:rFonts w:hint="eastAsia" w:asciiTheme="minorEastAsia" w:hAnsiTheme="minorEastAsia" w:eastAsiaTheme="minorEastAsia" w:cstheme="minorEastAsia"/>
          <w:kern w:val="0"/>
          <w:position w:val="-2"/>
          <w:sz w:val="24"/>
          <w:szCs w:val="24"/>
        </w:rPr>
        <w:t>年</w:t>
      </w:r>
      <w:r>
        <w:rPr>
          <w:rFonts w:hint="eastAsia" w:asciiTheme="minorEastAsia" w:hAnsiTheme="minorEastAsia" w:eastAsiaTheme="minorEastAsia" w:cstheme="minorEastAsia"/>
          <w:w w:val="169"/>
          <w:kern w:val="0"/>
          <w:position w:val="-2"/>
          <w:sz w:val="24"/>
          <w:szCs w:val="24"/>
          <w:u w:val="single"/>
        </w:rPr>
        <w:t xml:space="preserve">  </w:t>
      </w:r>
      <w:r>
        <w:rPr>
          <w:rFonts w:hint="eastAsia" w:asciiTheme="minorEastAsia" w:hAnsiTheme="minorEastAsia" w:eastAsiaTheme="minorEastAsia" w:cstheme="minorEastAsia"/>
          <w:spacing w:val="1"/>
          <w:kern w:val="0"/>
          <w:position w:val="-2"/>
          <w:sz w:val="24"/>
          <w:szCs w:val="24"/>
        </w:rPr>
        <w:t>月</w:t>
      </w:r>
      <w:r>
        <w:rPr>
          <w:rFonts w:hint="eastAsia" w:asciiTheme="minorEastAsia" w:hAnsiTheme="minorEastAsia" w:eastAsiaTheme="minorEastAsia" w:cstheme="minorEastAsia"/>
          <w:w w:val="169"/>
          <w:kern w:val="0"/>
          <w:position w:val="-2"/>
          <w:sz w:val="24"/>
          <w:szCs w:val="24"/>
          <w:u w:val="single"/>
        </w:rPr>
        <w:t xml:space="preserve">  </w:t>
      </w:r>
      <w:r>
        <w:rPr>
          <w:rFonts w:hint="eastAsia" w:asciiTheme="minorEastAsia" w:hAnsiTheme="minorEastAsia" w:eastAsiaTheme="minorEastAsia" w:cstheme="minorEastAsia"/>
          <w:kern w:val="0"/>
          <w:position w:val="-2"/>
          <w:sz w:val="24"/>
          <w:szCs w:val="24"/>
        </w:rPr>
        <w:t>日发</w:t>
      </w:r>
      <w:r>
        <w:rPr>
          <w:rFonts w:hint="eastAsia" w:asciiTheme="minorEastAsia" w:hAnsiTheme="minorEastAsia" w:eastAsiaTheme="minorEastAsia" w:cstheme="minorEastAsia"/>
          <w:spacing w:val="-2"/>
          <w:kern w:val="0"/>
          <w:position w:val="-2"/>
          <w:sz w:val="24"/>
          <w:szCs w:val="24"/>
        </w:rPr>
        <w:t>出</w:t>
      </w:r>
      <w:r>
        <w:rPr>
          <w:rFonts w:hint="eastAsia" w:asciiTheme="minorEastAsia" w:hAnsiTheme="minorEastAsia" w:eastAsiaTheme="minorEastAsia" w:cstheme="minorEastAsia"/>
          <w:kern w:val="0"/>
          <w:position w:val="-2"/>
          <w:sz w:val="24"/>
          <w:szCs w:val="24"/>
        </w:rPr>
        <w:t>的</w:t>
      </w:r>
      <w:r>
        <w:rPr>
          <w:rFonts w:hint="eastAsia" w:asciiTheme="minorEastAsia" w:hAnsiTheme="minorEastAsia" w:eastAsiaTheme="minorEastAsia" w:cstheme="minorEastAsia"/>
          <w:spacing w:val="43"/>
          <w:kern w:val="0"/>
          <w:position w:val="-2"/>
          <w:sz w:val="24"/>
          <w:szCs w:val="24"/>
          <w:u w:val="single"/>
        </w:rPr>
        <w:t xml:space="preserve">     </w:t>
      </w:r>
      <w:r>
        <w:rPr>
          <w:rFonts w:hint="eastAsia" w:asciiTheme="minorEastAsia" w:hAnsiTheme="minorEastAsia" w:eastAsiaTheme="minorEastAsia" w:cstheme="minorEastAsia"/>
          <w:spacing w:val="-2"/>
          <w:kern w:val="0"/>
          <w:position w:val="-2"/>
          <w:sz w:val="24"/>
          <w:szCs w:val="24"/>
        </w:rPr>
        <w:t>（</w:t>
      </w:r>
      <w:r>
        <w:rPr>
          <w:rFonts w:hint="eastAsia" w:asciiTheme="minorEastAsia" w:hAnsiTheme="minorEastAsia" w:eastAsiaTheme="minorEastAsia" w:cstheme="minorEastAsia"/>
          <w:kern w:val="0"/>
          <w:position w:val="-2"/>
          <w:sz w:val="24"/>
          <w:szCs w:val="24"/>
        </w:rPr>
        <w:t>项</w:t>
      </w:r>
      <w:r>
        <w:rPr>
          <w:rFonts w:hint="eastAsia" w:asciiTheme="minorEastAsia" w:hAnsiTheme="minorEastAsia" w:eastAsiaTheme="minorEastAsia" w:cstheme="minorEastAsia"/>
          <w:spacing w:val="-2"/>
          <w:kern w:val="0"/>
          <w:position w:val="-2"/>
          <w:sz w:val="24"/>
          <w:szCs w:val="24"/>
        </w:rPr>
        <w:t>目</w:t>
      </w:r>
      <w:r>
        <w:rPr>
          <w:rFonts w:hint="eastAsia" w:asciiTheme="minorEastAsia" w:hAnsiTheme="minorEastAsia" w:eastAsiaTheme="minorEastAsia" w:cstheme="minorEastAsia"/>
          <w:kern w:val="0"/>
          <w:position w:val="-2"/>
          <w:sz w:val="24"/>
          <w:szCs w:val="24"/>
        </w:rPr>
        <w:t>名称</w:t>
      </w:r>
      <w:r>
        <w:rPr>
          <w:rFonts w:hint="eastAsia" w:asciiTheme="minorEastAsia" w:hAnsiTheme="minorEastAsia" w:eastAsiaTheme="minorEastAsia" w:cstheme="minorEastAsia"/>
          <w:spacing w:val="-22"/>
          <w:kern w:val="0"/>
          <w:position w:val="-2"/>
          <w:sz w:val="24"/>
          <w:szCs w:val="24"/>
        </w:rPr>
        <w:t>）</w:t>
      </w:r>
      <w:r>
        <w:rPr>
          <w:rFonts w:hint="eastAsia" w:asciiTheme="minorEastAsia" w:hAnsiTheme="minorEastAsia" w:eastAsiaTheme="minorEastAsia" w:cstheme="minorEastAsia"/>
          <w:kern w:val="0"/>
          <w:position w:val="-2"/>
          <w:sz w:val="24"/>
          <w:szCs w:val="24"/>
        </w:rPr>
        <w:t>谈判邀</w:t>
      </w:r>
      <w:r>
        <w:rPr>
          <w:rFonts w:hint="eastAsia" w:asciiTheme="minorEastAsia" w:hAnsiTheme="minorEastAsia" w:eastAsiaTheme="minorEastAsia" w:cstheme="minorEastAsia"/>
          <w:spacing w:val="-2"/>
          <w:kern w:val="0"/>
          <w:position w:val="-2"/>
          <w:sz w:val="24"/>
          <w:szCs w:val="24"/>
        </w:rPr>
        <w:t>请</w:t>
      </w:r>
      <w:r>
        <w:rPr>
          <w:rFonts w:hint="eastAsia" w:asciiTheme="minorEastAsia" w:hAnsiTheme="minorEastAsia" w:eastAsiaTheme="minorEastAsia" w:cstheme="minorEastAsia"/>
          <w:spacing w:val="-22"/>
          <w:kern w:val="0"/>
          <w:position w:val="-2"/>
          <w:sz w:val="24"/>
          <w:szCs w:val="24"/>
        </w:rPr>
        <w:t>，</w:t>
      </w:r>
      <w:r>
        <w:rPr>
          <w:rFonts w:hint="eastAsia" w:asciiTheme="minorEastAsia" w:hAnsiTheme="minorEastAsia" w:eastAsiaTheme="minorEastAsia" w:cstheme="minorEastAsia"/>
          <w:spacing w:val="-2"/>
          <w:kern w:val="0"/>
          <w:position w:val="-2"/>
          <w:sz w:val="24"/>
          <w:szCs w:val="24"/>
        </w:rPr>
        <w:t>确</w:t>
      </w:r>
      <w:r>
        <w:rPr>
          <w:rFonts w:hint="eastAsia" w:asciiTheme="minorEastAsia" w:hAnsiTheme="minorEastAsia" w:eastAsiaTheme="minorEastAsia" w:cstheme="minorEastAsia"/>
          <w:kern w:val="0"/>
          <w:position w:val="-2"/>
          <w:sz w:val="24"/>
          <w:szCs w:val="24"/>
        </w:rPr>
        <w:t>认</w:t>
      </w:r>
      <w:r>
        <w:rPr>
          <w:rFonts w:hint="eastAsia" w:asciiTheme="minorEastAsia" w:hAnsiTheme="minorEastAsia" w:eastAsiaTheme="minorEastAsia" w:cstheme="minorEastAsia"/>
          <w:spacing w:val="43"/>
          <w:kern w:val="0"/>
          <w:position w:val="-2"/>
          <w:sz w:val="24"/>
          <w:szCs w:val="24"/>
          <w:u w:val="single"/>
        </w:rPr>
        <w:t xml:space="preserve">    </w:t>
      </w:r>
      <w:r>
        <w:rPr>
          <w:rFonts w:hint="eastAsia" w:asciiTheme="minorEastAsia" w:hAnsiTheme="minorEastAsia" w:eastAsiaTheme="minorEastAsia" w:cstheme="minorEastAsia"/>
          <w:spacing w:val="-2"/>
          <w:kern w:val="0"/>
          <w:position w:val="-2"/>
          <w:sz w:val="24"/>
          <w:szCs w:val="24"/>
        </w:rPr>
        <w:t>（参</w:t>
      </w:r>
      <w:r>
        <w:rPr>
          <w:rFonts w:hint="eastAsia" w:asciiTheme="minorEastAsia" w:hAnsiTheme="minorEastAsia" w:eastAsiaTheme="minorEastAsia" w:cstheme="minorEastAsia"/>
          <w:kern w:val="0"/>
          <w:sz w:val="24"/>
          <w:szCs w:val="24"/>
        </w:rPr>
        <w:t>加</w:t>
      </w:r>
      <w:r>
        <w:rPr>
          <w:rFonts w:hint="eastAsia" w:asciiTheme="minorEastAsia" w:hAnsiTheme="minorEastAsia" w:eastAsiaTheme="minorEastAsia" w:cstheme="minorEastAsia"/>
          <w:spacing w:val="-1"/>
          <w:kern w:val="0"/>
          <w:sz w:val="24"/>
          <w:szCs w:val="24"/>
        </w:rPr>
        <w:t>/</w:t>
      </w:r>
      <w:r>
        <w:rPr>
          <w:rFonts w:hint="eastAsia" w:asciiTheme="minorEastAsia" w:hAnsiTheme="minorEastAsia" w:eastAsiaTheme="minorEastAsia" w:cstheme="minorEastAsia"/>
          <w:kern w:val="0"/>
          <w:sz w:val="24"/>
          <w:szCs w:val="24"/>
        </w:rPr>
        <w:t>不</w:t>
      </w:r>
      <w:r>
        <w:rPr>
          <w:rFonts w:hint="eastAsia" w:asciiTheme="minorEastAsia" w:hAnsiTheme="minorEastAsia" w:eastAsiaTheme="minorEastAsia" w:cstheme="minorEastAsia"/>
          <w:spacing w:val="-2"/>
          <w:kern w:val="0"/>
          <w:sz w:val="24"/>
          <w:szCs w:val="24"/>
        </w:rPr>
        <w:t>参</w:t>
      </w:r>
      <w:r>
        <w:rPr>
          <w:rFonts w:hint="eastAsia" w:asciiTheme="minorEastAsia" w:hAnsiTheme="minorEastAsia" w:eastAsiaTheme="minorEastAsia" w:cstheme="minorEastAsia"/>
          <w:kern w:val="0"/>
          <w:sz w:val="24"/>
          <w:szCs w:val="24"/>
        </w:rPr>
        <w:t>加</w:t>
      </w:r>
      <w:r>
        <w:rPr>
          <w:rFonts w:hint="eastAsia" w:asciiTheme="minorEastAsia" w:hAnsiTheme="minorEastAsia" w:eastAsiaTheme="minorEastAsia" w:cstheme="minorEastAsia"/>
          <w:spacing w:val="-2"/>
          <w:kern w:val="0"/>
          <w:sz w:val="24"/>
          <w:szCs w:val="24"/>
        </w:rPr>
        <w:t>）</w:t>
      </w:r>
      <w:r>
        <w:rPr>
          <w:rFonts w:hint="eastAsia" w:asciiTheme="minorEastAsia" w:hAnsiTheme="minorEastAsia" w:eastAsiaTheme="minorEastAsia" w:cstheme="minorEastAsia"/>
          <w:kern w:val="0"/>
          <w:sz w:val="24"/>
          <w:szCs w:val="24"/>
        </w:rPr>
        <w:t>谈判采购。</w:t>
      </w:r>
    </w:p>
    <w:p w14:paraId="3B9A8F94">
      <w:pPr>
        <w:autoSpaceDE w:val="0"/>
        <w:autoSpaceDN w:val="0"/>
        <w:adjustRightInd w:val="0"/>
        <w:snapToGrid w:val="0"/>
        <w:spacing w:beforeLines="50" w:line="360" w:lineRule="auto"/>
        <w:ind w:left="487" w:right="723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2"/>
          <w:kern w:val="0"/>
          <w:position w:val="-4"/>
          <w:sz w:val="24"/>
          <w:szCs w:val="24"/>
        </w:rPr>
        <w:t>特</w:t>
      </w:r>
      <w:r>
        <w:rPr>
          <w:rFonts w:hint="eastAsia" w:asciiTheme="minorEastAsia" w:hAnsiTheme="minorEastAsia" w:eastAsiaTheme="minorEastAsia" w:cstheme="minorEastAsia"/>
          <w:kern w:val="0"/>
          <w:position w:val="-4"/>
          <w:sz w:val="24"/>
          <w:szCs w:val="24"/>
        </w:rPr>
        <w:t>此</w:t>
      </w:r>
      <w:r>
        <w:rPr>
          <w:rFonts w:hint="eastAsia" w:asciiTheme="minorEastAsia" w:hAnsiTheme="minorEastAsia" w:eastAsiaTheme="minorEastAsia" w:cstheme="minorEastAsia"/>
          <w:spacing w:val="-2"/>
          <w:kern w:val="0"/>
          <w:position w:val="-4"/>
          <w:sz w:val="24"/>
          <w:szCs w:val="24"/>
        </w:rPr>
        <w:t>确</w:t>
      </w:r>
      <w:r>
        <w:rPr>
          <w:rFonts w:hint="eastAsia" w:asciiTheme="minorEastAsia" w:hAnsiTheme="minorEastAsia" w:eastAsiaTheme="minorEastAsia" w:cstheme="minorEastAsia"/>
          <w:kern w:val="0"/>
          <w:position w:val="-4"/>
          <w:sz w:val="24"/>
          <w:szCs w:val="24"/>
        </w:rPr>
        <w:t>认。</w:t>
      </w:r>
    </w:p>
    <w:p w14:paraId="5CAE26BD">
      <w:pPr>
        <w:autoSpaceDE w:val="0"/>
        <w:autoSpaceDN w:val="0"/>
        <w:adjustRightInd w:val="0"/>
        <w:snapToGrid w:val="0"/>
        <w:spacing w:beforeLines="50" w:line="360" w:lineRule="auto"/>
        <w:jc w:val="left"/>
        <w:rPr>
          <w:rFonts w:hint="eastAsia" w:asciiTheme="minorEastAsia" w:hAnsiTheme="minorEastAsia" w:eastAsiaTheme="minorEastAsia" w:cstheme="minorEastAsia"/>
          <w:kern w:val="0"/>
          <w:sz w:val="24"/>
          <w:szCs w:val="24"/>
        </w:rPr>
      </w:pPr>
    </w:p>
    <w:p w14:paraId="4FC69B97">
      <w:pPr>
        <w:tabs>
          <w:tab w:val="left" w:pos="7220"/>
        </w:tabs>
        <w:autoSpaceDE w:val="0"/>
        <w:autoSpaceDN w:val="0"/>
        <w:adjustRightInd w:val="0"/>
        <w:snapToGrid w:val="0"/>
        <w:spacing w:beforeLines="50" w:line="360" w:lineRule="auto"/>
        <w:ind w:left="3041" w:right="-2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position w:val="-2"/>
          <w:sz w:val="24"/>
          <w:szCs w:val="24"/>
        </w:rPr>
        <w:t>单</w:t>
      </w:r>
      <w:r>
        <w:rPr>
          <w:rFonts w:hint="eastAsia" w:asciiTheme="minorEastAsia" w:hAnsiTheme="minorEastAsia" w:eastAsiaTheme="minorEastAsia" w:cstheme="minorEastAsia"/>
          <w:spacing w:val="-2"/>
          <w:kern w:val="0"/>
          <w:position w:val="-2"/>
          <w:sz w:val="24"/>
          <w:szCs w:val="24"/>
        </w:rPr>
        <w:t>位</w:t>
      </w:r>
      <w:r>
        <w:rPr>
          <w:rFonts w:hint="eastAsia" w:asciiTheme="minorEastAsia" w:hAnsiTheme="minorEastAsia" w:eastAsiaTheme="minorEastAsia" w:cstheme="minorEastAsia"/>
          <w:kern w:val="0"/>
          <w:position w:val="-2"/>
          <w:sz w:val="24"/>
          <w:szCs w:val="24"/>
        </w:rPr>
        <w:t>名</w:t>
      </w:r>
      <w:r>
        <w:rPr>
          <w:rFonts w:hint="eastAsia" w:asciiTheme="minorEastAsia" w:hAnsiTheme="minorEastAsia" w:eastAsiaTheme="minorEastAsia" w:cstheme="minorEastAsia"/>
          <w:spacing w:val="-2"/>
          <w:kern w:val="0"/>
          <w:position w:val="-2"/>
          <w:sz w:val="24"/>
          <w:szCs w:val="24"/>
        </w:rPr>
        <w:t>称（盖单位公章）</w:t>
      </w:r>
      <w:r>
        <w:rPr>
          <w:rFonts w:hint="eastAsia" w:asciiTheme="minorEastAsia" w:hAnsiTheme="minorEastAsia" w:eastAsiaTheme="minorEastAsia" w:cstheme="minorEastAsia"/>
          <w:kern w:val="0"/>
          <w:position w:val="-2"/>
          <w:sz w:val="24"/>
          <w:szCs w:val="24"/>
        </w:rPr>
        <w:t>：</w:t>
      </w:r>
      <w:r>
        <w:rPr>
          <w:rFonts w:hint="eastAsia" w:asciiTheme="minorEastAsia" w:hAnsiTheme="minorEastAsia" w:eastAsiaTheme="minorEastAsia" w:cstheme="minorEastAsia"/>
          <w:spacing w:val="43"/>
          <w:kern w:val="0"/>
          <w:position w:val="-2"/>
          <w:sz w:val="24"/>
          <w:szCs w:val="24"/>
          <w:u w:val="single"/>
        </w:rPr>
        <w:t xml:space="preserve">            </w:t>
      </w:r>
    </w:p>
    <w:p w14:paraId="0B0AF2AB">
      <w:pPr>
        <w:tabs>
          <w:tab w:val="left" w:pos="7760"/>
        </w:tabs>
        <w:autoSpaceDE w:val="0"/>
        <w:autoSpaceDN w:val="0"/>
        <w:adjustRightInd w:val="0"/>
        <w:snapToGrid w:val="0"/>
        <w:spacing w:beforeLines="50" w:line="360" w:lineRule="auto"/>
        <w:ind w:left="3041" w:right="-2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position w:val="-2"/>
          <w:sz w:val="24"/>
          <w:szCs w:val="24"/>
        </w:rPr>
        <w:t>法定</w:t>
      </w:r>
      <w:r>
        <w:rPr>
          <w:rFonts w:hint="eastAsia" w:asciiTheme="minorEastAsia" w:hAnsiTheme="minorEastAsia" w:eastAsiaTheme="minorEastAsia" w:cstheme="minorEastAsia"/>
          <w:spacing w:val="-2"/>
          <w:kern w:val="0"/>
          <w:position w:val="-2"/>
          <w:sz w:val="24"/>
          <w:szCs w:val="24"/>
        </w:rPr>
        <w:t>代</w:t>
      </w:r>
      <w:r>
        <w:rPr>
          <w:rFonts w:hint="eastAsia" w:asciiTheme="minorEastAsia" w:hAnsiTheme="minorEastAsia" w:eastAsiaTheme="minorEastAsia" w:cstheme="minorEastAsia"/>
          <w:kern w:val="0"/>
          <w:position w:val="-2"/>
          <w:sz w:val="24"/>
          <w:szCs w:val="24"/>
        </w:rPr>
        <w:t>表</w:t>
      </w:r>
      <w:r>
        <w:rPr>
          <w:rFonts w:hint="eastAsia" w:asciiTheme="minorEastAsia" w:hAnsiTheme="minorEastAsia" w:eastAsiaTheme="minorEastAsia" w:cstheme="minorEastAsia"/>
          <w:spacing w:val="-2"/>
          <w:kern w:val="0"/>
          <w:position w:val="-2"/>
          <w:sz w:val="24"/>
          <w:szCs w:val="24"/>
        </w:rPr>
        <w:t>人</w:t>
      </w:r>
      <w:r>
        <w:rPr>
          <w:rFonts w:hint="eastAsia" w:asciiTheme="minorEastAsia" w:hAnsiTheme="minorEastAsia" w:eastAsiaTheme="minorEastAsia" w:cstheme="minorEastAsia"/>
          <w:kern w:val="0"/>
          <w:position w:val="-2"/>
          <w:sz w:val="24"/>
          <w:szCs w:val="24"/>
        </w:rPr>
        <w:t>（或</w:t>
      </w:r>
      <w:r>
        <w:rPr>
          <w:rFonts w:hint="eastAsia" w:asciiTheme="minorEastAsia" w:hAnsiTheme="minorEastAsia" w:eastAsiaTheme="minorEastAsia" w:cstheme="minorEastAsia"/>
          <w:spacing w:val="-2"/>
          <w:kern w:val="0"/>
          <w:position w:val="-2"/>
          <w:sz w:val="24"/>
          <w:szCs w:val="24"/>
        </w:rPr>
        <w:t>授权代表人）</w:t>
      </w:r>
      <w:r>
        <w:rPr>
          <w:rFonts w:hint="eastAsia" w:asciiTheme="minorEastAsia" w:hAnsiTheme="minorEastAsia" w:eastAsiaTheme="minorEastAsia" w:cstheme="minorEastAsia"/>
          <w:sz w:val="24"/>
          <w:szCs w:val="24"/>
        </w:rPr>
        <w:t>（签字或印章）：</w:t>
      </w:r>
      <w:r>
        <w:rPr>
          <w:rFonts w:hint="eastAsia" w:asciiTheme="minorEastAsia" w:hAnsiTheme="minorEastAsia" w:eastAsiaTheme="minorEastAsia" w:cstheme="minorEastAsia"/>
          <w:spacing w:val="43"/>
          <w:kern w:val="0"/>
          <w:position w:val="-2"/>
          <w:sz w:val="24"/>
          <w:szCs w:val="24"/>
          <w:u w:val="single"/>
        </w:rPr>
        <w:t xml:space="preserve">        </w:t>
      </w:r>
    </w:p>
    <w:p w14:paraId="33C4D56C">
      <w:pPr>
        <w:rPr>
          <w:rFonts w:hint="eastAsia" w:asciiTheme="minorEastAsia" w:hAnsiTheme="minorEastAsia" w:eastAsiaTheme="minorEastAsia" w:cstheme="minorEastAsia"/>
          <w:w w:val="169"/>
          <w:kern w:val="0"/>
          <w:sz w:val="24"/>
          <w:szCs w:val="24"/>
          <w:u w:val="single"/>
        </w:rPr>
      </w:pPr>
    </w:p>
    <w:p w14:paraId="2DFCB1B2">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6480" w:firstLineChars="1600"/>
        <w:jc w:val="both"/>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w w:val="169"/>
          <w:kern w:val="0"/>
          <w:sz w:val="24"/>
          <w:szCs w:val="24"/>
          <w:u w:val="single"/>
        </w:rPr>
        <w:t xml:space="preserve">     </w:t>
      </w:r>
      <w:r>
        <w:rPr>
          <w:rFonts w:hint="eastAsia" w:asciiTheme="minorEastAsia" w:hAnsiTheme="minorEastAsia" w:eastAsiaTheme="minorEastAsia" w:cstheme="minorEastAsia"/>
          <w:kern w:val="0"/>
          <w:sz w:val="24"/>
          <w:szCs w:val="24"/>
        </w:rPr>
        <w:t xml:space="preserve">年 </w:t>
      </w:r>
      <w:r>
        <w:rPr>
          <w:rFonts w:hint="eastAsia" w:asciiTheme="minorEastAsia" w:hAnsiTheme="minorEastAsia" w:eastAsiaTheme="minorEastAsia" w:cstheme="minorEastAsia"/>
          <w:spacing w:val="43"/>
          <w:kern w:val="0"/>
          <w:sz w:val="24"/>
          <w:szCs w:val="24"/>
          <w:u w:val="single"/>
        </w:rPr>
        <w:t xml:space="preserve"> </w:t>
      </w:r>
      <w:r>
        <w:rPr>
          <w:rFonts w:hint="eastAsia" w:asciiTheme="minorEastAsia" w:hAnsiTheme="minorEastAsia" w:eastAsiaTheme="minorEastAsia" w:cstheme="minorEastAsia"/>
          <w:spacing w:val="-2"/>
          <w:kern w:val="0"/>
          <w:sz w:val="24"/>
          <w:szCs w:val="24"/>
        </w:rPr>
        <w:t>月</w:t>
      </w:r>
      <w:r>
        <w:rPr>
          <w:rFonts w:hint="eastAsia" w:asciiTheme="minorEastAsia" w:hAnsiTheme="minorEastAsia" w:eastAsiaTheme="minorEastAsia" w:cstheme="minorEastAsia"/>
          <w:spacing w:val="43"/>
          <w:kern w:val="0"/>
          <w:sz w:val="24"/>
          <w:szCs w:val="24"/>
          <w:u w:val="single"/>
        </w:rPr>
        <w:t xml:space="preserve">  </w:t>
      </w:r>
      <w:r>
        <w:rPr>
          <w:rFonts w:hint="eastAsia" w:asciiTheme="minorEastAsia" w:hAnsiTheme="minorEastAsia" w:eastAsiaTheme="minorEastAsia" w:cstheme="minorEastAsia"/>
          <w:kern w:val="0"/>
          <w:sz w:val="24"/>
          <w:szCs w:val="24"/>
        </w:rPr>
        <w:t>日</w:t>
      </w:r>
    </w:p>
    <w:p w14:paraId="73E39FBC">
      <w:pPr>
        <w:pStyle w:val="29"/>
        <w:rPr>
          <w:rFonts w:hint="default"/>
          <w:lang w:val="en-US" w:eastAsia="zh-CN"/>
        </w:rPr>
      </w:pPr>
    </w:p>
    <w:p w14:paraId="45120A27">
      <w:pPr>
        <w:pStyle w:val="28"/>
        <w:rPr>
          <w:rFonts w:hint="eastAsia" w:ascii="宋体" w:hAnsi="宋体"/>
          <w:color w:val="000000" w:themeColor="text1"/>
          <w:szCs w:val="21"/>
          <w:u w:val="single"/>
          <w:lang w:val="en-US" w:eastAsia="zh-CN"/>
          <w14:textFill>
            <w14:solidFill>
              <w14:schemeClr w14:val="tx1"/>
            </w14:solidFill>
          </w14:textFill>
        </w:rPr>
      </w:pPr>
    </w:p>
    <w:p w14:paraId="1AB6CFAA">
      <w:pPr>
        <w:pStyle w:val="28"/>
        <w:rPr>
          <w:rFonts w:hint="eastAsia" w:ascii="宋体" w:hAnsi="宋体"/>
          <w:color w:val="000000" w:themeColor="text1"/>
          <w:szCs w:val="21"/>
          <w:u w:val="single"/>
          <w:lang w:val="en-US" w:eastAsia="zh-CN"/>
          <w14:textFill>
            <w14:solidFill>
              <w14:schemeClr w14:val="tx1"/>
            </w14:solidFill>
          </w14:textFill>
        </w:rPr>
      </w:pPr>
    </w:p>
    <w:p w14:paraId="31E96E2D">
      <w:pPr>
        <w:pStyle w:val="28"/>
        <w:rPr>
          <w:rFonts w:hint="eastAsia" w:ascii="宋体" w:hAnsi="宋体"/>
          <w:color w:val="000000" w:themeColor="text1"/>
          <w:szCs w:val="21"/>
          <w:u w:val="single"/>
          <w:lang w:val="en-US" w:eastAsia="zh-CN"/>
          <w14:textFill>
            <w14:solidFill>
              <w14:schemeClr w14:val="tx1"/>
            </w14:solidFill>
          </w14:textFill>
        </w:rPr>
      </w:pPr>
    </w:p>
    <w:p w14:paraId="60BE9F94">
      <w:pPr>
        <w:pStyle w:val="28"/>
        <w:rPr>
          <w:rFonts w:hint="eastAsia" w:ascii="宋体" w:hAnsi="宋体"/>
          <w:color w:val="000000" w:themeColor="text1"/>
          <w:szCs w:val="21"/>
          <w:u w:val="single"/>
          <w:lang w:val="en-US" w:eastAsia="zh-CN"/>
          <w14:textFill>
            <w14:solidFill>
              <w14:schemeClr w14:val="tx1"/>
            </w14:solidFill>
          </w14:textFill>
        </w:rPr>
      </w:pPr>
    </w:p>
    <w:p w14:paraId="7D4A05C1">
      <w:pPr>
        <w:pStyle w:val="28"/>
        <w:rPr>
          <w:rFonts w:hint="eastAsia" w:ascii="宋体" w:hAnsi="宋体"/>
          <w:color w:val="000000" w:themeColor="text1"/>
          <w:szCs w:val="21"/>
          <w:u w:val="single"/>
          <w:lang w:val="en-US" w:eastAsia="zh-CN"/>
          <w14:textFill>
            <w14:solidFill>
              <w14:schemeClr w14:val="tx1"/>
            </w14:solidFill>
          </w14:textFill>
        </w:rPr>
      </w:pPr>
    </w:p>
    <w:p w14:paraId="4F940786">
      <w:pPr>
        <w:pStyle w:val="28"/>
        <w:rPr>
          <w:rFonts w:hint="eastAsia" w:ascii="宋体" w:hAnsi="宋体"/>
          <w:color w:val="000000" w:themeColor="text1"/>
          <w:szCs w:val="21"/>
          <w:u w:val="single"/>
          <w:lang w:val="en-US" w:eastAsia="zh-CN"/>
          <w14:textFill>
            <w14:solidFill>
              <w14:schemeClr w14:val="tx1"/>
            </w14:solidFill>
          </w14:textFill>
        </w:rPr>
      </w:pPr>
    </w:p>
    <w:p w14:paraId="4EA45DC1">
      <w:pPr>
        <w:pStyle w:val="28"/>
        <w:rPr>
          <w:rFonts w:hint="eastAsia" w:ascii="宋体" w:hAnsi="宋体"/>
          <w:color w:val="000000" w:themeColor="text1"/>
          <w:szCs w:val="21"/>
          <w:u w:val="single"/>
          <w:lang w:val="en-US" w:eastAsia="zh-CN"/>
          <w14:textFill>
            <w14:solidFill>
              <w14:schemeClr w14:val="tx1"/>
            </w14:solidFill>
          </w14:textFill>
        </w:rPr>
      </w:pPr>
    </w:p>
    <w:p w14:paraId="47297B28">
      <w:pPr>
        <w:pStyle w:val="28"/>
        <w:rPr>
          <w:rFonts w:hint="eastAsia" w:ascii="宋体" w:hAnsi="宋体"/>
          <w:color w:val="000000" w:themeColor="text1"/>
          <w:szCs w:val="21"/>
          <w:u w:val="single"/>
          <w:lang w:val="en-US" w:eastAsia="zh-CN"/>
          <w14:textFill>
            <w14:solidFill>
              <w14:schemeClr w14:val="tx1"/>
            </w14:solidFill>
          </w14:textFill>
        </w:rPr>
      </w:pPr>
    </w:p>
    <w:p w14:paraId="26A2BC91">
      <w:pPr>
        <w:pStyle w:val="28"/>
        <w:rPr>
          <w:rFonts w:hint="eastAsia" w:ascii="宋体" w:hAnsi="宋体"/>
          <w:color w:val="000000" w:themeColor="text1"/>
          <w:szCs w:val="21"/>
          <w:u w:val="single"/>
          <w:lang w:val="en-US" w:eastAsia="zh-CN"/>
          <w14:textFill>
            <w14:solidFill>
              <w14:schemeClr w14:val="tx1"/>
            </w14:solidFill>
          </w14:textFill>
        </w:rPr>
      </w:pPr>
    </w:p>
    <w:p w14:paraId="43FAC7FE">
      <w:pPr>
        <w:pStyle w:val="28"/>
        <w:rPr>
          <w:rFonts w:hint="eastAsia" w:ascii="宋体" w:hAnsi="宋体"/>
          <w:color w:val="000000" w:themeColor="text1"/>
          <w:szCs w:val="21"/>
          <w:u w:val="single"/>
          <w:lang w:val="en-US" w:eastAsia="zh-CN"/>
          <w14:textFill>
            <w14:solidFill>
              <w14:schemeClr w14:val="tx1"/>
            </w14:solidFill>
          </w14:textFill>
        </w:rPr>
      </w:pPr>
    </w:p>
    <w:p w14:paraId="2CD7DCFF">
      <w:pPr>
        <w:pStyle w:val="28"/>
        <w:rPr>
          <w:rFonts w:hint="eastAsia" w:ascii="宋体" w:hAnsi="宋体"/>
          <w:color w:val="000000" w:themeColor="text1"/>
          <w:szCs w:val="21"/>
          <w:u w:val="single"/>
          <w:lang w:val="en-US" w:eastAsia="zh-CN"/>
          <w14:textFill>
            <w14:solidFill>
              <w14:schemeClr w14:val="tx1"/>
            </w14:solidFill>
          </w14:textFill>
        </w:rPr>
      </w:pPr>
    </w:p>
    <w:p w14:paraId="482F2ADA">
      <w:pPr>
        <w:rPr>
          <w:rFonts w:hint="eastAsia"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br w:type="page"/>
      </w:r>
    </w:p>
    <w:p w14:paraId="01C4A45A">
      <w:pPr>
        <w:keepNext/>
        <w:adjustRightInd w:val="0"/>
        <w:snapToGrid w:val="0"/>
        <w:spacing w:before="156" w:beforeLines="50" w:line="360" w:lineRule="auto"/>
        <w:jc w:val="center"/>
        <w:outlineLvl w:val="0"/>
        <w:rPr>
          <w:rFonts w:ascii="黑体" w:hAnsi="黑体" w:eastAsia="黑体"/>
          <w:b/>
          <w:bCs/>
          <w:color w:val="000000" w:themeColor="text1"/>
          <w:sz w:val="32"/>
          <w:szCs w:val="32"/>
          <w14:textFill>
            <w14:solidFill>
              <w14:schemeClr w14:val="tx1"/>
            </w14:solidFill>
          </w14:textFill>
        </w:rPr>
      </w:pPr>
      <w:bookmarkStart w:id="25" w:name="_Toc8782"/>
      <w:r>
        <w:rPr>
          <w:rFonts w:hint="eastAsia" w:ascii="黑体" w:hAnsi="黑体" w:eastAsia="黑体"/>
          <w:b/>
          <w:bCs/>
          <w:color w:val="000000" w:themeColor="text1"/>
          <w:sz w:val="32"/>
          <w:szCs w:val="32"/>
          <w14:textFill>
            <w14:solidFill>
              <w14:schemeClr w14:val="tx1"/>
            </w14:solidFill>
          </w14:textFill>
        </w:rPr>
        <w:t>第二章 谈判须知</w:t>
      </w:r>
      <w:bookmarkEnd w:id="25"/>
    </w:p>
    <w:p w14:paraId="3A8DC12A">
      <w:pPr>
        <w:keepNext/>
        <w:keepLines/>
        <w:adjustRightInd w:val="0"/>
        <w:snapToGrid w:val="0"/>
        <w:spacing w:before="156" w:beforeLines="50"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26" w:name="_Toc4979"/>
      <w:r>
        <w:rPr>
          <w:rFonts w:hint="eastAsia" w:ascii="黑体" w:hAnsi="黑体" w:eastAsia="黑体"/>
          <w:b/>
          <w:bCs/>
          <w:color w:val="000000" w:themeColor="text1"/>
          <w:sz w:val="28"/>
          <w:szCs w:val="28"/>
          <w14:textFill>
            <w14:solidFill>
              <w14:schemeClr w14:val="tx1"/>
            </w14:solidFill>
          </w14:textFill>
        </w:rPr>
        <w:t>第一节 谈判须知前附表</w:t>
      </w:r>
      <w:bookmarkEnd w:id="26"/>
    </w:p>
    <w:tbl>
      <w:tblPr>
        <w:tblStyle w:val="23"/>
        <w:tblW w:w="9463"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22"/>
        <w:gridCol w:w="2556"/>
        <w:gridCol w:w="5285"/>
      </w:tblGrid>
      <w:tr w14:paraId="0F74AA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tblHeader/>
          <w:jc w:val="center"/>
        </w:trPr>
        <w:tc>
          <w:tcPr>
            <w:tcW w:w="1622" w:type="dxa"/>
            <w:noWrap w:val="0"/>
            <w:vAlign w:val="center"/>
          </w:tcPr>
          <w:p w14:paraId="1BD34471">
            <w:pPr>
              <w:adjustRightInd w:val="0"/>
              <w:snapToGrid w:val="0"/>
              <w:spacing w:before="156" w:beforeLines="50"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条款号</w:t>
            </w:r>
          </w:p>
        </w:tc>
        <w:tc>
          <w:tcPr>
            <w:tcW w:w="2556" w:type="dxa"/>
            <w:noWrap w:val="0"/>
            <w:vAlign w:val="center"/>
          </w:tcPr>
          <w:p w14:paraId="54D20151">
            <w:pPr>
              <w:adjustRightInd w:val="0"/>
              <w:snapToGrid w:val="0"/>
              <w:spacing w:before="156" w:beforeLines="50"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条款名称</w:t>
            </w:r>
          </w:p>
        </w:tc>
        <w:tc>
          <w:tcPr>
            <w:tcW w:w="5285" w:type="dxa"/>
            <w:noWrap w:val="0"/>
            <w:vAlign w:val="center"/>
          </w:tcPr>
          <w:p w14:paraId="35C8C82B">
            <w:pPr>
              <w:adjustRightInd w:val="0"/>
              <w:snapToGrid w:val="0"/>
              <w:spacing w:before="156" w:beforeLines="50"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编列内容规定</w:t>
            </w:r>
          </w:p>
        </w:tc>
      </w:tr>
      <w:tr w14:paraId="7F2901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463" w:type="dxa"/>
            <w:gridSpan w:val="3"/>
            <w:noWrap w:val="0"/>
            <w:vAlign w:val="center"/>
          </w:tcPr>
          <w:p w14:paraId="759E2C8B">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一、说明</w:t>
            </w:r>
          </w:p>
        </w:tc>
      </w:tr>
      <w:tr w14:paraId="171C4D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0C53B315">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第1.1款</w:t>
            </w:r>
          </w:p>
        </w:tc>
        <w:tc>
          <w:tcPr>
            <w:tcW w:w="2556" w:type="dxa"/>
            <w:noWrap w:val="0"/>
            <w:vAlign w:val="center"/>
          </w:tcPr>
          <w:p w14:paraId="2E5DD6B4">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采购项目</w:t>
            </w:r>
          </w:p>
        </w:tc>
        <w:tc>
          <w:tcPr>
            <w:tcW w:w="5285" w:type="dxa"/>
            <w:noWrap w:val="0"/>
            <w:vAlign w:val="center"/>
          </w:tcPr>
          <w:p w14:paraId="1C2AC561">
            <w:pPr>
              <w:adjustRightInd w:val="0"/>
              <w:snapToGrid w:val="0"/>
              <w:spacing w:before="50" w:line="360" w:lineRule="auto"/>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怀化市鹤城区城市建设投资有限公司(区执法局充电桩)配电工程（第三次）</w:t>
            </w:r>
          </w:p>
        </w:tc>
      </w:tr>
      <w:tr w14:paraId="0A2726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1E6EAAFF">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第1.2款</w:t>
            </w:r>
          </w:p>
        </w:tc>
        <w:tc>
          <w:tcPr>
            <w:tcW w:w="2556" w:type="dxa"/>
            <w:noWrap w:val="0"/>
            <w:vAlign w:val="center"/>
          </w:tcPr>
          <w:p w14:paraId="5DDD3DF8">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是否预留采购份额</w:t>
            </w:r>
          </w:p>
        </w:tc>
        <w:tc>
          <w:tcPr>
            <w:tcW w:w="5285" w:type="dxa"/>
            <w:noWrap w:val="0"/>
            <w:vAlign w:val="center"/>
          </w:tcPr>
          <w:p w14:paraId="7E21E92C">
            <w:pPr>
              <w:adjustRightInd w:val="0"/>
              <w:snapToGrid w:val="0"/>
              <w:spacing w:before="50" w:line="360" w:lineRule="auto"/>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否</w:t>
            </w:r>
          </w:p>
        </w:tc>
      </w:tr>
      <w:tr w14:paraId="21AB2D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698AF925">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第2.1款</w:t>
            </w:r>
          </w:p>
        </w:tc>
        <w:tc>
          <w:tcPr>
            <w:tcW w:w="2556" w:type="dxa"/>
            <w:noWrap w:val="0"/>
            <w:vAlign w:val="center"/>
          </w:tcPr>
          <w:p w14:paraId="656E6A55">
            <w:pPr>
              <w:adjustRightInd w:val="0"/>
              <w:snapToGrid w:val="0"/>
              <w:spacing w:before="50" w:line="24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采购项目联系人姓名和电话</w:t>
            </w:r>
          </w:p>
        </w:tc>
        <w:tc>
          <w:tcPr>
            <w:tcW w:w="5285" w:type="dxa"/>
            <w:noWrap w:val="0"/>
            <w:vAlign w:val="center"/>
          </w:tcPr>
          <w:p w14:paraId="425D30EC">
            <w:pPr>
              <w:adjustRightInd w:val="0"/>
              <w:snapToGrid w:val="0"/>
              <w:spacing w:before="50" w:line="240" w:lineRule="auto"/>
              <w:rPr>
                <w:rFonts w:ascii="宋体" w:hAnsi="宋体"/>
                <w:color w:val="auto"/>
                <w:szCs w:val="21"/>
              </w:rPr>
            </w:pPr>
            <w:r>
              <w:rPr>
                <w:rFonts w:hint="eastAsia" w:ascii="宋体" w:hAnsi="宋体"/>
                <w:color w:val="auto"/>
                <w:szCs w:val="21"/>
              </w:rPr>
              <w:t>1、联系人姓名：卢女士</w:t>
            </w:r>
            <w:r>
              <w:rPr>
                <w:rFonts w:hint="eastAsia" w:ascii="宋体" w:hAnsi="宋体"/>
                <w:color w:val="auto"/>
                <w:szCs w:val="21"/>
                <w:lang w:val="en-US" w:eastAsia="zh-CN"/>
              </w:rPr>
              <w:t xml:space="preserve"> </w:t>
            </w:r>
          </w:p>
          <w:p w14:paraId="392B468C">
            <w:pPr>
              <w:adjustRightInd w:val="0"/>
              <w:snapToGrid w:val="0"/>
              <w:spacing w:before="50" w:line="240" w:lineRule="auto"/>
              <w:rPr>
                <w:rFonts w:hint="default" w:ascii="宋体" w:hAnsi="宋体" w:eastAsia="宋体"/>
                <w:color w:val="auto"/>
                <w:szCs w:val="21"/>
                <w:lang w:val="en-US" w:eastAsia="zh-CN"/>
              </w:rPr>
            </w:pPr>
            <w:r>
              <w:rPr>
                <w:rFonts w:hint="eastAsia" w:ascii="宋体" w:hAnsi="宋体"/>
                <w:color w:val="auto"/>
                <w:szCs w:val="21"/>
              </w:rPr>
              <w:t>2、电话：</w:t>
            </w:r>
            <w:r>
              <w:rPr>
                <w:rFonts w:hint="eastAsia" w:ascii="宋体" w:hAnsi="宋体"/>
                <w:color w:val="auto"/>
                <w:szCs w:val="21"/>
                <w:lang w:val="en-US" w:eastAsia="zh-CN"/>
              </w:rPr>
              <w:t>0745-2557950</w:t>
            </w:r>
          </w:p>
        </w:tc>
      </w:tr>
      <w:tr w14:paraId="116D0E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19678273">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第2.2款</w:t>
            </w:r>
          </w:p>
        </w:tc>
        <w:tc>
          <w:tcPr>
            <w:tcW w:w="2556" w:type="dxa"/>
            <w:noWrap w:val="0"/>
            <w:vAlign w:val="top"/>
          </w:tcPr>
          <w:p w14:paraId="3BBAFAD6">
            <w:pPr>
              <w:adjustRightInd w:val="0"/>
              <w:snapToGrid w:val="0"/>
              <w:spacing w:before="50" w:line="24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采购人名称、地址、电话、联系人</w:t>
            </w:r>
          </w:p>
        </w:tc>
        <w:tc>
          <w:tcPr>
            <w:tcW w:w="5285" w:type="dxa"/>
            <w:noWrap w:val="0"/>
            <w:vAlign w:val="center"/>
          </w:tcPr>
          <w:p w14:paraId="1C332E67">
            <w:pPr>
              <w:adjustRightInd w:val="0"/>
              <w:snapToGrid w:val="0"/>
              <w:spacing w:before="50" w:line="240" w:lineRule="auto"/>
              <w:rPr>
                <w:rFonts w:hint="eastAsia" w:ascii="宋体" w:hAnsi="宋体"/>
                <w:color w:val="auto"/>
                <w:szCs w:val="21"/>
                <w:lang w:val="en-US" w:eastAsia="zh-CN"/>
              </w:rPr>
            </w:pPr>
            <w:r>
              <w:rPr>
                <w:rFonts w:hint="eastAsia" w:ascii="宋体" w:hAnsi="宋体"/>
                <w:color w:val="auto"/>
                <w:szCs w:val="21"/>
              </w:rPr>
              <w:t>名  称：</w:t>
            </w:r>
            <w:r>
              <w:rPr>
                <w:rFonts w:hint="eastAsia" w:ascii="宋体" w:hAnsi="宋体"/>
                <w:color w:val="auto"/>
                <w:szCs w:val="21"/>
                <w:lang w:val="en-US" w:eastAsia="zh-CN"/>
              </w:rPr>
              <w:t xml:space="preserve">怀化市鹤城区城市建设投资有限公司 </w:t>
            </w:r>
          </w:p>
          <w:p w14:paraId="3B9438C5">
            <w:pPr>
              <w:adjustRightInd w:val="0"/>
              <w:snapToGrid w:val="0"/>
              <w:spacing w:before="50" w:line="240" w:lineRule="auto"/>
              <w:rPr>
                <w:rFonts w:hint="eastAsia" w:ascii="宋体" w:hAnsi="宋体" w:eastAsia="宋体"/>
                <w:color w:val="auto"/>
                <w:szCs w:val="21"/>
                <w:lang w:eastAsia="zh-CN"/>
              </w:rPr>
            </w:pPr>
            <w:r>
              <w:rPr>
                <w:rFonts w:hint="eastAsia" w:ascii="宋体" w:hAnsi="宋体"/>
                <w:color w:val="auto"/>
                <w:szCs w:val="21"/>
              </w:rPr>
              <w:t>地  址：</w:t>
            </w:r>
            <w:r>
              <w:rPr>
                <w:rFonts w:hint="eastAsia" w:ascii="宋体" w:hAnsi="宋体"/>
                <w:color w:val="auto"/>
                <w:szCs w:val="21"/>
                <w:lang w:val="en-US" w:eastAsia="zh-CN"/>
              </w:rPr>
              <w:t>湖南省怀化市鹤城区金海路225号</w:t>
            </w:r>
          </w:p>
          <w:p w14:paraId="71BC04FE">
            <w:pPr>
              <w:adjustRightInd w:val="0"/>
              <w:snapToGrid w:val="0"/>
              <w:spacing w:before="50" w:line="240" w:lineRule="auto"/>
              <w:rPr>
                <w:rFonts w:hint="default" w:ascii="宋体" w:hAnsi="宋体"/>
                <w:color w:val="auto"/>
                <w:szCs w:val="21"/>
                <w:lang w:val="en-US"/>
              </w:rPr>
            </w:pPr>
            <w:r>
              <w:rPr>
                <w:rFonts w:hint="eastAsia" w:ascii="宋体" w:hAnsi="宋体"/>
                <w:color w:val="auto"/>
                <w:szCs w:val="21"/>
              </w:rPr>
              <w:t>联系人</w:t>
            </w:r>
            <w:r>
              <w:rPr>
                <w:rFonts w:hint="eastAsia" w:ascii="宋体" w:hAnsi="宋体"/>
                <w:color w:val="auto"/>
                <w:szCs w:val="21"/>
                <w:lang w:eastAsia="zh-CN"/>
              </w:rPr>
              <w:t>：</w:t>
            </w:r>
            <w:r>
              <w:rPr>
                <w:rFonts w:hint="eastAsia" w:ascii="宋体" w:hAnsi="宋体"/>
                <w:color w:val="auto"/>
                <w:szCs w:val="21"/>
              </w:rPr>
              <w:t>卢女士</w:t>
            </w:r>
          </w:p>
          <w:p w14:paraId="6D5BDA73">
            <w:pPr>
              <w:adjustRightInd w:val="0"/>
              <w:snapToGrid w:val="0"/>
              <w:spacing w:before="50" w:line="240" w:lineRule="auto"/>
              <w:rPr>
                <w:rFonts w:hint="eastAsia" w:ascii="宋体" w:hAnsi="宋体" w:eastAsia="宋体"/>
                <w:color w:val="auto"/>
                <w:szCs w:val="21"/>
                <w:lang w:eastAsia="zh-CN"/>
              </w:rPr>
            </w:pPr>
            <w:r>
              <w:rPr>
                <w:rFonts w:hint="eastAsia" w:ascii="宋体" w:hAnsi="宋体"/>
                <w:color w:val="auto"/>
                <w:szCs w:val="21"/>
              </w:rPr>
              <w:t>电  话：0745-2557950</w:t>
            </w:r>
          </w:p>
        </w:tc>
      </w:tr>
      <w:tr w14:paraId="17F01E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34895A17">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第2.3款</w:t>
            </w:r>
          </w:p>
        </w:tc>
        <w:tc>
          <w:tcPr>
            <w:tcW w:w="2556" w:type="dxa"/>
            <w:noWrap w:val="0"/>
            <w:vAlign w:val="top"/>
          </w:tcPr>
          <w:p w14:paraId="35FE4E99">
            <w:pPr>
              <w:adjustRightInd w:val="0"/>
              <w:snapToGrid w:val="0"/>
              <w:spacing w:before="50" w:line="24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采购代理机构名称、地址、电话、联系人</w:t>
            </w:r>
          </w:p>
        </w:tc>
        <w:tc>
          <w:tcPr>
            <w:tcW w:w="5285" w:type="dxa"/>
            <w:noWrap w:val="0"/>
            <w:vAlign w:val="center"/>
          </w:tcPr>
          <w:p w14:paraId="74B19609">
            <w:pPr>
              <w:adjustRightInd w:val="0"/>
              <w:snapToGrid w:val="0"/>
              <w:spacing w:before="50" w:line="24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名  称：</w:t>
            </w:r>
            <w:r>
              <w:rPr>
                <w:rFonts w:hint="eastAsia" w:ascii="Times New Roman" w:hAnsi="Times New Roman" w:eastAsia="宋体" w:cs="Times New Roman"/>
                <w:color w:val="auto"/>
                <w:szCs w:val="21"/>
                <w:u w:val="none"/>
                <w:lang w:val="en-US" w:eastAsia="zh-CN"/>
              </w:rPr>
              <w:t>湖南智立方工程项目管理有限公司</w:t>
            </w:r>
            <w:r>
              <w:rPr>
                <w:rFonts w:hint="eastAsia" w:ascii="Times New Roman" w:hAnsi="Times New Roman" w:eastAsia="宋体" w:cs="Times New Roman"/>
                <w:color w:val="auto"/>
                <w:szCs w:val="21"/>
                <w:u w:val="none"/>
                <w:lang w:eastAsia="zh-CN"/>
              </w:rPr>
              <w:t xml:space="preserve"> </w:t>
            </w:r>
          </w:p>
          <w:p w14:paraId="07375575">
            <w:pPr>
              <w:adjustRightInd w:val="0"/>
              <w:snapToGrid w:val="0"/>
              <w:spacing w:before="50" w:line="240" w:lineRule="auto"/>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地  址：</w:t>
            </w:r>
            <w:r>
              <w:rPr>
                <w:rFonts w:hint="eastAsia" w:ascii="宋体" w:hAnsi="宋体"/>
                <w:color w:val="000000" w:themeColor="text1"/>
                <w:szCs w:val="21"/>
                <w:lang w:val="en-US" w:eastAsia="zh-CN"/>
                <w14:textFill>
                  <w14:solidFill>
                    <w14:schemeClr w14:val="tx1"/>
                  </w14:solidFill>
                </w14:textFill>
              </w:rPr>
              <w:t>怀化市鹤城区南环路碧桂园鹤州府20栋1单元1802号</w:t>
            </w:r>
          </w:p>
          <w:p w14:paraId="1708D862">
            <w:pPr>
              <w:adjustRightInd w:val="0"/>
              <w:snapToGrid w:val="0"/>
              <w:spacing w:before="50" w:line="240" w:lineRule="auto"/>
              <w:rPr>
                <w:rFonts w:hint="default"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联系人：</w:t>
            </w:r>
            <w:r>
              <w:rPr>
                <w:rFonts w:hint="eastAsia" w:ascii="宋体" w:hAnsi="宋体"/>
                <w:color w:val="000000" w:themeColor="text1"/>
                <w:szCs w:val="21"/>
                <w:lang w:val="en-US" w:eastAsia="zh-CN"/>
                <w14:textFill>
                  <w14:solidFill>
                    <w14:schemeClr w14:val="tx1"/>
                  </w14:solidFill>
                </w14:textFill>
              </w:rPr>
              <w:t xml:space="preserve">段女士 </w:t>
            </w:r>
          </w:p>
          <w:p w14:paraId="476FF3CC">
            <w:pPr>
              <w:adjustRightInd w:val="0"/>
              <w:snapToGrid w:val="0"/>
              <w:spacing w:before="50" w:line="240" w:lineRule="auto"/>
              <w:rPr>
                <w:rFonts w:hint="default" w:ascii="宋体" w:hAnsi="宋体"/>
                <w:color w:val="000000" w:themeColor="text1"/>
                <w:szCs w:val="21"/>
                <w:lang w:val="en-US"/>
                <w14:textFill>
                  <w14:solidFill>
                    <w14:schemeClr w14:val="tx1"/>
                  </w14:solidFill>
                </w14:textFill>
              </w:rPr>
            </w:pPr>
            <w:r>
              <w:rPr>
                <w:rFonts w:hint="eastAsia" w:ascii="宋体" w:hAnsi="宋体"/>
                <w:color w:val="000000" w:themeColor="text1"/>
                <w:szCs w:val="21"/>
                <w14:textFill>
                  <w14:solidFill>
                    <w14:schemeClr w14:val="tx1"/>
                  </w14:solidFill>
                </w14:textFill>
              </w:rPr>
              <w:t>电  话：</w:t>
            </w:r>
            <w:r>
              <w:rPr>
                <w:rFonts w:hint="eastAsia" w:ascii="宋体" w:hAnsi="宋体"/>
                <w:color w:val="000000" w:themeColor="text1"/>
                <w:szCs w:val="21"/>
                <w:lang w:val="en-US" w:eastAsia="zh-CN"/>
                <w14:textFill>
                  <w14:solidFill>
                    <w14:schemeClr w14:val="tx1"/>
                  </w14:solidFill>
                </w14:textFill>
              </w:rPr>
              <w:t>15115205142</w:t>
            </w:r>
          </w:p>
        </w:tc>
      </w:tr>
      <w:tr w14:paraId="1DB236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noWrap w:val="0"/>
            <w:vAlign w:val="center"/>
          </w:tcPr>
          <w:p w14:paraId="555D2D75">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第3.1款</w:t>
            </w:r>
          </w:p>
        </w:tc>
        <w:tc>
          <w:tcPr>
            <w:tcW w:w="2556" w:type="dxa"/>
            <w:noWrap w:val="0"/>
            <w:vAlign w:val="center"/>
          </w:tcPr>
          <w:p w14:paraId="2A00A0C4">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资格条件</w:t>
            </w:r>
          </w:p>
        </w:tc>
        <w:tc>
          <w:tcPr>
            <w:tcW w:w="5285" w:type="dxa"/>
            <w:noWrap w:val="0"/>
            <w:vAlign w:val="center"/>
          </w:tcPr>
          <w:p w14:paraId="36FDA1FE">
            <w:pPr>
              <w:adjustRightInd w:val="0"/>
              <w:snapToGrid w:val="0"/>
              <w:spacing w:line="24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1、满足《中华人民共和国政府采购法》第二十二条规定；</w:t>
            </w:r>
          </w:p>
          <w:p w14:paraId="253E1D8D">
            <w:pPr>
              <w:adjustRightInd w:val="0"/>
              <w:snapToGrid w:val="0"/>
              <w:spacing w:line="24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2、落实政府采购政策需满足的资格要求：</w:t>
            </w:r>
          </w:p>
          <w:p w14:paraId="4950DE4D">
            <w:pPr>
              <w:adjustRightInd w:val="0"/>
              <w:snapToGrid w:val="0"/>
              <w:spacing w:line="240" w:lineRule="auto"/>
              <w:ind w:firstLine="630" w:firstLineChars="300"/>
              <w:rPr>
                <w:rFonts w:ascii="宋体" w:hAnsi="宋体"/>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专门面向</w:t>
            </w:r>
            <w:r>
              <w:rPr>
                <w:rFonts w:hint="eastAsia" w:ascii="宋体" w:hAnsi="宋体"/>
                <w:bCs/>
                <w:color w:val="000000" w:themeColor="text1"/>
                <w:szCs w:val="21"/>
                <w14:textFill>
                  <w14:solidFill>
                    <w14:schemeClr w14:val="tx1"/>
                  </w14:solidFill>
                </w14:textFill>
              </w:rPr>
              <w:t>：</w:t>
            </w:r>
            <w:r>
              <w:rPr>
                <w:rFonts w:hint="eastAsia" w:ascii="宋体" w:hAnsi="宋体"/>
                <w:iCs/>
                <w:color w:val="000000" w:themeColor="text1"/>
                <w:szCs w:val="21"/>
                <w:highlight w:val="none"/>
                <w14:textFill>
                  <w14:solidFill>
                    <w14:schemeClr w14:val="tx1"/>
                  </w14:solidFill>
                </w14:textFill>
              </w:rPr>
              <w:sym w:font="Wingdings" w:char="00A8"/>
            </w:r>
            <w:r>
              <w:rPr>
                <w:rFonts w:hint="eastAsia" w:ascii="宋体" w:hAnsi="宋体"/>
                <w:iCs/>
                <w:color w:val="000000" w:themeColor="text1"/>
                <w:szCs w:val="21"/>
                <w:highlight w:val="none"/>
                <w14:textFill>
                  <w14:solidFill>
                    <w14:schemeClr w14:val="tx1"/>
                  </w14:solidFill>
                </w14:textFill>
              </w:rPr>
              <w:t>中小企业</w:t>
            </w:r>
            <w:r>
              <w:rPr>
                <w:rFonts w:hint="eastAsia" w:ascii="宋体" w:hAnsi="宋体"/>
                <w:iCs/>
                <w:color w:val="000000" w:themeColor="text1"/>
                <w:szCs w:val="21"/>
                <w14:textFill>
                  <w14:solidFill>
                    <w14:schemeClr w14:val="tx1"/>
                  </w14:solidFill>
                </w14:textFill>
              </w:rPr>
              <w:t xml:space="preserve">  </w:t>
            </w: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 xml:space="preserve">小微企业 </w:t>
            </w: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 xml:space="preserve">监狱企业 </w:t>
            </w: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福利性单位。</w:t>
            </w:r>
          </w:p>
          <w:p w14:paraId="0C06581C">
            <w:pPr>
              <w:adjustRightInd w:val="0"/>
              <w:snapToGrid w:val="0"/>
              <w:spacing w:line="240" w:lineRule="auto"/>
              <w:ind w:firstLine="630" w:firstLineChars="300"/>
              <w:rPr>
                <w:rFonts w:ascii="宋体" w:hAnsi="宋体"/>
                <w:bCs/>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强制</w:t>
            </w:r>
            <w:r>
              <w:rPr>
                <w:rFonts w:hint="eastAsia" w:ascii="宋体" w:hAnsi="宋体"/>
                <w:bCs/>
                <w:color w:val="000000" w:themeColor="text1"/>
                <w:szCs w:val="21"/>
                <w14:textFill>
                  <w14:solidFill>
                    <w14:schemeClr w14:val="tx1"/>
                  </w14:solidFill>
                </w14:textFill>
              </w:rPr>
              <w:t>分包：大型企业应将采购份额的</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u w:val="single"/>
                <w:lang w:val="en-US" w:eastAsia="zh-CN"/>
                <w14:textFill>
                  <w14:solidFill>
                    <w14:schemeClr w14:val="tx1"/>
                  </w14:solidFill>
                </w14:textFill>
              </w:rPr>
              <w:t>/</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%分包给中小企业。</w:t>
            </w:r>
          </w:p>
          <w:p w14:paraId="281D0F76">
            <w:pPr>
              <w:numPr>
                <w:ilvl w:val="0"/>
                <w:numId w:val="0"/>
              </w:numPr>
              <w:adjustRightInd w:val="0"/>
              <w:snapToGrid w:val="0"/>
              <w:spacing w:line="240" w:lineRule="auto"/>
              <w:ind w:left="0" w:leftChars="0" w:firstLine="420" w:firstLineChars="200"/>
              <w:rPr>
                <w:rFonts w:hint="eastAsia" w:ascii="宋体" w:hAnsi="宋体"/>
                <w:color w:val="000000" w:themeColor="text1"/>
                <w:szCs w:val="21"/>
                <w14:textFill>
                  <w14:solidFill>
                    <w14:schemeClr w14:val="tx1"/>
                  </w14:solidFill>
                </w14:textFill>
              </w:rPr>
            </w:pP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4、</w:t>
            </w:r>
            <w:r>
              <w:rPr>
                <w:rFonts w:hint="eastAsia" w:ascii="宋体" w:hAnsi="宋体"/>
                <w:color w:val="000000" w:themeColor="text1"/>
                <w:szCs w:val="21"/>
                <w14:textFill>
                  <w14:solidFill>
                    <w14:schemeClr w14:val="tx1"/>
                  </w14:solidFill>
                </w14:textFill>
              </w:rPr>
              <w:t>本项目的特定资格要求：</w:t>
            </w:r>
          </w:p>
          <w:p w14:paraId="2775979C">
            <w:pPr>
              <w:adjustRightInd w:val="0"/>
              <w:snapToGrid w:val="0"/>
              <w:spacing w:line="240" w:lineRule="auto"/>
              <w:ind w:firstLine="420" w:firstLineChars="200"/>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（1）湖南省外企业须办理省外入湘企业基本情况登记（以湖南省住房和城乡建设网查询为准）或具有入湘施工登记证（有效期内）。</w:t>
            </w:r>
          </w:p>
          <w:p w14:paraId="7C72406B">
            <w:pPr>
              <w:adjustRightInd w:val="0"/>
              <w:snapToGrid w:val="0"/>
              <w:spacing w:line="240" w:lineRule="auto"/>
              <w:ind w:firstLine="420" w:firstLineChars="200"/>
              <w:rPr>
                <w:rFonts w:hint="eastAsia" w:ascii="宋体" w:hAnsi="宋体" w:eastAsia="宋体" w:cs="宋体"/>
                <w:i w:val="0"/>
                <w:iCs w:val="0"/>
                <w:caps w:val="0"/>
                <w:color w:val="auto"/>
                <w:spacing w:val="0"/>
                <w:kern w:val="0"/>
                <w:sz w:val="21"/>
                <w:szCs w:val="21"/>
                <w:lang w:val="en-US" w:eastAsia="zh-CN" w:bidi="ar-SA"/>
              </w:rPr>
            </w:pPr>
            <w:r>
              <w:rPr>
                <w:rFonts w:hint="eastAsia" w:ascii="宋体" w:hAnsi="宋体" w:eastAsia="宋体" w:cs="宋体"/>
                <w:i w:val="0"/>
                <w:iCs w:val="0"/>
                <w:caps w:val="0"/>
                <w:color w:val="auto"/>
                <w:spacing w:val="0"/>
                <w:kern w:val="0"/>
                <w:sz w:val="21"/>
                <w:szCs w:val="21"/>
                <w:lang w:val="en-US" w:eastAsia="zh-CN" w:bidi="ar-SA"/>
              </w:rPr>
              <w:t>（2）供应商须具备建设行政主管部门颁发的电力工程施工总承包三级及以上资质（安全生产许可证处于有效期），且电力承装(修、试)三级及以上资质 并《安全生产许可证》（处于有效期），并在人员、设备、资金等方面具备相应的施工能力。</w:t>
            </w:r>
          </w:p>
          <w:p w14:paraId="5205CD35">
            <w:pPr>
              <w:adjustRightInd w:val="0"/>
              <w:snapToGrid w:val="0"/>
              <w:spacing w:line="240" w:lineRule="auto"/>
              <w:ind w:firstLine="420" w:firstLineChars="200"/>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（3）拟任项目负责人须具备机电工程专业二级及以上注册建造师执业资格，项目负责人须具备B类安全生产考核合格证书,提供无在建承诺书。 </w:t>
            </w:r>
          </w:p>
          <w:p w14:paraId="7B9E3423">
            <w:pPr>
              <w:adjustRightInd w:val="0"/>
              <w:snapToGrid w:val="0"/>
              <w:spacing w:line="240" w:lineRule="auto"/>
              <w:ind w:firstLine="420" w:firstLineChars="200"/>
              <w:rPr>
                <w:rFonts w:hint="default" w:ascii="宋体" w:hAnsi="宋体"/>
                <w:color w:val="000000" w:themeColor="text1"/>
                <w:szCs w:val="21"/>
                <w:lang w:val="en-US"/>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（4）项目其他关键岗位人员，可承诺（格式自拟）中标后施工项目部关键岗位人员按《湖南省建设工程施工项目部和现场监理部关键岗位人员配备管理办法》（湘建建〔2020〕208 号）要求配备。</w:t>
            </w:r>
          </w:p>
          <w:p w14:paraId="76B6DD3A">
            <w:pPr>
              <w:adjustRightInd w:val="0"/>
              <w:snapToGrid w:val="0"/>
              <w:spacing w:line="24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4、单位负责人为同一人或者存在直接控股、管理关系的不同供应商，不得参加同一合同项下的政府采购活动。</w:t>
            </w:r>
          </w:p>
          <w:p w14:paraId="604E79C1">
            <w:pPr>
              <w:adjustRightInd w:val="0"/>
              <w:snapToGrid w:val="0"/>
              <w:spacing w:line="24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5、为本采购项目提供整体设计、规范编制或者项目管理、监理、检测等服务的，不得再参加此项目的其他采购活动。</w:t>
            </w:r>
          </w:p>
          <w:p w14:paraId="73BE0AEB">
            <w:pPr>
              <w:adjustRightInd w:val="0"/>
              <w:snapToGrid w:val="0"/>
              <w:spacing w:line="24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6、列入失信被执行人、重大税收违法失信主体名单、政府采购严重违法失信行为记录名单的，拒绝其参与政府采购活动。</w:t>
            </w:r>
          </w:p>
          <w:p w14:paraId="6AF9FC13">
            <w:pPr>
              <w:adjustRightInd w:val="0"/>
              <w:snapToGrid w:val="0"/>
              <w:spacing w:line="24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7、联合体响应。本次采购 </w:t>
            </w:r>
            <w:r>
              <w:rPr>
                <w:rFonts w:hint="eastAsia" w:ascii="宋体" w:hAnsi="宋体"/>
                <w:color w:val="000000" w:themeColor="text1"/>
                <w:szCs w:val="21"/>
                <w:u w:val="single"/>
                <w:lang w:val="en-US" w:eastAsia="zh-CN"/>
                <w14:textFill>
                  <w14:solidFill>
                    <w14:schemeClr w14:val="tx1"/>
                  </w14:solidFill>
                </w14:textFill>
              </w:rPr>
              <w:t>不接受 </w:t>
            </w:r>
            <w:r>
              <w:rPr>
                <w:rFonts w:hint="eastAsia" w:ascii="宋体" w:hAnsi="宋体"/>
                <w:color w:val="000000" w:themeColor="text1"/>
                <w:szCs w:val="21"/>
                <w:lang w:val="en-US" w:eastAsia="zh-CN"/>
                <w14:textFill>
                  <w14:solidFill>
                    <w14:schemeClr w14:val="tx1"/>
                  </w14:solidFill>
                </w14:textFill>
              </w:rPr>
              <w:t>(接受或不接受)联合体。</w:t>
            </w:r>
          </w:p>
        </w:tc>
      </w:tr>
      <w:tr w14:paraId="78E970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noWrap w:val="0"/>
            <w:vAlign w:val="center"/>
          </w:tcPr>
          <w:p w14:paraId="4E198753">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第3.2款</w:t>
            </w:r>
          </w:p>
        </w:tc>
        <w:tc>
          <w:tcPr>
            <w:tcW w:w="2556" w:type="dxa"/>
            <w:noWrap w:val="0"/>
            <w:vAlign w:val="center"/>
          </w:tcPr>
          <w:p w14:paraId="0DB6B103">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是否接受联合体形式</w:t>
            </w:r>
          </w:p>
        </w:tc>
        <w:tc>
          <w:tcPr>
            <w:tcW w:w="5285" w:type="dxa"/>
            <w:noWrap w:val="0"/>
            <w:vAlign w:val="center"/>
          </w:tcPr>
          <w:p w14:paraId="3E86C47F">
            <w:pPr>
              <w:adjustRightInd w:val="0"/>
              <w:snapToGrid w:val="0"/>
              <w:spacing w:before="156" w:beforeLines="50" w:line="216" w:lineRule="auto"/>
              <w:ind w:right="23" w:rightChars="1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不接受</w:t>
            </w:r>
          </w:p>
          <w:p w14:paraId="17342209">
            <w:pPr>
              <w:adjustRightInd w:val="0"/>
              <w:snapToGrid w:val="0"/>
              <w:spacing w:before="50"/>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 接受</w:t>
            </w:r>
          </w:p>
        </w:tc>
      </w:tr>
      <w:tr w14:paraId="272E67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noWrap w:val="0"/>
            <w:vAlign w:val="center"/>
          </w:tcPr>
          <w:p w14:paraId="0AD6DEAC">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第5.1款</w:t>
            </w:r>
          </w:p>
        </w:tc>
        <w:tc>
          <w:tcPr>
            <w:tcW w:w="2556" w:type="dxa"/>
            <w:noWrap w:val="0"/>
            <w:vAlign w:val="center"/>
          </w:tcPr>
          <w:p w14:paraId="4DD904CC">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现场勘察</w:t>
            </w:r>
          </w:p>
        </w:tc>
        <w:tc>
          <w:tcPr>
            <w:tcW w:w="5285" w:type="dxa"/>
            <w:noWrap w:val="0"/>
            <w:vAlign w:val="center"/>
          </w:tcPr>
          <w:p w14:paraId="1F6BEAED">
            <w:pPr>
              <w:pStyle w:val="15"/>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cs="Times New Roman"/>
                <w:color w:val="000000" w:themeColor="text1"/>
                <w:kern w:val="2"/>
                <w:sz w:val="21"/>
                <w:szCs w:val="21"/>
                <w:lang w:val="en-US" w:eastAsia="zh-CN" w:bidi="ar-SA"/>
                <w14:textFill>
                  <w14:solidFill>
                    <w14:schemeClr w14:val="tx1"/>
                  </w14:solidFill>
                </w14:textFill>
              </w:rPr>
              <w:t>□</w:t>
            </w:r>
            <w:r>
              <w:rPr>
                <w:rFonts w:hint="eastAsia" w:ascii="宋体" w:hAnsi="宋体" w:eastAsia="宋体" w:cs="Times New Roman"/>
                <w:color w:val="000000" w:themeColor="text1"/>
                <w:kern w:val="2"/>
                <w:sz w:val="21"/>
                <w:szCs w:val="21"/>
                <w:lang w:val="en-US" w:eastAsia="zh-CN" w:bidi="ar-SA"/>
                <w14:textFill>
                  <w14:solidFill>
                    <w14:schemeClr w14:val="tx1"/>
                  </w14:solidFill>
                </w14:textFill>
              </w:rPr>
              <w:t xml:space="preserve"> 需要    </w:t>
            </w:r>
          </w:p>
          <w:p w14:paraId="4E8A6D73">
            <w:pPr>
              <w:pStyle w:val="15"/>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p>
          <w:p w14:paraId="19C7C9DF">
            <w:pPr>
              <w:adjustRightInd w:val="0"/>
              <w:snapToGrid w:val="0"/>
              <w:spacing w:before="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不需要</w:t>
            </w:r>
          </w:p>
          <w:p w14:paraId="716928FA">
            <w:pPr>
              <w:pStyle w:val="15"/>
              <w:rPr>
                <w:rFonts w:hint="eastAsia"/>
                <w:lang w:eastAsia="zh-CN"/>
              </w:rPr>
            </w:pPr>
          </w:p>
        </w:tc>
      </w:tr>
      <w:tr w14:paraId="61DD2A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9463" w:type="dxa"/>
            <w:gridSpan w:val="3"/>
            <w:noWrap w:val="0"/>
            <w:vAlign w:val="center"/>
          </w:tcPr>
          <w:p w14:paraId="42996F10">
            <w:pPr>
              <w:adjustRightInd w:val="0"/>
              <w:snapToGrid w:val="0"/>
              <w:spacing w:before="50" w:line="360" w:lineRule="auto"/>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二、谈判文件</w:t>
            </w:r>
          </w:p>
        </w:tc>
      </w:tr>
      <w:tr w14:paraId="42B3E0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noWrap w:val="0"/>
            <w:vAlign w:val="center"/>
          </w:tcPr>
          <w:p w14:paraId="4FCE2E5A">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第6.3款</w:t>
            </w:r>
          </w:p>
        </w:tc>
        <w:tc>
          <w:tcPr>
            <w:tcW w:w="2556" w:type="dxa"/>
            <w:noWrap w:val="0"/>
            <w:vAlign w:val="center"/>
          </w:tcPr>
          <w:p w14:paraId="4726E746">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谈判文件的实质性变动内容</w:t>
            </w:r>
          </w:p>
        </w:tc>
        <w:tc>
          <w:tcPr>
            <w:tcW w:w="5285" w:type="dxa"/>
            <w:noWrap w:val="0"/>
            <w:vAlign w:val="center"/>
          </w:tcPr>
          <w:p w14:paraId="337EF568">
            <w:pPr>
              <w:adjustRightInd w:val="0"/>
              <w:snapToGrid w:val="0"/>
              <w:spacing w:before="50" w:line="360" w:lineRule="auto"/>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无</w:t>
            </w:r>
          </w:p>
        </w:tc>
      </w:tr>
      <w:tr w14:paraId="3B1674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463" w:type="dxa"/>
            <w:gridSpan w:val="3"/>
            <w:noWrap w:val="0"/>
            <w:vAlign w:val="center"/>
          </w:tcPr>
          <w:p w14:paraId="752F15BB">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三、响应文件的编写</w:t>
            </w:r>
          </w:p>
        </w:tc>
      </w:tr>
      <w:tr w14:paraId="1EF027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noWrap w:val="0"/>
            <w:vAlign w:val="center"/>
          </w:tcPr>
          <w:p w14:paraId="597F406B">
            <w:pPr>
              <w:adjustRightInd w:val="0"/>
              <w:snapToGrid w:val="0"/>
              <w:spacing w:before="50" w:line="360" w:lineRule="auto"/>
              <w:jc w:val="center"/>
              <w:rPr>
                <w:rFonts w:ascii="宋体" w:hAnsi="宋体"/>
                <w:color w:val="auto"/>
                <w:szCs w:val="21"/>
              </w:rPr>
            </w:pPr>
            <w:r>
              <w:rPr>
                <w:rFonts w:hint="eastAsia" w:ascii="宋体" w:hAnsi="宋体"/>
                <w:color w:val="auto"/>
                <w:szCs w:val="21"/>
              </w:rPr>
              <w:t>第11.3款</w:t>
            </w:r>
          </w:p>
        </w:tc>
        <w:tc>
          <w:tcPr>
            <w:tcW w:w="2556" w:type="dxa"/>
            <w:noWrap w:val="0"/>
            <w:vAlign w:val="center"/>
          </w:tcPr>
          <w:p w14:paraId="7E829BD5">
            <w:pPr>
              <w:adjustRightInd w:val="0"/>
              <w:snapToGrid w:val="0"/>
              <w:spacing w:before="50" w:line="360" w:lineRule="auto"/>
              <w:jc w:val="left"/>
              <w:rPr>
                <w:rFonts w:ascii="宋体" w:hAnsi="宋体"/>
                <w:b/>
                <w:bCs/>
                <w:color w:val="auto"/>
                <w:szCs w:val="21"/>
              </w:rPr>
            </w:pPr>
            <w:r>
              <w:rPr>
                <w:rFonts w:hint="eastAsia" w:ascii="宋体" w:hAnsi="宋体"/>
                <w:b/>
                <w:bCs/>
                <w:color w:val="auto"/>
                <w:szCs w:val="21"/>
              </w:rPr>
              <w:t>采购项目预算</w:t>
            </w:r>
          </w:p>
        </w:tc>
        <w:tc>
          <w:tcPr>
            <w:tcW w:w="5285" w:type="dxa"/>
            <w:noWrap w:val="0"/>
            <w:vAlign w:val="center"/>
          </w:tcPr>
          <w:p w14:paraId="0140B615">
            <w:pPr>
              <w:adjustRightInd w:val="0"/>
              <w:snapToGrid w:val="0"/>
              <w:spacing w:before="50" w:line="360" w:lineRule="auto"/>
              <w:jc w:val="left"/>
              <w:rPr>
                <w:rFonts w:hint="default" w:ascii="宋体" w:hAnsi="宋体"/>
                <w:b w:val="0"/>
                <w:bCs w:val="0"/>
                <w:color w:val="auto"/>
                <w:szCs w:val="21"/>
                <w:lang w:val="en-US" w:eastAsia="zh-CN"/>
              </w:rPr>
            </w:pPr>
            <w:r>
              <w:rPr>
                <w:rFonts w:hint="default" w:ascii="宋体" w:hAnsi="宋体"/>
                <w:b w:val="0"/>
                <w:bCs w:val="0"/>
                <w:color w:val="auto"/>
                <w:szCs w:val="21"/>
                <w:lang w:val="en-US" w:eastAsia="zh-CN"/>
              </w:rPr>
              <w:t>采购预算：￥551135.85 元（大写：人民币伍拾伍万壹仟壹佰叁拾伍元捌角伍分）</w:t>
            </w:r>
          </w:p>
          <w:p w14:paraId="5EC4CF00">
            <w:pPr>
              <w:adjustRightInd w:val="0"/>
              <w:snapToGrid w:val="0"/>
              <w:spacing w:before="50" w:line="360" w:lineRule="auto"/>
              <w:jc w:val="left"/>
              <w:rPr>
                <w:rFonts w:hint="default" w:ascii="宋体" w:hAnsi="宋体"/>
                <w:b w:val="0"/>
                <w:bCs w:val="0"/>
                <w:color w:val="auto"/>
                <w:szCs w:val="21"/>
                <w:lang w:val="en-US" w:eastAsia="zh-CN"/>
              </w:rPr>
            </w:pPr>
            <w:r>
              <w:rPr>
                <w:rFonts w:hint="default" w:ascii="宋体" w:hAnsi="宋体"/>
                <w:b w:val="0"/>
                <w:bCs w:val="0"/>
                <w:color w:val="auto"/>
                <w:szCs w:val="21"/>
                <w:lang w:val="en-US" w:eastAsia="zh-CN"/>
              </w:rPr>
              <w:t>最高限价：￥551135.85 元（大写：人民币伍拾伍万壹仟壹佰叁拾伍元捌角伍分）</w:t>
            </w:r>
          </w:p>
          <w:p w14:paraId="7E992261">
            <w:pPr>
              <w:adjustRightInd w:val="0"/>
              <w:snapToGrid w:val="0"/>
              <w:spacing w:before="50" w:line="360" w:lineRule="auto"/>
              <w:jc w:val="left"/>
              <w:rPr>
                <w:rFonts w:hint="default" w:ascii="宋体" w:hAnsi="宋体"/>
                <w:b w:val="0"/>
                <w:bCs w:val="0"/>
                <w:color w:val="auto"/>
                <w:szCs w:val="21"/>
                <w:lang w:val="en-US" w:eastAsia="zh-CN"/>
              </w:rPr>
            </w:pPr>
            <w:r>
              <w:rPr>
                <w:rFonts w:hint="default" w:ascii="宋体" w:hAnsi="宋体"/>
                <w:b w:val="0"/>
                <w:bCs w:val="0"/>
                <w:color w:val="auto"/>
                <w:szCs w:val="21"/>
                <w:lang w:val="en-US" w:eastAsia="zh-CN"/>
              </w:rPr>
              <w:t>（本项目实行总价和分项单价双控管理，投标总报价不得</w:t>
            </w:r>
            <w:r>
              <w:rPr>
                <w:rFonts w:hint="eastAsia" w:ascii="宋体" w:hAnsi="宋体"/>
                <w:b w:val="0"/>
                <w:bCs w:val="0"/>
                <w:color w:val="auto"/>
                <w:szCs w:val="21"/>
                <w:lang w:val="en-US" w:eastAsia="zh-CN"/>
              </w:rPr>
              <w:t>高于</w:t>
            </w:r>
            <w:r>
              <w:rPr>
                <w:rFonts w:hint="default" w:ascii="宋体" w:hAnsi="宋体"/>
                <w:b w:val="0"/>
                <w:bCs w:val="0"/>
                <w:color w:val="auto"/>
                <w:szCs w:val="21"/>
                <w:lang w:val="en-US" w:eastAsia="zh-CN"/>
              </w:rPr>
              <w:t>最高限价，且各分项报价单价不得超过采购人</w:t>
            </w:r>
            <w:r>
              <w:rPr>
                <w:rFonts w:hint="eastAsia" w:ascii="宋体" w:hAnsi="宋体"/>
                <w:b w:val="0"/>
                <w:bCs w:val="0"/>
                <w:color w:val="auto"/>
                <w:szCs w:val="21"/>
                <w:lang w:val="en-US" w:eastAsia="zh-CN"/>
              </w:rPr>
              <w:t>发出</w:t>
            </w:r>
            <w:r>
              <w:rPr>
                <w:rFonts w:hint="default" w:ascii="宋体" w:hAnsi="宋体"/>
                <w:b w:val="0"/>
                <w:bCs w:val="0"/>
                <w:color w:val="auto"/>
                <w:szCs w:val="21"/>
                <w:lang w:val="en-US" w:eastAsia="zh-CN"/>
              </w:rPr>
              <w:t>的工程量清单对应项单价限价。</w:t>
            </w:r>
          </w:p>
          <w:p w14:paraId="5C2196F9">
            <w:pPr>
              <w:adjustRightInd w:val="0"/>
              <w:snapToGrid w:val="0"/>
              <w:spacing w:before="50" w:line="360" w:lineRule="auto"/>
              <w:jc w:val="left"/>
              <w:rPr>
                <w:rFonts w:hint="default" w:ascii="宋体" w:hAnsi="宋体"/>
                <w:b w:val="0"/>
                <w:bCs w:val="0"/>
                <w:color w:val="auto"/>
                <w:szCs w:val="21"/>
                <w:lang w:val="en-US" w:eastAsia="zh-CN"/>
              </w:rPr>
            </w:pPr>
            <w:r>
              <w:rPr>
                <w:rFonts w:hint="default" w:ascii="宋体" w:hAnsi="宋体"/>
                <w:b w:val="0"/>
                <w:bCs w:val="0"/>
                <w:color w:val="auto"/>
                <w:szCs w:val="21"/>
                <w:lang w:val="en-US" w:eastAsia="zh-CN"/>
              </w:rPr>
              <w:t>投标报价存在以下任一情形的，作无效投标处理：</w:t>
            </w:r>
          </w:p>
          <w:p w14:paraId="52D2379B">
            <w:pPr>
              <w:adjustRightInd w:val="0"/>
              <w:snapToGrid w:val="0"/>
              <w:spacing w:before="50" w:line="360" w:lineRule="auto"/>
              <w:jc w:val="left"/>
              <w:rPr>
                <w:rFonts w:hint="default" w:ascii="宋体" w:hAnsi="宋体"/>
                <w:b w:val="0"/>
                <w:bCs w:val="0"/>
                <w:color w:val="auto"/>
                <w:szCs w:val="21"/>
                <w:lang w:val="en-US" w:eastAsia="zh-CN"/>
              </w:rPr>
            </w:pPr>
            <w:r>
              <w:rPr>
                <w:rFonts w:hint="default" w:ascii="宋体" w:hAnsi="宋体"/>
                <w:b w:val="0"/>
                <w:bCs w:val="0"/>
                <w:color w:val="auto"/>
                <w:szCs w:val="21"/>
                <w:lang w:val="en-US" w:eastAsia="zh-CN"/>
              </w:rPr>
              <w:t>1.投标总报价高于最高限价；</w:t>
            </w:r>
          </w:p>
          <w:p w14:paraId="66A3530C">
            <w:pPr>
              <w:adjustRightInd w:val="0"/>
              <w:snapToGrid w:val="0"/>
              <w:spacing w:before="50" w:line="360" w:lineRule="auto"/>
              <w:jc w:val="left"/>
              <w:rPr>
                <w:rFonts w:hint="default" w:ascii="宋体" w:hAnsi="宋体"/>
                <w:b w:val="0"/>
                <w:bCs w:val="0"/>
                <w:color w:val="auto"/>
                <w:szCs w:val="21"/>
                <w:lang w:val="en-US" w:eastAsia="zh-CN"/>
              </w:rPr>
            </w:pPr>
            <w:r>
              <w:rPr>
                <w:rFonts w:hint="default" w:ascii="宋体" w:hAnsi="宋体"/>
                <w:b w:val="0"/>
                <w:bCs w:val="0"/>
                <w:color w:val="auto"/>
                <w:szCs w:val="21"/>
                <w:lang w:val="en-US" w:eastAsia="zh-CN"/>
              </w:rPr>
              <w:t>2.任一分项报价单价高于对应清单单价限价；</w:t>
            </w:r>
          </w:p>
          <w:p w14:paraId="10A3C060">
            <w:pPr>
              <w:adjustRightInd w:val="0"/>
              <w:snapToGrid w:val="0"/>
              <w:spacing w:before="50" w:line="360" w:lineRule="auto"/>
              <w:jc w:val="left"/>
              <w:rPr>
                <w:rFonts w:hint="default" w:ascii="宋体" w:hAnsi="宋体"/>
                <w:b/>
                <w:bCs/>
                <w:color w:val="auto"/>
                <w:szCs w:val="21"/>
                <w:lang w:val="en-US" w:eastAsia="zh-CN"/>
              </w:rPr>
            </w:pPr>
            <w:r>
              <w:rPr>
                <w:rFonts w:hint="default" w:ascii="宋体" w:hAnsi="宋体"/>
                <w:b w:val="0"/>
                <w:bCs w:val="0"/>
                <w:color w:val="auto"/>
                <w:szCs w:val="21"/>
                <w:lang w:val="en-US" w:eastAsia="zh-CN"/>
              </w:rPr>
              <w:t>3.报价存在缺项、漏项、计算错误，经修正后仍超出双控限价的。）</w:t>
            </w:r>
          </w:p>
        </w:tc>
      </w:tr>
      <w:tr w14:paraId="5D8E8B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noWrap w:val="0"/>
            <w:vAlign w:val="center"/>
          </w:tcPr>
          <w:p w14:paraId="440B7B52">
            <w:pPr>
              <w:adjustRightInd w:val="0"/>
              <w:snapToGrid w:val="0"/>
              <w:spacing w:before="50" w:line="360" w:lineRule="auto"/>
              <w:jc w:val="center"/>
              <w:rPr>
                <w:rFonts w:ascii="宋体" w:hAnsi="宋体"/>
                <w:color w:val="auto"/>
                <w:szCs w:val="21"/>
              </w:rPr>
            </w:pPr>
            <w:r>
              <w:rPr>
                <w:rFonts w:hint="eastAsia" w:ascii="宋体" w:hAnsi="宋体"/>
                <w:color w:val="auto"/>
                <w:szCs w:val="21"/>
              </w:rPr>
              <w:t>第11.6款</w:t>
            </w:r>
          </w:p>
        </w:tc>
        <w:tc>
          <w:tcPr>
            <w:tcW w:w="2556" w:type="dxa"/>
            <w:noWrap w:val="0"/>
            <w:vAlign w:val="center"/>
          </w:tcPr>
          <w:p w14:paraId="2CA4DC2A">
            <w:pPr>
              <w:adjustRightInd w:val="0"/>
              <w:snapToGrid w:val="0"/>
              <w:spacing w:before="50" w:line="360" w:lineRule="auto"/>
              <w:jc w:val="left"/>
              <w:rPr>
                <w:rFonts w:ascii="宋体" w:hAnsi="宋体"/>
                <w:color w:val="auto"/>
                <w:szCs w:val="21"/>
              </w:rPr>
            </w:pPr>
            <w:r>
              <w:rPr>
                <w:rFonts w:hint="eastAsia" w:ascii="宋体" w:hAnsi="宋体"/>
                <w:color w:val="auto"/>
                <w:szCs w:val="21"/>
              </w:rPr>
              <w:t>报价的其他要求</w:t>
            </w:r>
          </w:p>
        </w:tc>
        <w:tc>
          <w:tcPr>
            <w:tcW w:w="5285" w:type="dxa"/>
            <w:noWrap w:val="0"/>
            <w:vAlign w:val="center"/>
          </w:tcPr>
          <w:p w14:paraId="079E4013">
            <w:pPr>
              <w:adjustRightInd w:val="0"/>
              <w:snapToGrid w:val="0"/>
              <w:spacing w:line="400" w:lineRule="exact"/>
              <w:rPr>
                <w:rFonts w:hint="eastAsia" w:ascii="宋体" w:hAnsi="宋体" w:eastAsia="宋体" w:cs="Times New Roman"/>
                <w:szCs w:val="21"/>
                <w:highlight w:val="none"/>
              </w:rPr>
            </w:pPr>
            <w:r>
              <w:rPr>
                <w:rFonts w:hint="eastAsia" w:ascii="宋体" w:hAnsi="宋体" w:eastAsia="宋体" w:cs="Times New Roman"/>
                <w:szCs w:val="21"/>
                <w:highlight w:val="none"/>
              </w:rPr>
              <w:t>（一）在评标过程中，出现下列情形之一的，评审委员会应当启动异常低价投标（响应）审查程序：</w:t>
            </w:r>
          </w:p>
          <w:p w14:paraId="23E4B07C">
            <w:pPr>
              <w:adjustRightInd w:val="0"/>
              <w:snapToGrid w:val="0"/>
              <w:spacing w:line="400" w:lineRule="exact"/>
              <w:rPr>
                <w:rFonts w:hint="eastAsia" w:ascii="宋体" w:hAnsi="宋体" w:eastAsia="宋体" w:cs="Times New Roman"/>
                <w:szCs w:val="21"/>
                <w:highlight w:val="none"/>
              </w:rPr>
            </w:pPr>
            <w:r>
              <w:rPr>
                <w:rFonts w:hint="eastAsia" w:ascii="宋体" w:hAnsi="宋体" w:eastAsia="宋体" w:cs="Times New Roman"/>
                <w:szCs w:val="21"/>
                <w:highlight w:val="none"/>
              </w:rPr>
              <w:t>1.投标（响应）报价低于全部通过符合性审查供应商投标（响应）报价平均值50%的，即投标（响应）报价&lt;全部通过符合性审查供应商投标（响应）报价平均值×50%；</w:t>
            </w:r>
          </w:p>
          <w:p w14:paraId="1D9CFE12">
            <w:pPr>
              <w:adjustRightInd w:val="0"/>
              <w:snapToGrid w:val="0"/>
              <w:spacing w:line="400" w:lineRule="exact"/>
              <w:rPr>
                <w:rFonts w:hint="eastAsia" w:ascii="宋体" w:hAnsi="宋体" w:eastAsia="宋体" w:cs="Times New Roman"/>
                <w:szCs w:val="21"/>
                <w:highlight w:val="none"/>
              </w:rPr>
            </w:pPr>
            <w:r>
              <w:rPr>
                <w:rFonts w:hint="eastAsia" w:ascii="宋体" w:hAnsi="宋体" w:eastAsia="宋体" w:cs="Times New Roman"/>
                <w:szCs w:val="21"/>
                <w:highlight w:val="none"/>
              </w:rPr>
              <w:t>2.投标（响应）报价低于通过符合性审查的次低报价供应商投标（响应）报价50%的，即投标（响应）报价&lt;通过符合性审查的次低报价供应商投标（响应）报价×50%；</w:t>
            </w:r>
          </w:p>
          <w:p w14:paraId="549E57DE">
            <w:pPr>
              <w:adjustRightInd w:val="0"/>
              <w:snapToGrid w:val="0"/>
              <w:spacing w:line="400" w:lineRule="exact"/>
              <w:rPr>
                <w:rFonts w:hint="eastAsia" w:ascii="宋体" w:hAnsi="宋体" w:eastAsia="宋体" w:cs="Times New Roman"/>
                <w:szCs w:val="21"/>
                <w:highlight w:val="none"/>
              </w:rPr>
            </w:pPr>
            <w:r>
              <w:rPr>
                <w:rFonts w:hint="eastAsia" w:ascii="宋体" w:hAnsi="宋体" w:eastAsia="宋体" w:cs="Times New Roman"/>
                <w:szCs w:val="21"/>
                <w:highlight w:val="none"/>
              </w:rPr>
              <w:t>3.投标（响应）报价低于采购项目最高限价45%的，即投标（响应）报价&lt;采购项目最高限价×45%；</w:t>
            </w:r>
          </w:p>
          <w:p w14:paraId="49909707">
            <w:pPr>
              <w:adjustRightInd w:val="0"/>
              <w:snapToGrid w:val="0"/>
              <w:spacing w:line="400" w:lineRule="exact"/>
              <w:rPr>
                <w:rFonts w:hint="eastAsia" w:ascii="宋体" w:hAnsi="宋体" w:eastAsia="宋体" w:cs="Times New Roman"/>
                <w:szCs w:val="21"/>
                <w:highlight w:val="none"/>
              </w:rPr>
            </w:pPr>
            <w:r>
              <w:rPr>
                <w:rFonts w:hint="eastAsia" w:ascii="宋体" w:hAnsi="宋体" w:eastAsia="宋体" w:cs="Times New Roman"/>
                <w:szCs w:val="21"/>
                <w:highlight w:val="none"/>
              </w:rPr>
              <w:t>4.评审委员会基于专业判断，认为供应商报价过低，有可能影响产品质量或者不能诚信履约的其他情形。</w:t>
            </w:r>
          </w:p>
          <w:p w14:paraId="52F21600">
            <w:pPr>
              <w:adjustRightInd w:val="0"/>
              <w:snapToGrid w:val="0"/>
              <w:spacing w:line="400" w:lineRule="exact"/>
              <w:rPr>
                <w:rFonts w:hint="eastAsia" w:ascii="宋体" w:hAnsi="宋体" w:eastAsia="宋体" w:cs="Times New Roman"/>
                <w:szCs w:val="21"/>
                <w:highlight w:val="none"/>
              </w:rPr>
            </w:pPr>
            <w:r>
              <w:rPr>
                <w:rFonts w:hint="eastAsia" w:ascii="宋体" w:hAnsi="宋体" w:eastAsia="宋体" w:cs="Times New Roman"/>
                <w:szCs w:val="21"/>
                <w:highlight w:val="none"/>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w:t>
            </w:r>
          </w:p>
          <w:p w14:paraId="505270D1">
            <w:pPr>
              <w:numPr>
                <w:ilvl w:val="0"/>
                <w:numId w:val="0"/>
              </w:numPr>
              <w:adjustRightInd w:val="0"/>
              <w:snapToGrid w:val="0"/>
              <w:spacing w:before="50" w:line="360" w:lineRule="auto"/>
              <w:jc w:val="left"/>
              <w:rPr>
                <w:rFonts w:hint="eastAsia" w:ascii="宋体" w:hAnsi="宋体"/>
                <w:b w:val="0"/>
                <w:bCs w:val="0"/>
                <w:color w:val="auto"/>
                <w:szCs w:val="21"/>
                <w:lang w:val="en-US" w:eastAsia="zh-CN"/>
              </w:rPr>
            </w:pPr>
            <w:r>
              <w:rPr>
                <w:rFonts w:hint="eastAsia" w:ascii="宋体" w:hAnsi="宋体" w:eastAsia="宋体" w:cs="Times New Roman"/>
                <w:szCs w:val="21"/>
                <w:highlight w:val="none"/>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0B5B5D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85" w:hRule="atLeast"/>
          <w:jc w:val="center"/>
        </w:trPr>
        <w:tc>
          <w:tcPr>
            <w:tcW w:w="1622" w:type="dxa"/>
            <w:noWrap w:val="0"/>
            <w:vAlign w:val="center"/>
          </w:tcPr>
          <w:p w14:paraId="3585BFE0">
            <w:pPr>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第12.1款</w:t>
            </w:r>
          </w:p>
        </w:tc>
        <w:tc>
          <w:tcPr>
            <w:tcW w:w="2556" w:type="dxa"/>
            <w:noWrap w:val="0"/>
            <w:vAlign w:val="center"/>
          </w:tcPr>
          <w:p w14:paraId="1E531121">
            <w:pPr>
              <w:adjustRightInd w:val="0"/>
              <w:snapToGrid w:val="0"/>
              <w:spacing w:before="156" w:beforeLines="50" w:line="360" w:lineRule="auto"/>
              <w:ind w:left="-533" w:leftChars="-254" w:firstLine="533" w:firstLineChars="254"/>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保证金</w:t>
            </w:r>
          </w:p>
        </w:tc>
        <w:tc>
          <w:tcPr>
            <w:tcW w:w="5285" w:type="dxa"/>
            <w:noWrap w:val="0"/>
            <w:vAlign w:val="center"/>
          </w:tcPr>
          <w:p w14:paraId="238400AA">
            <w:pPr>
              <w:adjustRightInd w:val="0"/>
              <w:snapToGrid w:val="0"/>
              <w:spacing w:before="50" w:line="24" w:lineRule="atLeas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不要求提供</w:t>
            </w:r>
          </w:p>
          <w:p w14:paraId="3B0328D3">
            <w:pPr>
              <w:ind w:right="23" w:rightChars="1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要求提供：</w:t>
            </w:r>
          </w:p>
          <w:p w14:paraId="380050D9">
            <w:pPr>
              <w:ind w:right="23" w:rightChars="11"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保证金数额</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(人民币)</w:t>
            </w:r>
          </w:p>
          <w:p w14:paraId="4F0819D0">
            <w:pPr>
              <w:ind w:firstLine="420" w:firstLineChars="200"/>
              <w:rPr>
                <w:rFonts w:ascii="宋体"/>
                <w:bCs/>
                <w:color w:val="000000" w:themeColor="text1"/>
                <w:szCs w:val="21"/>
                <w:highlight w:val="none"/>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缴纳方式：</w:t>
            </w:r>
            <w:r>
              <w:rPr>
                <w:rFonts w:hint="eastAsia" w:ascii="宋体"/>
                <w:bCs/>
                <w:color w:val="000000" w:themeColor="text1"/>
                <w:szCs w:val="21"/>
                <w:highlight w:val="none"/>
                <w14:textFill>
                  <w14:solidFill>
                    <w14:schemeClr w14:val="tx1"/>
                  </w14:solidFill>
                </w14:textFill>
              </w:rPr>
              <w:t>由投标人的基本账户转入投标保证金的托管账户（1）转投标保证金时，必须在银行进帐单上注明</w:t>
            </w:r>
            <w:r>
              <w:rPr>
                <w:rFonts w:hint="eastAsia" w:ascii="宋体"/>
                <w:bCs/>
                <w:color w:val="000000" w:themeColor="text1"/>
                <w:szCs w:val="21"/>
                <w:highlight w:val="none"/>
                <w:u w:val="single"/>
                <w14:textFill>
                  <w14:solidFill>
                    <w14:schemeClr w14:val="tx1"/>
                  </w14:solidFill>
                </w14:textFill>
              </w:rPr>
              <w:t>“             ”</w:t>
            </w:r>
            <w:r>
              <w:rPr>
                <w:rFonts w:hint="eastAsia" w:ascii="宋体"/>
                <w:bCs/>
                <w:color w:val="000000" w:themeColor="text1"/>
                <w:szCs w:val="21"/>
                <w:highlight w:val="none"/>
                <w14:textFill>
                  <w14:solidFill>
                    <w14:schemeClr w14:val="tx1"/>
                  </w14:solidFill>
                </w14:textFill>
              </w:rPr>
              <w:t>的投标保证金，如果没注明，由此造成无法查实是否到账的，后果由投标人自行负责。⑵请将投标保证金于</w:t>
            </w:r>
            <w:r>
              <w:rPr>
                <w:rFonts w:hint="eastAsia" w:ascii="宋体"/>
                <w:color w:val="000000" w:themeColor="text1"/>
                <w:szCs w:val="21"/>
                <w:highlight w:val="none"/>
                <w:u w:val="single"/>
                <w:lang w:val="en-US" w:eastAsia="zh-CN"/>
                <w14:textFill>
                  <w14:solidFill>
                    <w14:schemeClr w14:val="tx1"/>
                  </w14:solidFill>
                </w14:textFill>
              </w:rPr>
              <w:t xml:space="preserve">        </w:t>
            </w:r>
            <w:r>
              <w:rPr>
                <w:rFonts w:hint="eastAsia" w:ascii="宋体"/>
                <w:color w:val="000000" w:themeColor="text1"/>
                <w:szCs w:val="21"/>
                <w:highlight w:val="none"/>
                <w14:textFill>
                  <w14:solidFill>
                    <w14:schemeClr w14:val="tx1"/>
                  </w14:solidFill>
                </w14:textFill>
              </w:rPr>
              <w:t>年</w:t>
            </w:r>
            <w:r>
              <w:rPr>
                <w:rFonts w:hint="eastAsia" w:ascii="宋体"/>
                <w:color w:val="000000" w:themeColor="text1"/>
                <w:szCs w:val="21"/>
                <w:highlight w:val="none"/>
                <w:u w:val="single"/>
                <w14:textFill>
                  <w14:solidFill>
                    <w14:schemeClr w14:val="tx1"/>
                  </w14:solidFill>
                </w14:textFill>
              </w:rPr>
              <w:t xml:space="preserve">    </w:t>
            </w:r>
            <w:r>
              <w:rPr>
                <w:rFonts w:hint="eastAsia" w:ascii="宋体"/>
                <w:color w:val="000000" w:themeColor="text1"/>
                <w:szCs w:val="21"/>
                <w:highlight w:val="none"/>
                <w14:textFill>
                  <w14:solidFill>
                    <w14:schemeClr w14:val="tx1"/>
                  </w14:solidFill>
                </w14:textFill>
              </w:rPr>
              <w:t>月</w:t>
            </w:r>
            <w:r>
              <w:rPr>
                <w:rFonts w:hint="eastAsia" w:ascii="宋体"/>
                <w:color w:val="000000" w:themeColor="text1"/>
                <w:szCs w:val="21"/>
                <w:highlight w:val="none"/>
                <w:u w:val="single"/>
                <w14:textFill>
                  <w14:solidFill>
                    <w14:schemeClr w14:val="tx1"/>
                  </w14:solidFill>
                </w14:textFill>
              </w:rPr>
              <w:t xml:space="preserve">   </w:t>
            </w:r>
            <w:r>
              <w:rPr>
                <w:rFonts w:hint="eastAsia" w:ascii="宋体"/>
                <w:color w:val="000000" w:themeColor="text1"/>
                <w:szCs w:val="21"/>
                <w:highlight w:val="none"/>
                <w14:textFill>
                  <w14:solidFill>
                    <w14:schemeClr w14:val="tx1"/>
                  </w14:solidFill>
                </w14:textFill>
              </w:rPr>
              <w:t>日</w:t>
            </w:r>
            <w:r>
              <w:rPr>
                <w:rFonts w:hint="eastAsia" w:ascii="宋体"/>
                <w:color w:val="000000" w:themeColor="text1"/>
                <w:szCs w:val="21"/>
                <w:highlight w:val="none"/>
                <w:u w:val="single"/>
                <w14:textFill>
                  <w14:solidFill>
                    <w14:schemeClr w14:val="tx1"/>
                  </w14:solidFill>
                </w14:textFill>
              </w:rPr>
              <w:t xml:space="preserve">上午    </w:t>
            </w:r>
            <w:r>
              <w:rPr>
                <w:rFonts w:hint="eastAsia" w:ascii="宋体"/>
                <w:color w:val="000000" w:themeColor="text1"/>
                <w:szCs w:val="21"/>
                <w:highlight w:val="none"/>
                <w14:textFill>
                  <w14:solidFill>
                    <w14:schemeClr w14:val="tx1"/>
                  </w14:solidFill>
                </w14:textFill>
              </w:rPr>
              <w:t>时(北京时间)</w:t>
            </w:r>
            <w:r>
              <w:rPr>
                <w:rFonts w:hint="eastAsia" w:ascii="宋体"/>
                <w:bCs/>
                <w:color w:val="000000" w:themeColor="text1"/>
                <w:szCs w:val="21"/>
                <w:highlight w:val="none"/>
                <w14:textFill>
                  <w14:solidFill>
                    <w14:schemeClr w14:val="tx1"/>
                  </w14:solidFill>
                </w14:textFill>
              </w:rPr>
              <w:t>前转入投标保证金的托管账户管理，以到账时间为准</w:t>
            </w:r>
          </w:p>
          <w:p w14:paraId="2ECDE913">
            <w:pPr>
              <w:adjustRightInd w:val="0"/>
              <w:snapToGrid w:val="0"/>
              <w:spacing w:before="156" w:beforeLines="50"/>
              <w:jc w:val="left"/>
              <w:rPr>
                <w:rFonts w:hint="eastAsia" w:ascii="宋体" w:hAnsi="宋体"/>
                <w:color w:val="000000" w:themeColor="text1"/>
                <w:szCs w:val="21"/>
                <w:u w:val="single"/>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开户名称：</w:t>
            </w:r>
            <w:r>
              <w:rPr>
                <w:rFonts w:hint="eastAsia" w:ascii="宋体" w:hAnsi="宋体"/>
                <w:color w:val="000000" w:themeColor="text1"/>
                <w:szCs w:val="21"/>
                <w:u w:val="single"/>
                <w:lang w:val="en-US" w:eastAsia="zh-CN"/>
                <w14:textFill>
                  <w14:solidFill>
                    <w14:schemeClr w14:val="tx1"/>
                  </w14:solidFill>
                </w14:textFill>
              </w:rPr>
              <w:t>/</w:t>
            </w:r>
          </w:p>
          <w:p w14:paraId="40DAFD8E">
            <w:pPr>
              <w:adjustRightInd w:val="0"/>
              <w:snapToGrid w:val="0"/>
              <w:spacing w:before="156" w:beforeLines="50"/>
              <w:jc w:val="left"/>
              <w:rPr>
                <w:rFonts w:hint="eastAsia" w:ascii="宋体" w:hAnsi="宋体" w:eastAsia="宋体"/>
                <w:color w:val="000000" w:themeColor="text1"/>
                <w:szCs w:val="21"/>
                <w:u w:val="single"/>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开</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户</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行：</w:t>
            </w:r>
            <w:r>
              <w:rPr>
                <w:rFonts w:hint="eastAsia" w:ascii="宋体" w:hAnsi="宋体"/>
                <w:color w:val="000000" w:themeColor="text1"/>
                <w:szCs w:val="21"/>
                <w:u w:val="single"/>
                <w:lang w:val="en-US" w:eastAsia="zh-CN"/>
                <w14:textFill>
                  <w14:solidFill>
                    <w14:schemeClr w14:val="tx1"/>
                  </w14:solidFill>
                </w14:textFill>
              </w:rPr>
              <w:t>/</w:t>
            </w:r>
          </w:p>
          <w:p w14:paraId="02BE42D6">
            <w:pPr>
              <w:adjustRightInd w:val="0"/>
              <w:snapToGrid w:val="0"/>
              <w:spacing w:before="50" w:line="360" w:lineRule="auto"/>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银行账号：</w:t>
            </w:r>
            <w:r>
              <w:rPr>
                <w:rFonts w:hint="eastAsia" w:ascii="宋体" w:hAnsi="宋体"/>
                <w:color w:val="000000" w:themeColor="text1"/>
                <w:szCs w:val="21"/>
                <w:u w:val="single"/>
                <w:lang w:val="en-US" w:eastAsia="zh-CN"/>
                <w14:textFill>
                  <w14:solidFill>
                    <w14:schemeClr w14:val="tx1"/>
                  </w14:solidFill>
                </w14:textFill>
              </w:rPr>
              <w:t>/</w:t>
            </w:r>
          </w:p>
        </w:tc>
      </w:tr>
      <w:tr w14:paraId="219E5A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650EAB98">
            <w:pPr>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第13.1款</w:t>
            </w:r>
          </w:p>
        </w:tc>
        <w:tc>
          <w:tcPr>
            <w:tcW w:w="2556" w:type="dxa"/>
            <w:noWrap w:val="0"/>
            <w:vAlign w:val="center"/>
          </w:tcPr>
          <w:p w14:paraId="5DFFB062">
            <w:pPr>
              <w:adjustRightInd w:val="0"/>
              <w:snapToGrid w:val="0"/>
              <w:spacing w:before="156" w:beforeLines="50"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响应文件有效期</w:t>
            </w:r>
          </w:p>
        </w:tc>
        <w:tc>
          <w:tcPr>
            <w:tcW w:w="5285" w:type="dxa"/>
            <w:noWrap w:val="0"/>
            <w:vAlign w:val="center"/>
          </w:tcPr>
          <w:p w14:paraId="23C4EF4E">
            <w:pPr>
              <w:adjustRightInd w:val="0"/>
              <w:snapToGrid w:val="0"/>
              <w:spacing w:before="50" w:line="360" w:lineRule="auto"/>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u w:val="single"/>
                <w:lang w:val="en-US" w:eastAsia="zh-CN"/>
                <w14:textFill>
                  <w14:solidFill>
                    <w14:schemeClr w14:val="tx1"/>
                  </w14:solidFill>
                </w14:textFill>
              </w:rPr>
              <w:t>90</w:t>
            </w:r>
            <w:r>
              <w:rPr>
                <w:rFonts w:hint="eastAsia" w:ascii="宋体" w:hAnsi="宋体"/>
                <w:color w:val="000000" w:themeColor="text1"/>
                <w:szCs w:val="21"/>
                <w14:textFill>
                  <w14:solidFill>
                    <w14:schemeClr w14:val="tx1"/>
                  </w14:solidFill>
                </w14:textFill>
              </w:rPr>
              <w:t>日（日历日）</w:t>
            </w:r>
          </w:p>
        </w:tc>
      </w:tr>
      <w:tr w14:paraId="321B1A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14" w:hRule="atLeast"/>
          <w:jc w:val="center"/>
        </w:trPr>
        <w:tc>
          <w:tcPr>
            <w:tcW w:w="1622" w:type="dxa"/>
            <w:noWrap w:val="0"/>
            <w:vAlign w:val="center"/>
          </w:tcPr>
          <w:p w14:paraId="087B4F39">
            <w:pPr>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第14.1款</w:t>
            </w:r>
          </w:p>
        </w:tc>
        <w:tc>
          <w:tcPr>
            <w:tcW w:w="2556" w:type="dxa"/>
            <w:noWrap w:val="0"/>
            <w:vAlign w:val="center"/>
          </w:tcPr>
          <w:p w14:paraId="6E0BA70A">
            <w:pPr>
              <w:adjustRightInd w:val="0"/>
              <w:snapToGrid w:val="0"/>
              <w:spacing w:before="156" w:beforeLines="50"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分包</w:t>
            </w:r>
          </w:p>
        </w:tc>
        <w:tc>
          <w:tcPr>
            <w:tcW w:w="5285" w:type="dxa"/>
            <w:noWrap w:val="0"/>
            <w:vAlign w:val="center"/>
          </w:tcPr>
          <w:p w14:paraId="57FCBEFF">
            <w:pPr>
              <w:adjustRightInd w:val="0"/>
              <w:snapToGrid w:val="0"/>
              <w:spacing w:before="50" w:line="360" w:lineRule="auto"/>
              <w:rPr>
                <w:rFonts w:ascii="宋体" w:hAnsi="宋体"/>
                <w:bCs/>
                <w:color w:val="000000" w:themeColor="text1"/>
                <w:szCs w:val="21"/>
                <w14:textFill>
                  <w14:solidFill>
                    <w14:schemeClr w14:val="tx1"/>
                  </w14:solidFill>
                </w14:textFill>
              </w:rPr>
            </w:pPr>
            <w:r>
              <w:rPr>
                <w:rFonts w:hint="eastAsia"/>
                <w:color w:val="000000" w:themeColor="text1"/>
                <w14:textFill>
                  <w14:solidFill>
                    <w14:schemeClr w14:val="tx1"/>
                  </w14:solidFill>
                </w14:textFill>
              </w:rPr>
              <w:t>不允许</w:t>
            </w:r>
          </w:p>
        </w:tc>
      </w:tr>
      <w:tr w14:paraId="0D19A2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29B22BE7">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第15.2款</w:t>
            </w:r>
          </w:p>
        </w:tc>
        <w:tc>
          <w:tcPr>
            <w:tcW w:w="2556" w:type="dxa"/>
            <w:noWrap w:val="0"/>
            <w:vAlign w:val="center"/>
          </w:tcPr>
          <w:p w14:paraId="02E4AACD">
            <w:pPr>
              <w:adjustRightInd w:val="0"/>
              <w:snapToGrid w:val="0"/>
              <w:spacing w:before="50" w:line="360" w:lineRule="auto"/>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响应</w:t>
            </w:r>
            <w:r>
              <w:rPr>
                <w:rFonts w:hint="eastAsia" w:ascii="宋体" w:hAnsi="宋体"/>
                <w:color w:val="000000" w:themeColor="text1"/>
                <w:szCs w:val="21"/>
                <w14:textFill>
                  <w14:solidFill>
                    <w14:schemeClr w14:val="tx1"/>
                  </w14:solidFill>
                </w14:textFill>
              </w:rPr>
              <w:t>文件副本份数</w:t>
            </w:r>
          </w:p>
        </w:tc>
        <w:tc>
          <w:tcPr>
            <w:tcW w:w="5285" w:type="dxa"/>
            <w:noWrap w:val="0"/>
            <w:vAlign w:val="center"/>
          </w:tcPr>
          <w:p w14:paraId="4E0358E6">
            <w:pPr>
              <w:adjustRightInd w:val="0"/>
              <w:snapToGrid w:val="0"/>
              <w:spacing w:before="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正本一份，副本</w:t>
            </w:r>
            <w:r>
              <w:rPr>
                <w:rFonts w:hint="eastAsia" w:ascii="宋体" w:hAnsi="宋体"/>
                <w:color w:val="000000" w:themeColor="text1"/>
                <w:szCs w:val="21"/>
                <w:lang w:eastAsia="zh-CN"/>
                <w14:textFill>
                  <w14:solidFill>
                    <w14:schemeClr w14:val="tx1"/>
                  </w14:solidFill>
                </w14:textFill>
              </w:rPr>
              <w:t>三</w:t>
            </w:r>
            <w:r>
              <w:rPr>
                <w:rFonts w:hint="eastAsia" w:ascii="宋体" w:hAnsi="宋体"/>
                <w:color w:val="000000" w:themeColor="text1"/>
                <w:szCs w:val="21"/>
                <w14:textFill>
                  <w14:solidFill>
                    <w14:schemeClr w14:val="tx1"/>
                  </w14:solidFill>
                </w14:textFill>
              </w:rPr>
              <w:t>份，并提供响应文件盖章扫描件U盘形式提交</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并确认能正常读取。（包含所有投标文件组成部分，扫描并盖有公章）</w:t>
            </w:r>
          </w:p>
        </w:tc>
      </w:tr>
      <w:tr w14:paraId="351196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463" w:type="dxa"/>
            <w:gridSpan w:val="3"/>
            <w:noWrap w:val="0"/>
            <w:vAlign w:val="center"/>
          </w:tcPr>
          <w:p w14:paraId="153C0A9E">
            <w:pPr>
              <w:adjustRightInd w:val="0"/>
              <w:snapToGrid w:val="0"/>
              <w:spacing w:before="50" w:line="360" w:lineRule="auto"/>
              <w:rPr>
                <w:rFonts w:ascii="宋体" w:hAnsi="宋体"/>
                <w:b/>
                <w:bCs/>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四、响应文件的递交</w:t>
            </w:r>
          </w:p>
        </w:tc>
      </w:tr>
      <w:tr w14:paraId="38A63B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1" w:hRule="atLeast"/>
          <w:jc w:val="center"/>
        </w:trPr>
        <w:tc>
          <w:tcPr>
            <w:tcW w:w="1622" w:type="dxa"/>
            <w:noWrap w:val="0"/>
            <w:vAlign w:val="center"/>
          </w:tcPr>
          <w:p w14:paraId="4417783F">
            <w:pPr>
              <w:adjustRightInd w:val="0"/>
              <w:snapToGrid w:val="0"/>
              <w:spacing w:before="50" w:line="360" w:lineRule="auto"/>
              <w:jc w:val="center"/>
              <w:rPr>
                <w:rFonts w:ascii="宋体" w:hAnsi="宋体"/>
                <w:color w:val="auto"/>
                <w:szCs w:val="21"/>
              </w:rPr>
            </w:pPr>
            <w:r>
              <w:rPr>
                <w:rFonts w:hint="eastAsia" w:ascii="宋体" w:hAnsi="宋体"/>
                <w:color w:val="auto"/>
                <w:szCs w:val="21"/>
              </w:rPr>
              <w:t>第16.2款</w:t>
            </w:r>
          </w:p>
        </w:tc>
        <w:tc>
          <w:tcPr>
            <w:tcW w:w="2556" w:type="dxa"/>
            <w:noWrap w:val="0"/>
            <w:vAlign w:val="center"/>
          </w:tcPr>
          <w:p w14:paraId="4191838A">
            <w:pPr>
              <w:adjustRightInd w:val="0"/>
              <w:snapToGrid w:val="0"/>
              <w:spacing w:before="50" w:line="360" w:lineRule="auto"/>
              <w:rPr>
                <w:rFonts w:ascii="宋体" w:hAnsi="宋体"/>
                <w:color w:val="auto"/>
                <w:szCs w:val="21"/>
              </w:rPr>
            </w:pPr>
            <w:r>
              <w:rPr>
                <w:rFonts w:hint="eastAsia" w:ascii="宋体" w:hAnsi="宋体"/>
                <w:color w:val="auto"/>
                <w:szCs w:val="21"/>
              </w:rPr>
              <w:t>封套上应载明的信息</w:t>
            </w:r>
          </w:p>
        </w:tc>
        <w:tc>
          <w:tcPr>
            <w:tcW w:w="5285" w:type="dxa"/>
            <w:noWrap w:val="0"/>
            <w:vAlign w:val="center"/>
          </w:tcPr>
          <w:p w14:paraId="13875EAC">
            <w:pPr>
              <w:rPr>
                <w:rFonts w:ascii="宋体" w:hAnsi="宋体" w:cs="宋体"/>
                <w:color w:val="auto"/>
                <w:kern w:val="1"/>
                <w:szCs w:val="21"/>
              </w:rPr>
            </w:pPr>
            <w:r>
              <w:rPr>
                <w:rFonts w:hint="eastAsia" w:ascii="宋体" w:hAnsi="宋体" w:cs="宋体"/>
                <w:color w:val="auto"/>
                <w:kern w:val="1"/>
                <w:szCs w:val="21"/>
                <w:u w:val="single"/>
              </w:rPr>
              <w:t xml:space="preserve">                   项目</w:t>
            </w:r>
            <w:r>
              <w:rPr>
                <w:rFonts w:hint="eastAsia" w:ascii="宋体" w:hAnsi="宋体" w:cs="宋体"/>
                <w:color w:val="auto"/>
                <w:kern w:val="1"/>
                <w:szCs w:val="21"/>
              </w:rPr>
              <w:t>响应文件</w:t>
            </w:r>
          </w:p>
          <w:p w14:paraId="6F89E3AF">
            <w:pPr>
              <w:rPr>
                <w:rFonts w:ascii="宋体" w:hAnsi="宋体" w:cs="宋体"/>
                <w:color w:val="auto"/>
                <w:kern w:val="1"/>
                <w:szCs w:val="21"/>
              </w:rPr>
            </w:pPr>
            <w:r>
              <w:rPr>
                <w:rFonts w:hint="eastAsia" w:ascii="宋体" w:hAnsi="宋体" w:cs="宋体"/>
                <w:color w:val="auto"/>
                <w:kern w:val="1"/>
                <w:szCs w:val="21"/>
              </w:rPr>
              <w:t xml:space="preserve">委托代理编号：    </w:t>
            </w:r>
          </w:p>
          <w:p w14:paraId="6140762E">
            <w:pPr>
              <w:rPr>
                <w:rFonts w:ascii="宋体" w:hAnsi="宋体" w:cs="宋体"/>
                <w:color w:val="auto"/>
                <w:kern w:val="1"/>
                <w:szCs w:val="21"/>
                <w:u w:val="single"/>
              </w:rPr>
            </w:pPr>
            <w:r>
              <w:rPr>
                <w:rFonts w:ascii="宋体" w:hAnsi="宋体" w:cs="宋体"/>
                <w:color w:val="auto"/>
                <w:kern w:val="1"/>
                <w:szCs w:val="21"/>
              </w:rPr>
              <w:t>供应商名称：</w:t>
            </w:r>
          </w:p>
          <w:p w14:paraId="15CC4D9D">
            <w:pPr>
              <w:rPr>
                <w:rFonts w:ascii="宋体" w:hAnsi="宋体" w:cs="宋体"/>
                <w:color w:val="auto"/>
                <w:kern w:val="1"/>
                <w:szCs w:val="21"/>
              </w:rPr>
            </w:pPr>
            <w:r>
              <w:rPr>
                <w:rFonts w:hint="eastAsia" w:ascii="宋体" w:hAnsi="宋体" w:cs="宋体"/>
                <w:color w:val="auto"/>
                <w:kern w:val="1"/>
                <w:szCs w:val="21"/>
              </w:rPr>
              <w:t>法定代表人或其授权委托人：</w:t>
            </w:r>
            <w:r>
              <w:rPr>
                <w:rFonts w:hint="eastAsia" w:ascii="宋体" w:hAnsi="宋体" w:cs="宋体"/>
                <w:color w:val="auto"/>
                <w:kern w:val="1"/>
                <w:szCs w:val="21"/>
                <w:u w:val="single"/>
              </w:rPr>
              <w:t>（签字或盖章）</w:t>
            </w:r>
          </w:p>
          <w:p w14:paraId="6F1D288A">
            <w:pPr>
              <w:adjustRightInd w:val="0"/>
              <w:snapToGrid w:val="0"/>
              <w:spacing w:before="156" w:beforeLines="50" w:line="360" w:lineRule="auto"/>
              <w:rPr>
                <w:rFonts w:ascii="宋体" w:hAnsi="宋体"/>
                <w:color w:val="auto"/>
                <w:szCs w:val="21"/>
                <w:highlight w:val="none"/>
              </w:rPr>
            </w:pPr>
            <w:r>
              <w:rPr>
                <w:rFonts w:hint="eastAsia" w:ascii="宋体" w:hAnsi="宋体" w:cs="宋体"/>
                <w:color w:val="auto"/>
                <w:kern w:val="1"/>
                <w:szCs w:val="21"/>
              </w:rPr>
              <w:t>在</w:t>
            </w:r>
            <w:r>
              <w:rPr>
                <w:rFonts w:hint="eastAsia" w:ascii="宋体" w:hAnsi="宋体"/>
                <w:color w:val="auto"/>
                <w:szCs w:val="21"/>
                <w:highlight w:val="none"/>
                <w:u w:val="single"/>
                <w:shd w:val="clear" w:color="auto" w:fill="auto"/>
                <w:lang w:val="en-US" w:eastAsia="zh-CN"/>
              </w:rPr>
              <w:t xml:space="preserve">    年  月   日   时  分</w:t>
            </w:r>
            <w:r>
              <w:rPr>
                <w:rFonts w:hint="eastAsia" w:ascii="宋体" w:hAnsi="宋体" w:cs="宋体"/>
                <w:color w:val="auto"/>
                <w:kern w:val="1"/>
                <w:szCs w:val="21"/>
              </w:rPr>
              <w:t>之前不得启封</w:t>
            </w:r>
          </w:p>
        </w:tc>
      </w:tr>
      <w:tr w14:paraId="0CAE02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1D780EC7">
            <w:pPr>
              <w:adjustRightInd w:val="0"/>
              <w:snapToGrid w:val="0"/>
              <w:spacing w:before="50" w:line="360" w:lineRule="auto"/>
              <w:jc w:val="center"/>
              <w:rPr>
                <w:rFonts w:ascii="宋体" w:hAnsi="宋体"/>
                <w:color w:val="auto"/>
                <w:szCs w:val="21"/>
              </w:rPr>
            </w:pPr>
            <w:r>
              <w:rPr>
                <w:rFonts w:hint="eastAsia" w:ascii="宋体" w:hAnsi="宋体"/>
                <w:color w:val="auto"/>
                <w:szCs w:val="21"/>
              </w:rPr>
              <w:t>第18.1款</w:t>
            </w:r>
          </w:p>
        </w:tc>
        <w:tc>
          <w:tcPr>
            <w:tcW w:w="2556" w:type="dxa"/>
            <w:noWrap w:val="0"/>
            <w:vAlign w:val="center"/>
          </w:tcPr>
          <w:p w14:paraId="65CC44D9">
            <w:pPr>
              <w:adjustRightInd w:val="0"/>
              <w:snapToGrid w:val="0"/>
              <w:spacing w:before="50" w:line="360" w:lineRule="auto"/>
              <w:rPr>
                <w:rFonts w:ascii="宋体" w:hAnsi="宋体"/>
                <w:color w:val="auto"/>
                <w:szCs w:val="21"/>
              </w:rPr>
            </w:pPr>
            <w:r>
              <w:rPr>
                <w:rFonts w:hint="eastAsia" w:ascii="宋体" w:hAnsi="宋体"/>
                <w:color w:val="auto"/>
                <w:szCs w:val="21"/>
              </w:rPr>
              <w:t>响应文件的递交</w:t>
            </w:r>
            <w:r>
              <w:rPr>
                <w:rFonts w:hint="eastAsia" w:ascii="宋体" w:hAnsi="宋体"/>
                <w:bCs/>
                <w:color w:val="auto"/>
                <w:szCs w:val="21"/>
              </w:rPr>
              <w:t>时间和</w:t>
            </w:r>
            <w:r>
              <w:rPr>
                <w:rFonts w:hint="eastAsia" w:ascii="宋体" w:hAnsi="宋体"/>
                <w:color w:val="auto"/>
                <w:szCs w:val="21"/>
              </w:rPr>
              <w:t>地点</w:t>
            </w:r>
          </w:p>
        </w:tc>
        <w:tc>
          <w:tcPr>
            <w:tcW w:w="5285" w:type="dxa"/>
            <w:noWrap w:val="0"/>
            <w:vAlign w:val="center"/>
          </w:tcPr>
          <w:p w14:paraId="43396DEA">
            <w:pPr>
              <w:adjustRightInd w:val="0"/>
              <w:snapToGrid w:val="0"/>
              <w:spacing w:before="50" w:line="24" w:lineRule="atLeast"/>
              <w:rPr>
                <w:rFonts w:hint="eastAsia" w:ascii="宋体" w:hAnsi="宋体" w:eastAsia="宋体"/>
                <w:color w:val="auto"/>
                <w:szCs w:val="21"/>
                <w:highlight w:val="none"/>
                <w:lang w:val="en-US" w:eastAsia="zh-CN"/>
              </w:rPr>
            </w:pPr>
            <w:r>
              <w:rPr>
                <w:rFonts w:hint="eastAsia" w:ascii="宋体" w:hAnsi="宋体" w:cs="微软雅黑"/>
                <w:color w:val="auto"/>
                <w:kern w:val="0"/>
                <w:szCs w:val="21"/>
                <w:highlight w:val="none"/>
              </w:rPr>
              <w:t>递交时间：</w:t>
            </w:r>
            <w:r>
              <w:rPr>
                <w:rFonts w:hint="eastAsia" w:ascii="宋体" w:hAnsi="宋体"/>
                <w:color w:val="auto"/>
                <w:szCs w:val="21"/>
                <w:highlight w:val="none"/>
                <w:u w:val="single"/>
                <w:lang w:val="en-US" w:eastAsia="zh-CN"/>
              </w:rPr>
              <w:t>2026</w:t>
            </w:r>
            <w:r>
              <w:rPr>
                <w:rFonts w:hint="eastAsia" w:ascii="宋体" w:hAnsi="宋体"/>
                <w:color w:val="auto"/>
                <w:szCs w:val="21"/>
                <w:highlight w:val="none"/>
              </w:rPr>
              <w:t>年</w:t>
            </w:r>
            <w:r>
              <w:rPr>
                <w:rFonts w:hint="eastAsia" w:ascii="宋体" w:hAnsi="宋体"/>
                <w:color w:val="auto"/>
                <w:szCs w:val="21"/>
                <w:highlight w:val="none"/>
                <w:u w:val="single"/>
                <w:lang w:val="en-US" w:eastAsia="zh-CN"/>
              </w:rPr>
              <w:t xml:space="preserve"> 6 </w:t>
            </w:r>
            <w:r>
              <w:rPr>
                <w:rFonts w:hint="eastAsia" w:ascii="宋体" w:hAnsi="宋体"/>
                <w:color w:val="auto"/>
                <w:szCs w:val="21"/>
                <w:highlight w:val="none"/>
              </w:rPr>
              <w:t>月</w:t>
            </w:r>
            <w:r>
              <w:rPr>
                <w:rFonts w:hint="eastAsia" w:ascii="宋体" w:hAnsi="宋体"/>
                <w:color w:val="auto"/>
                <w:szCs w:val="21"/>
                <w:highlight w:val="none"/>
                <w:u w:val="single"/>
                <w:lang w:val="en-US" w:eastAsia="zh-CN"/>
              </w:rPr>
              <w:t xml:space="preserve"> 12 </w:t>
            </w:r>
            <w:r>
              <w:rPr>
                <w:rFonts w:hint="eastAsia" w:ascii="宋体" w:hAnsi="宋体"/>
                <w:color w:val="auto"/>
                <w:szCs w:val="21"/>
                <w:highlight w:val="none"/>
              </w:rPr>
              <w:t>日</w:t>
            </w:r>
            <w:r>
              <w:rPr>
                <w:rFonts w:hint="eastAsia" w:ascii="宋体" w:hAnsi="宋体"/>
                <w:color w:val="auto"/>
                <w:szCs w:val="21"/>
                <w:highlight w:val="none"/>
                <w:u w:val="single"/>
                <w:lang w:val="en-US" w:eastAsia="zh-CN"/>
              </w:rPr>
              <w:t xml:space="preserve"> 09 </w:t>
            </w:r>
            <w:r>
              <w:rPr>
                <w:rFonts w:hint="eastAsia" w:ascii="宋体" w:hAnsi="宋体"/>
                <w:color w:val="auto"/>
                <w:szCs w:val="21"/>
                <w:highlight w:val="none"/>
              </w:rPr>
              <w:t>时</w:t>
            </w:r>
            <w:r>
              <w:rPr>
                <w:rFonts w:hint="eastAsia" w:ascii="宋体" w:hAnsi="宋体"/>
                <w:color w:val="auto"/>
                <w:szCs w:val="21"/>
                <w:highlight w:val="none"/>
                <w:u w:val="single"/>
                <w:lang w:val="en-US" w:eastAsia="zh-CN"/>
              </w:rPr>
              <w:t xml:space="preserve"> 30 </w:t>
            </w:r>
            <w:r>
              <w:rPr>
                <w:rFonts w:hint="eastAsia" w:ascii="宋体" w:hAnsi="宋体"/>
                <w:color w:val="auto"/>
                <w:szCs w:val="21"/>
                <w:highlight w:val="none"/>
              </w:rPr>
              <w:t>分</w:t>
            </w:r>
            <w:r>
              <w:rPr>
                <w:rFonts w:hint="eastAsia" w:ascii="宋体" w:hAnsi="宋体" w:cs="微软雅黑"/>
                <w:color w:val="auto"/>
                <w:kern w:val="0"/>
                <w:szCs w:val="21"/>
                <w:highlight w:val="none"/>
              </w:rPr>
              <w:t>（北京时间）</w:t>
            </w:r>
            <w:r>
              <w:rPr>
                <w:rFonts w:hint="eastAsia" w:ascii="宋体" w:hAnsi="宋体" w:cs="微软雅黑"/>
                <w:color w:val="auto"/>
                <w:kern w:val="0"/>
                <w:szCs w:val="21"/>
                <w:highlight w:val="none"/>
                <w:lang w:val="en-US" w:eastAsia="zh-CN"/>
              </w:rPr>
              <w:t xml:space="preserve"> </w:t>
            </w:r>
          </w:p>
          <w:p w14:paraId="514A685F">
            <w:pPr>
              <w:keepNext w:val="0"/>
              <w:keepLines w:val="0"/>
              <w:widowControl/>
              <w:suppressLineNumbers w:val="0"/>
              <w:spacing w:before="100" w:beforeAutospacing="0" w:after="100" w:afterAutospacing="0" w:line="360" w:lineRule="atLeast"/>
              <w:ind w:right="0"/>
              <w:jc w:val="left"/>
              <w:rPr>
                <w:rFonts w:ascii="宋体" w:hAnsi="宋体"/>
                <w:b/>
                <w:bCs/>
                <w:color w:val="auto"/>
                <w:szCs w:val="21"/>
                <w:highlight w:val="none"/>
              </w:rPr>
            </w:pPr>
            <w:r>
              <w:rPr>
                <w:rFonts w:hint="eastAsia" w:ascii="宋体" w:hAnsi="宋体"/>
                <w:color w:val="auto"/>
                <w:szCs w:val="21"/>
                <w:highlight w:val="none"/>
              </w:rPr>
              <w:t>递交地点：</w:t>
            </w:r>
            <w:r>
              <w:rPr>
                <w:rFonts w:hint="eastAsia" w:ascii="宋体" w:hAnsi="宋体" w:eastAsia="宋体" w:cs="宋体"/>
                <w:i w:val="0"/>
                <w:iCs w:val="0"/>
                <w:caps w:val="0"/>
                <w:color w:val="000000"/>
                <w:spacing w:val="0"/>
                <w:kern w:val="0"/>
                <w:sz w:val="21"/>
                <w:szCs w:val="21"/>
                <w:u w:val="single"/>
                <w:lang w:val="en-US" w:eastAsia="zh-CN" w:bidi="ar"/>
              </w:rPr>
              <w:t>怀化市鹤城区南环路碧桂园</w:t>
            </w:r>
            <w:bookmarkStart w:id="203" w:name="_GoBack"/>
            <w:bookmarkEnd w:id="203"/>
            <w:r>
              <w:rPr>
                <w:rFonts w:hint="eastAsia" w:ascii="宋体" w:hAnsi="宋体" w:cs="宋体"/>
                <w:i w:val="0"/>
                <w:iCs w:val="0"/>
                <w:caps w:val="0"/>
                <w:color w:val="000000"/>
                <w:spacing w:val="0"/>
                <w:kern w:val="0"/>
                <w:sz w:val="21"/>
                <w:szCs w:val="21"/>
                <w:u w:val="single"/>
                <w:lang w:val="en-US" w:eastAsia="zh-CN" w:bidi="ar"/>
              </w:rPr>
              <w:t>鹤州府</w:t>
            </w:r>
            <w:r>
              <w:rPr>
                <w:rFonts w:hint="eastAsia" w:ascii="宋体" w:hAnsi="宋体" w:eastAsia="宋体" w:cs="宋体"/>
                <w:i w:val="0"/>
                <w:iCs w:val="0"/>
                <w:caps w:val="0"/>
                <w:color w:val="000000"/>
                <w:spacing w:val="0"/>
                <w:kern w:val="0"/>
                <w:sz w:val="21"/>
                <w:szCs w:val="21"/>
                <w:u w:val="single"/>
                <w:lang w:val="en-US" w:eastAsia="zh-CN" w:bidi="ar"/>
              </w:rPr>
              <w:t>20栋1单元1802号</w:t>
            </w:r>
          </w:p>
        </w:tc>
      </w:tr>
      <w:tr w14:paraId="1402FC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463" w:type="dxa"/>
            <w:gridSpan w:val="3"/>
            <w:noWrap w:val="0"/>
            <w:vAlign w:val="center"/>
          </w:tcPr>
          <w:p w14:paraId="328D8CC7">
            <w:pPr>
              <w:adjustRightInd w:val="0"/>
              <w:snapToGrid w:val="0"/>
              <w:spacing w:before="50" w:line="360" w:lineRule="auto"/>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五、响应文件的评审与谈判</w:t>
            </w:r>
          </w:p>
        </w:tc>
      </w:tr>
      <w:tr w14:paraId="437F1A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0A6FB6C9">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第22.4款</w:t>
            </w:r>
          </w:p>
        </w:tc>
        <w:tc>
          <w:tcPr>
            <w:tcW w:w="2556" w:type="dxa"/>
            <w:noWrap w:val="0"/>
            <w:vAlign w:val="center"/>
          </w:tcPr>
          <w:p w14:paraId="42A168DE">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谈判文件规定的实质性要求和条件</w:t>
            </w:r>
          </w:p>
        </w:tc>
        <w:tc>
          <w:tcPr>
            <w:tcW w:w="5285" w:type="dxa"/>
            <w:noWrap w:val="0"/>
            <w:vAlign w:val="center"/>
          </w:tcPr>
          <w:p w14:paraId="3DB61C9D">
            <w:pPr>
              <w:adjustRightInd w:val="0"/>
              <w:snapToGrid w:val="0"/>
              <w:spacing w:before="50" w:line="360" w:lineRule="auto"/>
              <w:rPr>
                <w:rFonts w:ascii="宋体" w:hAnsi="宋体"/>
                <w:b/>
                <w:bCs/>
                <w:color w:val="000000" w:themeColor="text1"/>
                <w:szCs w:val="21"/>
                <w14:textFill>
                  <w14:solidFill>
                    <w14:schemeClr w14:val="tx1"/>
                  </w14:solidFill>
                </w14:textFill>
              </w:rPr>
            </w:pPr>
            <w:r>
              <w:rPr>
                <w:rFonts w:hint="eastAsia" w:ascii="宋体" w:hAnsi="宋体"/>
                <w:b/>
                <w:bCs/>
                <w:color w:val="auto"/>
                <w:szCs w:val="21"/>
                <w:lang w:val="en-US" w:eastAsia="zh-CN"/>
              </w:rPr>
              <w:t>采购需求、合同条款（必须全部满足，否则作投标无效处理。）</w:t>
            </w:r>
          </w:p>
        </w:tc>
      </w:tr>
      <w:tr w14:paraId="14A8EB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7C5CF5F0">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第28.3款</w:t>
            </w:r>
          </w:p>
        </w:tc>
        <w:tc>
          <w:tcPr>
            <w:tcW w:w="2556" w:type="dxa"/>
            <w:noWrap w:val="0"/>
            <w:vAlign w:val="center"/>
          </w:tcPr>
          <w:p w14:paraId="5CF96F8D">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最后报价的算术修正</w:t>
            </w:r>
          </w:p>
        </w:tc>
        <w:tc>
          <w:tcPr>
            <w:tcW w:w="5285" w:type="dxa"/>
            <w:noWrap w:val="0"/>
            <w:vAlign w:val="center"/>
          </w:tcPr>
          <w:p w14:paraId="257981B8">
            <w:pPr>
              <w:adjustRightInd w:val="0"/>
              <w:snapToGrid w:val="0"/>
              <w:spacing w:before="50" w:line="360" w:lineRule="auto"/>
              <w:rPr>
                <w:rFonts w:ascii="宋体" w:hAnsi="宋体"/>
                <w:b/>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按谈判须知正文规定</w:t>
            </w:r>
          </w:p>
        </w:tc>
      </w:tr>
      <w:tr w14:paraId="65CB11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9463" w:type="dxa"/>
            <w:gridSpan w:val="3"/>
            <w:noWrap w:val="0"/>
            <w:vAlign w:val="center"/>
          </w:tcPr>
          <w:p w14:paraId="6AA0C51A">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六、成交结果信息公布与授予合同</w:t>
            </w:r>
          </w:p>
        </w:tc>
      </w:tr>
      <w:tr w14:paraId="6F99F9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471A1C4E">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第34.1款</w:t>
            </w:r>
          </w:p>
        </w:tc>
        <w:tc>
          <w:tcPr>
            <w:tcW w:w="2556" w:type="dxa"/>
            <w:noWrap w:val="0"/>
            <w:vAlign w:val="center"/>
          </w:tcPr>
          <w:p w14:paraId="14A93ADB">
            <w:pPr>
              <w:adjustRightInd w:val="0"/>
              <w:snapToGrid w:val="0"/>
              <w:spacing w:before="50" w:line="360" w:lineRule="auto"/>
              <w:rPr>
                <w:rFonts w:ascii="宋体" w:hAnsi="宋体"/>
                <w:color w:val="FF0000"/>
                <w:szCs w:val="21"/>
              </w:rPr>
            </w:pPr>
            <w:r>
              <w:rPr>
                <w:rFonts w:hint="eastAsia" w:ascii="宋体" w:hAnsi="宋体" w:cs="Times New Roman"/>
                <w:bCs/>
                <w:color w:val="000000" w:themeColor="text1"/>
                <w:szCs w:val="21"/>
                <w14:textFill>
                  <w14:solidFill>
                    <w14:schemeClr w14:val="tx1"/>
                  </w14:solidFill>
                </w14:textFill>
              </w:rPr>
              <w:t>部门指定的媒体</w:t>
            </w:r>
          </w:p>
        </w:tc>
        <w:tc>
          <w:tcPr>
            <w:tcW w:w="5285" w:type="dxa"/>
            <w:noWrap w:val="0"/>
            <w:vAlign w:val="center"/>
          </w:tcPr>
          <w:p w14:paraId="6EE2B5E2">
            <w:pPr>
              <w:adjustRightInd w:val="0"/>
              <w:snapToGrid w:val="0"/>
              <w:spacing w:before="50" w:line="360" w:lineRule="auto"/>
              <w:rPr>
                <w:rFonts w:hint="eastAsia" w:ascii="宋体" w:hAnsi="宋体" w:eastAsia="宋体"/>
                <w:color w:val="FF0000"/>
                <w:szCs w:val="21"/>
                <w:u w:val="single"/>
                <w:lang w:eastAsia="zh-CN"/>
              </w:rPr>
            </w:pPr>
            <w:r>
              <w:rPr>
                <w:rFonts w:hint="eastAsia" w:ascii="宋体" w:hAnsi="宋体"/>
                <w:color w:val="FF0000"/>
                <w:szCs w:val="21"/>
                <w:lang w:val="en-US" w:eastAsia="zh-CN"/>
              </w:rPr>
              <w:t xml:space="preserve"> </w:t>
            </w:r>
            <w:r>
              <w:rPr>
                <w:rFonts w:hint="eastAsia" w:ascii="宋体" w:hAnsi="宋体"/>
                <w:color w:val="auto"/>
                <w:szCs w:val="21"/>
                <w:u w:val="none"/>
              </w:rPr>
              <w:t>鹤城区人民政府门户网站（http://www.hechengqu.gov.cn/）</w:t>
            </w:r>
          </w:p>
        </w:tc>
      </w:tr>
      <w:tr w14:paraId="7E353E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63BEFD99">
            <w:pPr>
              <w:adjustRightInd w:val="0"/>
              <w:snapToGrid w:val="0"/>
              <w:spacing w:line="360" w:lineRule="auto"/>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第35.3</w:t>
            </w:r>
            <w:r>
              <w:rPr>
                <w:rFonts w:hint="eastAsia" w:ascii="宋体" w:hAnsi="宋体" w:eastAsia="宋体" w:cs="宋体"/>
                <w:color w:val="000000" w:themeColor="text1"/>
                <w:kern w:val="0"/>
                <w:szCs w:val="21"/>
                <w:lang w:val="zh-CN"/>
                <w14:textFill>
                  <w14:solidFill>
                    <w14:schemeClr w14:val="tx1"/>
                  </w14:solidFill>
                </w14:textFill>
              </w:rPr>
              <w:t>款</w:t>
            </w:r>
          </w:p>
        </w:tc>
        <w:tc>
          <w:tcPr>
            <w:tcW w:w="2556" w:type="dxa"/>
            <w:noWrap w:val="0"/>
            <w:vAlign w:val="center"/>
          </w:tcPr>
          <w:p w14:paraId="21BF5F05">
            <w:pPr>
              <w:adjustRightInd w:val="0"/>
              <w:snapToGrid w:val="0"/>
              <w:spacing w:line="360" w:lineRule="auto"/>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接收质疑函的联系部门、联系电话</w:t>
            </w:r>
          </w:p>
        </w:tc>
        <w:tc>
          <w:tcPr>
            <w:tcW w:w="5285" w:type="dxa"/>
            <w:noWrap w:val="0"/>
            <w:vAlign w:val="center"/>
          </w:tcPr>
          <w:p w14:paraId="20C668DB">
            <w:pPr>
              <w:adjustRightInd w:val="0"/>
              <w:snapToGrid w:val="0"/>
              <w:spacing w:line="240" w:lineRule="auto"/>
              <w:jc w:val="left"/>
              <w:rPr>
                <w:rFonts w:hint="eastAsia" w:ascii="宋体" w:hAnsi="宋体" w:cs="Times New Roman"/>
                <w:color w:val="000000" w:themeColor="text1"/>
                <w:szCs w:val="21"/>
                <w:lang w:val="en-US" w:eastAsia="zh-CN"/>
                <w14:textFill>
                  <w14:solidFill>
                    <w14:schemeClr w14:val="tx1"/>
                  </w14:solidFill>
                </w14:textFill>
              </w:rPr>
            </w:pPr>
            <w:r>
              <w:rPr>
                <w:rFonts w:hint="eastAsia" w:ascii="宋体" w:hAnsi="宋体" w:cs="Times New Roman"/>
                <w:color w:val="000000" w:themeColor="text1"/>
                <w:szCs w:val="21"/>
                <w:lang w:val="en-US" w:eastAsia="zh-CN"/>
                <w14:textFill>
                  <w14:solidFill>
                    <w14:schemeClr w14:val="tx1"/>
                  </w14:solidFill>
                </w14:textFill>
              </w:rPr>
              <w:t>怀化市经投实业集团有限责任公司纪检监察室</w:t>
            </w:r>
          </w:p>
          <w:p w14:paraId="1ADA42F9">
            <w:pPr>
              <w:adjustRightInd w:val="0"/>
              <w:snapToGrid w:val="0"/>
              <w:spacing w:line="240" w:lineRule="auto"/>
              <w:jc w:val="left"/>
              <w:rPr>
                <w:rFonts w:hint="eastAsia" w:ascii="宋体" w:hAnsi="宋体" w:cs="Times New Roman"/>
                <w:color w:val="000000" w:themeColor="text1"/>
                <w:szCs w:val="21"/>
                <w:lang w:val="en-US" w:eastAsia="zh-CN"/>
                <w14:textFill>
                  <w14:solidFill>
                    <w14:schemeClr w14:val="tx1"/>
                  </w14:solidFill>
                </w14:textFill>
              </w:rPr>
            </w:pPr>
            <w:r>
              <w:rPr>
                <w:rFonts w:hint="eastAsia" w:ascii="宋体" w:hAnsi="宋体" w:cs="Times New Roman"/>
                <w:color w:val="000000" w:themeColor="text1"/>
                <w:szCs w:val="21"/>
                <w:lang w:val="en-US" w:eastAsia="zh-CN"/>
                <w14:textFill>
                  <w14:solidFill>
                    <w14:schemeClr w14:val="tx1"/>
                  </w14:solidFill>
                </w14:textFill>
              </w:rPr>
              <w:t>联系人：唐先生</w:t>
            </w:r>
          </w:p>
          <w:p w14:paraId="5487284C">
            <w:pPr>
              <w:adjustRightInd w:val="0"/>
              <w:snapToGrid w:val="0"/>
              <w:spacing w:before="50" w:line="240" w:lineRule="auto"/>
              <w:rPr>
                <w:rFonts w:ascii="宋体" w:hAnsi="宋体"/>
                <w:color w:val="000000" w:themeColor="text1"/>
                <w:szCs w:val="21"/>
                <w:u w:val="single"/>
                <w14:textFill>
                  <w14:solidFill>
                    <w14:schemeClr w14:val="tx1"/>
                  </w14:solidFill>
                </w14:textFill>
              </w:rPr>
            </w:pPr>
            <w:r>
              <w:rPr>
                <w:rFonts w:hint="eastAsia" w:ascii="宋体" w:hAnsi="宋体" w:cs="Times New Roman"/>
                <w:color w:val="000000" w:themeColor="text1"/>
                <w:szCs w:val="21"/>
                <w:lang w:val="en-US" w:eastAsia="zh-CN"/>
                <w14:textFill>
                  <w14:solidFill>
                    <w14:schemeClr w14:val="tx1"/>
                  </w14:solidFill>
                </w14:textFill>
              </w:rPr>
              <w:t>电话：18607458275</w:t>
            </w:r>
          </w:p>
        </w:tc>
      </w:tr>
      <w:tr w14:paraId="08235C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641366E2">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第36.1款</w:t>
            </w:r>
          </w:p>
        </w:tc>
        <w:tc>
          <w:tcPr>
            <w:tcW w:w="2556" w:type="dxa"/>
            <w:noWrap w:val="0"/>
            <w:vAlign w:val="center"/>
          </w:tcPr>
          <w:p w14:paraId="36758E3F">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履约担保</w:t>
            </w:r>
          </w:p>
        </w:tc>
        <w:tc>
          <w:tcPr>
            <w:tcW w:w="5285" w:type="dxa"/>
            <w:noWrap w:val="0"/>
            <w:vAlign w:val="center"/>
          </w:tcPr>
          <w:p w14:paraId="1EF34768">
            <w:pPr>
              <w:adjustRightInd w:val="0"/>
              <w:snapToGrid w:val="0"/>
              <w:spacing w:before="156" w:beforeLines="50" w:line="24" w:lineRule="atLeast"/>
              <w:ind w:right="23" w:rightChars="1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不要求提供</w:t>
            </w:r>
          </w:p>
          <w:p w14:paraId="07F0B9A5">
            <w:pPr>
              <w:adjustRightInd w:val="0"/>
              <w:snapToGrid w:val="0"/>
              <w:spacing w:before="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要求提供，履约担保的金额为：</w:t>
            </w:r>
            <w:r>
              <w:rPr>
                <w:rFonts w:hint="eastAsia" w:ascii="宋体" w:hAnsi="宋体"/>
                <w:color w:val="000000" w:themeColor="text1"/>
                <w:szCs w:val="21"/>
                <w:u w:val="single"/>
                <w14:textFill>
                  <w14:solidFill>
                    <w14:schemeClr w14:val="tx1"/>
                  </w14:solidFill>
                </w14:textFill>
              </w:rPr>
              <w:t>/</w:t>
            </w:r>
          </w:p>
        </w:tc>
      </w:tr>
      <w:tr w14:paraId="400C08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463" w:type="dxa"/>
            <w:gridSpan w:val="3"/>
            <w:noWrap w:val="0"/>
            <w:vAlign w:val="center"/>
          </w:tcPr>
          <w:p w14:paraId="0985C3F0">
            <w:pPr>
              <w:adjustRightInd w:val="0"/>
              <w:snapToGrid w:val="0"/>
              <w:spacing w:before="50" w:line="360" w:lineRule="auto"/>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七、政府采购政策</w:t>
            </w:r>
          </w:p>
        </w:tc>
      </w:tr>
      <w:tr w14:paraId="3FA9C6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1C242F33">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w:t>
            </w:r>
            <w:r>
              <w:rPr>
                <w:rFonts w:ascii="宋体" w:hAnsi="宋体"/>
                <w:color w:val="000000" w:themeColor="text1"/>
                <w:szCs w:val="21"/>
                <w14:textFill>
                  <w14:solidFill>
                    <w14:schemeClr w14:val="tx1"/>
                  </w14:solidFill>
                </w14:textFill>
              </w:rPr>
              <w:t>40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款</w:t>
            </w:r>
          </w:p>
        </w:tc>
        <w:tc>
          <w:tcPr>
            <w:tcW w:w="2556" w:type="dxa"/>
            <w:noWrap w:val="0"/>
            <w:vAlign w:val="top"/>
          </w:tcPr>
          <w:p w14:paraId="1C5303DA">
            <w:pP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节能产品、</w:t>
            </w:r>
            <w:r>
              <w:rPr>
                <w:rFonts w:hint="eastAsia"/>
                <w:color w:val="000000" w:themeColor="text1"/>
                <w14:textFill>
                  <w14:solidFill>
                    <w14:schemeClr w14:val="tx1"/>
                  </w14:solidFill>
                </w14:textFill>
              </w:rPr>
              <w:t>环境标志产品</w:t>
            </w:r>
            <w:r>
              <w:rPr>
                <w:rFonts w:hint="eastAsia" w:ascii="宋体" w:hAnsi="宋体"/>
                <w:color w:val="000000" w:themeColor="text1"/>
                <w:szCs w:val="21"/>
                <w14:textFill>
                  <w14:solidFill>
                    <w14:schemeClr w14:val="tx1"/>
                  </w14:solidFill>
                </w14:textFill>
              </w:rPr>
              <w:t>的价格折扣比例</w:t>
            </w:r>
          </w:p>
        </w:tc>
        <w:tc>
          <w:tcPr>
            <w:tcW w:w="5285" w:type="dxa"/>
            <w:noWrap w:val="0"/>
            <w:vAlign w:val="center"/>
          </w:tcPr>
          <w:p w14:paraId="5E8D8ED9">
            <w:pPr>
              <w:adjustRightInd w:val="0"/>
              <w:snapToGrid w:val="0"/>
              <w:spacing w:before="50" w:line="360" w:lineRule="auto"/>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本项目不适用</w:t>
            </w:r>
          </w:p>
        </w:tc>
      </w:tr>
      <w:tr w14:paraId="3F7624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538F5565">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w:t>
            </w:r>
            <w:r>
              <w:rPr>
                <w:rFonts w:ascii="宋体" w:hAnsi="宋体"/>
                <w:color w:val="000000" w:themeColor="text1"/>
                <w:szCs w:val="21"/>
                <w14:textFill>
                  <w14:solidFill>
                    <w14:schemeClr w14:val="tx1"/>
                  </w14:solidFill>
                </w14:textFill>
              </w:rPr>
              <w:t>41</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（1）项</w:t>
            </w:r>
          </w:p>
        </w:tc>
        <w:tc>
          <w:tcPr>
            <w:tcW w:w="2556" w:type="dxa"/>
            <w:noWrap w:val="0"/>
            <w:vAlign w:val="center"/>
          </w:tcPr>
          <w:p w14:paraId="35340968">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小型、微型企业的价格折扣比例</w:t>
            </w:r>
          </w:p>
        </w:tc>
        <w:tc>
          <w:tcPr>
            <w:tcW w:w="5285" w:type="dxa"/>
            <w:noWrap w:val="0"/>
            <w:vAlign w:val="center"/>
          </w:tcPr>
          <w:p w14:paraId="5627EB1C">
            <w:pPr>
              <w:pStyle w:val="53"/>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both"/>
              <w:textAlignment w:val="baseline"/>
              <w:rPr>
                <w:color w:val="000000"/>
                <w:sz w:val="21"/>
                <w:szCs w:val="21"/>
                <w:highlight w:val="none"/>
              </w:rPr>
            </w:pPr>
            <w:r>
              <w:rPr>
                <w:color w:val="000000"/>
                <w:spacing w:val="9"/>
                <w:sz w:val="21"/>
                <w:szCs w:val="21"/>
                <w:highlight w:val="none"/>
              </w:rPr>
              <w:t>非专门面向中小企业采购，且符合政府采购促进中小企业</w:t>
            </w:r>
            <w:r>
              <w:rPr>
                <w:color w:val="000000"/>
                <w:spacing w:val="7"/>
                <w:sz w:val="21"/>
                <w:szCs w:val="21"/>
                <w:highlight w:val="none"/>
              </w:rPr>
              <w:t>发展相关规定的：</w:t>
            </w:r>
          </w:p>
          <w:p w14:paraId="5E107930">
            <w:pPr>
              <w:pStyle w:val="5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7"/>
              <w:jc w:val="both"/>
              <w:textAlignment w:val="baseline"/>
              <w:rPr>
                <w:color w:val="000000"/>
                <w:sz w:val="21"/>
                <w:szCs w:val="21"/>
                <w:highlight w:val="none"/>
              </w:rPr>
            </w:pPr>
            <w:r>
              <w:rPr>
                <w:color w:val="000000"/>
                <w:spacing w:val="2"/>
                <w:sz w:val="21"/>
                <w:szCs w:val="21"/>
                <w:highlight w:val="none"/>
              </w:rPr>
              <w:t>（1）给予小型和微型企业产品的价格给予</w:t>
            </w:r>
            <w:r>
              <w:rPr>
                <w:rFonts w:hint="eastAsia"/>
                <w:color w:val="000000"/>
                <w:spacing w:val="2"/>
                <w:sz w:val="21"/>
                <w:szCs w:val="21"/>
                <w:highlight w:val="none"/>
                <w:lang w:val="en-US" w:eastAsia="zh-CN"/>
              </w:rPr>
              <w:t>6</w:t>
            </w:r>
            <w:r>
              <w:rPr>
                <w:color w:val="000000"/>
                <w:spacing w:val="2"/>
                <w:sz w:val="21"/>
                <w:szCs w:val="21"/>
                <w:highlight w:val="none"/>
              </w:rPr>
              <w:t>%-</w:t>
            </w:r>
            <w:r>
              <w:rPr>
                <w:rFonts w:hint="eastAsia"/>
                <w:color w:val="000000"/>
                <w:spacing w:val="2"/>
                <w:sz w:val="21"/>
                <w:szCs w:val="21"/>
                <w:highlight w:val="none"/>
                <w:lang w:val="en-US" w:eastAsia="zh-CN"/>
              </w:rPr>
              <w:t>10</w:t>
            </w:r>
            <w:r>
              <w:rPr>
                <w:color w:val="000000"/>
                <w:spacing w:val="2"/>
                <w:sz w:val="21"/>
                <w:szCs w:val="21"/>
                <w:highlight w:val="none"/>
              </w:rPr>
              <w:t>%（工程</w:t>
            </w:r>
            <w:r>
              <w:rPr>
                <w:color w:val="000000"/>
                <w:spacing w:val="1"/>
                <w:sz w:val="21"/>
                <w:szCs w:val="21"/>
                <w:highlight w:val="none"/>
              </w:rPr>
              <w:t>类）</w:t>
            </w:r>
            <w:r>
              <w:rPr>
                <w:color w:val="000000"/>
                <w:spacing w:val="10"/>
                <w:sz w:val="21"/>
                <w:szCs w:val="21"/>
                <w:highlight w:val="none"/>
              </w:rPr>
              <w:t>的扣除，用扣除后的价格参与评审，本项目</w:t>
            </w:r>
            <w:r>
              <w:rPr>
                <w:color w:val="000000"/>
                <w:spacing w:val="9"/>
                <w:sz w:val="21"/>
                <w:szCs w:val="21"/>
                <w:highlight w:val="none"/>
              </w:rPr>
              <w:t>具体扣除比例</w:t>
            </w:r>
            <w:r>
              <w:rPr>
                <w:color w:val="000000"/>
                <w:spacing w:val="1"/>
                <w:sz w:val="21"/>
                <w:szCs w:val="21"/>
                <w:highlight w:val="none"/>
              </w:rPr>
              <w:t>为</w:t>
            </w:r>
            <w:r>
              <w:rPr>
                <w:rFonts w:hint="eastAsia"/>
                <w:color w:val="000000"/>
                <w:spacing w:val="1"/>
                <w:sz w:val="21"/>
                <w:szCs w:val="21"/>
                <w:highlight w:val="none"/>
                <w:u w:val="single" w:color="auto"/>
                <w:lang w:val="en-US" w:eastAsia="zh-CN"/>
              </w:rPr>
              <w:t xml:space="preserve">10 </w:t>
            </w:r>
            <w:r>
              <w:rPr>
                <w:color w:val="000000"/>
                <w:spacing w:val="1"/>
                <w:sz w:val="21"/>
                <w:szCs w:val="21"/>
                <w:highlight w:val="none"/>
              </w:rPr>
              <w:t>％。</w:t>
            </w:r>
          </w:p>
          <w:p w14:paraId="25B614FB">
            <w:pPr>
              <w:keepNext w:val="0"/>
              <w:keepLines w:val="0"/>
              <w:widowControl/>
              <w:suppressLineNumbers w:val="0"/>
              <w:jc w:val="left"/>
              <w:rPr>
                <w:rFonts w:ascii="宋体" w:hAnsi="宋体"/>
                <w:color w:val="000000" w:themeColor="text1"/>
                <w:szCs w:val="21"/>
                <w14:textFill>
                  <w14:solidFill>
                    <w14:schemeClr w14:val="tx1"/>
                  </w14:solidFill>
                </w14:textFill>
              </w:rPr>
            </w:pPr>
            <w:r>
              <w:rPr>
                <w:rFonts w:hint="eastAsia"/>
                <w:color w:val="000000"/>
                <w:spacing w:val="7"/>
                <w:sz w:val="21"/>
                <w:szCs w:val="21"/>
                <w:highlight w:val="none"/>
                <w:lang w:eastAsia="zh-CN"/>
              </w:rPr>
              <w:t>（</w:t>
            </w:r>
            <w:r>
              <w:rPr>
                <w:rFonts w:hint="eastAsia"/>
                <w:color w:val="000000"/>
                <w:spacing w:val="7"/>
                <w:sz w:val="21"/>
                <w:szCs w:val="21"/>
                <w:highlight w:val="none"/>
                <w:lang w:val="en-US" w:eastAsia="zh-CN"/>
              </w:rPr>
              <w:t>2</w:t>
            </w:r>
            <w:r>
              <w:rPr>
                <w:rFonts w:hint="eastAsia"/>
                <w:color w:val="000000"/>
                <w:spacing w:val="7"/>
                <w:sz w:val="21"/>
                <w:szCs w:val="21"/>
                <w:highlight w:val="none"/>
                <w:lang w:eastAsia="zh-CN"/>
              </w:rPr>
              <w:t>）</w:t>
            </w:r>
            <w:r>
              <w:rPr>
                <w:color w:val="000000"/>
                <w:spacing w:val="7"/>
                <w:sz w:val="21"/>
                <w:szCs w:val="21"/>
                <w:highlight w:val="none"/>
              </w:rPr>
              <w:t>监狱企业、残疾人福利性单位视同小型、微型企业，</w:t>
            </w:r>
            <w:r>
              <w:rPr>
                <w:color w:val="000000"/>
                <w:spacing w:val="18"/>
                <w:sz w:val="21"/>
                <w:szCs w:val="21"/>
                <w:highlight w:val="none"/>
              </w:rPr>
              <w:t>享受评审中价格扣除等促进中小企业发展的政府采购政</w:t>
            </w:r>
            <w:r>
              <w:rPr>
                <w:color w:val="000000"/>
                <w:sz w:val="21"/>
                <w:szCs w:val="21"/>
                <w:highlight w:val="none"/>
              </w:rPr>
              <w:t>策。</w:t>
            </w:r>
          </w:p>
        </w:tc>
      </w:tr>
      <w:tr w14:paraId="51E014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19" w:hRule="atLeast"/>
          <w:jc w:val="center"/>
        </w:trPr>
        <w:tc>
          <w:tcPr>
            <w:tcW w:w="1622" w:type="dxa"/>
            <w:noWrap w:val="0"/>
            <w:vAlign w:val="center"/>
          </w:tcPr>
          <w:p w14:paraId="4D4DDA41">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w:t>
            </w:r>
            <w:r>
              <w:rPr>
                <w:rFonts w:ascii="宋体" w:hAnsi="宋体"/>
                <w:color w:val="000000" w:themeColor="text1"/>
                <w:szCs w:val="21"/>
                <w14:textFill>
                  <w14:solidFill>
                    <w14:schemeClr w14:val="tx1"/>
                  </w14:solidFill>
                </w14:textFill>
              </w:rPr>
              <w:t>41</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（2）项</w:t>
            </w:r>
          </w:p>
        </w:tc>
        <w:tc>
          <w:tcPr>
            <w:tcW w:w="2556" w:type="dxa"/>
            <w:noWrap w:val="0"/>
            <w:vAlign w:val="center"/>
          </w:tcPr>
          <w:p w14:paraId="1ABD92F0">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小型、微型企业组成联合体或者大中型企业向小微企业分包的价格折扣比例</w:t>
            </w:r>
          </w:p>
        </w:tc>
        <w:tc>
          <w:tcPr>
            <w:tcW w:w="5285" w:type="dxa"/>
            <w:noWrap w:val="0"/>
            <w:vAlign w:val="center"/>
          </w:tcPr>
          <w:p w14:paraId="2D620A4E">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给予联合体2%-3%的价格扣除。本项目具体扣除比例为</w:t>
            </w:r>
            <w:r>
              <w:rPr>
                <w:rFonts w:hint="eastAsia" w:ascii="宋体" w:hAnsi="宋体"/>
                <w:color w:val="000000" w:themeColor="text1"/>
                <w:szCs w:val="21"/>
                <w:u w:val="single"/>
                <w14:textFill>
                  <w14:solidFill>
                    <w14:schemeClr w14:val="tx1"/>
                  </w14:solidFill>
                </w14:textFill>
              </w:rPr>
              <w:t xml:space="preserve"> / </w:t>
            </w:r>
            <w:r>
              <w:rPr>
                <w:rFonts w:hint="eastAsia" w:ascii="宋体" w:hAnsi="宋体"/>
                <w:color w:val="000000" w:themeColor="text1"/>
                <w:szCs w:val="21"/>
                <w14:textFill>
                  <w14:solidFill>
                    <w14:schemeClr w14:val="tx1"/>
                  </w14:solidFill>
                </w14:textFill>
              </w:rPr>
              <w:t>%。</w:t>
            </w:r>
          </w:p>
        </w:tc>
      </w:tr>
      <w:tr w14:paraId="68507C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463" w:type="dxa"/>
            <w:gridSpan w:val="3"/>
            <w:noWrap w:val="0"/>
            <w:vAlign w:val="center"/>
          </w:tcPr>
          <w:p w14:paraId="062925E4">
            <w:pPr>
              <w:adjustRightInd w:val="0"/>
              <w:snapToGrid w:val="0"/>
              <w:spacing w:before="50" w:line="360" w:lineRule="auto"/>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八、其他规定</w:t>
            </w:r>
          </w:p>
        </w:tc>
      </w:tr>
      <w:tr w14:paraId="49D894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66D611CD">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第</w:t>
            </w:r>
            <w:r>
              <w:rPr>
                <w:rFonts w:ascii="宋体" w:hAnsi="宋体" w:eastAsia="宋体"/>
                <w:color w:val="000000" w:themeColor="text1"/>
                <w:szCs w:val="21"/>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6.1</w:t>
            </w:r>
            <w:r>
              <w:rPr>
                <w:rFonts w:hint="eastAsia" w:ascii="宋体" w:hAnsi="宋体" w:eastAsia="宋体" w:cs="宋体"/>
                <w:color w:val="000000" w:themeColor="text1"/>
                <w:kern w:val="0"/>
                <w:szCs w:val="21"/>
                <w:lang w:val="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1</w:t>
            </w:r>
            <w:r>
              <w:rPr>
                <w:rFonts w:hint="eastAsia" w:ascii="宋体" w:hAnsi="宋体" w:eastAsia="宋体" w:cs="宋体"/>
                <w:color w:val="000000" w:themeColor="text1"/>
                <w:kern w:val="0"/>
                <w:szCs w:val="21"/>
                <w:lang w:val="zh-CN"/>
                <w14:textFill>
                  <w14:solidFill>
                    <w14:schemeClr w14:val="tx1"/>
                  </w14:solidFill>
                </w14:textFill>
              </w:rPr>
              <w:t>）</w:t>
            </w:r>
            <w:r>
              <w:rPr>
                <w:rFonts w:hint="eastAsia" w:ascii="宋体" w:hAnsi="宋体"/>
                <w:color w:val="000000" w:themeColor="text1"/>
                <w:szCs w:val="21"/>
                <w14:textFill>
                  <w14:solidFill>
                    <w14:schemeClr w14:val="tx1"/>
                  </w14:solidFill>
                </w14:textFill>
              </w:rPr>
              <w:t>项</w:t>
            </w:r>
          </w:p>
        </w:tc>
        <w:tc>
          <w:tcPr>
            <w:tcW w:w="2556" w:type="dxa"/>
            <w:noWrap w:val="0"/>
            <w:vAlign w:val="center"/>
          </w:tcPr>
          <w:p w14:paraId="17552BFD">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合同预付款的支付比例和支付条件</w:t>
            </w:r>
          </w:p>
        </w:tc>
        <w:tc>
          <w:tcPr>
            <w:tcW w:w="5285" w:type="dxa"/>
            <w:noWrap w:val="0"/>
            <w:vAlign w:val="center"/>
          </w:tcPr>
          <w:p w14:paraId="7E1F0C26">
            <w:pPr>
              <w:adjustRightInd w:val="0"/>
              <w:snapToGrid w:val="0"/>
              <w:spacing w:line="360" w:lineRule="auto"/>
              <w:rPr>
                <w:rFonts w:hint="eastAsia" w:ascii="宋体" w:hAnsi="宋体"/>
                <w:bCs/>
                <w:color w:val="000000" w:themeColor="text1"/>
                <w:szCs w:val="21"/>
                <w:u w:val="single"/>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FE"/>
            </w:r>
            <w:r>
              <w:rPr>
                <w:rFonts w:hint="eastAsia" w:ascii="宋体" w:hAnsi="宋体"/>
                <w:iCs/>
                <w:color w:val="000000" w:themeColor="text1"/>
                <w:szCs w:val="21"/>
                <w14:textFill>
                  <w14:solidFill>
                    <w14:schemeClr w14:val="tx1"/>
                  </w14:solidFill>
                </w14:textFill>
              </w:rPr>
              <w:t>不支持</w:t>
            </w:r>
            <w:r>
              <w:rPr>
                <w:rFonts w:hint="eastAsia" w:ascii="宋体" w:hAnsi="宋体"/>
                <w:bCs/>
                <w:color w:val="000000" w:themeColor="text1"/>
                <w:szCs w:val="21"/>
                <w14:textFill>
                  <w14:solidFill>
                    <w14:schemeClr w14:val="tx1"/>
                  </w14:solidFill>
                </w14:textFill>
              </w:rPr>
              <w:t>预付款；</w:t>
            </w:r>
          </w:p>
          <w:p w14:paraId="68AE6510">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r>
              <w:rPr>
                <w:rFonts w:hint="eastAsia" w:ascii="宋体" w:hAnsi="宋体"/>
                <w:iCs/>
                <w:color w:val="000000" w:themeColor="text1"/>
                <w:szCs w:val="21"/>
                <w14:textFill>
                  <w14:solidFill>
                    <w14:schemeClr w14:val="tx1"/>
                  </w14:solidFill>
                </w14:textFill>
              </w:rPr>
              <w:t>支持</w:t>
            </w:r>
            <w:r>
              <w:rPr>
                <w:rFonts w:hint="eastAsia" w:ascii="宋体" w:hAnsi="宋体"/>
                <w:bCs/>
                <w:color w:val="000000" w:themeColor="text1"/>
                <w:szCs w:val="21"/>
                <w14:textFill>
                  <w14:solidFill>
                    <w14:schemeClr w14:val="tx1"/>
                  </w14:solidFill>
                </w14:textFill>
              </w:rPr>
              <w:t>预付款，预付比例：</w:t>
            </w:r>
            <w:r>
              <w:rPr>
                <w:rFonts w:hint="eastAsia" w:ascii="宋体" w:hAnsi="宋体"/>
                <w:bCs/>
                <w:color w:val="000000" w:themeColor="text1"/>
                <w:szCs w:val="21"/>
                <w:u w:val="single"/>
                <w14:textFill>
                  <w14:solidFill>
                    <w14:schemeClr w14:val="tx1"/>
                  </w14:solidFill>
                </w14:textFill>
              </w:rPr>
              <w:t xml:space="preserve">           </w:t>
            </w:r>
          </w:p>
        </w:tc>
      </w:tr>
      <w:tr w14:paraId="1F9197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662CE1F4">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第</w:t>
            </w:r>
            <w:r>
              <w:rPr>
                <w:rFonts w:ascii="宋体" w:hAnsi="宋体" w:eastAsia="宋体"/>
                <w:color w:val="000000" w:themeColor="text1"/>
                <w:szCs w:val="21"/>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6.1</w:t>
            </w:r>
            <w:r>
              <w:rPr>
                <w:rFonts w:hint="eastAsia" w:ascii="宋体" w:hAnsi="宋体" w:eastAsia="宋体" w:cs="宋体"/>
                <w:color w:val="000000" w:themeColor="text1"/>
                <w:kern w:val="0"/>
                <w:szCs w:val="21"/>
                <w:lang w:val="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2</w:t>
            </w:r>
            <w:r>
              <w:rPr>
                <w:rFonts w:hint="eastAsia" w:ascii="宋体" w:hAnsi="宋体" w:eastAsia="宋体" w:cs="宋体"/>
                <w:color w:val="000000" w:themeColor="text1"/>
                <w:kern w:val="0"/>
                <w:szCs w:val="21"/>
                <w:lang w:val="zh-CN"/>
                <w14:textFill>
                  <w14:solidFill>
                    <w14:schemeClr w14:val="tx1"/>
                  </w14:solidFill>
                </w14:textFill>
              </w:rPr>
              <w:t>）</w:t>
            </w:r>
            <w:r>
              <w:rPr>
                <w:rFonts w:hint="eastAsia" w:ascii="宋体" w:hAnsi="宋体"/>
                <w:color w:val="000000" w:themeColor="text1"/>
                <w:szCs w:val="21"/>
                <w14:textFill>
                  <w14:solidFill>
                    <w14:schemeClr w14:val="tx1"/>
                  </w14:solidFill>
                </w14:textFill>
              </w:rPr>
              <w:t>项</w:t>
            </w:r>
          </w:p>
        </w:tc>
        <w:tc>
          <w:tcPr>
            <w:tcW w:w="2556" w:type="dxa"/>
            <w:noWrap w:val="0"/>
            <w:vAlign w:val="center"/>
          </w:tcPr>
          <w:p w14:paraId="57B3795C">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质量保证金</w:t>
            </w:r>
          </w:p>
        </w:tc>
        <w:tc>
          <w:tcPr>
            <w:tcW w:w="5285" w:type="dxa"/>
            <w:noWrap w:val="0"/>
            <w:vAlign w:val="center"/>
          </w:tcPr>
          <w:p w14:paraId="14AA31F8">
            <w:pPr>
              <w:adjustRightInd w:val="0"/>
              <w:snapToGrid w:val="0"/>
              <w:spacing w:before="50" w:line="360" w:lineRule="auto"/>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auto"/>
                <w:szCs w:val="21"/>
                <w:highlight w:val="none"/>
                <w:lang w:val="en-US" w:eastAsia="zh-CN"/>
              </w:rPr>
              <w:t xml:space="preserve"> </w:t>
            </w:r>
            <w:r>
              <w:rPr>
                <w:rFonts w:hint="eastAsia" w:ascii="宋体" w:hAnsi="宋体"/>
                <w:iCs/>
                <w:color w:val="000000" w:themeColor="text1"/>
                <w14:textFill>
                  <w14:solidFill>
                    <w14:schemeClr w14:val="tx1"/>
                  </w14:solidFill>
                </w14:textFill>
              </w:rPr>
              <w:t>合同金额的</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u w:val="single"/>
                <w:lang w:val="en-US" w:eastAsia="zh-CN"/>
                <w14:textFill>
                  <w14:solidFill>
                    <w14:schemeClr w14:val="tx1"/>
                  </w14:solidFill>
                </w14:textFill>
              </w:rPr>
              <w:t>3</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14:textFill>
                  <w14:solidFill>
                    <w14:schemeClr w14:val="tx1"/>
                  </w14:solidFill>
                </w14:textFill>
              </w:rPr>
              <w:t>%</w:t>
            </w:r>
          </w:p>
        </w:tc>
      </w:tr>
      <w:tr w14:paraId="0BDEC5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noWrap w:val="0"/>
            <w:vAlign w:val="center"/>
          </w:tcPr>
          <w:p w14:paraId="0DA06140">
            <w:pPr>
              <w:adjustRightInd w:val="0"/>
              <w:snapToGrid w:val="0"/>
              <w:spacing w:before="50" w:line="360" w:lineRule="auto"/>
              <w:jc w:val="center"/>
              <w:rPr>
                <w:rFonts w:hint="eastAsia" w:ascii="宋体" w:hAnsi="宋体" w:eastAsia="宋体"/>
                <w:b/>
                <w:bCs/>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第</w:t>
            </w:r>
            <w:r>
              <w:rPr>
                <w:rFonts w:ascii="宋体" w:hAnsi="宋体" w:eastAsia="宋体"/>
                <w:b/>
                <w:bCs/>
                <w:color w:val="000000" w:themeColor="text1"/>
                <w:szCs w:val="21"/>
                <w14:textFill>
                  <w14:solidFill>
                    <w14:schemeClr w14:val="tx1"/>
                  </w14:solidFill>
                </w14:textFill>
              </w:rPr>
              <w:t>4</w:t>
            </w:r>
            <w:r>
              <w:rPr>
                <w:rFonts w:hint="eastAsia" w:ascii="宋体" w:hAnsi="宋体" w:eastAsia="宋体"/>
                <w:b/>
                <w:bCs/>
                <w:color w:val="000000" w:themeColor="text1"/>
                <w:szCs w:val="21"/>
                <w14:textFill>
                  <w14:solidFill>
                    <w14:schemeClr w14:val="tx1"/>
                  </w14:solidFill>
                </w14:textFill>
              </w:rPr>
              <w:t>6.1</w:t>
            </w:r>
            <w:r>
              <w:rPr>
                <w:rFonts w:hint="eastAsia" w:ascii="宋体" w:hAnsi="宋体" w:eastAsia="宋体" w:cs="宋体"/>
                <w:b/>
                <w:bCs/>
                <w:color w:val="000000" w:themeColor="text1"/>
                <w:kern w:val="0"/>
                <w:szCs w:val="21"/>
                <w:lang w:val="zh-CN"/>
                <w14:textFill>
                  <w14:solidFill>
                    <w14:schemeClr w14:val="tx1"/>
                  </w14:solidFill>
                </w14:textFill>
              </w:rPr>
              <w:t>（</w:t>
            </w:r>
            <w:r>
              <w:rPr>
                <w:rFonts w:hint="eastAsia" w:ascii="宋体" w:hAnsi="宋体" w:cs="宋体"/>
                <w:b/>
                <w:bCs/>
                <w:color w:val="000000" w:themeColor="text1"/>
                <w:kern w:val="0"/>
                <w:szCs w:val="21"/>
                <w:lang w:val="en-US" w:eastAsia="zh-CN"/>
                <w14:textFill>
                  <w14:solidFill>
                    <w14:schemeClr w14:val="tx1"/>
                  </w14:solidFill>
                </w14:textFill>
              </w:rPr>
              <w:t>3</w:t>
            </w:r>
            <w:r>
              <w:rPr>
                <w:rFonts w:hint="eastAsia" w:ascii="宋体" w:hAnsi="宋体" w:eastAsia="宋体" w:cs="宋体"/>
                <w:b/>
                <w:bCs/>
                <w:color w:val="000000" w:themeColor="text1"/>
                <w:kern w:val="0"/>
                <w:szCs w:val="21"/>
                <w:lang w:val="zh-CN"/>
                <w14:textFill>
                  <w14:solidFill>
                    <w14:schemeClr w14:val="tx1"/>
                  </w14:solidFill>
                </w14:textFill>
              </w:rPr>
              <w:t>）</w:t>
            </w:r>
            <w:r>
              <w:rPr>
                <w:rFonts w:hint="eastAsia" w:ascii="宋体" w:hAnsi="宋体"/>
                <w:b/>
                <w:bCs/>
                <w:color w:val="000000" w:themeColor="text1"/>
                <w:szCs w:val="21"/>
                <w14:textFill>
                  <w14:solidFill>
                    <w14:schemeClr w14:val="tx1"/>
                  </w14:solidFill>
                </w14:textFill>
              </w:rPr>
              <w:t>项</w:t>
            </w:r>
          </w:p>
        </w:tc>
        <w:tc>
          <w:tcPr>
            <w:tcW w:w="2556" w:type="dxa"/>
            <w:noWrap w:val="0"/>
            <w:vAlign w:val="center"/>
          </w:tcPr>
          <w:p w14:paraId="41EBB3AA">
            <w:pPr>
              <w:adjustRightInd w:val="0"/>
              <w:snapToGrid w:val="0"/>
              <w:spacing w:before="50" w:line="360" w:lineRule="auto"/>
              <w:rPr>
                <w:rFonts w:hint="eastAsia" w:ascii="宋体" w:hAnsi="宋体" w:eastAsia="宋体"/>
                <w:b/>
                <w:bCs/>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代理服务费</w:t>
            </w:r>
          </w:p>
        </w:tc>
        <w:tc>
          <w:tcPr>
            <w:tcW w:w="5285" w:type="dxa"/>
            <w:noWrap w:val="0"/>
            <w:vAlign w:val="center"/>
          </w:tcPr>
          <w:p w14:paraId="4C613198">
            <w:pPr>
              <w:adjustRightInd w:val="0"/>
              <w:snapToGrid w:val="0"/>
              <w:spacing w:before="50" w:line="360" w:lineRule="auto"/>
              <w:rPr>
                <w:rFonts w:hint="eastAsia" w:ascii="宋体" w:hAnsi="宋体"/>
                <w:b/>
                <w:bCs/>
                <w:color w:val="auto"/>
                <w:szCs w:val="21"/>
                <w:highlight w:val="none"/>
                <w:lang w:val="en-US" w:eastAsia="zh-CN"/>
              </w:rPr>
            </w:pPr>
            <w:r>
              <w:rPr>
                <w:rFonts w:hint="eastAsia" w:ascii="宋体" w:hAnsi="宋体"/>
                <w:b/>
                <w:bCs/>
                <w:color w:val="auto"/>
                <w:szCs w:val="21"/>
                <w:highlight w:val="none"/>
                <w:lang w:val="en-US" w:eastAsia="zh-CN"/>
              </w:rPr>
              <w:t>按代理协议约定向中标人一次性收取。</w:t>
            </w:r>
          </w:p>
        </w:tc>
      </w:tr>
      <w:tr w14:paraId="7FDBD8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28" w:hRule="atLeast"/>
          <w:jc w:val="center"/>
        </w:trPr>
        <w:tc>
          <w:tcPr>
            <w:tcW w:w="1622" w:type="dxa"/>
            <w:noWrap w:val="0"/>
            <w:vAlign w:val="center"/>
          </w:tcPr>
          <w:p w14:paraId="4871B70E">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第46.</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款</w:t>
            </w:r>
          </w:p>
        </w:tc>
        <w:tc>
          <w:tcPr>
            <w:tcW w:w="2556" w:type="dxa"/>
            <w:noWrap w:val="0"/>
            <w:vAlign w:val="center"/>
          </w:tcPr>
          <w:p w14:paraId="774CB5A1">
            <w:pPr>
              <w:adjustRightInd w:val="0"/>
              <w:snapToGrid w:val="0"/>
              <w:spacing w:before="50" w:line="360" w:lineRule="auto"/>
              <w:rPr>
                <w:rFonts w:hint="eastAsia"/>
                <w:lang w:val="en-US" w:eastAsia="zh-CN"/>
              </w:rPr>
            </w:pPr>
            <w:r>
              <w:rPr>
                <w:rFonts w:hint="eastAsia"/>
              </w:rPr>
              <w:t>其他规定</w:t>
            </w:r>
          </w:p>
        </w:tc>
        <w:tc>
          <w:tcPr>
            <w:tcW w:w="5285" w:type="dxa"/>
            <w:noWrap w:val="0"/>
            <w:vAlign w:val="center"/>
          </w:tcPr>
          <w:p w14:paraId="7D400AF4">
            <w:pPr>
              <w:adjustRightInd w:val="0"/>
              <w:snapToGrid w:val="0"/>
              <w:spacing w:beforeLines="0" w:afterLines="0" w:line="360" w:lineRule="auto"/>
              <w:rPr>
                <w:rFonts w:hint="eastAsia" w:ascii="宋体" w:hAnsi="宋体" w:eastAsia="宋体" w:cs="宋体"/>
                <w:color w:val="auto"/>
                <w:sz w:val="21"/>
                <w:szCs w:val="21"/>
              </w:rPr>
            </w:pPr>
            <w:r>
              <w:rPr>
                <w:rFonts w:hint="eastAsia"/>
                <w:lang w:val="en-US" w:eastAsia="zh-CN"/>
              </w:rPr>
              <w:t>1、</w:t>
            </w:r>
            <w:r>
              <w:rPr>
                <w:rFonts w:hint="eastAsia" w:ascii="宋体" w:hAnsi="宋体" w:eastAsia="宋体" w:cs="宋体"/>
                <w:color w:val="auto"/>
                <w:sz w:val="21"/>
                <w:szCs w:val="21"/>
              </w:rPr>
              <w:t>参加</w:t>
            </w:r>
            <w:r>
              <w:rPr>
                <w:rFonts w:hint="eastAsia" w:ascii="宋体" w:hAnsi="宋体" w:eastAsia="宋体" w:cs="宋体"/>
                <w:color w:val="auto"/>
                <w:sz w:val="21"/>
                <w:szCs w:val="21"/>
                <w:lang w:val="en-US" w:eastAsia="zh-CN"/>
              </w:rPr>
              <w:t>竞争性谈判</w:t>
            </w:r>
            <w:r>
              <w:rPr>
                <w:rFonts w:hint="eastAsia" w:ascii="宋体" w:hAnsi="宋体" w:eastAsia="宋体" w:cs="宋体"/>
                <w:color w:val="auto"/>
                <w:sz w:val="21"/>
                <w:szCs w:val="21"/>
              </w:rPr>
              <w:t>的供应商在提交响应文件时应同时提交以下资料：</w:t>
            </w:r>
          </w:p>
          <w:p w14:paraId="1D4DCB5B">
            <w:pPr>
              <w:adjustRightInd w:val="0"/>
              <w:snapToGrid w:val="0"/>
              <w:spacing w:beforeLines="0" w:afterLines="0" w:line="360" w:lineRule="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法定代表人身份证明及本人身份证原件或委托代理人参加</w:t>
            </w:r>
            <w:r>
              <w:rPr>
                <w:rFonts w:hint="eastAsia" w:ascii="宋体" w:hAnsi="宋体" w:cs="宋体"/>
                <w:b/>
                <w:color w:val="auto"/>
                <w:kern w:val="0"/>
                <w:sz w:val="21"/>
                <w:szCs w:val="21"/>
                <w:lang w:val="en-US" w:eastAsia="zh-CN"/>
              </w:rPr>
              <w:t>开标</w:t>
            </w:r>
            <w:r>
              <w:rPr>
                <w:rFonts w:hint="eastAsia" w:ascii="宋体" w:hAnsi="宋体" w:eastAsia="宋体" w:cs="宋体"/>
                <w:b/>
                <w:color w:val="auto"/>
                <w:kern w:val="0"/>
                <w:sz w:val="21"/>
                <w:szCs w:val="21"/>
              </w:rPr>
              <w:t>的提供法定代表人授权委托书</w:t>
            </w:r>
            <w:r>
              <w:rPr>
                <w:rFonts w:hint="eastAsia" w:ascii="宋体" w:hAnsi="宋体" w:cs="宋体"/>
                <w:b/>
                <w:color w:val="auto"/>
                <w:kern w:val="0"/>
                <w:sz w:val="21"/>
                <w:szCs w:val="21"/>
                <w:lang w:val="en-US" w:eastAsia="zh-CN"/>
              </w:rPr>
              <w:t>原件</w:t>
            </w:r>
            <w:r>
              <w:rPr>
                <w:rFonts w:hint="eastAsia" w:ascii="宋体" w:hAnsi="宋体" w:eastAsia="宋体" w:cs="宋体"/>
                <w:b/>
                <w:color w:val="auto"/>
                <w:kern w:val="0"/>
                <w:sz w:val="21"/>
                <w:szCs w:val="21"/>
              </w:rPr>
              <w:t>（附法定代表人身份证明）及本人身份证原件（参加谈判会相关资料开标时单独递交1份）</w:t>
            </w:r>
          </w:p>
          <w:p w14:paraId="325F593A">
            <w:pPr>
              <w:adjustRightInd w:val="0"/>
              <w:snapToGrid w:val="0"/>
              <w:spacing w:beforeLines="0" w:afterLines="0" w:line="360" w:lineRule="auto"/>
              <w:rPr>
                <w:rFonts w:hint="eastAsia"/>
                <w:lang w:eastAsia="zh-CN"/>
              </w:rPr>
            </w:pPr>
            <w:r>
              <w:rPr>
                <w:rFonts w:hint="eastAsia"/>
                <w:lang w:val="en-US" w:eastAsia="zh-CN"/>
              </w:rPr>
              <w:t>2、</w:t>
            </w:r>
            <w:r>
              <w:rPr>
                <w:rFonts w:hint="eastAsia"/>
              </w:rPr>
              <w:t>对列入失信被执行人、重大税收违法案件当事人名单、政府采购严重违法失信行为记录名单及其他不符合《中华人民共和国政府采购法》第二十二条规定条件的供应商，应当拒绝其参与政府采购活动</w:t>
            </w:r>
            <w:r>
              <w:rPr>
                <w:rFonts w:hint="eastAsia"/>
                <w:lang w:eastAsia="zh-CN"/>
              </w:rPr>
              <w:t>；</w:t>
            </w:r>
          </w:p>
          <w:p w14:paraId="1B80E9C8">
            <w:pPr>
              <w:adjustRightInd w:val="0"/>
              <w:snapToGrid w:val="0"/>
              <w:spacing w:line="360" w:lineRule="exact"/>
              <w:rPr>
                <w:rFonts w:hint="eastAsia"/>
                <w:lang w:eastAsia="zh-CN"/>
              </w:rPr>
            </w:pPr>
            <w:r>
              <w:rPr>
                <w:rFonts w:hint="eastAsia"/>
                <w:lang w:val="en-US" w:eastAsia="zh-CN"/>
              </w:rPr>
              <w:t>3、</w:t>
            </w:r>
            <w:r>
              <w:rPr>
                <w:rFonts w:hint="eastAsia"/>
              </w:rPr>
              <w:t>信用信息查询的渠道：“信用中国”网站（www.creditchina.gov.cn)、中国政府采购网（www.ccgp.gov.cn)</w:t>
            </w:r>
            <w:r>
              <w:rPr>
                <w:rFonts w:hint="eastAsia"/>
                <w:lang w:eastAsia="zh-CN"/>
              </w:rPr>
              <w:t>；</w:t>
            </w:r>
          </w:p>
          <w:p w14:paraId="1D77271C">
            <w:pPr>
              <w:adjustRightInd w:val="0"/>
              <w:snapToGrid w:val="0"/>
              <w:spacing w:line="360" w:lineRule="exact"/>
              <w:rPr>
                <w:rFonts w:hint="eastAsia"/>
              </w:rPr>
            </w:pPr>
            <w:r>
              <w:rPr>
                <w:rFonts w:hint="eastAsia"/>
                <w:lang w:val="en-US" w:eastAsia="zh-CN"/>
              </w:rPr>
              <w:t>4、</w:t>
            </w:r>
            <w:r>
              <w:rPr>
                <w:rFonts w:hint="eastAsia"/>
              </w:rPr>
              <w:t>信用信息查询的截止时间：至本项目</w:t>
            </w:r>
            <w:r>
              <w:rPr>
                <w:rFonts w:hint="eastAsia"/>
                <w:lang w:eastAsia="zh-CN"/>
              </w:rPr>
              <w:t>响应文件首次提交的</w:t>
            </w:r>
            <w:r>
              <w:rPr>
                <w:rFonts w:hint="eastAsia"/>
              </w:rPr>
              <w:t>截止时间止。</w:t>
            </w:r>
          </w:p>
        </w:tc>
      </w:tr>
    </w:tbl>
    <w:p w14:paraId="73EAE132">
      <w:pPr>
        <w:adjustRightInd w:val="0"/>
        <w:snapToGrid w:val="0"/>
        <w:spacing w:line="360" w:lineRule="auto"/>
        <w:rPr>
          <w:rFonts w:ascii="宋体" w:hAnsi="宋体"/>
          <w:b/>
          <w:bCs/>
          <w:color w:val="000000" w:themeColor="text1"/>
          <w:szCs w:val="21"/>
          <w14:textFill>
            <w14:solidFill>
              <w14:schemeClr w14:val="tx1"/>
            </w14:solidFill>
          </w14:textFill>
        </w:rPr>
      </w:pPr>
    </w:p>
    <w:p w14:paraId="65370D50">
      <w:pPr>
        <w:adjustRightInd w:val="0"/>
        <w:snapToGrid w:val="0"/>
        <w:spacing w:before="156" w:beforeLines="50" w:line="360" w:lineRule="auto"/>
        <w:jc w:val="center"/>
        <w:outlineLvl w:val="1"/>
        <w:rPr>
          <w:rFonts w:ascii="黑体" w:hAnsi="黑体" w:eastAsia="黑体"/>
          <w:b/>
          <w:bCs/>
          <w:color w:val="000000" w:themeColor="text1"/>
          <w:sz w:val="32"/>
          <w:szCs w:val="32"/>
          <w14:textFill>
            <w14:solidFill>
              <w14:schemeClr w14:val="tx1"/>
            </w14:solidFill>
          </w14:textFill>
        </w:rPr>
      </w:pPr>
      <w:r>
        <w:rPr>
          <w:rFonts w:ascii="Arial" w:hAnsi="Arial"/>
          <w:b/>
          <w:bCs/>
          <w:color w:val="000000" w:themeColor="text1"/>
          <w:sz w:val="24"/>
          <w:szCs w:val="32"/>
          <w14:textFill>
            <w14:solidFill>
              <w14:schemeClr w14:val="tx1"/>
            </w14:solidFill>
          </w14:textFill>
        </w:rPr>
        <w:br w:type="page"/>
      </w:r>
      <w:bookmarkStart w:id="27" w:name="_Toc7906"/>
      <w:r>
        <w:rPr>
          <w:rFonts w:hint="eastAsia" w:ascii="黑体" w:hAnsi="黑体" w:eastAsia="黑体"/>
          <w:b/>
          <w:bCs/>
          <w:color w:val="000000" w:themeColor="text1"/>
          <w:sz w:val="32"/>
          <w:szCs w:val="32"/>
          <w14:textFill>
            <w14:solidFill>
              <w14:schemeClr w14:val="tx1"/>
            </w14:solidFill>
          </w14:textFill>
        </w:rPr>
        <w:t>第二节 谈判须知正文</w:t>
      </w:r>
      <w:bookmarkEnd w:id="27"/>
    </w:p>
    <w:p w14:paraId="78A85C71">
      <w:pPr>
        <w:adjustRightInd w:val="0"/>
        <w:snapToGrid w:val="0"/>
        <w:spacing w:before="156" w:beforeLines="50"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28" w:name="_Toc25841"/>
      <w:r>
        <w:rPr>
          <w:rFonts w:hint="eastAsia" w:ascii="黑体" w:hAnsi="黑体" w:eastAsia="黑体"/>
          <w:b/>
          <w:bCs/>
          <w:color w:val="000000" w:themeColor="text1"/>
          <w:sz w:val="28"/>
          <w:szCs w:val="28"/>
          <w14:textFill>
            <w14:solidFill>
              <w14:schemeClr w14:val="tx1"/>
            </w14:solidFill>
          </w14:textFill>
        </w:rPr>
        <w:t>一、说明</w:t>
      </w:r>
      <w:bookmarkEnd w:id="28"/>
    </w:p>
    <w:p w14:paraId="271319AA">
      <w:pPr>
        <w:spacing w:line="360" w:lineRule="auto"/>
        <w:outlineLvl w:val="3"/>
        <w:rPr>
          <w:rFonts w:ascii="黑体" w:hAnsi="黑体" w:eastAsia="黑体"/>
          <w:b/>
          <w:bCs/>
          <w:color w:val="000000" w:themeColor="text1"/>
          <w:sz w:val="24"/>
          <w14:textFill>
            <w14:solidFill>
              <w14:schemeClr w14:val="tx1"/>
            </w14:solidFill>
          </w14:textFill>
        </w:rPr>
      </w:pPr>
      <w:bookmarkStart w:id="29" w:name="_Toc107997962"/>
      <w:bookmarkStart w:id="30" w:name="_Toc107997835"/>
      <w:r>
        <w:rPr>
          <w:rFonts w:hint="eastAsia" w:ascii="黑体" w:hAnsi="黑体" w:eastAsia="黑体"/>
          <w:b/>
          <w:bCs/>
          <w:color w:val="000000" w:themeColor="text1"/>
          <w:sz w:val="24"/>
          <w14:textFill>
            <w14:solidFill>
              <w14:schemeClr w14:val="tx1"/>
            </w14:solidFill>
          </w14:textFill>
        </w:rPr>
        <w:t>1.适用范围</w:t>
      </w:r>
      <w:bookmarkEnd w:id="29"/>
      <w:bookmarkEnd w:id="30"/>
    </w:p>
    <w:p w14:paraId="6B507CEF">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1.1本竞争性谈判文件仅适用于本章第一节“谈判须知前附表”（以下简称</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）中所叙述的采购项目。</w:t>
      </w:r>
    </w:p>
    <w:p w14:paraId="70B1A31A">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规定采购项目或者采购包属于“预留采购份额”的，供应商应当符合本章第3</w:t>
      </w:r>
      <w:r>
        <w:rPr>
          <w:rFonts w:ascii="宋体" w:hAnsi="宋体"/>
          <w:color w:val="000000" w:themeColor="text1"/>
          <w:szCs w:val="21"/>
          <w14:textFill>
            <w14:solidFill>
              <w14:schemeClr w14:val="tx1"/>
            </w14:solidFill>
          </w14:textFill>
        </w:rPr>
        <w:t>8</w:t>
      </w:r>
      <w:r>
        <w:rPr>
          <w:rFonts w:hint="eastAsia" w:ascii="宋体" w:hAnsi="宋体"/>
          <w:color w:val="000000" w:themeColor="text1"/>
          <w:szCs w:val="21"/>
          <w14:textFill>
            <w14:solidFill>
              <w14:schemeClr w14:val="tx1"/>
            </w14:solidFill>
          </w14:textFill>
        </w:rPr>
        <w:t>.1款规定，否则</w:t>
      </w:r>
      <w:r>
        <w:rPr>
          <w:rFonts w:hint="eastAsia" w:ascii="宋体" w:hAnsi="宋体"/>
          <w:color w:val="000000" w:themeColor="text1"/>
          <w:szCs w:val="21"/>
          <w:lang w:eastAsia="zh-CN"/>
          <w14:textFill>
            <w14:solidFill>
              <w14:schemeClr w14:val="tx1"/>
            </w14:solidFill>
          </w14:textFill>
        </w:rPr>
        <w:t>，</w:t>
      </w:r>
      <w:r>
        <w:rPr>
          <w:rFonts w:hint="eastAsia" w:ascii="宋体" w:hAnsi="宋体"/>
          <w:b/>
          <w:bCs/>
          <w:color w:val="000000" w:themeColor="text1"/>
          <w:kern w:val="0"/>
          <w:szCs w:val="21"/>
          <w14:textFill>
            <w14:solidFill>
              <w14:schemeClr w14:val="tx1"/>
            </w14:solidFill>
          </w14:textFill>
        </w:rPr>
        <w:t>其响应无效</w:t>
      </w:r>
      <w:r>
        <w:rPr>
          <w:rFonts w:hint="eastAsia" w:ascii="宋体" w:hAnsi="宋体"/>
          <w:color w:val="000000" w:themeColor="text1"/>
          <w:szCs w:val="21"/>
          <w14:textFill>
            <w14:solidFill>
              <w14:schemeClr w14:val="tx1"/>
            </w14:solidFill>
          </w14:textFill>
        </w:rPr>
        <w:t>。</w:t>
      </w:r>
    </w:p>
    <w:p w14:paraId="298581A5">
      <w:pPr>
        <w:spacing w:line="360" w:lineRule="auto"/>
        <w:outlineLvl w:val="3"/>
        <w:rPr>
          <w:rFonts w:ascii="黑体" w:hAnsi="黑体" w:eastAsia="黑体"/>
          <w:b/>
          <w:bCs/>
          <w:color w:val="000000" w:themeColor="text1"/>
          <w:sz w:val="24"/>
          <w14:textFill>
            <w14:solidFill>
              <w14:schemeClr w14:val="tx1"/>
            </w14:solidFill>
          </w14:textFill>
        </w:rPr>
      </w:pPr>
      <w:bookmarkStart w:id="31" w:name="_Toc107997963"/>
      <w:bookmarkStart w:id="32" w:name="_Toc107997836"/>
      <w:r>
        <w:rPr>
          <w:rFonts w:hint="eastAsia" w:ascii="黑体" w:hAnsi="黑体" w:eastAsia="黑体"/>
          <w:b/>
          <w:bCs/>
          <w:color w:val="000000" w:themeColor="text1"/>
          <w:sz w:val="24"/>
          <w14:textFill>
            <w14:solidFill>
              <w14:schemeClr w14:val="tx1"/>
            </w14:solidFill>
          </w14:textFill>
        </w:rPr>
        <w:t>2.定义</w:t>
      </w:r>
      <w:bookmarkEnd w:id="31"/>
      <w:bookmarkEnd w:id="32"/>
    </w:p>
    <w:p w14:paraId="225463F9">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2.1采购项目联系人姓名和电话见</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w:t>
      </w:r>
    </w:p>
    <w:p w14:paraId="52E410D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2.2采购人名称、地址、电话、联系人见</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w:t>
      </w:r>
    </w:p>
    <w:p w14:paraId="11C68C91">
      <w:pPr>
        <w:adjustRightInd w:val="0"/>
        <w:snapToGrid w:val="0"/>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2.3采购代理机构名称、地址、电话、联系人见【谈判须知前附表】。</w:t>
      </w:r>
    </w:p>
    <w:p w14:paraId="33ABEFBF">
      <w:pPr>
        <w:adjustRightInd w:val="0"/>
        <w:snapToGrid w:val="0"/>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2.4供应商是指响应谈判文件要求、参加竞争性谈判采购的法人、其他组织或者自然人。</w:t>
      </w:r>
      <w:bookmarkStart w:id="33" w:name="_Toc107997964"/>
      <w:bookmarkStart w:id="34" w:name="_Toc107997837"/>
    </w:p>
    <w:p w14:paraId="2616D058">
      <w:pPr>
        <w:spacing w:line="360" w:lineRule="auto"/>
        <w:outlineLvl w:val="3"/>
        <w:rPr>
          <w:rFonts w:hint="eastAsia" w:ascii="黑体" w:hAnsi="黑体" w:eastAsia="黑体"/>
          <w:b/>
          <w:bCs/>
          <w:color w:val="000000" w:themeColor="text1"/>
          <w:sz w:val="24"/>
          <w14:textFill>
            <w14:solidFill>
              <w14:schemeClr w14:val="tx1"/>
            </w14:solidFill>
          </w14:textFill>
        </w:rPr>
      </w:pPr>
      <w:r>
        <w:rPr>
          <w:rFonts w:hint="eastAsia" w:ascii="黑体" w:hAnsi="黑体" w:eastAsia="黑体"/>
          <w:b/>
          <w:bCs/>
          <w:color w:val="000000" w:themeColor="text1"/>
          <w:sz w:val="24"/>
          <w14:textFill>
            <w14:solidFill>
              <w14:schemeClr w14:val="tx1"/>
            </w14:solidFill>
          </w14:textFill>
        </w:rPr>
        <w:t>3.供应商的资格要求</w:t>
      </w:r>
      <w:bookmarkEnd w:id="33"/>
      <w:bookmarkEnd w:id="34"/>
    </w:p>
    <w:p w14:paraId="4341D674">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3.1供应商应当符合</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规定的供应商资格条件。</w:t>
      </w:r>
    </w:p>
    <w:p w14:paraId="5543E0F3">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3.2</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规定接受联合体形式的，供应商除应符合本章第3.1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olor w:val="000000" w:themeColor="text1"/>
          <w:szCs w:val="21"/>
          <w14:textFill>
            <w14:solidFill>
              <w14:schemeClr w14:val="tx1"/>
            </w14:solidFill>
          </w14:textFill>
        </w:rPr>
        <w:t xml:space="preserve">规定外，还应遵守以下规定： </w:t>
      </w:r>
    </w:p>
    <w:p w14:paraId="661177D9">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（l）联合体中有同类资质的供应商按照联合体分工承担相同工作的，应当按照资质等级较低的供应商确定资质等级。</w:t>
      </w:r>
    </w:p>
    <w:p w14:paraId="03DFC4A6">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（2）联合体各方应按谈判文件提供的格式签订联合体协议书，明确联合体牵头人和各方的权利义务、合同工作量比例；</w:t>
      </w:r>
    </w:p>
    <w:p w14:paraId="06AB0FA0">
      <w:pPr>
        <w:adjustRightInd w:val="0"/>
        <w:snapToGrid w:val="0"/>
        <w:spacing w:line="360" w:lineRule="auto"/>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olor w:val="000000" w:themeColor="text1"/>
          <w:szCs w:val="21"/>
          <w14:textFill>
            <w14:solidFill>
              <w14:schemeClr w14:val="tx1"/>
            </w14:solidFill>
          </w14:textFill>
        </w:rPr>
        <w:t>（3）联合体各方签订联合体协议书后，</w:t>
      </w:r>
      <w:r>
        <w:rPr>
          <w:rFonts w:hint="eastAsia" w:ascii="宋体" w:hAnsi="宋体" w:cs="宋体"/>
          <w:color w:val="000000" w:themeColor="text1"/>
          <w:kern w:val="0"/>
          <w:szCs w:val="21"/>
          <w:lang w:val="zh-CN"/>
          <w14:textFill>
            <w14:solidFill>
              <w14:schemeClr w14:val="tx1"/>
            </w14:solidFill>
          </w14:textFill>
        </w:rPr>
        <w:t>不得再单独参加或者与其他供应商组成新的联合体参加同一合同项下的采购活动。</w:t>
      </w:r>
    </w:p>
    <w:p w14:paraId="6865DB54">
      <w:pPr>
        <w:spacing w:line="360" w:lineRule="auto"/>
        <w:outlineLvl w:val="3"/>
        <w:rPr>
          <w:rFonts w:ascii="黑体" w:hAnsi="黑体" w:eastAsia="黑体"/>
          <w:b/>
          <w:bCs/>
          <w:color w:val="000000" w:themeColor="text1"/>
          <w:sz w:val="24"/>
          <w14:textFill>
            <w14:solidFill>
              <w14:schemeClr w14:val="tx1"/>
            </w14:solidFill>
          </w14:textFill>
        </w:rPr>
      </w:pPr>
      <w:bookmarkStart w:id="35" w:name="_Toc107997965"/>
      <w:bookmarkStart w:id="36" w:name="_Toc107997838"/>
      <w:r>
        <w:rPr>
          <w:rFonts w:hint="eastAsia" w:ascii="黑体" w:hAnsi="黑体" w:eastAsia="黑体"/>
          <w:b/>
          <w:bCs/>
          <w:color w:val="000000" w:themeColor="text1"/>
          <w:sz w:val="24"/>
          <w14:textFill>
            <w14:solidFill>
              <w14:schemeClr w14:val="tx1"/>
            </w14:solidFill>
          </w14:textFill>
        </w:rPr>
        <w:t>4.参与谈判的费用</w:t>
      </w:r>
      <w:bookmarkEnd w:id="35"/>
      <w:bookmarkEnd w:id="36"/>
    </w:p>
    <w:p w14:paraId="33FCADD9">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4.1无论谈判的结果如何，供应商应自行承担所有与竞争性谈判采购活动有关的全部费用。</w:t>
      </w:r>
    </w:p>
    <w:p w14:paraId="73A7E2DD">
      <w:pPr>
        <w:spacing w:line="360" w:lineRule="auto"/>
        <w:outlineLvl w:val="3"/>
        <w:rPr>
          <w:rFonts w:ascii="黑体" w:hAnsi="黑体" w:eastAsia="黑体"/>
          <w:b/>
          <w:bCs/>
          <w:color w:val="000000" w:themeColor="text1"/>
          <w:sz w:val="24"/>
          <w14:textFill>
            <w14:solidFill>
              <w14:schemeClr w14:val="tx1"/>
            </w14:solidFill>
          </w14:textFill>
        </w:rPr>
      </w:pPr>
      <w:bookmarkStart w:id="37" w:name="_Toc107997839"/>
      <w:bookmarkStart w:id="38" w:name="_Toc107997966"/>
      <w:r>
        <w:rPr>
          <w:rFonts w:hint="eastAsia" w:ascii="黑体" w:hAnsi="黑体" w:eastAsia="黑体"/>
          <w:b/>
          <w:bCs/>
          <w:color w:val="000000" w:themeColor="text1"/>
          <w:sz w:val="24"/>
          <w14:textFill>
            <w14:solidFill>
              <w14:schemeClr w14:val="tx1"/>
            </w14:solidFill>
          </w14:textFill>
        </w:rPr>
        <w:t>5.现场勘察</w:t>
      </w:r>
      <w:bookmarkEnd w:id="37"/>
      <w:bookmarkEnd w:id="38"/>
    </w:p>
    <w:p w14:paraId="6AA9468C">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5.1供应商应按</w:t>
      </w:r>
      <w:r>
        <w:rPr>
          <w:rFonts w:hint="eastAsia" w:ascii="宋体" w:hAnsi="宋体"/>
          <w:b/>
          <w:color w:val="000000" w:themeColor="text1"/>
          <w:szCs w:val="21"/>
          <w14:textFill>
            <w14:solidFill>
              <w14:schemeClr w14:val="tx1"/>
            </w14:solidFill>
          </w14:textFill>
        </w:rPr>
        <w:t>【谈判须知前附表】</w:t>
      </w:r>
      <w:r>
        <w:rPr>
          <w:rFonts w:hint="eastAsia" w:hAnsi="宋体"/>
          <w:color w:val="000000" w:themeColor="text1"/>
          <w14:textFill>
            <w14:solidFill>
              <w14:schemeClr w14:val="tx1"/>
            </w14:solidFill>
          </w14:textFill>
        </w:rPr>
        <w:t>中规定</w:t>
      </w:r>
      <w:r>
        <w:rPr>
          <w:rFonts w:hint="eastAsia" w:ascii="宋体" w:hAnsi="宋体"/>
          <w:color w:val="000000" w:themeColor="text1"/>
          <w:szCs w:val="21"/>
          <w14:textFill>
            <w14:solidFill>
              <w14:schemeClr w14:val="tx1"/>
            </w14:solidFill>
          </w14:textFill>
        </w:rPr>
        <w:t>对采购项目现场和周围环境的现场考察。</w:t>
      </w:r>
    </w:p>
    <w:p w14:paraId="13F8177F">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5.2勘察现场的费用由供应商自己承担，勘察期间所发生的人身伤害及财产损失由供应商自己负责。</w:t>
      </w:r>
    </w:p>
    <w:p w14:paraId="2BDEFDDB">
      <w:pPr>
        <w:adjustRightInd w:val="0"/>
        <w:snapToGrid w:val="0"/>
        <w:spacing w:line="360" w:lineRule="auto"/>
        <w:ind w:firstLine="420" w:firstLineChars="200"/>
        <w:jc w:val="left"/>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5.3采购人不对供应商据此而做出的推论、理解和结论负责。一旦成交，供应商不得以任何借口，而提出额外补偿，或延长合同期限的要求。</w:t>
      </w:r>
    </w:p>
    <w:p w14:paraId="6F53893D">
      <w:pPr>
        <w:adjustRightInd w:val="0"/>
        <w:snapToGrid w:val="0"/>
        <w:spacing w:line="360" w:lineRule="auto"/>
        <w:jc w:val="center"/>
        <w:outlineLvl w:val="2"/>
        <w:rPr>
          <w:rFonts w:hint="eastAsia" w:ascii="黑体" w:hAnsi="黑体" w:eastAsia="黑体"/>
          <w:b/>
          <w:bCs/>
          <w:color w:val="000000" w:themeColor="text1"/>
          <w:sz w:val="28"/>
          <w:szCs w:val="28"/>
          <w14:textFill>
            <w14:solidFill>
              <w14:schemeClr w14:val="tx1"/>
            </w14:solidFill>
          </w14:textFill>
        </w:rPr>
      </w:pPr>
      <w:bookmarkStart w:id="39" w:name="_Toc107997967"/>
      <w:bookmarkStart w:id="40" w:name="_Toc2787"/>
    </w:p>
    <w:p w14:paraId="394AF3CF">
      <w:pPr>
        <w:adjustRightInd w:val="0"/>
        <w:snapToGrid w:val="0"/>
        <w:spacing w:line="360" w:lineRule="auto"/>
        <w:jc w:val="center"/>
        <w:outlineLvl w:val="2"/>
        <w:rPr>
          <w:rFonts w:hint="eastAsia" w:ascii="黑体" w:hAnsi="黑体" w:eastAsia="黑体"/>
          <w:b/>
          <w:bCs/>
          <w:color w:val="000000" w:themeColor="text1"/>
          <w:sz w:val="28"/>
          <w:szCs w:val="28"/>
          <w14:textFill>
            <w14:solidFill>
              <w14:schemeClr w14:val="tx1"/>
            </w14:solidFill>
          </w14:textFill>
        </w:rPr>
      </w:pPr>
    </w:p>
    <w:p w14:paraId="0B19B6A8">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r>
        <w:rPr>
          <w:rFonts w:hint="eastAsia" w:ascii="黑体" w:hAnsi="黑体" w:eastAsia="黑体"/>
          <w:b/>
          <w:bCs/>
          <w:color w:val="000000" w:themeColor="text1"/>
          <w:sz w:val="28"/>
          <w:szCs w:val="28"/>
          <w14:textFill>
            <w14:solidFill>
              <w14:schemeClr w14:val="tx1"/>
            </w14:solidFill>
          </w14:textFill>
        </w:rPr>
        <w:t>二、谈判文件</w:t>
      </w:r>
      <w:bookmarkEnd w:id="39"/>
      <w:bookmarkEnd w:id="40"/>
    </w:p>
    <w:p w14:paraId="13358AC3">
      <w:pPr>
        <w:spacing w:line="360" w:lineRule="auto"/>
        <w:outlineLvl w:val="3"/>
        <w:rPr>
          <w:rFonts w:ascii="黑体" w:hAnsi="黑体" w:eastAsia="黑体"/>
          <w:b/>
          <w:bCs/>
          <w:color w:val="000000" w:themeColor="text1"/>
          <w:sz w:val="24"/>
          <w14:textFill>
            <w14:solidFill>
              <w14:schemeClr w14:val="tx1"/>
            </w14:solidFill>
          </w14:textFill>
        </w:rPr>
      </w:pPr>
      <w:bookmarkStart w:id="41" w:name="_Toc107997841"/>
      <w:bookmarkStart w:id="42" w:name="_Toc107997968"/>
      <w:r>
        <w:rPr>
          <w:rFonts w:hint="eastAsia" w:ascii="黑体" w:hAnsi="黑体" w:eastAsia="黑体"/>
          <w:b/>
          <w:bCs/>
          <w:color w:val="000000" w:themeColor="text1"/>
          <w:sz w:val="24"/>
          <w14:textFill>
            <w14:solidFill>
              <w14:schemeClr w14:val="tx1"/>
            </w14:solidFill>
          </w14:textFill>
        </w:rPr>
        <w:t>6.谈判文件的组成</w:t>
      </w:r>
      <w:bookmarkEnd w:id="41"/>
      <w:bookmarkEnd w:id="42"/>
    </w:p>
    <w:p w14:paraId="6D61093A">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6.1谈判文件由下列文件组成：</w:t>
      </w:r>
    </w:p>
    <w:p w14:paraId="4832AD62">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第一章 采购邀请</w:t>
      </w:r>
    </w:p>
    <w:p w14:paraId="3CAF719C">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第二章 谈判须知</w:t>
      </w:r>
    </w:p>
    <w:p w14:paraId="66224D61">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第三章 合同草案条款</w:t>
      </w:r>
    </w:p>
    <w:p w14:paraId="2A7594E3">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第四章 采购需求</w:t>
      </w:r>
    </w:p>
    <w:p w14:paraId="3F821B72">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第五章 响应文件组成</w:t>
      </w:r>
    </w:p>
    <w:p w14:paraId="05DCF098">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Courier New" w:cs="Courier New"/>
          <w:color w:val="000000" w:themeColor="text1"/>
          <w:szCs w:val="21"/>
          <w14:textFill>
            <w14:solidFill>
              <w14:schemeClr w14:val="tx1"/>
            </w14:solidFill>
          </w14:textFill>
        </w:rPr>
        <w:t>6.2</w:t>
      </w:r>
      <w:r>
        <w:rPr>
          <w:rFonts w:hint="eastAsia" w:ascii="宋体" w:hAnsi="宋体" w:cs="宋体"/>
          <w:color w:val="000000" w:themeColor="text1"/>
          <w:kern w:val="0"/>
          <w:szCs w:val="21"/>
          <w14:textFill>
            <w14:solidFill>
              <w14:schemeClr w14:val="tx1"/>
            </w14:solidFill>
          </w14:textFill>
        </w:rPr>
        <w:t>采购人、采购代理机构或者谈判小组在提交首次响应文件截止之日前对已发出的谈判文件进行的澄清或者修改，构成谈判文件的组成部分。</w:t>
      </w:r>
    </w:p>
    <w:p w14:paraId="5B1B81F9">
      <w:pPr>
        <w:adjustRightInd w:val="0"/>
        <w:snapToGrid w:val="0"/>
        <w:spacing w:line="360" w:lineRule="auto"/>
        <w:ind w:firstLine="420" w:firstLineChars="200"/>
        <w:rPr>
          <w:rFonts w:ascii="宋体" w:hAnsi="Courier New" w:cs="Courier New"/>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6.3谈判文件中，谈判小组根据与供应商谈判情况可能实质性变动的内容见</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宋体"/>
          <w:color w:val="000000" w:themeColor="text1"/>
          <w:kern w:val="0"/>
          <w:szCs w:val="21"/>
          <w14:textFill>
            <w14:solidFill>
              <w14:schemeClr w14:val="tx1"/>
            </w14:solidFill>
          </w14:textFill>
        </w:rPr>
        <w:t>。对谈判文件作出的实质性变动是谈判文件的有效组成部分。</w:t>
      </w:r>
    </w:p>
    <w:p w14:paraId="24B2B788">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Courier New" w:cs="Courier New"/>
          <w:color w:val="000000" w:themeColor="text1"/>
          <w:szCs w:val="21"/>
          <w14:textFill>
            <w14:solidFill>
              <w14:schemeClr w14:val="tx1"/>
            </w14:solidFill>
          </w14:textFill>
        </w:rPr>
        <w:t>6.4</w:t>
      </w:r>
      <w:r>
        <w:rPr>
          <w:rFonts w:hint="eastAsia" w:ascii="宋体" w:hAnsi="宋体" w:cs="Courier New"/>
          <w:color w:val="000000" w:themeColor="text1"/>
          <w:szCs w:val="21"/>
          <w14:textFill>
            <w14:solidFill>
              <w14:schemeClr w14:val="tx1"/>
            </w14:solidFill>
          </w14:textFill>
        </w:rPr>
        <w:t>供应商应仔细阅读</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文件的全部内容，按照</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文件要求编制</w:t>
      </w:r>
      <w:r>
        <w:rPr>
          <w:rFonts w:hint="eastAsia" w:ascii="宋体" w:hAnsi="Courier New" w:cs="Courier New"/>
          <w:color w:val="000000" w:themeColor="text1"/>
          <w:szCs w:val="21"/>
          <w14:textFill>
            <w14:solidFill>
              <w14:schemeClr w14:val="tx1"/>
            </w14:solidFill>
          </w14:textFill>
        </w:rPr>
        <w:t>响应</w:t>
      </w:r>
      <w:r>
        <w:rPr>
          <w:rFonts w:hint="eastAsia" w:ascii="宋体" w:hAnsi="宋体" w:cs="Courier New"/>
          <w:color w:val="000000" w:themeColor="text1"/>
          <w:szCs w:val="21"/>
          <w14:textFill>
            <w14:solidFill>
              <w14:schemeClr w14:val="tx1"/>
            </w14:solidFill>
          </w14:textFill>
        </w:rPr>
        <w:t>文件。任何对</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文件的忽略或误解不能作为</w:t>
      </w:r>
      <w:r>
        <w:rPr>
          <w:rFonts w:hint="eastAsia" w:ascii="宋体" w:hAnsi="Courier New" w:cs="Courier New"/>
          <w:color w:val="000000" w:themeColor="text1"/>
          <w:szCs w:val="21"/>
          <w14:textFill>
            <w14:solidFill>
              <w14:schemeClr w14:val="tx1"/>
            </w14:solidFill>
          </w14:textFill>
        </w:rPr>
        <w:t>响应</w:t>
      </w:r>
      <w:r>
        <w:rPr>
          <w:rFonts w:hint="eastAsia" w:ascii="宋体" w:hAnsi="宋体" w:cs="Courier New"/>
          <w:color w:val="000000" w:themeColor="text1"/>
          <w:szCs w:val="21"/>
          <w14:textFill>
            <w14:solidFill>
              <w14:schemeClr w14:val="tx1"/>
            </w14:solidFill>
          </w14:textFill>
        </w:rPr>
        <w:t>文件存在缺陷或瑕疵的理由，其风险由供应商承担。</w:t>
      </w:r>
    </w:p>
    <w:p w14:paraId="73D47B60">
      <w:pPr>
        <w:spacing w:line="360" w:lineRule="auto"/>
        <w:outlineLvl w:val="3"/>
        <w:rPr>
          <w:rFonts w:ascii="黑体" w:hAnsi="黑体" w:eastAsia="黑体"/>
          <w:b/>
          <w:bCs/>
          <w:color w:val="000000" w:themeColor="text1"/>
          <w:sz w:val="24"/>
          <w14:textFill>
            <w14:solidFill>
              <w14:schemeClr w14:val="tx1"/>
            </w14:solidFill>
          </w14:textFill>
        </w:rPr>
      </w:pPr>
      <w:bookmarkStart w:id="43" w:name="_Toc107997842"/>
      <w:bookmarkStart w:id="44" w:name="_Toc107997969"/>
      <w:r>
        <w:rPr>
          <w:rFonts w:hint="eastAsia" w:ascii="黑体" w:hAnsi="黑体" w:eastAsia="黑体"/>
          <w:b/>
          <w:bCs/>
          <w:color w:val="000000" w:themeColor="text1"/>
          <w:sz w:val="24"/>
          <w14:textFill>
            <w14:solidFill>
              <w14:schemeClr w14:val="tx1"/>
            </w14:solidFill>
          </w14:textFill>
        </w:rPr>
        <w:t>7.谈判文件的澄清</w:t>
      </w:r>
      <w:r>
        <w:rPr>
          <w:rFonts w:hint="eastAsia" w:ascii="黑体" w:hAnsi="黑体" w:eastAsia="黑体"/>
          <w:b/>
          <w:bCs/>
          <w:color w:val="000000" w:themeColor="text1"/>
          <w:kern w:val="0"/>
          <w:sz w:val="24"/>
          <w:lang w:val="zh-CN"/>
          <w14:textFill>
            <w14:solidFill>
              <w14:schemeClr w14:val="tx1"/>
            </w14:solidFill>
          </w14:textFill>
        </w:rPr>
        <w:t>或者</w:t>
      </w:r>
      <w:r>
        <w:rPr>
          <w:rFonts w:hint="eastAsia" w:ascii="黑体" w:hAnsi="黑体" w:eastAsia="黑体"/>
          <w:b/>
          <w:bCs/>
          <w:color w:val="000000" w:themeColor="text1"/>
          <w:sz w:val="24"/>
          <w14:textFill>
            <w14:solidFill>
              <w14:schemeClr w14:val="tx1"/>
            </w14:solidFill>
          </w14:textFill>
        </w:rPr>
        <w:t>修改</w:t>
      </w:r>
      <w:bookmarkEnd w:id="43"/>
      <w:bookmarkEnd w:id="44"/>
    </w:p>
    <w:p w14:paraId="1FA39218">
      <w:pPr>
        <w:adjustRightInd w:val="0"/>
        <w:snapToGrid w:val="0"/>
        <w:spacing w:line="360" w:lineRule="auto"/>
        <w:ind w:right="-105" w:rightChars="-50"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7.1在</w:t>
      </w:r>
      <w:r>
        <w:rPr>
          <w:rFonts w:hint="eastAsia" w:ascii="宋体" w:hAnsi="宋体" w:cs="宋体"/>
          <w:color w:val="000000" w:themeColor="text1"/>
          <w:kern w:val="0"/>
          <w:szCs w:val="21"/>
          <w14:textFill>
            <w14:solidFill>
              <w14:schemeClr w14:val="tx1"/>
            </w14:solidFill>
          </w14:textFill>
        </w:rPr>
        <w:t>提交首次响应文件截止之日前，采购人、采购代理机构或者谈判小组可以对已发出的谈判文件进行必要的澄清或者修改。</w:t>
      </w:r>
    </w:p>
    <w:p w14:paraId="7D56EFF0">
      <w:pPr>
        <w:adjustRightInd w:val="0"/>
        <w:snapToGrid w:val="0"/>
        <w:spacing w:line="360" w:lineRule="auto"/>
        <w:ind w:right="-105" w:rightChars="-50"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w:t>
      </w:r>
      <w:r>
        <w:rPr>
          <w:rFonts w:hint="eastAsia" w:ascii="宋体" w:hAnsi="宋体" w:cs="宋体"/>
          <w:color w:val="000000" w:themeColor="text1"/>
          <w:kern w:val="0"/>
          <w:szCs w:val="21"/>
          <w14:textFill>
            <w14:solidFill>
              <w14:schemeClr w14:val="tx1"/>
            </w14:solidFill>
          </w14:textFill>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14:paraId="71E232AF">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45" w:name="_Toc107997970"/>
      <w:bookmarkStart w:id="46" w:name="_Toc23836"/>
      <w:r>
        <w:rPr>
          <w:rFonts w:hint="eastAsia" w:ascii="黑体" w:hAnsi="黑体" w:eastAsia="黑体"/>
          <w:b/>
          <w:bCs/>
          <w:color w:val="000000" w:themeColor="text1"/>
          <w:sz w:val="28"/>
          <w:szCs w:val="28"/>
          <w14:textFill>
            <w14:solidFill>
              <w14:schemeClr w14:val="tx1"/>
            </w14:solidFill>
          </w14:textFill>
        </w:rPr>
        <w:t>三、响应文件</w:t>
      </w:r>
      <w:bookmarkEnd w:id="45"/>
      <w:bookmarkEnd w:id="46"/>
    </w:p>
    <w:p w14:paraId="2CCF63D9">
      <w:pPr>
        <w:spacing w:line="360" w:lineRule="auto"/>
        <w:outlineLvl w:val="3"/>
        <w:rPr>
          <w:rFonts w:ascii="黑体" w:hAnsi="黑体" w:eastAsia="黑体"/>
          <w:b/>
          <w:bCs/>
          <w:color w:val="000000" w:themeColor="text1"/>
          <w:sz w:val="24"/>
          <w14:textFill>
            <w14:solidFill>
              <w14:schemeClr w14:val="tx1"/>
            </w14:solidFill>
          </w14:textFill>
        </w:rPr>
      </w:pPr>
      <w:bookmarkStart w:id="47" w:name="_Toc107997971"/>
      <w:bookmarkStart w:id="48" w:name="_Toc107997844"/>
      <w:r>
        <w:rPr>
          <w:rFonts w:hint="eastAsia" w:ascii="黑体" w:hAnsi="黑体" w:eastAsia="黑体"/>
          <w:b/>
          <w:bCs/>
          <w:color w:val="000000" w:themeColor="text1"/>
          <w:sz w:val="24"/>
          <w14:textFill>
            <w14:solidFill>
              <w14:schemeClr w14:val="tx1"/>
            </w14:solidFill>
          </w14:textFill>
        </w:rPr>
        <w:t>8.一般要求</w:t>
      </w:r>
      <w:bookmarkEnd w:id="47"/>
      <w:bookmarkEnd w:id="48"/>
    </w:p>
    <w:p w14:paraId="764CB3B8">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8.1供应商应仔细阅读谈判文件的所有内容，按谈判文件的要求编制响应文件，并保证所提供的全部资料的真实性，以使其响应文件对谈判文件做出实质性的响应。</w:t>
      </w:r>
    </w:p>
    <w:p w14:paraId="1B634994">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8.2</w:t>
      </w:r>
      <w:r>
        <w:rPr>
          <w:rFonts w:hint="eastAsia" w:ascii="宋体" w:hAnsi="宋体"/>
          <w:color w:val="000000" w:themeColor="text1"/>
          <w:szCs w:val="21"/>
          <w14:textFill>
            <w14:solidFill>
              <w14:schemeClr w14:val="tx1"/>
            </w14:solidFill>
          </w14:textFill>
        </w:rPr>
        <w:t>供应商提交的响应文件及供应商与采购人或采购代理机构、谈判小组就有关谈判的所有来往函电均使用中文。供应商可以提交其他语言的资料，但应附中文注释，在有差异时以中文为准。</w:t>
      </w:r>
    </w:p>
    <w:p w14:paraId="71427491">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bCs/>
          <w:color w:val="000000" w:themeColor="text1"/>
          <w:szCs w:val="21"/>
          <w14:textFill>
            <w14:solidFill>
              <w14:schemeClr w14:val="tx1"/>
            </w14:solidFill>
          </w14:textFill>
        </w:rPr>
        <w:t>8.3</w:t>
      </w:r>
      <w:r>
        <w:rPr>
          <w:rFonts w:hint="eastAsia" w:ascii="宋体" w:hAnsi="宋体" w:cs="Courier New"/>
          <w:color w:val="000000" w:themeColor="text1"/>
          <w:szCs w:val="21"/>
          <w14:textFill>
            <w14:solidFill>
              <w14:schemeClr w14:val="tx1"/>
            </w14:solidFill>
          </w14:textFill>
        </w:rPr>
        <w:t>计量单位应使用我国法定计量单位，未列明时应默认为我国法定计量单位。</w:t>
      </w:r>
    </w:p>
    <w:p w14:paraId="533B9044">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8.4响应文件应采用书面形式，电报、传真、电子邮件形式的响应文件概不接受。</w:t>
      </w:r>
    </w:p>
    <w:p w14:paraId="1E6081AB">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8.5供应商应按谈判文件中提供的响应文件格式填写。</w:t>
      </w:r>
    </w:p>
    <w:p w14:paraId="50D61F05">
      <w:pPr>
        <w:spacing w:line="360" w:lineRule="auto"/>
        <w:outlineLvl w:val="3"/>
        <w:rPr>
          <w:rFonts w:ascii="黑体" w:hAnsi="黑体" w:eastAsia="黑体"/>
          <w:b/>
          <w:bCs/>
          <w:color w:val="000000" w:themeColor="text1"/>
          <w:sz w:val="24"/>
          <w14:textFill>
            <w14:solidFill>
              <w14:schemeClr w14:val="tx1"/>
            </w14:solidFill>
          </w14:textFill>
        </w:rPr>
      </w:pPr>
      <w:bookmarkStart w:id="49" w:name="_Toc107997845"/>
      <w:bookmarkStart w:id="50" w:name="_Toc107997972"/>
      <w:r>
        <w:rPr>
          <w:rFonts w:hint="eastAsia" w:ascii="黑体" w:hAnsi="黑体" w:eastAsia="黑体"/>
          <w:b/>
          <w:bCs/>
          <w:color w:val="000000" w:themeColor="text1"/>
          <w:sz w:val="24"/>
          <w14:textFill>
            <w14:solidFill>
              <w14:schemeClr w14:val="tx1"/>
            </w14:solidFill>
          </w14:textFill>
        </w:rPr>
        <w:t>9.响应文件的组成</w:t>
      </w:r>
      <w:bookmarkEnd w:id="49"/>
      <w:bookmarkEnd w:id="50"/>
    </w:p>
    <w:p w14:paraId="6200AE51">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9.1响应文件包括下列内容：</w:t>
      </w:r>
    </w:p>
    <w:p w14:paraId="75F60252">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一、报价表及报价文件(格式)</w:t>
      </w:r>
    </w:p>
    <w:p w14:paraId="5F14C264">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二、（1）、谈判响应声明(格式)</w:t>
      </w:r>
    </w:p>
    <w:p w14:paraId="4C32F577">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（2）、供应商资格声明(格式)</w:t>
      </w:r>
    </w:p>
    <w:p w14:paraId="1DBD8765">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（3）、湖南省政府采购供应商资格承诺函（格式）</w:t>
      </w:r>
    </w:p>
    <w:p w14:paraId="53FA017D">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三、保证金</w:t>
      </w:r>
    </w:p>
    <w:p w14:paraId="4BF58F20">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四、法定代表人（单位负责人）身份证明(格式)</w:t>
      </w:r>
    </w:p>
    <w:p w14:paraId="5DB08F35">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五、供应商资格审查材料</w:t>
      </w:r>
    </w:p>
    <w:p w14:paraId="37D9BB1A">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六、采购需求响应</w:t>
      </w:r>
    </w:p>
    <w:p w14:paraId="2C182A20">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七、合同条款偏离表</w:t>
      </w:r>
    </w:p>
    <w:p w14:paraId="0F598F8C">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八、采购需求偏离表</w:t>
      </w:r>
    </w:p>
    <w:p w14:paraId="7A35B5E1">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九、享受政府采购政策的证明资料</w:t>
      </w:r>
    </w:p>
    <w:p w14:paraId="6DDD5128">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十、响应标的符合谈判文件规定的证明文件</w:t>
      </w:r>
    </w:p>
    <w:p w14:paraId="1782A7D9">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十一、供应商认为需提供的其他资料（如有）</w:t>
      </w:r>
    </w:p>
    <w:p w14:paraId="333F0FDA">
      <w:pPr>
        <w:adjustRightInd w:val="0"/>
        <w:snapToGrid w:val="0"/>
        <w:spacing w:line="360" w:lineRule="auto"/>
        <w:ind w:firstLine="420" w:firstLineChars="200"/>
        <w:rPr>
          <w:rFonts w:hAnsi="宋体"/>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十二、最后报价</w:t>
      </w:r>
      <w:r>
        <w:rPr>
          <w:rFonts w:hint="eastAsia" w:ascii="宋体" w:hAnsi="宋体"/>
          <w:color w:val="000000" w:themeColor="text1"/>
          <w14:textFill>
            <w14:solidFill>
              <w14:schemeClr w14:val="tx1"/>
            </w14:solidFill>
          </w14:textFill>
        </w:rPr>
        <w:t>9.2在谈判过程中，</w:t>
      </w:r>
      <w:r>
        <w:rPr>
          <w:rFonts w:hint="eastAsia" w:ascii="宋体" w:hAnsi="宋体"/>
          <w:color w:val="000000" w:themeColor="text1"/>
          <w:szCs w:val="21"/>
          <w14:textFill>
            <w14:solidFill>
              <w14:schemeClr w14:val="tx1"/>
            </w14:solidFill>
          </w14:textFill>
        </w:rPr>
        <w:t>供应商</w:t>
      </w:r>
      <w:r>
        <w:rPr>
          <w:rFonts w:hint="eastAsia" w:ascii="宋体" w:hAnsi="宋体"/>
          <w:color w:val="000000" w:themeColor="text1"/>
          <w14:textFill>
            <w14:solidFill>
              <w14:schemeClr w14:val="tx1"/>
            </w14:solidFill>
          </w14:textFill>
        </w:rPr>
        <w:t>根据</w:t>
      </w:r>
      <w:r>
        <w:rPr>
          <w:rFonts w:hint="eastAsia" w:ascii="宋体" w:hAnsi="宋体" w:cs="宋体"/>
          <w:color w:val="000000" w:themeColor="text1"/>
          <w:kern w:val="0"/>
          <w:szCs w:val="21"/>
          <w14:textFill>
            <w14:solidFill>
              <w14:schemeClr w14:val="tx1"/>
            </w14:solidFill>
          </w14:textFill>
        </w:rPr>
        <w:t>谈判小组</w:t>
      </w:r>
      <w:r>
        <w:rPr>
          <w:rFonts w:hint="eastAsia" w:ascii="宋体" w:hAnsi="宋体"/>
          <w:bCs/>
          <w:color w:val="000000" w:themeColor="text1"/>
          <w:szCs w:val="21"/>
          <w14:textFill>
            <w14:solidFill>
              <w14:schemeClr w14:val="tx1"/>
            </w14:solidFill>
          </w14:textFill>
        </w:rPr>
        <w:t>书面形式要求</w:t>
      </w:r>
      <w:r>
        <w:rPr>
          <w:rFonts w:hint="eastAsia" w:ascii="宋体" w:hAnsi="宋体" w:cs="宋体"/>
          <w:color w:val="000000" w:themeColor="text1"/>
          <w:kern w:val="0"/>
          <w:szCs w:val="21"/>
          <w14:textFill>
            <w14:solidFill>
              <w14:schemeClr w14:val="tx1"/>
            </w14:solidFill>
          </w14:textFill>
        </w:rPr>
        <w:t>提交的</w:t>
      </w:r>
      <w:r>
        <w:rPr>
          <w:rFonts w:hint="eastAsia" w:hAnsi="宋体"/>
          <w:color w:val="000000" w:themeColor="text1"/>
          <w14:textFill>
            <w14:solidFill>
              <w14:schemeClr w14:val="tx1"/>
            </w14:solidFill>
          </w14:textFill>
        </w:rPr>
        <w:t>最后报价(或者</w:t>
      </w:r>
      <w:r>
        <w:rPr>
          <w:rFonts w:hint="eastAsia" w:ascii="宋体" w:hAnsi="宋体"/>
          <w:bCs/>
          <w:color w:val="000000" w:themeColor="text1"/>
          <w:szCs w:val="21"/>
          <w14:textFill>
            <w14:solidFill>
              <w14:schemeClr w14:val="tx1"/>
            </w14:solidFill>
          </w14:textFill>
        </w:rPr>
        <w:t>重</w:t>
      </w:r>
      <w:r>
        <w:rPr>
          <w:rFonts w:hint="eastAsia" w:ascii="宋体" w:hAnsi="宋体" w:cs="宋体"/>
          <w:color w:val="000000" w:themeColor="text1"/>
          <w:kern w:val="0"/>
          <w:szCs w:val="21"/>
          <w14:textFill>
            <w14:solidFill>
              <w14:schemeClr w14:val="tx1"/>
            </w14:solidFill>
          </w14:textFill>
        </w:rPr>
        <w:t>新提交的响应文件和</w:t>
      </w:r>
      <w:r>
        <w:rPr>
          <w:rFonts w:hint="eastAsia" w:hAnsi="宋体"/>
          <w:color w:val="000000" w:themeColor="text1"/>
          <w14:textFill>
            <w14:solidFill>
              <w14:schemeClr w14:val="tx1"/>
            </w14:solidFill>
          </w14:textFill>
        </w:rPr>
        <w:t>最后报价)是</w:t>
      </w:r>
      <w:r>
        <w:rPr>
          <w:rFonts w:hint="eastAsia" w:ascii="宋体" w:hAnsi="宋体"/>
          <w:color w:val="000000" w:themeColor="text1"/>
          <w:szCs w:val="21"/>
          <w14:textFill>
            <w14:solidFill>
              <w14:schemeClr w14:val="tx1"/>
            </w14:solidFill>
          </w14:textFill>
        </w:rPr>
        <w:t>响应文件</w:t>
      </w:r>
      <w:r>
        <w:rPr>
          <w:rFonts w:hint="eastAsia" w:hAnsi="宋体"/>
          <w:color w:val="000000" w:themeColor="text1"/>
          <w14:textFill>
            <w14:solidFill>
              <w14:schemeClr w14:val="tx1"/>
            </w14:solidFill>
          </w14:textFill>
        </w:rPr>
        <w:t>的有效组成部分。</w:t>
      </w:r>
    </w:p>
    <w:p w14:paraId="1E3BB81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9.3</w:t>
      </w:r>
      <w:r>
        <w:rPr>
          <w:rFonts w:hint="eastAsia" w:ascii="宋体" w:hAnsi="宋体"/>
          <w:color w:val="000000" w:themeColor="text1"/>
          <w:szCs w:val="21"/>
          <w14:textFill>
            <w14:solidFill>
              <w14:schemeClr w14:val="tx1"/>
            </w14:solidFill>
          </w14:textFill>
        </w:rPr>
        <w:t>根据《政府采购法》第四十二条的规定，供应商无论成交与否，其响应文件不予退还。</w:t>
      </w:r>
    </w:p>
    <w:p w14:paraId="4EC91FDE">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51" w:name="_Toc107997847"/>
      <w:bookmarkStart w:id="52" w:name="_Toc107997974"/>
      <w:bookmarkStart w:id="53" w:name="_Toc62225434"/>
      <w:r>
        <w:rPr>
          <w:rFonts w:hint="eastAsia" w:ascii="黑体" w:hAnsi="黑体" w:eastAsia="黑体"/>
          <w:b/>
          <w:bCs/>
          <w:color w:val="000000" w:themeColor="text1"/>
          <w:sz w:val="24"/>
          <w14:textFill>
            <w14:solidFill>
              <w14:schemeClr w14:val="tx1"/>
            </w14:solidFill>
          </w14:textFill>
        </w:rPr>
        <w:t>10.供应商的资格更新证明</w:t>
      </w:r>
      <w:bookmarkEnd w:id="51"/>
      <w:bookmarkEnd w:id="52"/>
      <w:bookmarkEnd w:id="53"/>
      <w:r>
        <w:rPr>
          <w:rFonts w:hint="eastAsia" w:ascii="黑体" w:hAnsi="黑体" w:eastAsia="黑体"/>
          <w:b/>
          <w:bCs/>
          <w:color w:val="000000" w:themeColor="text1"/>
          <w:sz w:val="24"/>
          <w14:textFill>
            <w14:solidFill>
              <w14:schemeClr w14:val="tx1"/>
            </w14:solidFill>
          </w14:textFill>
        </w:rPr>
        <w:t>材料</w:t>
      </w:r>
    </w:p>
    <w:p w14:paraId="779DF810">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10.1被邀请的供应商在提交首次响应文件前，其资格条件发生变化，影响或者可能影响资格条件的，应随响应文件提供更新或者补充的资格证明材料，以证实其各项条件仍能继续满足本章第3.1款规定的供应商资格条件要求。</w:t>
      </w:r>
    </w:p>
    <w:p w14:paraId="3445C747">
      <w:pPr>
        <w:spacing w:line="360" w:lineRule="auto"/>
        <w:outlineLvl w:val="3"/>
        <w:rPr>
          <w:rFonts w:ascii="黑体" w:hAnsi="黑体" w:eastAsia="黑体"/>
          <w:b/>
          <w:bCs/>
          <w:color w:val="000000" w:themeColor="text1"/>
          <w:sz w:val="24"/>
          <w14:textFill>
            <w14:solidFill>
              <w14:schemeClr w14:val="tx1"/>
            </w14:solidFill>
          </w14:textFill>
        </w:rPr>
      </w:pPr>
      <w:bookmarkStart w:id="54" w:name="_Toc107997975"/>
      <w:bookmarkStart w:id="55" w:name="_Toc107997848"/>
      <w:r>
        <w:rPr>
          <w:rFonts w:hint="eastAsia" w:ascii="黑体" w:hAnsi="黑体" w:eastAsia="黑体"/>
          <w:b/>
          <w:bCs/>
          <w:color w:val="000000" w:themeColor="text1"/>
          <w:sz w:val="24"/>
          <w14:textFill>
            <w14:solidFill>
              <w14:schemeClr w14:val="tx1"/>
            </w14:solidFill>
          </w14:textFill>
        </w:rPr>
        <w:t>11.报价要求</w:t>
      </w:r>
      <w:bookmarkEnd w:id="54"/>
      <w:bookmarkEnd w:id="55"/>
    </w:p>
    <w:p w14:paraId="6BE14CE5">
      <w:pPr>
        <w:adjustRightInd w:val="0"/>
        <w:snapToGrid w:val="0"/>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11.1</w:t>
      </w:r>
      <w:r>
        <w:rPr>
          <w:rFonts w:hint="eastAsia" w:ascii="宋体" w:hAnsi="宋体" w:eastAsia="宋体"/>
          <w:color w:val="000000" w:themeColor="text1"/>
          <w:szCs w:val="21"/>
          <w14:textFill>
            <w14:solidFill>
              <w14:schemeClr w14:val="tx1"/>
            </w14:solidFill>
          </w14:textFill>
        </w:rPr>
        <w:t>供应商应当根据谈判文件第三章第一节“采购清单一览表”</w:t>
      </w:r>
      <w:r>
        <w:rPr>
          <w:rFonts w:hint="eastAsia" w:ascii="宋体" w:hAnsi="宋体"/>
          <w:color w:val="000000" w:themeColor="text1"/>
          <w:szCs w:val="21"/>
          <w:lang w:val="en-US" w:eastAsia="zh-CN"/>
          <w14:textFill>
            <w14:solidFill>
              <w14:schemeClr w14:val="tx1"/>
            </w14:solidFill>
          </w14:textFill>
        </w:rPr>
        <w:t>统一报折扣</w:t>
      </w:r>
      <w:r>
        <w:rPr>
          <w:rFonts w:hint="eastAsia" w:ascii="宋体" w:hAnsi="宋体" w:eastAsia="宋体"/>
          <w:color w:val="000000" w:themeColor="text1"/>
          <w:szCs w:val="21"/>
          <w14:textFill>
            <w14:solidFill>
              <w14:schemeClr w14:val="tx1"/>
            </w14:solidFill>
          </w14:textFill>
        </w:rPr>
        <w:t>；谈判文件第三章提供第二节“工程量清单”的，供应商应按其要求填写相应表格。</w:t>
      </w:r>
    </w:p>
    <w:p w14:paraId="6E9BFFE9">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11.2</w:t>
      </w:r>
      <w:r>
        <w:rPr>
          <w:rFonts w:hint="eastAsia" w:ascii="宋体" w:hAnsi="宋体"/>
          <w:color w:val="000000" w:themeColor="text1"/>
          <w:szCs w:val="21"/>
          <w14:textFill>
            <w14:solidFill>
              <w14:schemeClr w14:val="tx1"/>
            </w14:solidFill>
          </w14:textFill>
        </w:rPr>
        <w:t>在报价表、分项报价表填写报价时应注意下列要求：</w:t>
      </w:r>
    </w:p>
    <w:p w14:paraId="14B310DF">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（1）采购需求要求的安装、调试、培训、售后服务及其他附加服务的费用。</w:t>
      </w:r>
    </w:p>
    <w:p w14:paraId="7C69409D">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（2）所有根据合同或其他原因应由供应商交纳和支付的税款和费用。</w:t>
      </w:r>
    </w:p>
    <w:p w14:paraId="32D30AFA">
      <w:pPr>
        <w:adjustRightInd w:val="0"/>
        <w:snapToGrid w:val="0"/>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（3）谈判文件指定交货地点的运输、保险、装卸费。</w:t>
      </w:r>
    </w:p>
    <w:p w14:paraId="7EF0CE4F">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（4）实行工程量清单报价的，供应商提交最后报价应与已标价工程量清单总报价一致。</w:t>
      </w:r>
    </w:p>
    <w:p w14:paraId="3A0771E3">
      <w:pPr>
        <w:adjustRightInd w:val="0"/>
        <w:snapToGrid w:val="0"/>
        <w:spacing w:line="360" w:lineRule="auto"/>
        <w:ind w:firstLine="420" w:firstLineChars="200"/>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11.3</w:t>
      </w:r>
      <w:r>
        <w:rPr>
          <w:rFonts w:hint="eastAsia" w:ascii="宋体" w:hAnsi="宋体" w:cs="宋体"/>
          <w:color w:val="000000" w:themeColor="text1"/>
          <w:kern w:val="0"/>
          <w:szCs w:val="21"/>
          <w:lang w:val="zh-CN"/>
          <w14:textFill>
            <w14:solidFill>
              <w14:schemeClr w14:val="tx1"/>
            </w14:solidFill>
          </w14:textFill>
        </w:rPr>
        <w:t>供应商</w:t>
      </w:r>
      <w:r>
        <w:rPr>
          <w:rFonts w:hint="eastAsia" w:ascii="宋体" w:hAnsi="宋体"/>
          <w:color w:val="000000" w:themeColor="text1"/>
          <w:kern w:val="0"/>
          <w:szCs w:val="21"/>
          <w14:textFill>
            <w14:solidFill>
              <w14:schemeClr w14:val="tx1"/>
            </w14:solidFill>
          </w14:textFill>
        </w:rPr>
        <w:t>的最后报价不得超过采购项目预算，</w:t>
      </w:r>
      <w:r>
        <w:rPr>
          <w:rFonts w:hint="eastAsia" w:ascii="宋体" w:hAnsi="宋体"/>
          <w:b/>
          <w:bCs/>
          <w:color w:val="000000" w:themeColor="text1"/>
          <w:kern w:val="0"/>
          <w:szCs w:val="21"/>
          <w14:textFill>
            <w14:solidFill>
              <w14:schemeClr w14:val="tx1"/>
            </w14:solidFill>
          </w14:textFill>
        </w:rPr>
        <w:t>否则，其响应无效</w:t>
      </w:r>
      <w:r>
        <w:rPr>
          <w:rFonts w:hint="eastAsia" w:ascii="宋体" w:hAnsi="宋体"/>
          <w:color w:val="000000" w:themeColor="text1"/>
          <w:kern w:val="0"/>
          <w:szCs w:val="21"/>
          <w14:textFill>
            <w14:solidFill>
              <w14:schemeClr w14:val="tx1"/>
            </w14:solidFill>
          </w14:textFill>
        </w:rPr>
        <w:t>。采购项目预算见</w:t>
      </w:r>
      <w:r>
        <w:rPr>
          <w:rFonts w:hint="eastAsia" w:ascii="宋体" w:hAnsi="宋体"/>
          <w:b/>
          <w:color w:val="000000" w:themeColor="text1"/>
          <w:kern w:val="0"/>
          <w:szCs w:val="21"/>
          <w14:textFill>
            <w14:solidFill>
              <w14:schemeClr w14:val="tx1"/>
            </w14:solidFill>
          </w14:textFill>
        </w:rPr>
        <w:t>【谈判须知前附表】</w:t>
      </w:r>
      <w:r>
        <w:rPr>
          <w:rFonts w:hint="eastAsia" w:ascii="宋体" w:hAnsi="宋体"/>
          <w:color w:val="000000" w:themeColor="text1"/>
          <w:kern w:val="0"/>
          <w:szCs w:val="21"/>
          <w14:textFill>
            <w14:solidFill>
              <w14:schemeClr w14:val="tx1"/>
            </w14:solidFill>
          </w14:textFill>
        </w:rPr>
        <w:t>。</w:t>
      </w:r>
    </w:p>
    <w:p w14:paraId="00908852">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11.4</w:t>
      </w:r>
      <w:r>
        <w:rPr>
          <w:rFonts w:hint="eastAsia" w:ascii="宋体" w:hAnsi="宋体"/>
          <w:color w:val="000000" w:themeColor="text1"/>
          <w:szCs w:val="21"/>
          <w14:textFill>
            <w14:solidFill>
              <w14:schemeClr w14:val="tx1"/>
            </w14:solidFill>
          </w14:textFill>
        </w:rPr>
        <w:t>采用固定价格定价方式的采购项目，</w:t>
      </w:r>
      <w:r>
        <w:rPr>
          <w:rFonts w:hint="eastAsia" w:ascii="宋体" w:hAnsi="宋体" w:cs="Courier New"/>
          <w:color w:val="000000" w:themeColor="text1"/>
          <w:szCs w:val="21"/>
          <w14:textFill>
            <w14:solidFill>
              <w14:schemeClr w14:val="tx1"/>
            </w14:solidFill>
          </w14:textFill>
        </w:rPr>
        <w:t>供应商提交的最后报价在合同执行过程中是固定不变的，不得以任何理由予以变更。以可变动价格提交的报价将被认为是非实质响应而被拒绝。</w:t>
      </w:r>
    </w:p>
    <w:p w14:paraId="152BA062">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11.5采购人不接受供应商给予的赠品、回扣或者与采购无关的其他商品、服务。</w:t>
      </w:r>
    </w:p>
    <w:p w14:paraId="1015496D">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11.6报价的其他要求见</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Courier New"/>
          <w:color w:val="000000" w:themeColor="text1"/>
          <w:szCs w:val="21"/>
          <w14:textFill>
            <w14:solidFill>
              <w14:schemeClr w14:val="tx1"/>
            </w14:solidFill>
          </w14:textFill>
        </w:rPr>
        <w:t>。</w:t>
      </w:r>
    </w:p>
    <w:p w14:paraId="5703430D">
      <w:pPr>
        <w:spacing w:line="360" w:lineRule="auto"/>
        <w:outlineLvl w:val="3"/>
        <w:rPr>
          <w:rFonts w:ascii="黑体" w:hAnsi="黑体" w:eastAsia="黑体"/>
          <w:b/>
          <w:bCs/>
          <w:color w:val="000000" w:themeColor="text1"/>
          <w:sz w:val="24"/>
          <w14:textFill>
            <w14:solidFill>
              <w14:schemeClr w14:val="tx1"/>
            </w14:solidFill>
          </w14:textFill>
        </w:rPr>
      </w:pPr>
      <w:bookmarkStart w:id="56" w:name="_Toc107997976"/>
      <w:bookmarkStart w:id="57" w:name="_Toc107997849"/>
      <w:r>
        <w:rPr>
          <w:rFonts w:hint="eastAsia" w:ascii="黑体" w:hAnsi="黑体" w:eastAsia="黑体"/>
          <w:b/>
          <w:bCs/>
          <w:color w:val="000000" w:themeColor="text1"/>
          <w:sz w:val="24"/>
          <w14:textFill>
            <w14:solidFill>
              <w14:schemeClr w14:val="tx1"/>
            </w14:solidFill>
          </w14:textFill>
        </w:rPr>
        <w:t>12.谈判保证金</w:t>
      </w:r>
      <w:bookmarkEnd w:id="56"/>
      <w:bookmarkEnd w:id="57"/>
      <w:r>
        <w:rPr>
          <w:rFonts w:hint="eastAsia" w:ascii="黑体" w:hAnsi="黑体" w:eastAsia="黑体"/>
          <w:b/>
          <w:bCs/>
          <w:color w:val="auto"/>
          <w:sz w:val="24"/>
          <w:lang w:eastAsia="zh-CN"/>
        </w:rPr>
        <w:t>（</w:t>
      </w:r>
      <w:r>
        <w:rPr>
          <w:rFonts w:hint="eastAsia" w:ascii="黑体" w:hAnsi="黑体" w:eastAsia="黑体"/>
          <w:b/>
          <w:bCs/>
          <w:color w:val="auto"/>
          <w:sz w:val="24"/>
          <w:lang w:val="en-US" w:eastAsia="zh-CN"/>
        </w:rPr>
        <w:t>本项目不需要提供</w:t>
      </w:r>
      <w:r>
        <w:rPr>
          <w:rFonts w:hint="eastAsia" w:ascii="黑体" w:hAnsi="黑体" w:eastAsia="黑体"/>
          <w:b/>
          <w:bCs/>
          <w:color w:val="auto"/>
          <w:sz w:val="24"/>
          <w:lang w:eastAsia="zh-CN"/>
        </w:rPr>
        <w:t>）</w:t>
      </w:r>
    </w:p>
    <w:p w14:paraId="67083951">
      <w:pPr>
        <w:autoSpaceDE w:val="0"/>
        <w:autoSpaceDN w:val="0"/>
        <w:adjustRightInd w:val="0"/>
        <w:spacing w:line="360" w:lineRule="auto"/>
        <w:ind w:firstLine="420" w:firstLineChars="200"/>
        <w:jc w:val="left"/>
        <w:rPr>
          <w:rFonts w:hAnsi="宋体"/>
          <w:bCs/>
          <w:color w:val="000000" w:themeColor="text1"/>
          <w14:textFill>
            <w14:solidFill>
              <w14:schemeClr w14:val="tx1"/>
            </w14:solidFill>
          </w14:textFill>
        </w:rPr>
      </w:pPr>
      <w:r>
        <w:rPr>
          <w:rFonts w:hint="eastAsia" w:hAnsi="宋体"/>
          <w:color w:val="000000" w:themeColor="text1"/>
          <w14:textFill>
            <w14:solidFill>
              <w14:schemeClr w14:val="tx1"/>
            </w14:solidFill>
          </w14:textFill>
        </w:rPr>
        <w:t>12.1</w:t>
      </w:r>
      <w:r>
        <w:rPr>
          <w:rFonts w:hint="eastAsia" w:hAnsi="宋体"/>
          <w:bCs/>
          <w:color w:val="000000" w:themeColor="text1"/>
          <w14:textFill>
            <w14:solidFill>
              <w14:schemeClr w14:val="tx1"/>
            </w14:solidFill>
          </w14:textFill>
        </w:rPr>
        <w:t>谈判文件要求供应商提交谈判保证金的，供应商应按</w:t>
      </w:r>
      <w:r>
        <w:rPr>
          <w:rFonts w:hint="eastAsia" w:hAnsi="宋体"/>
          <w:b/>
          <w:bCs/>
          <w:color w:val="000000" w:themeColor="text1"/>
          <w14:textFill>
            <w14:solidFill>
              <w14:schemeClr w14:val="tx1"/>
            </w14:solidFill>
          </w14:textFill>
        </w:rPr>
        <w:t>【谈判须知前附表】</w:t>
      </w:r>
      <w:r>
        <w:rPr>
          <w:rFonts w:hint="eastAsia" w:hAnsi="宋体"/>
          <w:bCs/>
          <w:color w:val="000000" w:themeColor="text1"/>
          <w14:textFill>
            <w14:solidFill>
              <w14:schemeClr w14:val="tx1"/>
            </w14:solidFill>
          </w14:textFill>
        </w:rPr>
        <w:t>规定，在提交首次响应文件的截止时间前提交谈判保证金。谈判保证金有效期应当与响应文件有效期一致。供应商可用保函、电子增信替代谈判保证金。</w:t>
      </w:r>
    </w:p>
    <w:p w14:paraId="0C8174F5">
      <w:pPr>
        <w:adjustRightInd w:val="0"/>
        <w:snapToGrid w:val="0"/>
        <w:spacing w:line="360" w:lineRule="auto"/>
        <w:ind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12.2</w:t>
      </w:r>
      <w:r>
        <w:rPr>
          <w:rFonts w:hint="eastAsia" w:ascii="宋体" w:hAnsi="宋体" w:cs="宋体"/>
          <w:color w:val="000000" w:themeColor="text1"/>
          <w:kern w:val="0"/>
          <w:szCs w:val="21"/>
          <w:lang w:val="zh-CN"/>
          <w14:textFill>
            <w14:solidFill>
              <w14:schemeClr w14:val="tx1"/>
            </w14:solidFill>
          </w14:textFill>
        </w:rPr>
        <w:t>供应商为联合体的，可以由联合体中的一方或者共同交纳</w:t>
      </w:r>
      <w:r>
        <w:rPr>
          <w:rFonts w:hint="eastAsia" w:hAnsi="宋体"/>
          <w:bCs/>
          <w:color w:val="000000" w:themeColor="text1"/>
          <w14:textFill>
            <w14:solidFill>
              <w14:schemeClr w14:val="tx1"/>
            </w14:solidFill>
          </w14:textFill>
        </w:rPr>
        <w:t>谈判</w:t>
      </w:r>
      <w:r>
        <w:rPr>
          <w:rFonts w:hint="eastAsia" w:ascii="宋体" w:hAnsi="宋体" w:cs="宋体"/>
          <w:color w:val="000000" w:themeColor="text1"/>
          <w:kern w:val="0"/>
          <w:szCs w:val="21"/>
          <w:lang w:val="zh-CN"/>
          <w14:textFill>
            <w14:solidFill>
              <w14:schemeClr w14:val="tx1"/>
            </w14:solidFill>
          </w14:textFill>
        </w:rPr>
        <w:t>保证金，其交纳的</w:t>
      </w:r>
      <w:r>
        <w:rPr>
          <w:rFonts w:hint="eastAsia" w:hAnsi="宋体"/>
          <w:bCs/>
          <w:color w:val="000000" w:themeColor="text1"/>
          <w14:textFill>
            <w14:solidFill>
              <w14:schemeClr w14:val="tx1"/>
            </w14:solidFill>
          </w14:textFill>
        </w:rPr>
        <w:t>谈判</w:t>
      </w:r>
      <w:r>
        <w:rPr>
          <w:rFonts w:hint="eastAsia" w:ascii="宋体" w:hAnsi="宋体" w:cs="宋体"/>
          <w:color w:val="000000" w:themeColor="text1"/>
          <w:kern w:val="0"/>
          <w:szCs w:val="21"/>
          <w:lang w:val="zh-CN"/>
          <w14:textFill>
            <w14:solidFill>
              <w14:schemeClr w14:val="tx1"/>
            </w14:solidFill>
          </w14:textFill>
        </w:rPr>
        <w:t>保证金，对联合体各方均具有约束力。</w:t>
      </w:r>
    </w:p>
    <w:p w14:paraId="7931FB1A">
      <w:pPr>
        <w:tabs>
          <w:tab w:val="left" w:pos="6300"/>
        </w:tabs>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12.3采购人、采购代理机构在成交通知书发出后5个工作日内退还未成交供应商的</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保证金；在采购合同签订后5个工作日内退还成交供应商的</w:t>
      </w:r>
      <w:r>
        <w:rPr>
          <w:rFonts w:hint="eastAsia" w:ascii="宋体" w:hAnsi="宋体" w:cs="Courier New"/>
          <w:bCs/>
          <w:color w:val="000000" w:themeColor="text1"/>
          <w:szCs w:val="21"/>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保证金，但因供应商自身原因导致无法及时退还的除外。</w:t>
      </w:r>
    </w:p>
    <w:p w14:paraId="1F335DA9">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12.4</w:t>
      </w:r>
      <w:r>
        <w:rPr>
          <w:rFonts w:hint="eastAsia" w:hAnsi="宋体"/>
          <w:bCs/>
          <w:color w:val="000000" w:themeColor="text1"/>
          <w14:textFill>
            <w14:solidFill>
              <w14:schemeClr w14:val="tx1"/>
            </w14:solidFill>
          </w14:textFill>
        </w:rPr>
        <w:t>谈判</w:t>
      </w:r>
      <w:r>
        <w:rPr>
          <w:rFonts w:hint="eastAsia" w:ascii="宋体" w:hAnsi="宋体"/>
          <w:color w:val="000000" w:themeColor="text1"/>
          <w:szCs w:val="21"/>
          <w14:textFill>
            <w14:solidFill>
              <w14:schemeClr w14:val="tx1"/>
            </w14:solidFill>
          </w14:textFill>
        </w:rPr>
        <w:t>保证金的退还按以下规定办理：</w:t>
      </w:r>
    </w:p>
    <w:p w14:paraId="7B774EAE">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（1）成交供应商的</w:t>
      </w:r>
      <w:r>
        <w:rPr>
          <w:rFonts w:hint="eastAsia" w:hAnsi="宋体"/>
          <w:bCs/>
          <w:color w:val="000000" w:themeColor="text1"/>
          <w14:textFill>
            <w14:solidFill>
              <w14:schemeClr w14:val="tx1"/>
            </w14:solidFill>
          </w14:textFill>
        </w:rPr>
        <w:t>谈判</w:t>
      </w:r>
      <w:r>
        <w:rPr>
          <w:rFonts w:hint="eastAsia" w:ascii="宋体" w:hAnsi="宋体"/>
          <w:color w:val="000000" w:themeColor="text1"/>
          <w:szCs w:val="21"/>
          <w14:textFill>
            <w14:solidFill>
              <w14:schemeClr w14:val="tx1"/>
            </w14:solidFill>
          </w14:textFill>
        </w:rPr>
        <w:t>保证金，在政府采购合同签订后5个工作日内退还。</w:t>
      </w:r>
    </w:p>
    <w:p w14:paraId="5F0E18F8">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（2）未成交供应商的</w:t>
      </w:r>
      <w:r>
        <w:rPr>
          <w:rFonts w:hint="eastAsia" w:hAnsi="宋体"/>
          <w:bCs/>
          <w:color w:val="000000" w:themeColor="text1"/>
          <w14:textFill>
            <w14:solidFill>
              <w14:schemeClr w14:val="tx1"/>
            </w14:solidFill>
          </w14:textFill>
        </w:rPr>
        <w:t>谈判</w:t>
      </w:r>
      <w:r>
        <w:rPr>
          <w:rFonts w:hint="eastAsia" w:ascii="宋体" w:hAnsi="宋体"/>
          <w:color w:val="000000" w:themeColor="text1"/>
          <w:szCs w:val="21"/>
          <w14:textFill>
            <w14:solidFill>
              <w14:schemeClr w14:val="tx1"/>
            </w14:solidFill>
          </w14:textFill>
        </w:rPr>
        <w:t>保证金，在成交通知书发出后5个工作日内退还。</w:t>
      </w:r>
    </w:p>
    <w:p w14:paraId="6FE8A7A3">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（3）终止竞争性谈判采购活动的，在发布项目终止公告后5个工作日内退还。</w:t>
      </w:r>
    </w:p>
    <w:p w14:paraId="596DDD39">
      <w:pPr>
        <w:adjustRightInd w:val="0"/>
        <w:snapToGrid w:val="0"/>
        <w:spacing w:line="360" w:lineRule="auto"/>
        <w:ind w:firstLine="420" w:firstLineChars="200"/>
        <w:rPr>
          <w:rFonts w:ascii="宋体" w:hAnsi="Courier New" w:cs="Courier New"/>
          <w:color w:val="000000" w:themeColor="text1"/>
          <w:kern w:val="0"/>
          <w:szCs w:val="21"/>
          <w14:textFill>
            <w14:solidFill>
              <w14:schemeClr w14:val="tx1"/>
            </w14:solidFill>
          </w14:textFill>
        </w:rPr>
      </w:pPr>
      <w:r>
        <w:rPr>
          <w:rFonts w:hint="eastAsia" w:ascii="宋体" w:hAnsi="Courier New" w:cs="Courier New"/>
          <w:color w:val="000000" w:themeColor="text1"/>
          <w:szCs w:val="21"/>
          <w14:textFill>
            <w14:solidFill>
              <w14:schemeClr w14:val="tx1"/>
            </w14:solidFill>
          </w14:textFill>
        </w:rPr>
        <w:t>12.5</w:t>
      </w:r>
      <w:r>
        <w:rPr>
          <w:rFonts w:hint="eastAsia" w:ascii="宋体" w:hAnsi="Courier New" w:cs="Courier New"/>
          <w:color w:val="000000" w:themeColor="text1"/>
          <w:kern w:val="0"/>
          <w:szCs w:val="21"/>
          <w14:textFill>
            <w14:solidFill>
              <w14:schemeClr w14:val="tx1"/>
            </w14:solidFill>
          </w14:textFill>
        </w:rPr>
        <w:t>有下列情形之一的，</w:t>
      </w:r>
      <w:r>
        <w:rPr>
          <w:rFonts w:hint="eastAsia" w:ascii="宋体" w:hAnsi="宋体" w:cs="Courier New"/>
          <w:bCs/>
          <w:color w:val="000000" w:themeColor="text1"/>
          <w:szCs w:val="21"/>
          <w14:textFill>
            <w14:solidFill>
              <w14:schemeClr w14:val="tx1"/>
            </w14:solidFill>
          </w14:textFill>
        </w:rPr>
        <w:t>谈判</w:t>
      </w:r>
      <w:r>
        <w:rPr>
          <w:rFonts w:hint="eastAsia" w:ascii="宋体" w:hAnsi="Courier New" w:cs="Courier New"/>
          <w:color w:val="000000" w:themeColor="text1"/>
          <w:kern w:val="0"/>
          <w:szCs w:val="21"/>
          <w14:textFill>
            <w14:solidFill>
              <w14:schemeClr w14:val="tx1"/>
            </w14:solidFill>
          </w14:textFill>
        </w:rPr>
        <w:t>保证金不予退还，并上缴本级财政国库：</w:t>
      </w:r>
    </w:p>
    <w:p w14:paraId="5B8CBEAB">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（1）供应商在提交响应文件截止时间后撤回响应文件的；</w:t>
      </w:r>
    </w:p>
    <w:p w14:paraId="1DDD318C">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（2）供应商在响应文件中提供虚假材料的；</w:t>
      </w:r>
    </w:p>
    <w:p w14:paraId="62CEC80C">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（3）除因不可抗力或谈判文件认可的情形以外，成交供应商不与采购人签订合同的；</w:t>
      </w:r>
    </w:p>
    <w:p w14:paraId="35BBF42E">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（4）供应商与采购人、其他供应商或者采购代理机构恶意串通的；</w:t>
      </w:r>
    </w:p>
    <w:p w14:paraId="1EBC6D68">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（5）谈判文件规定的其他情形。</w:t>
      </w:r>
    </w:p>
    <w:p w14:paraId="1A003AAC">
      <w:pPr>
        <w:spacing w:line="360" w:lineRule="auto"/>
        <w:outlineLvl w:val="3"/>
        <w:rPr>
          <w:rFonts w:ascii="黑体" w:hAnsi="黑体" w:eastAsia="黑体"/>
          <w:b/>
          <w:bCs/>
          <w:color w:val="000000" w:themeColor="text1"/>
          <w:sz w:val="24"/>
          <w14:textFill>
            <w14:solidFill>
              <w14:schemeClr w14:val="tx1"/>
            </w14:solidFill>
          </w14:textFill>
        </w:rPr>
      </w:pPr>
      <w:bookmarkStart w:id="58" w:name="_Toc107997977"/>
      <w:bookmarkStart w:id="59" w:name="_Toc107997850"/>
      <w:r>
        <w:rPr>
          <w:rFonts w:hint="eastAsia" w:ascii="黑体" w:hAnsi="黑体" w:eastAsia="黑体"/>
          <w:b/>
          <w:bCs/>
          <w:color w:val="000000" w:themeColor="text1"/>
          <w:sz w:val="24"/>
          <w14:textFill>
            <w14:solidFill>
              <w14:schemeClr w14:val="tx1"/>
            </w14:solidFill>
          </w14:textFill>
        </w:rPr>
        <w:t>13.响应文件有效期</w:t>
      </w:r>
      <w:bookmarkEnd w:id="58"/>
      <w:bookmarkEnd w:id="59"/>
    </w:p>
    <w:p w14:paraId="7F4F547C">
      <w:pPr>
        <w:adjustRightInd w:val="0"/>
        <w:snapToGrid w:val="0"/>
        <w:spacing w:line="360" w:lineRule="auto"/>
        <w:ind w:firstLine="420" w:firstLineChars="200"/>
        <w:jc w:val="left"/>
        <w:rPr>
          <w:rFonts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13.1响应文件</w:t>
      </w:r>
      <w:r>
        <w:rPr>
          <w:rFonts w:hint="eastAsia" w:ascii="宋体" w:hAnsi="宋体"/>
          <w:color w:val="000000" w:themeColor="text1"/>
          <w:szCs w:val="21"/>
          <w14:textFill>
            <w14:solidFill>
              <w14:schemeClr w14:val="tx1"/>
            </w14:solidFill>
          </w14:textFill>
        </w:rPr>
        <w:t>有效期见</w:t>
      </w:r>
      <w:r>
        <w:rPr>
          <w:rFonts w:hint="eastAsia" w:hAnsi="宋体"/>
          <w:b/>
          <w:bCs/>
          <w:color w:val="000000" w:themeColor="text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，在此期间</w:t>
      </w:r>
      <w:r>
        <w:rPr>
          <w:rFonts w:hint="eastAsia" w:ascii="宋体" w:hAnsi="宋体"/>
          <w:color w:val="000000" w:themeColor="text1"/>
          <w14:textFill>
            <w14:solidFill>
              <w14:schemeClr w14:val="tx1"/>
            </w14:solidFill>
          </w14:textFill>
        </w:rPr>
        <w:t>响应</w:t>
      </w:r>
      <w:r>
        <w:rPr>
          <w:rFonts w:hint="eastAsia" w:ascii="宋体" w:hAnsi="宋体"/>
          <w:color w:val="000000" w:themeColor="text1"/>
          <w:szCs w:val="21"/>
          <w14:textFill>
            <w14:solidFill>
              <w14:schemeClr w14:val="tx1"/>
            </w14:solidFill>
          </w14:textFill>
        </w:rPr>
        <w:t>文件对供应商具有法律约束力，</w:t>
      </w:r>
      <w:r>
        <w:rPr>
          <w:rFonts w:hint="eastAsia" w:ascii="宋体" w:hAnsi="宋体" w:cs="Arial"/>
          <w:color w:val="000000" w:themeColor="text1"/>
          <w14:textFill>
            <w14:solidFill>
              <w14:schemeClr w14:val="tx1"/>
            </w14:solidFill>
          </w14:textFill>
        </w:rPr>
        <w:t>从</w:t>
      </w:r>
      <w:r>
        <w:rPr>
          <w:rFonts w:hint="eastAsia" w:ascii="宋体" w:hAnsi="宋体" w:cs="宋体"/>
          <w:color w:val="000000" w:themeColor="text1"/>
          <w:kern w:val="0"/>
          <w:szCs w:val="21"/>
          <w14:textFill>
            <w14:solidFill>
              <w14:schemeClr w14:val="tx1"/>
            </w14:solidFill>
          </w14:textFill>
        </w:rPr>
        <w:t>提交首次响应文件截止时间</w:t>
      </w:r>
      <w:r>
        <w:rPr>
          <w:rFonts w:hint="eastAsia" w:hAnsi="宋体"/>
          <w:color w:val="000000" w:themeColor="text1"/>
          <w14:textFill>
            <w14:solidFill>
              <w14:schemeClr w14:val="tx1"/>
            </w14:solidFill>
          </w14:textFill>
        </w:rPr>
        <w:t>之日</w:t>
      </w:r>
      <w:r>
        <w:rPr>
          <w:rFonts w:hint="eastAsia" w:hAnsi="宋体" w:cs="Arial"/>
          <w:color w:val="000000" w:themeColor="text1"/>
          <w14:textFill>
            <w14:solidFill>
              <w14:schemeClr w14:val="tx1"/>
            </w14:solidFill>
          </w14:textFill>
        </w:rPr>
        <w:t>起计算。</w:t>
      </w:r>
      <w:r>
        <w:rPr>
          <w:rFonts w:hint="eastAsia" w:hAnsi="宋体"/>
          <w:color w:val="000000" w:themeColor="text1"/>
          <w14:textFill>
            <w14:solidFill>
              <w14:schemeClr w14:val="tx1"/>
            </w14:solidFill>
          </w14:textFill>
        </w:rPr>
        <w:t>响应文件有效期不足的</w:t>
      </w:r>
      <w:r>
        <w:rPr>
          <w:rFonts w:hint="eastAsia" w:hAnsi="宋体"/>
          <w:color w:val="000000" w:themeColor="text1"/>
          <w:lang w:eastAsia="zh-CN"/>
          <w14:textFill>
            <w14:solidFill>
              <w14:schemeClr w14:val="tx1"/>
            </w14:solidFill>
          </w14:textFill>
        </w:rPr>
        <w:t>，</w:t>
      </w:r>
      <w:r>
        <w:rPr>
          <w:rFonts w:hint="eastAsia" w:ascii="宋体" w:hAnsi="宋体"/>
          <w:color w:val="000000" w:themeColor="text1"/>
          <w14:textFill>
            <w14:solidFill>
              <w14:schemeClr w14:val="tx1"/>
            </w14:solidFill>
          </w14:textFill>
        </w:rPr>
        <w:t>其</w:t>
      </w:r>
      <w:r>
        <w:rPr>
          <w:rFonts w:hint="eastAsia" w:ascii="宋体" w:hAnsi="宋体"/>
          <w:b/>
          <w:bCs/>
          <w:color w:val="000000" w:themeColor="text1"/>
          <w14:textFill>
            <w14:solidFill>
              <w14:schemeClr w14:val="tx1"/>
            </w14:solidFill>
          </w14:textFill>
        </w:rPr>
        <w:t>响应无效</w:t>
      </w:r>
      <w:r>
        <w:rPr>
          <w:rFonts w:hint="eastAsia" w:hAnsi="宋体"/>
          <w:color w:val="000000" w:themeColor="text1"/>
          <w14:textFill>
            <w14:solidFill>
              <w14:schemeClr w14:val="tx1"/>
            </w14:solidFill>
          </w14:textFill>
        </w:rPr>
        <w:t>。</w:t>
      </w:r>
    </w:p>
    <w:p w14:paraId="08C55602">
      <w:pPr>
        <w:spacing w:line="360" w:lineRule="auto"/>
        <w:outlineLvl w:val="3"/>
        <w:rPr>
          <w:rFonts w:ascii="黑体" w:hAnsi="黑体" w:eastAsia="黑体"/>
          <w:b/>
          <w:bCs/>
          <w:color w:val="000000" w:themeColor="text1"/>
          <w:sz w:val="24"/>
          <w14:textFill>
            <w14:solidFill>
              <w14:schemeClr w14:val="tx1"/>
            </w14:solidFill>
          </w14:textFill>
        </w:rPr>
      </w:pPr>
      <w:bookmarkStart w:id="60" w:name="_Toc107997851"/>
      <w:bookmarkStart w:id="61" w:name="_Toc107997978"/>
      <w:r>
        <w:rPr>
          <w:rFonts w:hint="eastAsia" w:ascii="黑体" w:hAnsi="黑体" w:eastAsia="黑体"/>
          <w:b/>
          <w:bCs/>
          <w:color w:val="000000" w:themeColor="text1"/>
          <w:sz w:val="24"/>
          <w14:textFill>
            <w14:solidFill>
              <w14:schemeClr w14:val="tx1"/>
            </w14:solidFill>
          </w14:textFill>
        </w:rPr>
        <w:t>14.分包</w:t>
      </w:r>
      <w:bookmarkEnd w:id="60"/>
      <w:bookmarkEnd w:id="61"/>
    </w:p>
    <w:p w14:paraId="0DDCA698">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.1</w:t>
      </w:r>
      <w:r>
        <w:rPr>
          <w:rFonts w:hint="eastAsia" w:hAnsi="宋体"/>
          <w:b/>
          <w:bCs/>
          <w:color w:val="000000" w:themeColor="text1"/>
          <w14:textFill>
            <w14:solidFill>
              <w14:schemeClr w14:val="tx1"/>
            </w14:solidFill>
          </w14:textFill>
        </w:rPr>
        <w:t>【谈判须知前附表】</w:t>
      </w:r>
      <w:r>
        <w:rPr>
          <w:rFonts w:hint="eastAsia" w:ascii="宋体" w:hAnsi="宋体"/>
          <w:color w:val="000000" w:themeColor="text1"/>
          <w14:textFill>
            <w14:solidFill>
              <w14:schemeClr w14:val="tx1"/>
            </w14:solidFill>
          </w14:textFill>
        </w:rPr>
        <w:t>规定供应商分包的，供应商分包承诺不符合竞争性谈判文件中有关分包规定的，其</w:t>
      </w:r>
      <w:r>
        <w:rPr>
          <w:rFonts w:hint="eastAsia" w:ascii="宋体" w:hAnsi="宋体"/>
          <w:b/>
          <w:bCs/>
          <w:color w:val="000000" w:themeColor="text1"/>
          <w14:textFill>
            <w14:solidFill>
              <w14:schemeClr w14:val="tx1"/>
            </w14:solidFill>
          </w14:textFill>
        </w:rPr>
        <w:t>响应无效</w:t>
      </w:r>
      <w:r>
        <w:rPr>
          <w:rFonts w:hint="eastAsia" w:ascii="宋体" w:hAnsi="宋体"/>
          <w:color w:val="000000" w:themeColor="text1"/>
          <w14:textFill>
            <w14:solidFill>
              <w14:schemeClr w14:val="tx1"/>
            </w14:solidFill>
          </w14:textFill>
        </w:rPr>
        <w:t>。</w:t>
      </w:r>
    </w:p>
    <w:p w14:paraId="458EDF0C">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.2供应商应在签订政府采购合同前向采购人提供分包合同，否则，采购人有权拒绝签订采购合同。</w:t>
      </w:r>
    </w:p>
    <w:p w14:paraId="7E2D4F05">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.3享受中小企业扶持政策获得政府采购合同的，小微企业不得将合同分包给大中型企业，中型企业不得将合同分包给大型企业。</w:t>
      </w:r>
    </w:p>
    <w:p w14:paraId="56F2EC74">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.4分包供应商不得再次分包。</w:t>
      </w:r>
    </w:p>
    <w:p w14:paraId="6297CFF5">
      <w:pPr>
        <w:spacing w:line="360" w:lineRule="auto"/>
        <w:outlineLvl w:val="3"/>
        <w:rPr>
          <w:rFonts w:ascii="黑体" w:hAnsi="黑体" w:eastAsia="黑体"/>
          <w:b/>
          <w:bCs/>
          <w:color w:val="000000" w:themeColor="text1"/>
          <w:sz w:val="24"/>
          <w14:textFill>
            <w14:solidFill>
              <w14:schemeClr w14:val="tx1"/>
            </w14:solidFill>
          </w14:textFill>
        </w:rPr>
      </w:pPr>
      <w:bookmarkStart w:id="62" w:name="_Toc107997852"/>
      <w:bookmarkStart w:id="63" w:name="_Toc107997979"/>
      <w:r>
        <w:rPr>
          <w:rFonts w:hint="eastAsia" w:ascii="黑体" w:hAnsi="黑体" w:eastAsia="黑体"/>
          <w:b/>
          <w:bCs/>
          <w:color w:val="000000" w:themeColor="text1"/>
          <w:sz w:val="24"/>
          <w14:textFill>
            <w14:solidFill>
              <w14:schemeClr w14:val="tx1"/>
            </w14:solidFill>
          </w14:textFill>
        </w:rPr>
        <w:t>15.响应文件的签署及规定</w:t>
      </w:r>
      <w:bookmarkEnd w:id="62"/>
      <w:bookmarkEnd w:id="63"/>
    </w:p>
    <w:p w14:paraId="4726AC33">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15.1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授权委托书。</w:t>
      </w:r>
    </w:p>
    <w:p w14:paraId="6D3AD0BB">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15.2响应文件正本一份，副本份数见</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Courier New"/>
          <w:color w:val="000000" w:themeColor="text1"/>
          <w:szCs w:val="21"/>
          <w14:textFill>
            <w14:solidFill>
              <w14:schemeClr w14:val="tx1"/>
            </w14:solidFill>
          </w14:textFill>
        </w:rPr>
        <w:t>；响应文件电子文档（U盘形式）：一份</w:t>
      </w:r>
      <w:r>
        <w:rPr>
          <w:rFonts w:hint="eastAsia" w:ascii="宋体" w:hAnsi="宋体" w:cs="Courier New"/>
          <w:b/>
          <w:color w:val="000000" w:themeColor="text1"/>
          <w:szCs w:val="21"/>
          <w14:textFill>
            <w14:solidFill>
              <w14:schemeClr w14:val="tx1"/>
            </w14:solidFill>
          </w14:textFill>
        </w:rPr>
        <w:t>。</w:t>
      </w:r>
      <w:r>
        <w:rPr>
          <w:rFonts w:hint="eastAsia" w:ascii="宋体" w:hAnsi="宋体" w:cs="Courier New"/>
          <w:color w:val="000000" w:themeColor="text1"/>
          <w:szCs w:val="21"/>
          <w14:textFill>
            <w14:solidFill>
              <w14:schemeClr w14:val="tx1"/>
            </w14:solidFill>
          </w14:textFill>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14:paraId="2311A3FB">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15.3</w:t>
      </w:r>
      <w:r>
        <w:rPr>
          <w:rFonts w:hint="eastAsia" w:hAnsi="宋体"/>
          <w:color w:val="000000" w:themeColor="text1"/>
          <w14:textFill>
            <w14:solidFill>
              <w14:schemeClr w14:val="tx1"/>
            </w14:solidFill>
          </w14:textFill>
        </w:rPr>
        <w:t>响应文件任何加行、涂改、增删等改动，改动之处应由供应商代表签字。否则，将导致</w:t>
      </w:r>
      <w:r>
        <w:rPr>
          <w:rFonts w:hint="eastAsia" w:hAnsi="宋体"/>
          <w:b/>
          <w:color w:val="000000" w:themeColor="text1"/>
          <w14:textFill>
            <w14:solidFill>
              <w14:schemeClr w14:val="tx1"/>
            </w14:solidFill>
          </w14:textFill>
        </w:rPr>
        <w:t>响应文件无效。</w:t>
      </w:r>
    </w:p>
    <w:p w14:paraId="04EF7CA3">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15.4在谈判过程中，供应商按谈判文件规定和谈判小组要求</w:t>
      </w:r>
      <w:r>
        <w:rPr>
          <w:rFonts w:hint="eastAsia" w:ascii="宋体" w:hAnsi="宋体" w:cs="宋体"/>
          <w:color w:val="000000" w:themeColor="text1"/>
          <w:kern w:val="0"/>
          <w:szCs w:val="21"/>
          <w14:textFill>
            <w14:solidFill>
              <w14:schemeClr w14:val="tx1"/>
            </w14:solidFill>
          </w14:textFill>
        </w:rPr>
        <w:t>提交的</w:t>
      </w:r>
      <w:r>
        <w:rPr>
          <w:rFonts w:hint="eastAsia" w:ascii="宋体" w:hAnsi="宋体" w:cs="Courier New"/>
          <w:color w:val="000000" w:themeColor="text1"/>
          <w:szCs w:val="21"/>
          <w14:textFill>
            <w14:solidFill>
              <w14:schemeClr w14:val="tx1"/>
            </w14:solidFill>
          </w14:textFill>
        </w:rPr>
        <w:t>最后报价(或者</w:t>
      </w:r>
      <w:r>
        <w:rPr>
          <w:rFonts w:hint="eastAsia" w:ascii="宋体" w:hAnsi="宋体" w:cs="Courier New"/>
          <w:bCs/>
          <w:color w:val="000000" w:themeColor="text1"/>
          <w:szCs w:val="21"/>
          <w14:textFill>
            <w14:solidFill>
              <w14:schemeClr w14:val="tx1"/>
            </w14:solidFill>
          </w14:textFill>
        </w:rPr>
        <w:t>重</w:t>
      </w:r>
      <w:r>
        <w:rPr>
          <w:rFonts w:hint="eastAsia" w:ascii="宋体" w:hAnsi="宋体" w:cs="宋体"/>
          <w:color w:val="000000" w:themeColor="text1"/>
          <w:kern w:val="0"/>
          <w:szCs w:val="21"/>
          <w14:textFill>
            <w14:solidFill>
              <w14:schemeClr w14:val="tx1"/>
            </w14:solidFill>
          </w14:textFill>
        </w:rPr>
        <w:t>新提交的响应文件和</w:t>
      </w:r>
      <w:r>
        <w:rPr>
          <w:rFonts w:hint="eastAsia" w:ascii="宋体" w:hAnsi="宋体" w:cs="Courier New"/>
          <w:color w:val="000000" w:themeColor="text1"/>
          <w:szCs w:val="21"/>
          <w14:textFill>
            <w14:solidFill>
              <w14:schemeClr w14:val="tx1"/>
            </w14:solidFill>
          </w14:textFill>
        </w:rPr>
        <w:t>最后报价)，可打印或用不褪色材料书写，并经供应商代表签字，</w:t>
      </w:r>
      <w:r>
        <w:rPr>
          <w:rFonts w:hint="eastAsia" w:ascii="宋体" w:hAnsi="宋体" w:cs="宋体"/>
          <w:color w:val="000000" w:themeColor="text1"/>
          <w:kern w:val="0"/>
          <w:szCs w:val="21"/>
          <w14:textFill>
            <w14:solidFill>
              <w14:schemeClr w14:val="tx1"/>
            </w14:solidFill>
          </w14:textFill>
        </w:rPr>
        <w:t>或者加盖供应商单位公章</w:t>
      </w:r>
      <w:r>
        <w:rPr>
          <w:rFonts w:hint="eastAsia" w:ascii="宋体" w:hAnsi="宋体" w:cs="Courier New"/>
          <w:color w:val="000000" w:themeColor="text1"/>
          <w:szCs w:val="21"/>
          <w14:textFill>
            <w14:solidFill>
              <w14:schemeClr w14:val="tx1"/>
            </w14:solidFill>
          </w14:textFill>
        </w:rPr>
        <w:t>。否则，</w:t>
      </w:r>
      <w:r>
        <w:rPr>
          <w:rFonts w:hint="eastAsia" w:ascii="宋体" w:hAnsi="宋体" w:cs="Courier New"/>
          <w:b w:val="0"/>
          <w:bCs w:val="0"/>
          <w:color w:val="000000" w:themeColor="text1"/>
          <w:szCs w:val="21"/>
          <w14:textFill>
            <w14:solidFill>
              <w14:schemeClr w14:val="tx1"/>
            </w14:solidFill>
          </w14:textFill>
        </w:rPr>
        <w:t>将导致</w:t>
      </w:r>
      <w:r>
        <w:rPr>
          <w:rFonts w:hint="eastAsia" w:ascii="宋体" w:hAnsi="宋体" w:cs="Courier New"/>
          <w:b/>
          <w:bCs/>
          <w:color w:val="000000" w:themeColor="text1"/>
          <w:szCs w:val="21"/>
          <w14:textFill>
            <w14:solidFill>
              <w14:schemeClr w14:val="tx1"/>
            </w14:solidFill>
          </w14:textFill>
        </w:rPr>
        <w:t>响应文件无效。</w:t>
      </w:r>
    </w:p>
    <w:p w14:paraId="20F2CD8B">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15.5为便于采购文件保存，</w:t>
      </w:r>
      <w:r>
        <w:rPr>
          <w:rFonts w:hint="eastAsia" w:hAnsi="宋体"/>
          <w:color w:val="000000" w:themeColor="text1"/>
          <w14:textFill>
            <w14:solidFill>
              <w14:schemeClr w14:val="tx1"/>
            </w14:solidFill>
          </w14:textFill>
        </w:rPr>
        <w:t>响应文件</w:t>
      </w:r>
      <w:r>
        <w:rPr>
          <w:rFonts w:hint="eastAsia" w:ascii="宋体" w:hAnsi="宋体"/>
          <w:color w:val="000000" w:themeColor="text1"/>
          <w:szCs w:val="21"/>
          <w14:textFill>
            <w14:solidFill>
              <w14:schemeClr w14:val="tx1"/>
            </w14:solidFill>
          </w14:textFill>
        </w:rPr>
        <w:t>电子文档建议为PDF格式，内容与纸质</w:t>
      </w:r>
      <w:r>
        <w:rPr>
          <w:rFonts w:hint="eastAsia" w:hAnsi="宋体"/>
          <w:color w:val="000000" w:themeColor="text1"/>
          <w14:textFill>
            <w14:solidFill>
              <w14:schemeClr w14:val="tx1"/>
            </w14:solidFill>
          </w14:textFill>
        </w:rPr>
        <w:t>响应文件</w:t>
      </w:r>
      <w:r>
        <w:rPr>
          <w:rFonts w:hint="eastAsia" w:ascii="宋体" w:hAnsi="宋体"/>
          <w:color w:val="000000" w:themeColor="text1"/>
          <w:szCs w:val="21"/>
          <w14:textFill>
            <w14:solidFill>
              <w14:schemeClr w14:val="tx1"/>
            </w14:solidFill>
          </w14:textFill>
        </w:rPr>
        <w:t>正本一致。</w:t>
      </w:r>
    </w:p>
    <w:p w14:paraId="41EDABD8">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64" w:name="_Toc107997980"/>
      <w:bookmarkStart w:id="65" w:name="_Toc21748"/>
      <w:r>
        <w:rPr>
          <w:rFonts w:hint="eastAsia" w:ascii="黑体" w:hAnsi="黑体" w:eastAsia="黑体"/>
          <w:b/>
          <w:bCs/>
          <w:color w:val="000000" w:themeColor="text1"/>
          <w:sz w:val="28"/>
          <w:szCs w:val="28"/>
          <w14:textFill>
            <w14:solidFill>
              <w14:schemeClr w14:val="tx1"/>
            </w14:solidFill>
          </w14:textFill>
        </w:rPr>
        <w:t>四、响应文件的递交</w:t>
      </w:r>
      <w:bookmarkEnd w:id="64"/>
      <w:bookmarkEnd w:id="65"/>
    </w:p>
    <w:p w14:paraId="00B086CF">
      <w:pPr>
        <w:spacing w:line="360" w:lineRule="auto"/>
        <w:outlineLvl w:val="3"/>
        <w:rPr>
          <w:rFonts w:ascii="黑体" w:hAnsi="黑体" w:eastAsia="黑体"/>
          <w:b/>
          <w:bCs/>
          <w:color w:val="000000" w:themeColor="text1"/>
          <w:sz w:val="24"/>
          <w14:textFill>
            <w14:solidFill>
              <w14:schemeClr w14:val="tx1"/>
            </w14:solidFill>
          </w14:textFill>
        </w:rPr>
      </w:pPr>
      <w:bookmarkStart w:id="66" w:name="_Toc107997981"/>
      <w:bookmarkStart w:id="67" w:name="_Toc107997854"/>
      <w:r>
        <w:rPr>
          <w:rFonts w:hint="eastAsia" w:ascii="黑体" w:hAnsi="黑体" w:eastAsia="黑体"/>
          <w:b/>
          <w:bCs/>
          <w:color w:val="000000" w:themeColor="text1"/>
          <w:sz w:val="24"/>
          <w14:textFill>
            <w14:solidFill>
              <w14:schemeClr w14:val="tx1"/>
            </w14:solidFill>
          </w14:textFill>
        </w:rPr>
        <w:t>16.响应文件的密封和标记</w:t>
      </w:r>
      <w:bookmarkEnd w:id="66"/>
      <w:bookmarkEnd w:id="67"/>
    </w:p>
    <w:p w14:paraId="7956B6B5">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16.1响应文件应密封包装，以保证其响应文件信息在提交首次响应文件截止时间前不被透露。</w:t>
      </w:r>
    </w:p>
    <w:p w14:paraId="79288009">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16.2响应文件封套上应写明的内容见</w:t>
      </w:r>
      <w:r>
        <w:rPr>
          <w:rFonts w:hint="eastAsia" w:ascii="宋体" w:hAnsi="宋体"/>
          <w:b/>
          <w:color w:val="000000" w:themeColor="text1"/>
          <w:szCs w:val="21"/>
          <w14:textFill>
            <w14:solidFill>
              <w14:schemeClr w14:val="tx1"/>
            </w14:solidFill>
          </w14:textFill>
        </w:rPr>
        <w:t>【</w:t>
      </w:r>
      <w:r>
        <w:rPr>
          <w:rFonts w:hint="eastAsia" w:hAnsi="宋体"/>
          <w:b/>
          <w:color w:val="000000" w:themeColor="text1"/>
          <w14:textFill>
            <w14:solidFill>
              <w14:schemeClr w14:val="tx1"/>
            </w14:solidFill>
          </w14:textFill>
        </w:rPr>
        <w:t>谈判</w:t>
      </w:r>
      <w:r>
        <w:rPr>
          <w:rFonts w:hint="eastAsia" w:ascii="宋体" w:hAnsi="宋体"/>
          <w:b/>
          <w:color w:val="000000" w:themeColor="text1"/>
          <w:szCs w:val="21"/>
          <w14:textFill>
            <w14:solidFill>
              <w14:schemeClr w14:val="tx1"/>
            </w14:solidFill>
          </w14:textFill>
        </w:rPr>
        <w:t>须知前附表】。</w:t>
      </w:r>
    </w:p>
    <w:p w14:paraId="3E66ECF2">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16.3响应文件如果未按本章第</w:t>
      </w:r>
      <w:r>
        <w:rPr>
          <w:rFonts w:hint="eastAsia" w:ascii="宋体" w:hAnsi="宋体"/>
          <w:color w:val="000000" w:themeColor="text1"/>
          <w14:textFill>
            <w14:solidFill>
              <w14:schemeClr w14:val="tx1"/>
            </w14:solidFill>
          </w14:textFill>
        </w:rPr>
        <w:t>16.1款</w:t>
      </w:r>
      <w:r>
        <w:rPr>
          <w:rFonts w:hint="eastAsia" w:ascii="宋体" w:hAnsi="宋体"/>
          <w:color w:val="000000" w:themeColor="text1"/>
          <w:szCs w:val="21"/>
          <w14:textFill>
            <w14:solidFill>
              <w14:schemeClr w14:val="tx1"/>
            </w14:solidFill>
          </w14:textFill>
        </w:rPr>
        <w:t>规定密封，采购人、采购代理机构将拒绝接收。</w:t>
      </w:r>
    </w:p>
    <w:p w14:paraId="2E0F7FE4">
      <w:pPr>
        <w:spacing w:line="360" w:lineRule="auto"/>
        <w:outlineLvl w:val="3"/>
        <w:rPr>
          <w:rFonts w:ascii="黑体" w:hAnsi="黑体" w:eastAsia="黑体"/>
          <w:b/>
          <w:bCs/>
          <w:color w:val="000000" w:themeColor="text1"/>
          <w:sz w:val="24"/>
          <w14:textFill>
            <w14:solidFill>
              <w14:schemeClr w14:val="tx1"/>
            </w14:solidFill>
          </w14:textFill>
        </w:rPr>
      </w:pPr>
      <w:bookmarkStart w:id="68" w:name="_Toc107997855"/>
      <w:bookmarkStart w:id="69" w:name="_Toc107997982"/>
      <w:r>
        <w:rPr>
          <w:rFonts w:hint="eastAsia" w:ascii="黑体" w:hAnsi="黑体" w:eastAsia="黑体"/>
          <w:b/>
          <w:bCs/>
          <w:color w:val="000000" w:themeColor="text1"/>
          <w:sz w:val="24"/>
          <w14:textFill>
            <w14:solidFill>
              <w14:schemeClr w14:val="tx1"/>
            </w14:solidFill>
          </w14:textFill>
        </w:rPr>
        <w:t>17.响应文件的</w:t>
      </w:r>
      <w:r>
        <w:rPr>
          <w:rFonts w:hint="eastAsia" w:ascii="黑体" w:hAnsi="黑体" w:eastAsia="黑体" w:cs="宋体"/>
          <w:b/>
          <w:bCs/>
          <w:color w:val="000000" w:themeColor="text1"/>
          <w:kern w:val="0"/>
          <w:sz w:val="24"/>
          <w:lang w:val="zh-CN"/>
          <w14:textFill>
            <w14:solidFill>
              <w14:schemeClr w14:val="tx1"/>
            </w14:solidFill>
          </w14:textFill>
        </w:rPr>
        <w:t>补充、修改或者撤回</w:t>
      </w:r>
      <w:bookmarkEnd w:id="68"/>
      <w:bookmarkEnd w:id="69"/>
    </w:p>
    <w:p w14:paraId="441FF2E8">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17.1</w:t>
      </w:r>
      <w:r>
        <w:rPr>
          <w:rFonts w:hint="eastAsia" w:ascii="宋体" w:hAnsi="宋体" w:cs="宋体"/>
          <w:color w:val="000000" w:themeColor="text1"/>
          <w:kern w:val="0"/>
          <w:szCs w:val="21"/>
          <w14:textFill>
            <w14:solidFill>
              <w14:schemeClr w14:val="tx1"/>
            </w14:solidFill>
          </w14:textFill>
        </w:rPr>
        <w:t>供应商在提交首次响应文件截止时间前，可以对所提交的首次响应文件进行补充、修改或者撤回，并书面通知采购人、采购代理机构。</w:t>
      </w:r>
      <w:r>
        <w:rPr>
          <w:rFonts w:hint="eastAsia" w:ascii="宋体" w:hAnsi="宋体" w:cs="Courier New"/>
          <w:color w:val="000000" w:themeColor="text1"/>
          <w:szCs w:val="21"/>
          <w14:textFill>
            <w14:solidFill>
              <w14:schemeClr w14:val="tx1"/>
            </w14:solidFill>
          </w14:textFill>
        </w:rPr>
        <w:t>该通知应有供应商代表签字。</w:t>
      </w:r>
    </w:p>
    <w:p w14:paraId="2DEF4917">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17.2</w:t>
      </w:r>
      <w:r>
        <w:rPr>
          <w:rFonts w:hint="eastAsia" w:ascii="宋体" w:hAnsi="宋体" w:cs="宋体"/>
          <w:color w:val="000000" w:themeColor="text1"/>
          <w:kern w:val="0"/>
          <w:szCs w:val="21"/>
          <w:lang w:val="zh-CN"/>
          <w14:textFill>
            <w14:solidFill>
              <w14:schemeClr w14:val="tx1"/>
            </w14:solidFill>
          </w14:textFill>
        </w:rPr>
        <w:t>补充、修改的内容与响应文件不一致时，以补充、修改的内容为准。</w:t>
      </w:r>
    </w:p>
    <w:p w14:paraId="63E8F2E3">
      <w:pPr>
        <w:spacing w:line="360" w:lineRule="auto"/>
        <w:outlineLvl w:val="3"/>
        <w:rPr>
          <w:rFonts w:ascii="黑体" w:hAnsi="黑体" w:eastAsia="黑体"/>
          <w:b/>
          <w:bCs/>
          <w:color w:val="000000" w:themeColor="text1"/>
          <w:sz w:val="24"/>
          <w14:textFill>
            <w14:solidFill>
              <w14:schemeClr w14:val="tx1"/>
            </w14:solidFill>
          </w14:textFill>
        </w:rPr>
      </w:pPr>
      <w:bookmarkStart w:id="70" w:name="_Toc107997856"/>
      <w:bookmarkStart w:id="71" w:name="_Toc107997983"/>
      <w:r>
        <w:rPr>
          <w:rFonts w:hint="eastAsia" w:ascii="黑体" w:hAnsi="黑体" w:eastAsia="黑体"/>
          <w:b/>
          <w:bCs/>
          <w:color w:val="000000" w:themeColor="text1"/>
          <w:sz w:val="24"/>
          <w14:textFill>
            <w14:solidFill>
              <w14:schemeClr w14:val="tx1"/>
            </w14:solidFill>
          </w14:textFill>
        </w:rPr>
        <w:t>18.响应文件的递交与接收</w:t>
      </w:r>
      <w:bookmarkEnd w:id="70"/>
      <w:bookmarkEnd w:id="71"/>
    </w:p>
    <w:p w14:paraId="33BB26FA">
      <w:pPr>
        <w:adjustRightInd w:val="0"/>
        <w:snapToGrid w:val="0"/>
        <w:spacing w:line="360" w:lineRule="auto"/>
        <w:ind w:firstLine="420" w:firstLineChars="200"/>
        <w:rPr>
          <w:rFonts w:hAnsi="宋体" w:cs="宋体"/>
          <w:color w:val="000000" w:themeColor="text1"/>
          <w:kern w:val="0"/>
          <w14:textFill>
            <w14:solidFill>
              <w14:schemeClr w14:val="tx1"/>
            </w14:solidFill>
          </w14:textFill>
        </w:rPr>
      </w:pPr>
      <w:r>
        <w:rPr>
          <w:rFonts w:hint="eastAsia" w:ascii="宋体" w:hAnsi="宋体"/>
          <w:color w:val="000000" w:themeColor="text1"/>
          <w:szCs w:val="21"/>
          <w14:textFill>
            <w14:solidFill>
              <w14:schemeClr w14:val="tx1"/>
            </w14:solidFill>
          </w14:textFill>
        </w:rPr>
        <w:t>18.1供应商应在</w:t>
      </w:r>
      <w:r>
        <w:rPr>
          <w:rFonts w:hint="eastAsia" w:ascii="宋体" w:hAnsi="宋体"/>
          <w:b/>
          <w:color w:val="000000" w:themeColor="text1"/>
          <w:szCs w:val="21"/>
          <w14:textFill>
            <w14:solidFill>
              <w14:schemeClr w14:val="tx1"/>
            </w14:solidFill>
          </w14:textFill>
        </w:rPr>
        <w:t>【</w:t>
      </w:r>
      <w:r>
        <w:rPr>
          <w:rFonts w:hint="eastAsia" w:hAnsi="宋体"/>
          <w:b/>
          <w:color w:val="000000" w:themeColor="text1"/>
          <w14:textFill>
            <w14:solidFill>
              <w14:schemeClr w14:val="tx1"/>
            </w14:solidFill>
          </w14:textFill>
        </w:rPr>
        <w:t>谈判</w:t>
      </w:r>
      <w:r>
        <w:rPr>
          <w:rFonts w:hint="eastAsia" w:ascii="宋体" w:hAnsi="宋体"/>
          <w:b/>
          <w:color w:val="000000" w:themeColor="text1"/>
          <w:szCs w:val="21"/>
          <w14:textFill>
            <w14:solidFill>
              <w14:schemeClr w14:val="tx1"/>
            </w14:solidFill>
          </w14:textFill>
        </w:rPr>
        <w:t>须知前附表】</w:t>
      </w:r>
      <w:r>
        <w:rPr>
          <w:rFonts w:hint="eastAsia" w:hAnsi="宋体"/>
          <w:color w:val="000000" w:themeColor="text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时间和</w:t>
      </w:r>
      <w:r>
        <w:rPr>
          <w:rFonts w:hint="eastAsia" w:ascii="宋体" w:hAnsi="宋体"/>
          <w:color w:val="000000" w:themeColor="text1"/>
          <w:szCs w:val="21"/>
          <w14:textFill>
            <w14:solidFill>
              <w14:schemeClr w14:val="tx1"/>
            </w14:solidFill>
          </w14:textFill>
        </w:rPr>
        <w:t>地点提交响应文件。</w:t>
      </w:r>
      <w:r>
        <w:rPr>
          <w:rFonts w:hint="eastAsia" w:hAnsi="宋体" w:cs="宋体"/>
          <w:color w:val="000000" w:themeColor="text1"/>
          <w:kern w:val="0"/>
          <w14:textFill>
            <w14:solidFill>
              <w14:schemeClr w14:val="tx1"/>
            </w14:solidFill>
          </w14:textFill>
        </w:rPr>
        <w:t>采购人、采购代理机构或者谈判小组拒收逾期送达的响应文件。</w:t>
      </w:r>
    </w:p>
    <w:p w14:paraId="1FF416C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18.2采购人、采购代理机构收到响应文件后，应当如实记载响应文件的送达时间和密封情况，签收保存，并向供应商出具包括以下信息的签收回执。任何单位和个人不得在提交首次响应文件截止时间前开启响应文件。</w:t>
      </w:r>
    </w:p>
    <w:p w14:paraId="600D119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（1）项目名称、政府采购计划编号；</w:t>
      </w:r>
    </w:p>
    <w:p w14:paraId="72B9E86A">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（2）供应商名称；</w:t>
      </w:r>
    </w:p>
    <w:p w14:paraId="14B2FB4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（3）响应文件送达时间、地址；</w:t>
      </w:r>
    </w:p>
    <w:p w14:paraId="0DB9846B">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（4）响应文件密封情况；</w:t>
      </w:r>
    </w:p>
    <w:p w14:paraId="41794012">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（5）采购人、采购代理机构名称；</w:t>
      </w:r>
    </w:p>
    <w:p w14:paraId="04C04C5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（6）采购人、采购代理机构接收人签字。</w:t>
      </w:r>
    </w:p>
    <w:p w14:paraId="052D6A2B">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18.3采购人、</w:t>
      </w:r>
      <w:r>
        <w:rPr>
          <w:rFonts w:hint="eastAsia" w:ascii="宋体" w:hAnsi="宋体" w:cs="Courier New"/>
          <w:bCs/>
          <w:color w:val="000000" w:themeColor="text1"/>
          <w:szCs w:val="21"/>
          <w14:textFill>
            <w14:solidFill>
              <w14:schemeClr w14:val="tx1"/>
            </w14:solidFill>
          </w14:textFill>
        </w:rPr>
        <w:t>采购代理机构</w:t>
      </w:r>
      <w:r>
        <w:rPr>
          <w:rFonts w:hint="eastAsia" w:ascii="宋体" w:hAnsi="宋体" w:cs="Courier New"/>
          <w:color w:val="000000" w:themeColor="text1"/>
          <w:szCs w:val="21"/>
          <w14:textFill>
            <w14:solidFill>
              <w14:schemeClr w14:val="tx1"/>
            </w14:solidFill>
          </w14:textFill>
        </w:rPr>
        <w:t>在按本章第2</w:t>
      </w:r>
      <w:r>
        <w:rPr>
          <w:rFonts w:ascii="宋体" w:hAnsi="宋体" w:cs="Courier New"/>
          <w:color w:val="000000" w:themeColor="text1"/>
          <w:szCs w:val="21"/>
          <w14:textFill>
            <w14:solidFill>
              <w14:schemeClr w14:val="tx1"/>
            </w14:solidFill>
          </w14:textFill>
        </w:rPr>
        <w:t>4</w:t>
      </w:r>
      <w:r>
        <w:rPr>
          <w:rFonts w:hint="eastAsia" w:ascii="宋体" w:hAnsi="宋体" w:cs="Courier New"/>
          <w:color w:val="000000" w:themeColor="text1"/>
          <w:szCs w:val="21"/>
          <w14:textFill>
            <w14:solidFill>
              <w14:schemeClr w14:val="tx1"/>
            </w14:solidFill>
          </w14:textFill>
        </w:rPr>
        <w:t>.3款规定公布供应商的最后报价前，不公开供应商的技术资料、价格和其他信息。</w:t>
      </w:r>
    </w:p>
    <w:p w14:paraId="11BCF1AC">
      <w:pPr>
        <w:rPr>
          <w:rFonts w:hint="eastAsia" w:ascii="黑体" w:hAnsi="黑体" w:eastAsia="黑体"/>
          <w:b/>
          <w:bCs/>
          <w:color w:val="000000" w:themeColor="text1"/>
          <w:sz w:val="28"/>
          <w:szCs w:val="28"/>
          <w14:textFill>
            <w14:solidFill>
              <w14:schemeClr w14:val="tx1"/>
            </w14:solidFill>
          </w14:textFill>
        </w:rPr>
      </w:pPr>
      <w:bookmarkStart w:id="72" w:name="_Toc12753"/>
      <w:bookmarkStart w:id="73" w:name="_Toc107997984"/>
      <w:r>
        <w:rPr>
          <w:rFonts w:hint="eastAsia" w:ascii="黑体" w:hAnsi="黑体" w:eastAsia="黑体"/>
          <w:b/>
          <w:bCs/>
          <w:color w:val="000000" w:themeColor="text1"/>
          <w:sz w:val="28"/>
          <w:szCs w:val="28"/>
          <w14:textFill>
            <w14:solidFill>
              <w14:schemeClr w14:val="tx1"/>
            </w14:solidFill>
          </w14:textFill>
        </w:rPr>
        <w:br w:type="page"/>
      </w:r>
    </w:p>
    <w:p w14:paraId="7ADCBFA7">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r>
        <w:rPr>
          <w:rFonts w:hint="eastAsia" w:ascii="黑体" w:hAnsi="黑体" w:eastAsia="黑体"/>
          <w:b/>
          <w:bCs/>
          <w:color w:val="000000" w:themeColor="text1"/>
          <w:sz w:val="28"/>
          <w:szCs w:val="28"/>
          <w14:textFill>
            <w14:solidFill>
              <w14:schemeClr w14:val="tx1"/>
            </w14:solidFill>
          </w14:textFill>
        </w:rPr>
        <w:t>五、响应文件的评审与谈判</w:t>
      </w:r>
      <w:bookmarkEnd w:id="72"/>
      <w:bookmarkEnd w:id="73"/>
    </w:p>
    <w:p w14:paraId="2DF11CDA">
      <w:pPr>
        <w:spacing w:line="360" w:lineRule="auto"/>
        <w:outlineLvl w:val="3"/>
        <w:rPr>
          <w:rFonts w:ascii="黑体" w:hAnsi="黑体" w:eastAsia="黑体"/>
          <w:b/>
          <w:bCs/>
          <w:color w:val="000000" w:themeColor="text1"/>
          <w:sz w:val="24"/>
          <w14:textFill>
            <w14:solidFill>
              <w14:schemeClr w14:val="tx1"/>
            </w14:solidFill>
          </w14:textFill>
        </w:rPr>
      </w:pPr>
      <w:bookmarkStart w:id="74" w:name="_Toc107997858"/>
      <w:bookmarkStart w:id="75" w:name="_Toc107997985"/>
      <w:r>
        <w:rPr>
          <w:rFonts w:hint="eastAsia" w:ascii="黑体" w:hAnsi="黑体" w:eastAsia="黑体"/>
          <w:b/>
          <w:bCs/>
          <w:color w:val="000000" w:themeColor="text1"/>
          <w:sz w:val="24"/>
          <w14:textFill>
            <w14:solidFill>
              <w14:schemeClr w14:val="tx1"/>
            </w14:solidFill>
          </w14:textFill>
        </w:rPr>
        <w:t>19.供应商资格审查</w:t>
      </w:r>
      <w:bookmarkEnd w:id="74"/>
      <w:bookmarkEnd w:id="75"/>
    </w:p>
    <w:p w14:paraId="20707CF2">
      <w:pPr>
        <w:adjustRightInd w:val="0"/>
        <w:snapToGrid w:val="0"/>
        <w:spacing w:line="360" w:lineRule="auto"/>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kern w:val="0"/>
          <w:lang w:val="zh-CN"/>
          <w14:textFill>
            <w14:solidFill>
              <w14:schemeClr w14:val="tx1"/>
            </w14:solidFill>
          </w14:textFill>
        </w:rPr>
        <w:t>19.1</w:t>
      </w:r>
      <w:r>
        <w:rPr>
          <w:rFonts w:hint="eastAsia" w:ascii="宋体" w:hAnsi="宋体" w:eastAsia="宋体"/>
          <w:color w:val="000000" w:themeColor="text1"/>
          <w:szCs w:val="21"/>
          <w14:textFill>
            <w14:solidFill>
              <w14:schemeClr w14:val="tx1"/>
            </w14:solidFill>
          </w14:textFill>
        </w:rPr>
        <w:t>除本章第14.1</w:t>
      </w:r>
      <w:r>
        <w:rPr>
          <w:rFonts w:hint="eastAsia" w:ascii="宋体" w:hAnsi="宋体" w:eastAsia="宋体" w:cs="宋体"/>
          <w:color w:val="000000" w:themeColor="text1"/>
          <w:kern w:val="0"/>
          <w:szCs w:val="21"/>
          <w:lang w:val="zh-CN"/>
          <w14:textFill>
            <w14:solidFill>
              <w14:schemeClr w14:val="tx1"/>
            </w14:solidFill>
          </w14:textFill>
        </w:rPr>
        <w:t>款规定的</w:t>
      </w:r>
      <w:r>
        <w:rPr>
          <w:rFonts w:hint="eastAsia" w:ascii="宋体" w:hAnsi="宋体" w:eastAsia="宋体"/>
          <w:color w:val="000000" w:themeColor="text1"/>
          <w14:textFill>
            <w14:solidFill>
              <w14:schemeClr w14:val="tx1"/>
            </w14:solidFill>
          </w14:textFill>
        </w:rPr>
        <w:t>情形外，采购人、采购代理机构不再对供应商进行资格审查。</w:t>
      </w:r>
    </w:p>
    <w:p w14:paraId="1AD8CDDB">
      <w:pPr>
        <w:adjustRightInd w:val="0"/>
        <w:snapToGrid w:val="0"/>
        <w:spacing w:line="360" w:lineRule="auto"/>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19.2如果供应商不再具备本章第3.1款规定的供应商资格条件时，</w:t>
      </w:r>
      <w:r>
        <w:rPr>
          <w:rFonts w:hint="eastAsia" w:ascii="宋体" w:hAnsi="宋体" w:eastAsia="宋体"/>
          <w:b/>
          <w:color w:val="000000" w:themeColor="text1"/>
          <w14:textFill>
            <w14:solidFill>
              <w14:schemeClr w14:val="tx1"/>
            </w14:solidFill>
          </w14:textFill>
        </w:rPr>
        <w:t>响应文件无效</w:t>
      </w:r>
      <w:r>
        <w:rPr>
          <w:rFonts w:hint="eastAsia" w:ascii="宋体" w:hAnsi="宋体" w:eastAsia="宋体"/>
          <w:color w:val="000000" w:themeColor="text1"/>
          <w14:textFill>
            <w14:solidFill>
              <w14:schemeClr w14:val="tx1"/>
            </w14:solidFill>
          </w14:textFill>
        </w:rPr>
        <w:t>。</w:t>
      </w:r>
    </w:p>
    <w:p w14:paraId="32375029">
      <w:pPr>
        <w:spacing w:line="360" w:lineRule="auto"/>
        <w:outlineLvl w:val="3"/>
        <w:rPr>
          <w:rFonts w:ascii="黑体" w:hAnsi="黑体" w:eastAsia="黑体"/>
          <w:b/>
          <w:bCs/>
          <w:color w:val="000000" w:themeColor="text1"/>
          <w:sz w:val="24"/>
          <w14:textFill>
            <w14:solidFill>
              <w14:schemeClr w14:val="tx1"/>
            </w14:solidFill>
          </w14:textFill>
        </w:rPr>
      </w:pPr>
      <w:bookmarkStart w:id="76" w:name="_Toc107997860"/>
      <w:bookmarkStart w:id="77" w:name="_Toc107997987"/>
      <w:r>
        <w:rPr>
          <w:rFonts w:hint="eastAsia" w:ascii="黑体" w:hAnsi="黑体" w:eastAsia="黑体"/>
          <w:b/>
          <w:bCs/>
          <w:color w:val="000000" w:themeColor="text1"/>
          <w:sz w:val="24"/>
          <w14:textFill>
            <w14:solidFill>
              <w14:schemeClr w14:val="tx1"/>
            </w14:solidFill>
          </w14:textFill>
        </w:rPr>
        <w:t>20.谈判小组</w:t>
      </w:r>
      <w:bookmarkEnd w:id="76"/>
      <w:bookmarkEnd w:id="77"/>
    </w:p>
    <w:p w14:paraId="2DE46416">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20.1谈判小组由采购人代表和评审专家组成。</w:t>
      </w:r>
    </w:p>
    <w:p w14:paraId="1FB9CA1E">
      <w:pPr>
        <w:adjustRightInd w:val="0"/>
        <w:snapToGrid w:val="0"/>
        <w:spacing w:line="360" w:lineRule="auto"/>
        <w:ind w:firstLine="420"/>
        <w:jc w:val="left"/>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20.2谈判小组</w:t>
      </w:r>
      <w:r>
        <w:rPr>
          <w:rFonts w:ascii="宋体" w:hAnsi="宋体"/>
          <w:color w:val="000000" w:themeColor="text1"/>
          <w:szCs w:val="21"/>
          <w14:textFill>
            <w14:solidFill>
              <w14:schemeClr w14:val="tx1"/>
            </w14:solidFill>
          </w14:textFill>
        </w:rPr>
        <w:t>成员有下列情形之一的，应当回避：</w:t>
      </w:r>
    </w:p>
    <w:p w14:paraId="7359E59D">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（1）参加采购活动前 3 年内与供应商存在劳动关系</w:t>
      </w:r>
      <w:r>
        <w:rPr>
          <w:rFonts w:hint="eastAsia" w:ascii="宋体" w:hAnsi="宋体"/>
          <w:color w:val="000000" w:themeColor="text1"/>
          <w:szCs w:val="21"/>
          <w14:textFill>
            <w14:solidFill>
              <w14:schemeClr w14:val="tx1"/>
            </w14:solidFill>
          </w14:textFill>
        </w:rPr>
        <w:t>；</w:t>
      </w:r>
    </w:p>
    <w:p w14:paraId="2366A4BA">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（2）参加采购活动前 3 年内担任供应商的董事、监事；</w:t>
      </w:r>
    </w:p>
    <w:p w14:paraId="25684DAD">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（3）参加采购活动前 3 年内是供应商的控股股东或者实际控制人；</w:t>
      </w:r>
    </w:p>
    <w:p w14:paraId="5ED5D651">
      <w:pPr>
        <w:adjustRightInd w:val="0"/>
        <w:snapToGrid w:val="0"/>
        <w:spacing w:line="360" w:lineRule="auto"/>
        <w:ind w:firstLine="420"/>
        <w:jc w:val="left"/>
        <w:rPr>
          <w:rFonts w:hint="eastAsia" w:ascii="宋体" w:hAnsi="宋体" w:eastAsia="宋体"/>
          <w:color w:val="000000" w:themeColor="text1"/>
          <w:szCs w:val="21"/>
          <w:lang w:eastAsia="zh-CN"/>
          <w14:textFill>
            <w14:solidFill>
              <w14:schemeClr w14:val="tx1"/>
            </w14:solidFill>
          </w14:textFill>
        </w:rPr>
      </w:pPr>
      <w:r>
        <w:rPr>
          <w:rFonts w:ascii="宋体" w:hAnsi="宋体"/>
          <w:color w:val="000000" w:themeColor="text1"/>
          <w:szCs w:val="21"/>
          <w14:textFill>
            <w14:solidFill>
              <w14:schemeClr w14:val="tx1"/>
            </w14:solidFill>
          </w14:textFill>
        </w:rPr>
        <w:t>（4）与供应商的法定代表人或者负责人有夫妻、直系血亲、三代以内旁系血</w:t>
      </w:r>
    </w:p>
    <w:p w14:paraId="5ED8520B">
      <w:pPr>
        <w:adjustRightInd w:val="0"/>
        <w:snapToGrid w:val="0"/>
        <w:spacing w:line="360" w:lineRule="auto"/>
        <w:ind w:firstLine="420"/>
        <w:jc w:val="lef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亲或者近姻亲关系；</w:t>
      </w:r>
    </w:p>
    <w:p w14:paraId="2F5E742A">
      <w:pPr>
        <w:adjustRightInd w:val="0"/>
        <w:snapToGrid w:val="0"/>
        <w:spacing w:line="360" w:lineRule="auto"/>
        <w:ind w:firstLine="42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（5）与供应商有其他可能影响政府采购活动公平、公正进行的关系。</w:t>
      </w:r>
    </w:p>
    <w:p w14:paraId="36A8FBAB">
      <w:pPr>
        <w:adjustRightInd w:val="0"/>
        <w:snapToGrid w:val="0"/>
        <w:spacing w:line="360" w:lineRule="auto"/>
        <w:ind w:firstLine="420"/>
        <w:jc w:val="left"/>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3谈判小组成员应当按照客观、公正、审慎的原则，根据谈判文件规定的评审程序、评审方法和评审标准进行独立评审。</w:t>
      </w:r>
    </w:p>
    <w:p w14:paraId="66C22A73">
      <w:pPr>
        <w:spacing w:line="360" w:lineRule="auto"/>
        <w:outlineLvl w:val="3"/>
        <w:rPr>
          <w:rFonts w:ascii="黑体" w:hAnsi="黑体" w:eastAsia="黑体"/>
          <w:b/>
          <w:bCs/>
          <w:color w:val="000000" w:themeColor="text1"/>
          <w:sz w:val="24"/>
          <w14:textFill>
            <w14:solidFill>
              <w14:schemeClr w14:val="tx1"/>
            </w14:solidFill>
          </w14:textFill>
        </w:rPr>
      </w:pPr>
      <w:bookmarkStart w:id="78" w:name="_Toc107997861"/>
      <w:bookmarkStart w:id="79" w:name="_Toc107997988"/>
      <w:r>
        <w:rPr>
          <w:rFonts w:hint="eastAsia" w:ascii="黑体" w:hAnsi="黑体" w:eastAsia="黑体"/>
          <w:b/>
          <w:bCs/>
          <w:color w:val="000000" w:themeColor="text1"/>
          <w:sz w:val="24"/>
          <w14:textFill>
            <w14:solidFill>
              <w14:schemeClr w14:val="tx1"/>
            </w14:solidFill>
          </w14:textFill>
        </w:rPr>
        <w:t>21.谈判程序</w:t>
      </w:r>
      <w:bookmarkEnd w:id="78"/>
      <w:bookmarkEnd w:id="79"/>
    </w:p>
    <w:p w14:paraId="2B83E1BB">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21.1</w:t>
      </w:r>
      <w:r>
        <w:rPr>
          <w:rFonts w:hint="eastAsia" w:ascii="宋体" w:hAnsi="宋体"/>
          <w:bCs/>
          <w:color w:val="000000" w:themeColor="text1"/>
          <w:szCs w:val="21"/>
          <w14:textFill>
            <w14:solidFill>
              <w14:schemeClr w14:val="tx1"/>
            </w14:solidFill>
          </w14:textFill>
        </w:rPr>
        <w:t>谈判程序：谈判（响应文件审查、澄清）、最后报价、提出成交供应商。其中，谈判按本章第23条进行。</w:t>
      </w:r>
    </w:p>
    <w:p w14:paraId="6D549997">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21.2谈判小组应当对响应文件进行评审，并根据谈判文件规定的程序、评定成交的标准等事项与实质性响应谈判文件要求的供应商进行谈判。</w:t>
      </w:r>
    </w:p>
    <w:p w14:paraId="6B8E5BA1">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21.3在谈判过程中谈判的任何一方不得向他人透露与谈判有关的技术资料、价格或其他信息。</w:t>
      </w:r>
    </w:p>
    <w:p w14:paraId="4B9C05A9">
      <w:pPr>
        <w:spacing w:line="360" w:lineRule="auto"/>
        <w:outlineLvl w:val="3"/>
        <w:rPr>
          <w:rFonts w:ascii="黑体" w:hAnsi="黑体" w:eastAsia="黑体"/>
          <w:b/>
          <w:bCs/>
          <w:color w:val="000000" w:themeColor="text1"/>
          <w:sz w:val="24"/>
          <w14:textFill>
            <w14:solidFill>
              <w14:schemeClr w14:val="tx1"/>
            </w14:solidFill>
          </w14:textFill>
        </w:rPr>
      </w:pPr>
      <w:bookmarkStart w:id="80" w:name="_Toc107997989"/>
      <w:bookmarkStart w:id="81" w:name="_Toc107997862"/>
      <w:r>
        <w:rPr>
          <w:rFonts w:hint="eastAsia" w:ascii="黑体" w:hAnsi="黑体" w:eastAsia="黑体"/>
          <w:b/>
          <w:bCs/>
          <w:color w:val="000000" w:themeColor="text1"/>
          <w:sz w:val="24"/>
          <w14:textFill>
            <w14:solidFill>
              <w14:schemeClr w14:val="tx1"/>
            </w14:solidFill>
          </w14:textFill>
        </w:rPr>
        <w:t>22.响应文件审查</w:t>
      </w:r>
      <w:bookmarkEnd w:id="80"/>
      <w:bookmarkEnd w:id="81"/>
    </w:p>
    <w:p w14:paraId="63EF1979">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22.1谈判小组对响应文件(包括首次提交的响应文件、重新提交的响应文件)的有效性、完整性和对谈判文件的响应程度进行审查。</w:t>
      </w:r>
    </w:p>
    <w:p w14:paraId="03C9850A">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22.2响应文件有下列情况之一，响应文件按无效处理，谈判小组应当告知有关供应商。</w:t>
      </w:r>
    </w:p>
    <w:p w14:paraId="1D346227">
      <w:pPr>
        <w:adjustRightInd w:val="0"/>
        <w:snapToGrid w:val="0"/>
        <w:spacing w:line="360" w:lineRule="auto"/>
        <w:ind w:firstLine="420" w:firstLineChars="200"/>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应交未交保证金或</w:t>
      </w:r>
      <w:r>
        <w:rPr>
          <w:rFonts w:hint="eastAsia"/>
          <w:color w:val="000000" w:themeColor="text1"/>
          <w:szCs w:val="21"/>
          <w14:textFill>
            <w14:solidFill>
              <w14:schemeClr w14:val="tx1"/>
            </w14:solidFill>
          </w14:textFill>
        </w:rPr>
        <w:t>金额不足、保证金形式不符合谈判文件要求的</w:t>
      </w:r>
      <w:r>
        <w:rPr>
          <w:rFonts w:hint="eastAsia" w:ascii="宋体" w:hAnsi="宋体"/>
          <w:color w:val="000000" w:themeColor="text1"/>
          <w:szCs w:val="21"/>
          <w14:textFill>
            <w14:solidFill>
              <w14:schemeClr w14:val="tx1"/>
            </w14:solidFill>
          </w14:textFill>
        </w:rPr>
        <w:t>；</w:t>
      </w:r>
    </w:p>
    <w:p w14:paraId="6B619C8B">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未按照谈判文件规定要求签署、盖章的；</w:t>
      </w:r>
    </w:p>
    <w:p w14:paraId="51ACF587">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（3）不满足谈判文件规定的实质性要求和条件的；</w:t>
      </w:r>
    </w:p>
    <w:p w14:paraId="72F9C223">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（4）法律、法规和谈判文件规定的其他响应无效情形。</w:t>
      </w:r>
    </w:p>
    <w:p w14:paraId="49522A73">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22.3响应文件按无效处理的，谈判小组应拒绝其参与谈判，但属于谈判文件规定的实质性变动内容的除外。</w:t>
      </w:r>
    </w:p>
    <w:p w14:paraId="225E122F">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22.4谈判文件规定的实质性要求和条件见【</w:t>
      </w:r>
      <w:r>
        <w:rPr>
          <w:rFonts w:hint="eastAsia" w:ascii="宋体" w:hAnsi="宋体" w:cs="宋体"/>
          <w:b/>
          <w:color w:val="000000" w:themeColor="text1"/>
          <w:kern w:val="0"/>
          <w:szCs w:val="21"/>
          <w14:textFill>
            <w14:solidFill>
              <w14:schemeClr w14:val="tx1"/>
            </w14:solidFill>
          </w14:textFill>
        </w:rPr>
        <w:t>谈判须知前附表</w:t>
      </w:r>
      <w:r>
        <w:rPr>
          <w:rFonts w:hint="eastAsia" w:ascii="宋体" w:hAnsi="宋体" w:cs="宋体"/>
          <w:color w:val="000000" w:themeColor="text1"/>
          <w:kern w:val="0"/>
          <w:szCs w:val="21"/>
          <w14:textFill>
            <w14:solidFill>
              <w14:schemeClr w14:val="tx1"/>
            </w14:solidFill>
          </w14:textFill>
        </w:rPr>
        <w:t>】。</w:t>
      </w:r>
    </w:p>
    <w:p w14:paraId="2EFE9A38">
      <w:pPr>
        <w:spacing w:line="360" w:lineRule="auto"/>
        <w:outlineLvl w:val="3"/>
        <w:rPr>
          <w:rFonts w:ascii="黑体" w:hAnsi="黑体" w:eastAsia="黑体"/>
          <w:b/>
          <w:bCs/>
          <w:color w:val="000000" w:themeColor="text1"/>
          <w:sz w:val="24"/>
          <w14:textFill>
            <w14:solidFill>
              <w14:schemeClr w14:val="tx1"/>
            </w14:solidFill>
          </w14:textFill>
        </w:rPr>
      </w:pPr>
      <w:bookmarkStart w:id="82" w:name="_Toc107997990"/>
      <w:bookmarkStart w:id="83" w:name="_Toc107997863"/>
      <w:r>
        <w:rPr>
          <w:rFonts w:hint="eastAsia" w:ascii="黑体" w:hAnsi="黑体" w:eastAsia="黑体"/>
          <w:b/>
          <w:bCs/>
          <w:color w:val="000000" w:themeColor="text1"/>
          <w:sz w:val="24"/>
          <w14:textFill>
            <w14:solidFill>
              <w14:schemeClr w14:val="tx1"/>
            </w14:solidFill>
          </w14:textFill>
        </w:rPr>
        <w:t>23.澄清</w:t>
      </w:r>
      <w:bookmarkEnd w:id="82"/>
      <w:bookmarkEnd w:id="83"/>
    </w:p>
    <w:p w14:paraId="4E8298DF">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23.1谈判小组在对响应文件(包括</w:t>
      </w:r>
      <w:r>
        <w:rPr>
          <w:rFonts w:hint="eastAsia" w:hAnsi="宋体" w:cs="宋体"/>
          <w:color w:val="000000" w:themeColor="text1"/>
          <w:kern w:val="0"/>
          <w14:textFill>
            <w14:solidFill>
              <w14:schemeClr w14:val="tx1"/>
            </w14:solidFill>
          </w14:textFill>
        </w:rPr>
        <w:t>首次提交的</w:t>
      </w:r>
      <w:r>
        <w:rPr>
          <w:rFonts w:hint="eastAsia" w:ascii="宋体" w:hAnsi="宋体" w:cs="宋体"/>
          <w:color w:val="000000" w:themeColor="text1"/>
          <w:kern w:val="0"/>
          <w:szCs w:val="21"/>
          <w14:textFill>
            <w14:solidFill>
              <w14:schemeClr w14:val="tx1"/>
            </w14:solidFill>
          </w14:textFill>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14:paraId="3F550609">
      <w:pPr>
        <w:spacing w:line="360" w:lineRule="auto"/>
        <w:outlineLvl w:val="3"/>
        <w:rPr>
          <w:rFonts w:ascii="黑体" w:hAnsi="黑体" w:eastAsia="黑体"/>
          <w:b/>
          <w:bCs/>
          <w:color w:val="000000" w:themeColor="text1"/>
          <w:sz w:val="24"/>
          <w14:textFill>
            <w14:solidFill>
              <w14:schemeClr w14:val="tx1"/>
            </w14:solidFill>
          </w14:textFill>
        </w:rPr>
      </w:pPr>
      <w:bookmarkStart w:id="84" w:name="_Toc107997991"/>
      <w:bookmarkStart w:id="85" w:name="_Toc107997864"/>
      <w:r>
        <w:rPr>
          <w:rFonts w:hint="eastAsia" w:ascii="黑体" w:hAnsi="黑体" w:eastAsia="黑体"/>
          <w:b/>
          <w:bCs/>
          <w:color w:val="000000" w:themeColor="text1"/>
          <w:sz w:val="24"/>
          <w14:textFill>
            <w14:solidFill>
              <w14:schemeClr w14:val="tx1"/>
            </w14:solidFill>
          </w14:textFill>
        </w:rPr>
        <w:t>24.谈判的规定</w:t>
      </w:r>
      <w:bookmarkEnd w:id="84"/>
      <w:bookmarkEnd w:id="85"/>
    </w:p>
    <w:p w14:paraId="652DDA76">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24.1</w:t>
      </w:r>
      <w:r>
        <w:rPr>
          <w:rFonts w:hint="eastAsia" w:ascii="宋体" w:hAnsi="宋体" w:cs="宋体"/>
          <w:color w:val="000000" w:themeColor="text1"/>
          <w:kern w:val="0"/>
          <w:szCs w:val="21"/>
          <w14:textFill>
            <w14:solidFill>
              <w14:schemeClr w14:val="tx1"/>
            </w14:solidFill>
          </w14:textFill>
        </w:rPr>
        <w:t>在谈判过程中，谈判小组所有成员集中与单一供应商分别进行谈判，并给予所有参加谈判的供应商平等的谈判机会。供应商应派其代表参加谈判。</w:t>
      </w:r>
    </w:p>
    <w:p w14:paraId="3C77837D">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24.2</w:t>
      </w:r>
      <w:r>
        <w:rPr>
          <w:rFonts w:hint="eastAsia" w:ascii="宋体" w:hAnsi="宋体" w:cs="宋体"/>
          <w:color w:val="000000" w:themeColor="text1"/>
          <w:kern w:val="0"/>
          <w:szCs w:val="21"/>
          <w14:textFill>
            <w14:solidFill>
              <w14:schemeClr w14:val="tx1"/>
            </w14:solidFill>
          </w14:textFill>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14:paraId="5C3C5C73">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14:paraId="36EBBB02">
      <w:pPr>
        <w:spacing w:line="360" w:lineRule="auto"/>
        <w:outlineLvl w:val="3"/>
        <w:rPr>
          <w:rFonts w:ascii="黑体" w:hAnsi="黑体" w:eastAsia="黑体" w:cs="宋体"/>
          <w:b/>
          <w:bCs/>
          <w:color w:val="000000" w:themeColor="text1"/>
          <w:kern w:val="0"/>
          <w:sz w:val="24"/>
          <w14:textFill>
            <w14:solidFill>
              <w14:schemeClr w14:val="tx1"/>
            </w14:solidFill>
          </w14:textFill>
        </w:rPr>
      </w:pPr>
      <w:bookmarkStart w:id="86" w:name="_Toc107997992"/>
      <w:bookmarkStart w:id="87" w:name="_Toc107997865"/>
      <w:r>
        <w:rPr>
          <w:rFonts w:hint="eastAsia" w:ascii="黑体" w:hAnsi="黑体" w:eastAsia="黑体"/>
          <w:b/>
          <w:bCs/>
          <w:color w:val="000000" w:themeColor="text1"/>
          <w:sz w:val="24"/>
          <w14:textFill>
            <w14:solidFill>
              <w14:schemeClr w14:val="tx1"/>
            </w14:solidFill>
          </w14:textFill>
        </w:rPr>
        <w:t>25.退出谈判</w:t>
      </w:r>
      <w:bookmarkEnd w:id="86"/>
      <w:bookmarkEnd w:id="87"/>
    </w:p>
    <w:p w14:paraId="2BDAE29F">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25.1供应商在提交最后报价之前，可以根据谈判情况退出谈判，</w:t>
      </w:r>
      <w:r>
        <w:rPr>
          <w:rFonts w:hint="eastAsia" w:ascii="宋体" w:hAnsi="宋体" w:cs="宋体"/>
          <w:color w:val="000000" w:themeColor="text1"/>
          <w:kern w:val="0"/>
          <w14:textFill>
            <w14:solidFill>
              <w14:schemeClr w14:val="tx1"/>
            </w14:solidFill>
          </w14:textFill>
        </w:rPr>
        <w:t>并书面通知采购人、采购代理机构或者谈判小组。</w:t>
      </w:r>
      <w:r>
        <w:rPr>
          <w:rFonts w:hint="eastAsia" w:ascii="宋体" w:hAnsi="宋体"/>
          <w:color w:val="000000" w:themeColor="text1"/>
          <w14:textFill>
            <w14:solidFill>
              <w14:schemeClr w14:val="tx1"/>
            </w14:solidFill>
          </w14:textFill>
        </w:rPr>
        <w:t>该通知由供应商代表签字。采购人、</w:t>
      </w:r>
      <w:r>
        <w:rPr>
          <w:rFonts w:hint="eastAsia" w:ascii="宋体" w:hAnsi="宋体" w:cs="宋体"/>
          <w:color w:val="000000" w:themeColor="text1"/>
          <w:kern w:val="0"/>
          <w:szCs w:val="21"/>
          <w14:textFill>
            <w14:solidFill>
              <w14:schemeClr w14:val="tx1"/>
            </w14:solidFill>
          </w14:textFill>
        </w:rPr>
        <w:t>采购代理机构</w:t>
      </w:r>
      <w:r>
        <w:rPr>
          <w:rFonts w:hint="eastAsia" w:ascii="宋体" w:hAnsi="宋体" w:cs="宋体"/>
          <w:color w:val="000000" w:themeColor="text1"/>
          <w:kern w:val="0"/>
          <w14:textFill>
            <w14:solidFill>
              <w14:schemeClr w14:val="tx1"/>
            </w14:solidFill>
          </w14:textFill>
        </w:rPr>
        <w:t>按</w:t>
      </w:r>
      <w:r>
        <w:rPr>
          <w:rFonts w:hint="eastAsia" w:ascii="宋体" w:hAnsi="宋体" w:cs="宋体"/>
          <w:color w:val="000000" w:themeColor="text1"/>
          <w:kern w:val="0"/>
          <w:szCs w:val="21"/>
          <w14:textFill>
            <w14:solidFill>
              <w14:schemeClr w14:val="tx1"/>
            </w14:solidFill>
          </w14:textFill>
        </w:rPr>
        <w:t>本章第</w:t>
      </w:r>
      <w:r>
        <w:rPr>
          <w:rFonts w:hint="eastAsia" w:ascii="宋体" w:hAnsi="宋体"/>
          <w:color w:val="000000" w:themeColor="text1"/>
          <w14:textFill>
            <w14:solidFill>
              <w14:schemeClr w14:val="tx1"/>
            </w14:solidFill>
          </w14:textFill>
        </w:rPr>
        <w:t>12.4</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olor w:val="000000" w:themeColor="text1"/>
          <w14:textFill>
            <w14:solidFill>
              <w14:schemeClr w14:val="tx1"/>
            </w14:solidFill>
          </w14:textFill>
        </w:rPr>
        <w:t>规定</w:t>
      </w:r>
      <w:r>
        <w:rPr>
          <w:rFonts w:hint="eastAsia" w:ascii="宋体" w:hAnsi="宋体" w:cs="宋体"/>
          <w:color w:val="000000" w:themeColor="text1"/>
          <w:kern w:val="0"/>
          <w:szCs w:val="21"/>
          <w14:textFill>
            <w14:solidFill>
              <w14:schemeClr w14:val="tx1"/>
            </w14:solidFill>
          </w14:textFill>
        </w:rPr>
        <w:t>退还退出谈判的供应商的保证金。</w:t>
      </w:r>
    </w:p>
    <w:p w14:paraId="75E9B9AD">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25.2供应商参与谈判，但未提交最后报价又未按前款规定退出谈判的，保证金不予退还。</w:t>
      </w:r>
    </w:p>
    <w:p w14:paraId="57D7D94B">
      <w:pPr>
        <w:spacing w:line="360" w:lineRule="auto"/>
        <w:outlineLvl w:val="3"/>
        <w:rPr>
          <w:rFonts w:ascii="黑体" w:hAnsi="黑体" w:eastAsia="黑体"/>
          <w:b/>
          <w:bCs/>
          <w:color w:val="000000" w:themeColor="text1"/>
          <w:sz w:val="24"/>
          <w14:textFill>
            <w14:solidFill>
              <w14:schemeClr w14:val="tx1"/>
            </w14:solidFill>
          </w14:textFill>
        </w:rPr>
      </w:pPr>
      <w:bookmarkStart w:id="88" w:name="_Toc107997993"/>
      <w:bookmarkStart w:id="89" w:name="_Toc107997866"/>
      <w:r>
        <w:rPr>
          <w:rFonts w:hint="eastAsia" w:ascii="黑体" w:hAnsi="黑体" w:eastAsia="黑体"/>
          <w:b/>
          <w:bCs/>
          <w:color w:val="000000" w:themeColor="text1"/>
          <w:sz w:val="24"/>
          <w14:textFill>
            <w14:solidFill>
              <w14:schemeClr w14:val="tx1"/>
            </w14:solidFill>
          </w14:textFill>
        </w:rPr>
        <w:t>26.最后报价</w:t>
      </w:r>
      <w:bookmarkEnd w:id="88"/>
      <w:bookmarkEnd w:id="89"/>
    </w:p>
    <w:p w14:paraId="50F98002">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26.1谈判结束后，谈判小组按本章第22.2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14:paraId="7B35B955">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（1）谈判文件能够详细列明采购需求的技术、服务要求的，谈判结束后，谈判小组应当要求所有供应商在规定时间内提交最后报价。</w:t>
      </w:r>
    </w:p>
    <w:p w14:paraId="2690D971">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14:paraId="1E26C25B">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26.2下列情形，谈判小组确认符合谈判文件规定的实质性要求和条件的供应商不少于3家，可以不与供应商谈判，直接要求符合谈判文件规定的实质性要求和条件的供应商提交最后报价。</w:t>
      </w:r>
    </w:p>
    <w:p w14:paraId="233CAD00">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（1）谈判文件未明确可能实质性变动的；</w:t>
      </w:r>
    </w:p>
    <w:p w14:paraId="0D4E72FD">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（2）谈判文件明确可能实质性变动，但谈判小组对供应商提交的首次响应文件的有效性、完整性和响应程度进行审查后，认为谈判文件不需发生实质性变动、不需要谈判的。</w:t>
      </w:r>
    </w:p>
    <w:p w14:paraId="3FA88EAD">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26.3谈判小组应召集所有提交最后报价的供应商，逐一</w:t>
      </w:r>
      <w:r>
        <w:rPr>
          <w:rFonts w:hint="eastAsia" w:ascii="宋体" w:hAnsi="宋体"/>
          <w:bCs/>
          <w:color w:val="000000" w:themeColor="text1"/>
          <w:szCs w:val="21"/>
          <w14:textFill>
            <w14:solidFill>
              <w14:schemeClr w14:val="tx1"/>
            </w14:solidFill>
          </w14:textFill>
        </w:rPr>
        <w:t>公布</w:t>
      </w:r>
      <w:r>
        <w:rPr>
          <w:rFonts w:hint="eastAsia" w:ascii="宋体" w:hAnsi="宋体" w:cs="宋体"/>
          <w:color w:val="000000" w:themeColor="text1"/>
          <w:kern w:val="0"/>
          <w:szCs w:val="21"/>
          <w:lang w:val="zh-CN"/>
          <w14:textFill>
            <w14:solidFill>
              <w14:schemeClr w14:val="tx1"/>
            </w14:solidFill>
          </w14:textFill>
        </w:rPr>
        <w:t>供应商的</w:t>
      </w:r>
      <w:r>
        <w:rPr>
          <w:rFonts w:hint="eastAsia" w:ascii="宋体" w:hAnsi="宋体"/>
          <w:bCs/>
          <w:color w:val="000000" w:themeColor="text1"/>
          <w:szCs w:val="21"/>
          <w14:textFill>
            <w14:solidFill>
              <w14:schemeClr w14:val="tx1"/>
            </w14:solidFill>
          </w14:textFill>
        </w:rPr>
        <w:t>最</w:t>
      </w:r>
      <w:r>
        <w:rPr>
          <w:rFonts w:hint="eastAsia" w:ascii="宋体" w:hAnsi="宋体" w:cs="宋体"/>
          <w:color w:val="000000" w:themeColor="text1"/>
          <w:kern w:val="0"/>
          <w:szCs w:val="21"/>
          <w:lang w:val="zh-CN"/>
          <w14:textFill>
            <w14:solidFill>
              <w14:schemeClr w14:val="tx1"/>
            </w14:solidFill>
          </w14:textFill>
        </w:rPr>
        <w:t>后</w:t>
      </w:r>
      <w:r>
        <w:rPr>
          <w:rFonts w:hint="eastAsia" w:ascii="宋体" w:hAnsi="宋体"/>
          <w:bCs/>
          <w:color w:val="000000" w:themeColor="text1"/>
          <w:szCs w:val="21"/>
          <w14:textFill>
            <w14:solidFill>
              <w14:schemeClr w14:val="tx1"/>
            </w14:solidFill>
          </w14:textFill>
        </w:rPr>
        <w:t>报价</w:t>
      </w:r>
      <w:r>
        <w:rPr>
          <w:rFonts w:hint="eastAsia" w:ascii="宋体" w:hAnsi="宋体" w:cs="宋体"/>
          <w:color w:val="000000" w:themeColor="text1"/>
          <w:kern w:val="0"/>
          <w:szCs w:val="21"/>
          <w14:textFill>
            <w14:solidFill>
              <w14:schemeClr w14:val="tx1"/>
            </w14:solidFill>
          </w14:textFill>
        </w:rPr>
        <w:t>，由采购人、采购代理机构负责记录，并由供应商代表签字确认后随采购文件一并存档。</w:t>
      </w:r>
    </w:p>
    <w:p w14:paraId="056277D2">
      <w:pPr>
        <w:spacing w:line="360" w:lineRule="auto"/>
        <w:outlineLvl w:val="3"/>
        <w:rPr>
          <w:rFonts w:ascii="黑体" w:hAnsi="黑体" w:eastAsia="黑体" w:cs="宋体"/>
          <w:b/>
          <w:bCs/>
          <w:color w:val="000000" w:themeColor="text1"/>
          <w:kern w:val="0"/>
          <w:sz w:val="24"/>
          <w14:textFill>
            <w14:solidFill>
              <w14:schemeClr w14:val="tx1"/>
            </w14:solidFill>
          </w14:textFill>
        </w:rPr>
      </w:pPr>
      <w:bookmarkStart w:id="90" w:name="_Toc107997994"/>
      <w:bookmarkStart w:id="91" w:name="_Toc107997867"/>
      <w:r>
        <w:rPr>
          <w:rFonts w:hint="eastAsia" w:ascii="黑体" w:hAnsi="黑体" w:eastAsia="黑体"/>
          <w:b/>
          <w:bCs/>
          <w:color w:val="000000" w:themeColor="text1"/>
          <w:sz w:val="24"/>
          <w14:textFill>
            <w14:solidFill>
              <w14:schemeClr w14:val="tx1"/>
            </w14:solidFill>
          </w14:textFill>
        </w:rPr>
        <w:t>27.异常报价</w:t>
      </w:r>
      <w:bookmarkEnd w:id="90"/>
      <w:bookmarkEnd w:id="91"/>
    </w:p>
    <w:p w14:paraId="1051AEE5">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27．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14:paraId="345943E6">
      <w:pPr>
        <w:spacing w:line="360" w:lineRule="auto"/>
        <w:outlineLvl w:val="3"/>
        <w:rPr>
          <w:rFonts w:ascii="黑体" w:hAnsi="黑体" w:eastAsia="黑体"/>
          <w:b/>
          <w:bCs/>
          <w:color w:val="000000" w:themeColor="text1"/>
          <w:sz w:val="24"/>
          <w14:textFill>
            <w14:solidFill>
              <w14:schemeClr w14:val="tx1"/>
            </w14:solidFill>
          </w14:textFill>
        </w:rPr>
      </w:pPr>
      <w:bookmarkStart w:id="92" w:name="_Toc107997995"/>
      <w:bookmarkStart w:id="93" w:name="_Toc107997868"/>
      <w:r>
        <w:rPr>
          <w:rFonts w:hint="eastAsia" w:ascii="黑体" w:hAnsi="黑体" w:eastAsia="黑体" w:cs="宋体"/>
          <w:b/>
          <w:bCs/>
          <w:color w:val="000000" w:themeColor="text1"/>
          <w:kern w:val="0"/>
          <w:sz w:val="24"/>
          <w14:textFill>
            <w14:solidFill>
              <w14:schemeClr w14:val="tx1"/>
            </w14:solidFill>
          </w14:textFill>
        </w:rPr>
        <w:t>28.</w:t>
      </w:r>
      <w:r>
        <w:rPr>
          <w:rFonts w:hint="eastAsia" w:ascii="黑体" w:hAnsi="黑体" w:eastAsia="黑体"/>
          <w:b/>
          <w:bCs/>
          <w:color w:val="000000" w:themeColor="text1"/>
          <w:sz w:val="24"/>
          <w14:textFill>
            <w14:solidFill>
              <w14:schemeClr w14:val="tx1"/>
            </w14:solidFill>
          </w14:textFill>
        </w:rPr>
        <w:t>提出成交供应商</w:t>
      </w:r>
      <w:bookmarkEnd w:id="92"/>
      <w:bookmarkEnd w:id="93"/>
    </w:p>
    <w:p w14:paraId="68DE36FC">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28.1谈判小组应当从质量和服务均能满足采购文件实质性响应要求的供应商中，按照最后报价由低到高的顺序提出3名以上成交候选人，并编写评审报告。</w:t>
      </w:r>
    </w:p>
    <w:p w14:paraId="2D8AE02A">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28.2供应商最后报价涉及算术修正、需落实政府采购政策的，按上款规定由低到高的顺序排序。</w:t>
      </w:r>
      <w:r>
        <w:rPr>
          <w:rFonts w:hint="eastAsia"/>
          <w:color w:val="000000" w:themeColor="text1"/>
          <w:szCs w:val="21"/>
          <w14:textFill>
            <w14:solidFill>
              <w14:schemeClr w14:val="tx1"/>
            </w14:solidFill>
          </w14:textFill>
        </w:rPr>
        <w:t>最后报价排序</w:t>
      </w:r>
      <w:r>
        <w:rPr>
          <w:color w:val="000000" w:themeColor="text1"/>
          <w:szCs w:val="21"/>
          <w14:textFill>
            <w14:solidFill>
              <w14:schemeClr w14:val="tx1"/>
            </w14:solidFill>
          </w14:textFill>
        </w:rPr>
        <w:t>相同的</w:t>
      </w:r>
      <w:r>
        <w:rPr>
          <w:rFonts w:hint="eastAsia"/>
          <w:color w:val="000000" w:themeColor="text1"/>
          <w:szCs w:val="21"/>
          <w14:textFill>
            <w14:solidFill>
              <w14:schemeClr w14:val="tx1"/>
            </w14:solidFill>
          </w14:textFill>
        </w:rPr>
        <w:t>并列</w:t>
      </w:r>
      <w:r>
        <w:rPr>
          <w:rFonts w:hint="eastAsia" w:ascii="宋体" w:hAnsi="宋体"/>
          <w:bCs/>
          <w:color w:val="000000" w:themeColor="text1"/>
          <w:szCs w:val="21"/>
          <w14:textFill>
            <w14:solidFill>
              <w14:schemeClr w14:val="tx1"/>
            </w14:solidFill>
          </w14:textFill>
        </w:rPr>
        <w:t>。</w:t>
      </w:r>
    </w:p>
    <w:p w14:paraId="6B04A46E">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28.3</w:t>
      </w:r>
      <w:r>
        <w:rPr>
          <w:rFonts w:hint="eastAsia" w:ascii="宋体" w:hAnsi="宋体" w:cs="宋体"/>
          <w:color w:val="000000" w:themeColor="text1"/>
          <w:kern w:val="0"/>
          <w:szCs w:val="21"/>
          <w14:textFill>
            <w14:solidFill>
              <w14:schemeClr w14:val="tx1"/>
            </w14:solidFill>
          </w14:textFill>
        </w:rPr>
        <w:t>最后报价有算术错误的，除</w:t>
      </w:r>
      <w:r>
        <w:rPr>
          <w:rFonts w:hint="eastAsia" w:ascii="宋体" w:hAnsi="宋体"/>
          <w:b/>
          <w:color w:val="000000" w:themeColor="text1"/>
          <w:szCs w:val="21"/>
          <w14:textFill>
            <w14:solidFill>
              <w14:schemeClr w14:val="tx1"/>
            </w14:solidFill>
          </w14:textFill>
        </w:rPr>
        <w:t>【谈判须知前附表】</w:t>
      </w:r>
      <w:r>
        <w:rPr>
          <w:rFonts w:hint="eastAsia" w:ascii="宋体" w:hAnsi="宋体" w:cs="宋体"/>
          <w:color w:val="000000" w:themeColor="text1"/>
          <w:kern w:val="0"/>
          <w:szCs w:val="21"/>
          <w14:textFill>
            <w14:solidFill>
              <w14:schemeClr w14:val="tx1"/>
            </w14:solidFill>
          </w14:textFill>
        </w:rPr>
        <w:t>另有规定外，谈判小组按以下原则对报价进行修正，修正的价格经供应商书面确认，并由供应商代表签字或者加盖单位公章确认后产生约束力，供应商不接受修正价格的，其报价作无效报价处理。</w:t>
      </w:r>
    </w:p>
    <w:p w14:paraId="58B31B89">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（1）大写金额与小写金额不一致的，以大写金额为准。</w:t>
      </w:r>
    </w:p>
    <w:p w14:paraId="4A0F9AE4">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（2）总价金额与按单价汇总金额不一致的，以单价金额计算结果为准。</w:t>
      </w:r>
    </w:p>
    <w:p w14:paraId="0317D760">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修正后的报价由供应商代表签字或者加盖单位公章确认后产生约束力，不确认的，其报价无效。</w:t>
      </w:r>
    </w:p>
    <w:p w14:paraId="3C8B8DA0">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28.4最后报价的评审</w:t>
      </w:r>
    </w:p>
    <w:p w14:paraId="4797BA01">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（1）如果有算术错误，最后报价将按上款规定进行算术修正。</w:t>
      </w:r>
    </w:p>
    <w:p w14:paraId="074583E5">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（2）需落实政府采购政策（优先采购、价格评审优惠）的，按本章本节第40、41条等相关规定进行价格扣除。</w:t>
      </w:r>
    </w:p>
    <w:p w14:paraId="3A19DFD6">
      <w:pPr>
        <w:spacing w:line="360" w:lineRule="auto"/>
        <w:outlineLvl w:val="3"/>
        <w:rPr>
          <w:rFonts w:ascii="黑体" w:hAnsi="黑体" w:eastAsia="黑体"/>
          <w:b/>
          <w:bCs/>
          <w:color w:val="000000" w:themeColor="text1"/>
          <w:sz w:val="24"/>
          <w14:textFill>
            <w14:solidFill>
              <w14:schemeClr w14:val="tx1"/>
            </w14:solidFill>
          </w14:textFill>
        </w:rPr>
      </w:pPr>
      <w:bookmarkStart w:id="94" w:name="_Toc107997996"/>
      <w:bookmarkStart w:id="95" w:name="_Toc107997869"/>
      <w:r>
        <w:rPr>
          <w:rFonts w:hint="eastAsia" w:ascii="黑体" w:hAnsi="黑体" w:eastAsia="黑体"/>
          <w:b/>
          <w:bCs/>
          <w:color w:val="000000" w:themeColor="text1"/>
          <w:sz w:val="24"/>
          <w14:textFill>
            <w14:solidFill>
              <w14:schemeClr w14:val="tx1"/>
            </w14:solidFill>
          </w14:textFill>
        </w:rPr>
        <w:t>29.确定成交供应商</w:t>
      </w:r>
      <w:bookmarkEnd w:id="94"/>
      <w:bookmarkEnd w:id="95"/>
    </w:p>
    <w:p w14:paraId="4BF84FE7">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29.1采购代理机构应当在评审结束后2个工作日内将评审报告送采购人确认。</w:t>
      </w:r>
    </w:p>
    <w:p w14:paraId="1C85062D">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14:paraId="4B73F1FF">
      <w:pPr>
        <w:adjustRightInd w:val="0"/>
        <w:snapToGrid w:val="0"/>
        <w:spacing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29.3成交候选人并列的，由采购人自行确定成交供应商。</w:t>
      </w:r>
    </w:p>
    <w:p w14:paraId="27E0DE5E">
      <w:pPr>
        <w:spacing w:line="360" w:lineRule="auto"/>
        <w:outlineLvl w:val="3"/>
        <w:rPr>
          <w:rFonts w:ascii="黑体" w:hAnsi="黑体" w:eastAsia="黑体"/>
          <w:b/>
          <w:bCs/>
          <w:color w:val="000000" w:themeColor="text1"/>
          <w:sz w:val="24"/>
          <w14:textFill>
            <w14:solidFill>
              <w14:schemeClr w14:val="tx1"/>
            </w14:solidFill>
          </w14:textFill>
        </w:rPr>
      </w:pPr>
      <w:bookmarkStart w:id="96" w:name="_Toc107997997"/>
      <w:bookmarkStart w:id="97" w:name="_Toc107997870"/>
      <w:r>
        <w:rPr>
          <w:rFonts w:hint="eastAsia" w:ascii="黑体" w:hAnsi="黑体" w:eastAsia="黑体"/>
          <w:b/>
          <w:bCs/>
          <w:color w:val="000000" w:themeColor="text1"/>
          <w:sz w:val="24"/>
          <w14:textFill>
            <w14:solidFill>
              <w14:schemeClr w14:val="tx1"/>
            </w14:solidFill>
          </w14:textFill>
        </w:rPr>
        <w:t>30.谈判的特殊情形</w:t>
      </w:r>
      <w:bookmarkEnd w:id="96"/>
      <w:bookmarkEnd w:id="97"/>
    </w:p>
    <w:p w14:paraId="3D10B576">
      <w:pPr>
        <w:adjustRightInd w:val="0"/>
        <w:snapToGrid w:val="0"/>
        <w:spacing w:line="360" w:lineRule="auto"/>
        <w:ind w:firstLine="420" w:firstLineChars="200"/>
        <w:rPr>
          <w:rFonts w:ascii="宋体" w:hAnsi="宋体"/>
          <w:color w:val="000000" w:themeColor="text1"/>
          <w:kern w:val="0"/>
          <w:lang w:val="zh-CN"/>
          <w14:textFill>
            <w14:solidFill>
              <w14:schemeClr w14:val="tx1"/>
            </w14:solidFill>
          </w14:textFill>
        </w:rPr>
      </w:pPr>
      <w:r>
        <w:rPr>
          <w:rFonts w:hint="eastAsia" w:ascii="宋体" w:hAnsi="宋体"/>
          <w:color w:val="000000" w:themeColor="text1"/>
          <w:kern w:val="0"/>
          <w:lang w:val="zh-CN"/>
          <w14:textFill>
            <w14:solidFill>
              <w14:schemeClr w14:val="tx1"/>
            </w14:solidFill>
          </w14:textFill>
        </w:rPr>
        <w:t>30.1对于经公开招标的货物、服务采购项目，招标过程中提交投标文件或者经评审实质性响应招标文件要求的供应商只有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14:paraId="2A5FB8AE">
      <w:pPr>
        <w:adjustRightInd w:val="0"/>
        <w:snapToGrid w:val="0"/>
        <w:spacing w:line="360" w:lineRule="auto"/>
        <w:ind w:firstLine="420" w:firstLineChars="200"/>
        <w:rPr>
          <w:rFonts w:ascii="宋体" w:hAnsi="宋体"/>
          <w:color w:val="000000" w:themeColor="text1"/>
          <w:kern w:val="0"/>
          <w:lang w:val="zh-CN"/>
          <w14:textFill>
            <w14:solidFill>
              <w14:schemeClr w14:val="tx1"/>
            </w14:solidFill>
          </w14:textFill>
        </w:rPr>
      </w:pPr>
      <w:r>
        <w:rPr>
          <w:rFonts w:hint="eastAsia" w:ascii="宋体" w:hAnsi="宋体"/>
          <w:color w:val="000000" w:themeColor="text1"/>
          <w:kern w:val="0"/>
          <w:lang w:val="zh-CN"/>
          <w14:textFill>
            <w14:solidFill>
              <w14:schemeClr w14:val="tx1"/>
            </w14:solidFill>
          </w14:textFill>
        </w:rPr>
        <w:t>30.2</w:t>
      </w:r>
      <w:r>
        <w:rPr>
          <w:rFonts w:hint="eastAsia" w:ascii="宋体" w:hAnsi="宋体" w:cs="宋体"/>
          <w:color w:val="000000" w:themeColor="text1"/>
          <w:kern w:val="0"/>
          <w:szCs w:val="21"/>
          <w14:textFill>
            <w14:solidFill>
              <w14:schemeClr w14:val="tx1"/>
            </w14:solidFill>
          </w14:textFill>
        </w:rPr>
        <w:t>符合上款情形的，本章本节相关条款规定的供应商最低数量可以为两家。</w:t>
      </w:r>
    </w:p>
    <w:p w14:paraId="059D2174">
      <w:pPr>
        <w:spacing w:line="360" w:lineRule="auto"/>
        <w:outlineLvl w:val="3"/>
        <w:rPr>
          <w:rFonts w:ascii="黑体" w:hAnsi="黑体" w:eastAsia="黑体"/>
          <w:b/>
          <w:bCs/>
          <w:color w:val="000000" w:themeColor="text1"/>
          <w:sz w:val="24"/>
          <w14:textFill>
            <w14:solidFill>
              <w14:schemeClr w14:val="tx1"/>
            </w14:solidFill>
          </w14:textFill>
        </w:rPr>
      </w:pPr>
      <w:bookmarkStart w:id="98" w:name="_Toc107997998"/>
      <w:bookmarkStart w:id="99" w:name="_Toc107997871"/>
      <w:r>
        <w:rPr>
          <w:rFonts w:hint="eastAsia" w:ascii="黑体" w:hAnsi="黑体" w:eastAsia="黑体"/>
          <w:b/>
          <w:bCs/>
          <w:color w:val="000000" w:themeColor="text1"/>
          <w:sz w:val="24"/>
          <w14:textFill>
            <w14:solidFill>
              <w14:schemeClr w14:val="tx1"/>
            </w14:solidFill>
          </w14:textFill>
        </w:rPr>
        <w:t>31.谈判终止</w:t>
      </w:r>
      <w:bookmarkEnd w:id="98"/>
      <w:bookmarkEnd w:id="99"/>
    </w:p>
    <w:p w14:paraId="787B6E70">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31.1</w:t>
      </w:r>
      <w:r>
        <w:rPr>
          <w:rFonts w:hint="eastAsia" w:ascii="宋体" w:hAnsi="宋体" w:cs="宋体"/>
          <w:color w:val="000000" w:themeColor="text1"/>
          <w:kern w:val="0"/>
          <w:szCs w:val="21"/>
          <w14:textFill>
            <w14:solidFill>
              <w14:schemeClr w14:val="tx1"/>
            </w14:solidFill>
          </w14:textFill>
        </w:rPr>
        <w:t>出现下列情形之一的，采购人、采购代理机构应当终止竞争性谈判采购活动，</w:t>
      </w:r>
      <w:r>
        <w:rPr>
          <w:rFonts w:hint="eastAsia" w:hAnsi="宋体"/>
          <w:color w:val="000000" w:themeColor="text1"/>
          <w14:textFill>
            <w14:solidFill>
              <w14:schemeClr w14:val="tx1"/>
            </w14:solidFill>
          </w14:textFill>
        </w:rPr>
        <w:t>在指定的媒体上</w:t>
      </w:r>
      <w:r>
        <w:rPr>
          <w:rFonts w:hint="eastAsia" w:ascii="宋体" w:hAnsi="宋体" w:cs="宋体"/>
          <w:color w:val="000000" w:themeColor="text1"/>
          <w:kern w:val="0"/>
          <w:szCs w:val="21"/>
          <w14:textFill>
            <w14:solidFill>
              <w14:schemeClr w14:val="tx1"/>
            </w14:solidFill>
          </w14:textFill>
        </w:rPr>
        <w:t xml:space="preserve">发布项目终止公告并说明原因，重新开展采购活动： </w:t>
      </w:r>
    </w:p>
    <w:p w14:paraId="1425954C">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（1）因情况变化，不再符合规定的竞争性谈判采购方式适用情形的；</w:t>
      </w:r>
    </w:p>
    <w:p w14:paraId="7A4AC293">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（2）出现影响采购公正的违法、违规行为的；</w:t>
      </w:r>
    </w:p>
    <w:p w14:paraId="1EBD1F02">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（3）在采购过程中符合竞争要求的供应商或者报价未超过采购预算的供应商不足3家的，或者提交最后报价的供应商少于3家的；</w:t>
      </w:r>
    </w:p>
    <w:p w14:paraId="2E3FD87A">
      <w:pPr>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bCs/>
          <w:color w:val="000000" w:themeColor="text1"/>
          <w:szCs w:val="21"/>
          <w14:textFill>
            <w14:solidFill>
              <w14:schemeClr w14:val="tx1"/>
            </w14:solidFill>
          </w14:textFill>
        </w:rPr>
        <w:t>因重大变故，采购任务取消的。</w:t>
      </w:r>
    </w:p>
    <w:p w14:paraId="662FFB1F">
      <w:pPr>
        <w:spacing w:line="360" w:lineRule="auto"/>
        <w:outlineLvl w:val="3"/>
        <w:rPr>
          <w:rFonts w:ascii="黑体" w:hAnsi="黑体" w:eastAsia="黑体"/>
          <w:b/>
          <w:bCs/>
          <w:color w:val="000000" w:themeColor="text1"/>
          <w:sz w:val="24"/>
          <w14:textFill>
            <w14:solidFill>
              <w14:schemeClr w14:val="tx1"/>
            </w14:solidFill>
          </w14:textFill>
        </w:rPr>
      </w:pPr>
      <w:bookmarkStart w:id="100" w:name="_Toc107997999"/>
      <w:bookmarkStart w:id="101" w:name="_Toc107997872"/>
      <w:r>
        <w:rPr>
          <w:rFonts w:hint="eastAsia" w:ascii="黑体" w:hAnsi="黑体" w:eastAsia="黑体"/>
          <w:b/>
          <w:bCs/>
          <w:color w:val="000000" w:themeColor="text1"/>
          <w:sz w:val="24"/>
          <w14:textFill>
            <w14:solidFill>
              <w14:schemeClr w14:val="tx1"/>
            </w14:solidFill>
          </w14:textFill>
        </w:rPr>
        <w:t>32.重新评审</w:t>
      </w:r>
      <w:bookmarkEnd w:id="100"/>
      <w:bookmarkEnd w:id="101"/>
    </w:p>
    <w:p w14:paraId="2CB8A550">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32.1除资格性审查认定错误和价格计算错误外，采购人、采购代理机构不以任何理由组织重新评审。</w:t>
      </w:r>
    </w:p>
    <w:p w14:paraId="338B9AD5">
      <w:pPr>
        <w:adjustRightInd w:val="0"/>
        <w:snapToGrid w:val="0"/>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32.2采购人、采购代理机构发现谈判小组未按照谈判文件规定的评定成交的标准进行评审的，应当重新开展采购活动，并同时书面报告本级财政部门。</w:t>
      </w:r>
    </w:p>
    <w:p w14:paraId="30532CF3">
      <w:pPr>
        <w:spacing w:line="360" w:lineRule="auto"/>
        <w:outlineLvl w:val="3"/>
        <w:rPr>
          <w:rFonts w:ascii="黑体" w:hAnsi="黑体" w:eastAsia="黑体"/>
          <w:b/>
          <w:bCs/>
          <w:color w:val="000000" w:themeColor="text1"/>
          <w:sz w:val="24"/>
          <w14:textFill>
            <w14:solidFill>
              <w14:schemeClr w14:val="tx1"/>
            </w14:solidFill>
          </w14:textFill>
        </w:rPr>
      </w:pPr>
      <w:bookmarkStart w:id="102" w:name="_Toc107997873"/>
      <w:bookmarkStart w:id="103" w:name="_Toc107998000"/>
      <w:r>
        <w:rPr>
          <w:rFonts w:hint="eastAsia" w:ascii="黑体" w:hAnsi="黑体" w:eastAsia="黑体"/>
          <w:b/>
          <w:bCs/>
          <w:color w:val="000000" w:themeColor="text1"/>
          <w:sz w:val="24"/>
          <w14:textFill>
            <w14:solidFill>
              <w14:schemeClr w14:val="tx1"/>
            </w14:solidFill>
          </w14:textFill>
        </w:rPr>
        <w:t>33.保密及串通行为</w:t>
      </w:r>
      <w:bookmarkEnd w:id="102"/>
      <w:bookmarkEnd w:id="103"/>
    </w:p>
    <w:p w14:paraId="008A4691">
      <w:pPr>
        <w:adjustRightInd w:val="0"/>
        <w:snapToGrid w:val="0"/>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33.1谈判小组成员以及与评审工作有关的人员不得泄露评审情况以及评审过程中获悉的国家秘密、商业秘密。</w:t>
      </w:r>
    </w:p>
    <w:p w14:paraId="2F92DB3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33.2</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不得与</w:t>
      </w:r>
      <w:r>
        <w:rPr>
          <w:rFonts w:hint="eastAsia" w:ascii="宋体" w:hAnsi="宋体" w:cs="宋体"/>
          <w:color w:val="000000" w:themeColor="text1"/>
          <w:kern w:val="0"/>
          <w:szCs w:val="21"/>
          <w14:textFill>
            <w14:solidFill>
              <w14:schemeClr w14:val="tx1"/>
            </w14:solidFill>
          </w14:textFill>
        </w:rPr>
        <w:t>采购人、采购代理机构、其他供应商恶意</w:t>
      </w:r>
      <w:r>
        <w:rPr>
          <w:rFonts w:hint="eastAsia" w:ascii="宋体" w:hAnsi="宋体"/>
          <w:color w:val="000000" w:themeColor="text1"/>
          <w:szCs w:val="21"/>
          <w14:textFill>
            <w14:solidFill>
              <w14:schemeClr w14:val="tx1"/>
            </w14:solidFill>
          </w14:textFill>
        </w:rPr>
        <w:t>串通；不得向</w:t>
      </w:r>
      <w:r>
        <w:rPr>
          <w:rFonts w:hint="eastAsia" w:ascii="宋体" w:hAnsi="宋体" w:cs="宋体"/>
          <w:color w:val="000000" w:themeColor="text1"/>
          <w:kern w:val="0"/>
          <w:szCs w:val="21"/>
          <w14:textFill>
            <w14:solidFill>
              <w14:schemeClr w14:val="tx1"/>
            </w14:solidFill>
          </w14:textFill>
        </w:rPr>
        <w:t>采购人、采购代理机构</w:t>
      </w:r>
      <w:r>
        <w:rPr>
          <w:rFonts w:hint="eastAsia" w:ascii="宋体" w:hAnsi="宋体"/>
          <w:color w:val="000000" w:themeColor="text1"/>
          <w:szCs w:val="21"/>
          <w14:textFill>
            <w14:solidFill>
              <w14:schemeClr w14:val="tx1"/>
            </w14:solidFill>
          </w14:textFill>
        </w:rPr>
        <w:t>或者谈判小组成员行贿或者提供其他不正当利益；不得提供虚假材料谋取成交；不得以任何方式干扰、影响采购工作。</w:t>
      </w:r>
    </w:p>
    <w:p w14:paraId="41642EE3">
      <w:pPr>
        <w:adjustRightInd w:val="0"/>
        <w:snapToGrid w:val="0"/>
        <w:spacing w:line="360" w:lineRule="auto"/>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33.3</w:t>
      </w:r>
      <w:r>
        <w:rPr>
          <w:rFonts w:ascii="宋体" w:hAnsi="宋体" w:cs="Arial"/>
          <w:color w:val="000000" w:themeColor="text1"/>
          <w:kern w:val="0"/>
          <w:szCs w:val="21"/>
          <w14:textFill>
            <w14:solidFill>
              <w14:schemeClr w14:val="tx1"/>
            </w14:solidFill>
          </w14:textFill>
        </w:rPr>
        <w:t>有下列情形之一的，</w:t>
      </w:r>
      <w:r>
        <w:rPr>
          <w:rFonts w:ascii="宋体" w:hAnsi="宋体" w:cs="宋体"/>
          <w:color w:val="000000" w:themeColor="text1"/>
          <w:kern w:val="0"/>
          <w:szCs w:val="21"/>
          <w:lang w:val="zh-CN"/>
          <w14:textFill>
            <w14:solidFill>
              <w14:schemeClr w14:val="tx1"/>
            </w14:solidFill>
          </w14:textFill>
        </w:rPr>
        <w:t>属于恶意串通，</w:t>
      </w:r>
      <w:r>
        <w:rPr>
          <w:rFonts w:ascii="宋体" w:hAnsi="宋体" w:cs="宋体"/>
          <w:color w:val="000000" w:themeColor="text1"/>
          <w:kern w:val="0"/>
          <w:szCs w:val="21"/>
          <w14:textFill>
            <w14:solidFill>
              <w14:schemeClr w14:val="tx1"/>
            </w14:solidFill>
          </w14:textFill>
        </w:rPr>
        <w:t>成交无效，并</w:t>
      </w:r>
      <w:r>
        <w:rPr>
          <w:rFonts w:ascii="宋体" w:hAnsi="宋体" w:cs="宋体"/>
          <w:color w:val="000000" w:themeColor="text1"/>
          <w:kern w:val="0"/>
          <w:szCs w:val="21"/>
          <w:lang w:val="zh-CN"/>
          <w14:textFill>
            <w14:solidFill>
              <w14:schemeClr w14:val="tx1"/>
            </w14:solidFill>
          </w14:textFill>
        </w:rPr>
        <w:t>依照《政府采购法》第七十七条的规定追究法律责任：</w:t>
      </w:r>
    </w:p>
    <w:p w14:paraId="39F930CF">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（1）供应商直接或者间接从</w:t>
      </w:r>
      <w:r>
        <w:rPr>
          <w:rFonts w:hint="eastAsia" w:ascii="宋体" w:hAnsi="宋体"/>
          <w:bCs/>
          <w:color w:val="000000" w:themeColor="text1"/>
          <w:szCs w:val="21"/>
          <w14:textFill>
            <w14:solidFill>
              <w14:schemeClr w14:val="tx1"/>
            </w14:solidFill>
          </w14:textFill>
        </w:rPr>
        <w:t>采购人、采购代理机构</w:t>
      </w:r>
      <w:r>
        <w:rPr>
          <w:rFonts w:hint="eastAsia" w:ascii="宋体" w:hAnsi="宋体"/>
          <w:color w:val="000000" w:themeColor="text1"/>
          <w:szCs w:val="21"/>
          <w14:textFill>
            <w14:solidFill>
              <w14:schemeClr w14:val="tx1"/>
            </w14:solidFill>
          </w14:textFill>
        </w:rPr>
        <w:t>获得其他供应商的响应情况，并修改其响应文件</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0A6402B9">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采购人、采购代理机构</w:t>
      </w:r>
      <w:r>
        <w:rPr>
          <w:rFonts w:hint="eastAsia" w:ascii="宋体" w:hAnsi="宋体"/>
          <w:color w:val="000000" w:themeColor="text1"/>
          <w:szCs w:val="21"/>
          <w14:textFill>
            <w14:solidFill>
              <w14:schemeClr w14:val="tx1"/>
            </w14:solidFill>
          </w14:textFill>
        </w:rPr>
        <w:t>授意供应商撤换、修改响应文件</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4B6F94F7">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（3）供应商之间协商技术方案、合同条款以及报价等响应文件实质性内容</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17333A6E">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（4）属于同一集团、协会、商会等组织成员的供应商按照该组织要求协同参加竞争性谈判政府采购活动</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1E604D15">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（5）供应商之间事先约定由某一特定供应商成交</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1FDD7493">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（6）供应商之间商定部分供应商放弃</w:t>
      </w:r>
      <w:r>
        <w:rPr>
          <w:rFonts w:hint="eastAsia" w:ascii="宋体" w:hAnsi="宋体"/>
          <w:color w:val="000000" w:themeColor="text1"/>
          <w14:textFill>
            <w14:solidFill>
              <w14:schemeClr w14:val="tx1"/>
            </w14:solidFill>
          </w14:textFill>
        </w:rPr>
        <w:t>提</w:t>
      </w:r>
      <w:r>
        <w:rPr>
          <w:rFonts w:hint="eastAsia" w:ascii="宋体" w:hAnsi="宋体"/>
          <w:color w:val="000000" w:themeColor="text1"/>
          <w:szCs w:val="21"/>
          <w14:textFill>
            <w14:solidFill>
              <w14:schemeClr w14:val="tx1"/>
            </w14:solidFill>
          </w14:textFill>
        </w:rPr>
        <w:t>交响应文件或者退出谈判或者放弃成交</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72591370">
      <w:pPr>
        <w:adjustRightInd w:val="0"/>
        <w:snapToGrid w:val="0"/>
        <w:spacing w:line="360" w:lineRule="auto"/>
        <w:ind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（7）供应商与</w:t>
      </w:r>
      <w:r>
        <w:rPr>
          <w:rFonts w:hint="eastAsia" w:ascii="宋体" w:hAnsi="宋体"/>
          <w:bCs/>
          <w:color w:val="000000" w:themeColor="text1"/>
          <w:szCs w:val="21"/>
          <w14:textFill>
            <w14:solidFill>
              <w14:schemeClr w14:val="tx1"/>
            </w14:solidFill>
          </w14:textFill>
        </w:rPr>
        <w:t>采购人、采购代理机构以及</w:t>
      </w:r>
      <w:r>
        <w:rPr>
          <w:rFonts w:hint="eastAsia" w:ascii="宋体" w:hAnsi="宋体"/>
          <w:color w:val="000000" w:themeColor="text1"/>
          <w:szCs w:val="21"/>
          <w14:textFill>
            <w14:solidFill>
              <w14:schemeClr w14:val="tx1"/>
            </w14:solidFill>
          </w14:textFill>
        </w:rPr>
        <w:t>谈判小组成员之间、供应商相互之间，为谋求特定供应商成交或者排斥其他供应商的其他串通行为</w:t>
      </w:r>
      <w:r>
        <w:rPr>
          <w:rFonts w:hint="eastAsia" w:ascii="宋体" w:hAnsi="宋体"/>
          <w:color w:val="000000" w:themeColor="text1"/>
          <w14:textFill>
            <w14:solidFill>
              <w14:schemeClr w14:val="tx1"/>
            </w14:solidFill>
          </w14:textFill>
        </w:rPr>
        <w:t>的</w:t>
      </w:r>
      <w:r>
        <w:rPr>
          <w:rFonts w:hint="eastAsia" w:ascii="宋体" w:hAnsi="宋体"/>
          <w:color w:val="000000" w:themeColor="text1"/>
          <w:szCs w:val="21"/>
          <w14:textFill>
            <w14:solidFill>
              <w14:schemeClr w14:val="tx1"/>
            </w14:solidFill>
          </w14:textFill>
        </w:rPr>
        <w:t>。</w:t>
      </w:r>
    </w:p>
    <w:p w14:paraId="18B5E17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ascii="宋体" w:hAnsi="宋体" w:cs="Arial"/>
          <w:color w:val="000000" w:themeColor="text1"/>
          <w:szCs w:val="21"/>
          <w14:textFill>
            <w14:solidFill>
              <w14:schemeClr w14:val="tx1"/>
            </w14:solidFill>
          </w14:textFill>
        </w:rPr>
        <w:t>（</w:t>
      </w:r>
      <w:r>
        <w:rPr>
          <w:rFonts w:hint="eastAsia" w:ascii="宋体" w:hAnsi="宋体" w:cs="Arial"/>
          <w:color w:val="000000" w:themeColor="text1"/>
          <w:szCs w:val="21"/>
          <w14:textFill>
            <w14:solidFill>
              <w14:schemeClr w14:val="tx1"/>
            </w14:solidFill>
          </w14:textFill>
        </w:rPr>
        <w:t>8</w:t>
      </w:r>
      <w:r>
        <w:rPr>
          <w:rFonts w:ascii="宋体" w:hAnsi="宋体" w:cs="Arial"/>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法律、行政法规或规章规定的其他串通行为。</w:t>
      </w:r>
    </w:p>
    <w:p w14:paraId="0608A908">
      <w:pPr>
        <w:adjustRightInd w:val="0"/>
        <w:snapToGrid w:val="0"/>
        <w:spacing w:line="360" w:lineRule="auto"/>
        <w:jc w:val="center"/>
        <w:outlineLvl w:val="2"/>
        <w:rPr>
          <w:rFonts w:hint="eastAsia" w:ascii="黑体" w:hAnsi="黑体" w:eastAsia="黑体"/>
          <w:b/>
          <w:bCs/>
          <w:color w:val="000000" w:themeColor="text1"/>
          <w:sz w:val="28"/>
          <w:szCs w:val="28"/>
          <w14:textFill>
            <w14:solidFill>
              <w14:schemeClr w14:val="tx1"/>
            </w14:solidFill>
          </w14:textFill>
        </w:rPr>
      </w:pPr>
      <w:bookmarkStart w:id="104" w:name="_Toc24119"/>
      <w:bookmarkStart w:id="105" w:name="_Toc107998001"/>
    </w:p>
    <w:p w14:paraId="05C5FBCC">
      <w:pPr>
        <w:rPr>
          <w:rFonts w:hint="eastAsia" w:ascii="黑体" w:hAnsi="黑体" w:eastAsia="黑体"/>
          <w:b/>
          <w:bCs/>
          <w:color w:val="000000" w:themeColor="text1"/>
          <w:sz w:val="28"/>
          <w:szCs w:val="28"/>
          <w14:textFill>
            <w14:solidFill>
              <w14:schemeClr w14:val="tx1"/>
            </w14:solidFill>
          </w14:textFill>
        </w:rPr>
      </w:pPr>
      <w:r>
        <w:rPr>
          <w:rFonts w:hint="eastAsia" w:ascii="黑体" w:hAnsi="黑体" w:eastAsia="黑体"/>
          <w:b/>
          <w:bCs/>
          <w:color w:val="000000" w:themeColor="text1"/>
          <w:sz w:val="28"/>
          <w:szCs w:val="28"/>
          <w14:textFill>
            <w14:solidFill>
              <w14:schemeClr w14:val="tx1"/>
            </w14:solidFill>
          </w14:textFill>
        </w:rPr>
        <w:br w:type="page"/>
      </w:r>
    </w:p>
    <w:p w14:paraId="0C1C4AAA">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r>
        <w:rPr>
          <w:rFonts w:hint="eastAsia" w:ascii="黑体" w:hAnsi="黑体" w:eastAsia="黑体"/>
          <w:b/>
          <w:bCs/>
          <w:color w:val="000000" w:themeColor="text1"/>
          <w:sz w:val="28"/>
          <w:szCs w:val="28"/>
          <w14:textFill>
            <w14:solidFill>
              <w14:schemeClr w14:val="tx1"/>
            </w14:solidFill>
          </w14:textFill>
        </w:rPr>
        <w:t>六、成交结果信息公布与授予合同</w:t>
      </w:r>
      <w:bookmarkEnd w:id="104"/>
      <w:bookmarkEnd w:id="105"/>
    </w:p>
    <w:p w14:paraId="50E8FCBC">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06" w:name="_Toc107997875"/>
      <w:bookmarkStart w:id="107" w:name="_Toc107998002"/>
      <w:r>
        <w:rPr>
          <w:rFonts w:hint="eastAsia" w:ascii="黑体" w:hAnsi="黑体" w:eastAsia="黑体"/>
          <w:b/>
          <w:bCs/>
          <w:color w:val="000000" w:themeColor="text1"/>
          <w:sz w:val="24"/>
          <w14:textFill>
            <w14:solidFill>
              <w14:schemeClr w14:val="tx1"/>
            </w14:solidFill>
          </w14:textFill>
        </w:rPr>
        <w:t>34.成交信息的公布与成交通知书</w:t>
      </w:r>
      <w:bookmarkEnd w:id="106"/>
      <w:bookmarkEnd w:id="107"/>
    </w:p>
    <w:p w14:paraId="18B65190">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34.1采购人、采购代理机构应当自采购人确定成交供应商之日起2个工作日内，发出成交通知书，并在</w:t>
      </w:r>
      <w:r>
        <w:rPr>
          <w:rFonts w:hint="eastAsia" w:ascii="宋体" w:hAnsi="宋体" w:cs="Courier New"/>
          <w:b/>
          <w:color w:val="000000" w:themeColor="text1"/>
          <w:szCs w:val="21"/>
          <w14:textFill>
            <w14:solidFill>
              <w14:schemeClr w14:val="tx1"/>
            </w14:solidFill>
          </w14:textFill>
        </w:rPr>
        <w:t>【谈判须知前附表】</w:t>
      </w:r>
      <w:r>
        <w:rPr>
          <w:rFonts w:hint="eastAsia" w:ascii="宋体" w:hAnsi="宋体" w:cs="Courier New"/>
          <w:color w:val="000000" w:themeColor="text1"/>
          <w:szCs w:val="21"/>
          <w14:textFill>
            <w14:solidFill>
              <w14:schemeClr w14:val="tx1"/>
            </w14:solidFill>
          </w14:textFill>
        </w:rPr>
        <w:t>指定媒体上公告成交结果，竞争性</w:t>
      </w:r>
      <w:r>
        <w:rPr>
          <w:rFonts w:hint="eastAsia" w:ascii="宋体" w:hAnsi="宋体" w:cs="Courier New"/>
          <w:color w:val="000000" w:themeColor="text1"/>
          <w:szCs w:val="21"/>
          <w:lang w:val="en-US" w:eastAsia="zh-CN"/>
          <w14:textFill>
            <w14:solidFill>
              <w14:schemeClr w14:val="tx1"/>
            </w14:solidFill>
          </w14:textFill>
        </w:rPr>
        <w:t>谈判</w:t>
      </w:r>
      <w:r>
        <w:rPr>
          <w:rFonts w:hint="eastAsia" w:ascii="宋体" w:hAnsi="宋体" w:cs="Courier New"/>
          <w:color w:val="000000" w:themeColor="text1"/>
          <w:szCs w:val="21"/>
          <w14:textFill>
            <w14:solidFill>
              <w14:schemeClr w14:val="tx1"/>
            </w14:solidFill>
          </w14:textFill>
        </w:rPr>
        <w:t>文件随成交结果同时公告，成交结果公告期限为</w:t>
      </w:r>
      <w:r>
        <w:rPr>
          <w:rFonts w:hint="eastAsia" w:ascii="宋体" w:hAnsi="宋体" w:cs="Courier New"/>
          <w:color w:val="000000" w:themeColor="text1"/>
          <w:szCs w:val="21"/>
          <w:lang w:val="en-US" w:eastAsia="zh-CN"/>
          <w14:textFill>
            <w14:solidFill>
              <w14:schemeClr w14:val="tx1"/>
            </w14:solidFill>
          </w14:textFill>
        </w:rPr>
        <w:t>1</w:t>
      </w:r>
      <w:r>
        <w:rPr>
          <w:rFonts w:hint="eastAsia" w:ascii="宋体" w:hAnsi="宋体" w:cs="Courier New"/>
          <w:color w:val="000000" w:themeColor="text1"/>
          <w:szCs w:val="21"/>
          <w14:textFill>
            <w14:solidFill>
              <w14:schemeClr w14:val="tx1"/>
            </w14:solidFill>
          </w14:textFill>
        </w:rPr>
        <w:t>个工作日。</w:t>
      </w:r>
    </w:p>
    <w:p w14:paraId="46A9DB19">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34.2成交供应商确定后，采购人、采购代理机构将以书面形式向成交供应商发出成交通知书。成交通知书对采购人和成交供应商具有同等法律效力。</w:t>
      </w:r>
    </w:p>
    <w:p w14:paraId="2636F663">
      <w:pPr>
        <w:adjustRightInd w:val="0"/>
        <w:snapToGrid w:val="0"/>
        <w:spacing w:line="360" w:lineRule="auto"/>
        <w:ind w:firstLine="420" w:firstLineChars="200"/>
        <w:rPr>
          <w:rFonts w:ascii="宋体" w:hAnsi="Courier New"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34.3成交通知书是合同文件的组成部分。</w:t>
      </w:r>
    </w:p>
    <w:p w14:paraId="28812BE7">
      <w:pPr>
        <w:spacing w:line="360" w:lineRule="auto"/>
        <w:outlineLvl w:val="3"/>
        <w:rPr>
          <w:rFonts w:ascii="黑体" w:hAnsi="黑体" w:eastAsia="黑体"/>
          <w:b/>
          <w:bCs/>
          <w:color w:val="000000" w:themeColor="text1"/>
          <w:sz w:val="24"/>
          <w14:textFill>
            <w14:solidFill>
              <w14:schemeClr w14:val="tx1"/>
            </w14:solidFill>
          </w14:textFill>
        </w:rPr>
      </w:pPr>
      <w:bookmarkStart w:id="108" w:name="_Toc107997876"/>
      <w:bookmarkStart w:id="109" w:name="_Toc107998003"/>
      <w:r>
        <w:rPr>
          <w:rFonts w:hint="eastAsia" w:ascii="黑体" w:hAnsi="黑体" w:eastAsia="黑体"/>
          <w:b/>
          <w:bCs/>
          <w:color w:val="000000" w:themeColor="text1"/>
          <w:sz w:val="24"/>
          <w14:textFill>
            <w14:solidFill>
              <w14:schemeClr w14:val="tx1"/>
            </w14:solidFill>
          </w14:textFill>
        </w:rPr>
        <w:t>35.询问及质疑</w:t>
      </w:r>
      <w:bookmarkEnd w:id="108"/>
      <w:bookmarkEnd w:id="109"/>
    </w:p>
    <w:p w14:paraId="47C6997C">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35.1供应商对政府采购活动事项有疑问的，可以向采购人、采购代理机构提出询问。采购人或采购代理机构将在3个工作日内作出答复。</w:t>
      </w:r>
    </w:p>
    <w:p w14:paraId="5E196DA8">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35.2供应商若认为谈判文件、采购过程和成交结果使自己的权益受到损害，可以按法律、规章及《湖南省财政厅关于印发＜政府采购质疑答复和投诉处理操作规程＞的通知》(湘财购〔2019〕20号)文件规定向采购人、采购代理机构提出质疑。供应商应当在法定质疑期内一次性提出针对同一采购程序环节的质疑。</w:t>
      </w:r>
    </w:p>
    <w:p w14:paraId="71D58249">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35.3供应商</w:t>
      </w:r>
      <w:r>
        <w:rPr>
          <w:rFonts w:hint="eastAsia" w:ascii="宋体" w:hAnsi="宋体" w:eastAsia="宋体"/>
          <w:color w:val="000000" w:themeColor="text1"/>
          <w:szCs w:val="21"/>
          <w14:textFill>
            <w14:solidFill>
              <w14:schemeClr w14:val="tx1"/>
            </w14:solidFill>
          </w14:textFill>
        </w:rPr>
        <w:t>提出质疑的，</w:t>
      </w:r>
      <w:r>
        <w:rPr>
          <w:rFonts w:hint="eastAsia" w:ascii="宋体" w:hAnsi="宋体"/>
          <w:color w:val="000000" w:themeColor="text1"/>
          <w:szCs w:val="21"/>
          <w14:textFill>
            <w14:solidFill>
              <w14:schemeClr w14:val="tx1"/>
            </w14:solidFill>
          </w14:textFill>
        </w:rPr>
        <w:t>质疑函</w:t>
      </w:r>
      <w:r>
        <w:rPr>
          <w:rFonts w:hint="eastAsia" w:ascii="宋体" w:hAnsi="宋体" w:eastAsia="宋体"/>
          <w:color w:val="000000" w:themeColor="text1"/>
          <w:szCs w:val="21"/>
          <w14:textFill>
            <w14:solidFill>
              <w14:schemeClr w14:val="tx1"/>
            </w14:solidFill>
          </w14:textFill>
        </w:rPr>
        <w:t>应按照《湖南省财政厅关于印发＜政府采购质疑答复和投诉处理操作规程＞的通知》规定制作、签署、送达。采购人、采购代理机构接收质疑函的联系部门、联系电话和通讯地址见</w:t>
      </w:r>
      <w:r>
        <w:rPr>
          <w:rFonts w:hint="eastAsia" w:ascii="宋体" w:hAnsi="宋体" w:eastAsia="宋体"/>
          <w:b/>
          <w:color w:val="000000" w:themeColor="text1"/>
          <w:szCs w:val="21"/>
          <w14:textFill>
            <w14:solidFill>
              <w14:schemeClr w14:val="tx1"/>
            </w14:solidFill>
          </w14:textFill>
        </w:rPr>
        <w:t>【谈判须知前附表】</w:t>
      </w:r>
      <w:r>
        <w:rPr>
          <w:rFonts w:hint="eastAsia" w:ascii="宋体" w:hAnsi="宋体" w:eastAsia="宋体"/>
          <w:color w:val="000000" w:themeColor="text1"/>
          <w:szCs w:val="21"/>
          <w14:textFill>
            <w14:solidFill>
              <w14:schemeClr w14:val="tx1"/>
            </w14:solidFill>
          </w14:textFill>
        </w:rPr>
        <w:t>。</w:t>
      </w:r>
    </w:p>
    <w:p w14:paraId="7F2E3A19">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35.4采购人、采购代理机构</w:t>
      </w:r>
      <w:r>
        <w:rPr>
          <w:rFonts w:hint="eastAsia" w:ascii="宋体" w:hAnsi="宋体"/>
          <w:color w:val="000000" w:themeColor="text1"/>
          <w:szCs w:val="21"/>
          <w:lang w:val="en-US" w:eastAsia="zh-CN"/>
          <w14:textFill>
            <w14:solidFill>
              <w14:schemeClr w14:val="tx1"/>
            </w14:solidFill>
          </w14:textFill>
        </w:rPr>
        <w:t>参</w:t>
      </w:r>
      <w:r>
        <w:rPr>
          <w:rFonts w:hint="eastAsia" w:ascii="宋体" w:hAnsi="宋体" w:eastAsia="宋体"/>
          <w:color w:val="000000" w:themeColor="text1"/>
          <w:szCs w:val="21"/>
          <w14:textFill>
            <w14:solidFill>
              <w14:schemeClr w14:val="tx1"/>
            </w14:solidFill>
          </w14:textFill>
        </w:rPr>
        <w:t>照《湖南省财政厅关于印发＜政府采购质疑答复和投诉处理操作规程＞的通知》规定进行质疑答复。</w:t>
      </w:r>
    </w:p>
    <w:p w14:paraId="3429E99F">
      <w:pPr>
        <w:pStyle w:val="28"/>
        <w:spacing w:line="360" w:lineRule="auto"/>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35.5供应商对采购人、采购代理机构的答复不满意，或采购人或采购代理机构未在规定的期限作出答复的，可在答复期满后15个工作日内，按照《湖南省财政厅关于印发＜政府采购质疑答复和投诉处理操作规程＞的通知》规定向</w:t>
      </w:r>
      <w:r>
        <w:rPr>
          <w:rFonts w:hint="eastAsia" w:ascii="宋体" w:hAnsi="宋体" w:cs="Times New Roman"/>
          <w:color w:val="000000" w:themeColor="text1"/>
          <w:szCs w:val="21"/>
          <w:lang w:val="en-US" w:eastAsia="zh-CN"/>
          <w14:textFill>
            <w14:solidFill>
              <w14:schemeClr w14:val="tx1"/>
            </w14:solidFill>
          </w14:textFill>
        </w:rPr>
        <w:t>怀化市经投实业集团有限责任公司纪检监察室</w:t>
      </w:r>
      <w:r>
        <w:rPr>
          <w:rFonts w:hint="eastAsia" w:ascii="宋体" w:hAnsi="宋体" w:eastAsia="宋体"/>
          <w:color w:val="000000" w:themeColor="text1"/>
          <w14:textFill>
            <w14:solidFill>
              <w14:schemeClr w14:val="tx1"/>
            </w14:solidFill>
          </w14:textFill>
        </w:rPr>
        <w:t>提出投诉。</w:t>
      </w:r>
    </w:p>
    <w:p w14:paraId="1FCEF6CB">
      <w:pPr>
        <w:spacing w:line="360" w:lineRule="auto"/>
        <w:outlineLvl w:val="3"/>
        <w:rPr>
          <w:rFonts w:ascii="黑体" w:hAnsi="黑体" w:eastAsia="黑体"/>
          <w:b/>
          <w:bCs/>
          <w:color w:val="000000" w:themeColor="text1"/>
          <w:sz w:val="24"/>
          <w14:textFill>
            <w14:solidFill>
              <w14:schemeClr w14:val="tx1"/>
            </w14:solidFill>
          </w14:textFill>
        </w:rPr>
      </w:pPr>
      <w:bookmarkStart w:id="110" w:name="_Toc107997877"/>
      <w:bookmarkStart w:id="111" w:name="_Toc107998004"/>
      <w:r>
        <w:rPr>
          <w:rFonts w:hint="eastAsia" w:ascii="黑体" w:hAnsi="黑体" w:eastAsia="黑体"/>
          <w:b/>
          <w:bCs/>
          <w:color w:val="000000" w:themeColor="text1"/>
          <w:sz w:val="24"/>
          <w14:textFill>
            <w14:solidFill>
              <w14:schemeClr w14:val="tx1"/>
            </w14:solidFill>
          </w14:textFill>
        </w:rPr>
        <w:t>36.履约担保</w:t>
      </w:r>
      <w:bookmarkEnd w:id="110"/>
      <w:bookmarkEnd w:id="111"/>
      <w:r>
        <w:rPr>
          <w:rFonts w:hint="eastAsia" w:ascii="黑体" w:hAnsi="黑体" w:eastAsia="黑体"/>
          <w:b/>
          <w:bCs/>
          <w:color w:val="auto"/>
          <w:sz w:val="24"/>
          <w:lang w:eastAsia="zh-CN"/>
        </w:rPr>
        <w:t>（</w:t>
      </w:r>
      <w:r>
        <w:rPr>
          <w:rFonts w:hint="eastAsia" w:ascii="黑体" w:hAnsi="黑体" w:eastAsia="黑体"/>
          <w:b/>
          <w:bCs/>
          <w:color w:val="auto"/>
          <w:sz w:val="24"/>
          <w:lang w:val="en-US" w:eastAsia="zh-CN"/>
        </w:rPr>
        <w:t>本项目不需要提供</w:t>
      </w:r>
      <w:r>
        <w:rPr>
          <w:rFonts w:hint="eastAsia" w:ascii="黑体" w:hAnsi="黑体" w:eastAsia="黑体"/>
          <w:b/>
          <w:bCs/>
          <w:color w:val="auto"/>
          <w:sz w:val="24"/>
          <w:lang w:eastAsia="zh-CN"/>
        </w:rPr>
        <w:t>）</w:t>
      </w:r>
    </w:p>
    <w:p w14:paraId="5E161461">
      <w:pPr>
        <w:adjustRightInd w:val="0"/>
        <w:snapToGrid w:val="0"/>
        <w:spacing w:before="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36.1</w:t>
      </w:r>
      <w:r>
        <w:rPr>
          <w:rFonts w:hint="eastAsia" w:ascii="宋体" w:hAnsi="宋体"/>
          <w:color w:val="000000" w:themeColor="text1"/>
          <w:szCs w:val="21"/>
          <w14:textFill>
            <w14:solidFill>
              <w14:schemeClr w14:val="tx1"/>
            </w14:solidFill>
          </w14:textFill>
        </w:rPr>
        <w:t>谈判文件要求成交供应商向采购人提交履约担保的，成交供应商应按照</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的规定提交，供应商可用保函、电子增信替代履约保证金。联合体成交的，履约担保由联合体各方或联合体中牵头人的名义提交。</w:t>
      </w:r>
    </w:p>
    <w:p w14:paraId="696B6CEB">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36.2成交供应商</w:t>
      </w:r>
      <w:r>
        <w:rPr>
          <w:rFonts w:hint="eastAsia" w:ascii="宋体" w:hAnsi="宋体" w:cs="Courier New"/>
          <w:color w:val="000000" w:themeColor="text1"/>
          <w:spacing w:val="4"/>
          <w:szCs w:val="21"/>
          <w14:textFill>
            <w14:solidFill>
              <w14:schemeClr w14:val="tx1"/>
            </w14:solidFill>
          </w14:textFill>
        </w:rPr>
        <w:t>没有按照本章第36.1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Courier New"/>
          <w:color w:val="000000" w:themeColor="text1"/>
          <w:spacing w:val="4"/>
          <w:szCs w:val="21"/>
          <w14:textFill>
            <w14:solidFill>
              <w14:schemeClr w14:val="tx1"/>
            </w14:solidFill>
          </w14:textFill>
        </w:rPr>
        <w:t>规定</w:t>
      </w:r>
      <w:r>
        <w:rPr>
          <w:rFonts w:hint="eastAsia" w:ascii="宋体" w:hAnsi="宋体" w:cs="Courier New"/>
          <w:color w:val="000000" w:themeColor="text1"/>
          <w:szCs w:val="21"/>
          <w14:textFill>
            <w14:solidFill>
              <w14:schemeClr w14:val="tx1"/>
            </w14:solidFill>
          </w14:textFill>
        </w:rPr>
        <w:t>提交履约担保的</w:t>
      </w:r>
      <w:r>
        <w:rPr>
          <w:rFonts w:hint="eastAsia" w:ascii="宋体" w:hAnsi="宋体" w:cs="Courier New"/>
          <w:color w:val="000000" w:themeColor="text1"/>
          <w:spacing w:val="4"/>
          <w:szCs w:val="21"/>
          <w14:textFill>
            <w14:solidFill>
              <w14:schemeClr w14:val="tx1"/>
            </w14:solidFill>
          </w14:textFill>
        </w:rPr>
        <w:t>，视为放弃</w:t>
      </w:r>
      <w:r>
        <w:rPr>
          <w:rFonts w:hint="eastAsia" w:ascii="宋体" w:hAnsi="宋体" w:cs="Courier New"/>
          <w:color w:val="000000" w:themeColor="text1"/>
          <w:szCs w:val="21"/>
          <w14:textFill>
            <w14:solidFill>
              <w14:schemeClr w14:val="tx1"/>
            </w14:solidFill>
          </w14:textFill>
        </w:rPr>
        <w:t>成交资格</w:t>
      </w:r>
      <w:r>
        <w:rPr>
          <w:rFonts w:hint="eastAsia" w:ascii="宋体" w:hAnsi="宋体" w:cs="Courier New"/>
          <w:color w:val="000000" w:themeColor="text1"/>
          <w:spacing w:val="4"/>
          <w:szCs w:val="21"/>
          <w14:textFill>
            <w14:solidFill>
              <w14:schemeClr w14:val="tx1"/>
            </w14:solidFill>
          </w14:textFill>
        </w:rPr>
        <w:t>，</w:t>
      </w:r>
      <w:r>
        <w:rPr>
          <w:rFonts w:hint="eastAsia" w:ascii="宋体" w:hAnsi="宋体" w:cs="Courier New"/>
          <w:color w:val="000000" w:themeColor="text1"/>
          <w:spacing w:val="2"/>
          <w:szCs w:val="21"/>
          <w14:textFill>
            <w14:solidFill>
              <w14:schemeClr w14:val="tx1"/>
            </w14:solidFill>
          </w14:textFill>
        </w:rPr>
        <w:t>其谈判保证金不予退还。</w:t>
      </w:r>
    </w:p>
    <w:p w14:paraId="7557FC06">
      <w:pPr>
        <w:spacing w:line="360" w:lineRule="auto"/>
        <w:outlineLvl w:val="3"/>
        <w:rPr>
          <w:rFonts w:ascii="黑体" w:hAnsi="黑体" w:eastAsia="黑体"/>
          <w:b/>
          <w:bCs/>
          <w:color w:val="000000" w:themeColor="text1"/>
          <w:sz w:val="24"/>
          <w14:textFill>
            <w14:solidFill>
              <w14:schemeClr w14:val="tx1"/>
            </w14:solidFill>
          </w14:textFill>
        </w:rPr>
      </w:pPr>
      <w:bookmarkStart w:id="112" w:name="_Toc107998005"/>
      <w:bookmarkStart w:id="113" w:name="_Toc107997878"/>
      <w:r>
        <w:rPr>
          <w:rFonts w:hint="eastAsia" w:ascii="黑体" w:hAnsi="黑体" w:eastAsia="黑体"/>
          <w:b/>
          <w:bCs/>
          <w:color w:val="000000" w:themeColor="text1"/>
          <w:sz w:val="24"/>
          <w14:textFill>
            <w14:solidFill>
              <w14:schemeClr w14:val="tx1"/>
            </w14:solidFill>
          </w14:textFill>
        </w:rPr>
        <w:t>37.签订合同</w:t>
      </w:r>
      <w:bookmarkEnd w:id="112"/>
      <w:bookmarkEnd w:id="113"/>
    </w:p>
    <w:p w14:paraId="4ABD705B">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37.1谈判文件、成交供应商的响应文件及其补充的响应文件等均为签订政府采购合同的依据。</w:t>
      </w:r>
    </w:p>
    <w:p w14:paraId="6699F036">
      <w:pPr>
        <w:adjustRightInd w:val="0"/>
        <w:snapToGrid w:val="0"/>
        <w:spacing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37.2成交供应商应当在成交通知书发出之日起30日内与采购人签订政府采购合同。</w:t>
      </w:r>
    </w:p>
    <w:p w14:paraId="5827E667">
      <w:pPr>
        <w:adjustRightInd w:val="0"/>
        <w:snapToGrid w:val="0"/>
        <w:spacing w:line="360" w:lineRule="auto"/>
        <w:ind w:firstLine="420" w:firstLineChars="200"/>
        <w:rPr>
          <w:rFonts w:hint="eastAsia" w:ascii="黑体" w:hAnsi="黑体" w:eastAsia="黑体"/>
          <w:b/>
          <w:bCs/>
          <w:color w:val="000000" w:themeColor="text1"/>
          <w:sz w:val="28"/>
          <w:szCs w:val="28"/>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37.3成交供应商应当按照合同约定履行义务。成交供应商不得向他人转让成交项目，也不得将成交项目分包后分别向他人转让。</w:t>
      </w:r>
      <w:bookmarkStart w:id="114" w:name="_Toc22201076"/>
      <w:bookmarkStart w:id="115" w:name="_Toc107998006"/>
      <w:bookmarkStart w:id="116" w:name="_Toc8062"/>
    </w:p>
    <w:p w14:paraId="7C603B17">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r>
        <w:rPr>
          <w:rFonts w:hint="eastAsia" w:ascii="黑体" w:hAnsi="黑体" w:eastAsia="黑体"/>
          <w:b/>
          <w:bCs/>
          <w:color w:val="000000" w:themeColor="text1"/>
          <w:sz w:val="28"/>
          <w:szCs w:val="28"/>
          <w14:textFill>
            <w14:solidFill>
              <w14:schemeClr w14:val="tx1"/>
            </w14:solidFill>
          </w14:textFill>
        </w:rPr>
        <w:t>七、政府采购政策</w:t>
      </w:r>
      <w:bookmarkEnd w:id="114"/>
      <w:bookmarkEnd w:id="115"/>
      <w:bookmarkEnd w:id="116"/>
    </w:p>
    <w:p w14:paraId="3896E048">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17" w:name="_Toc62225465"/>
      <w:bookmarkStart w:id="118" w:name="_Toc107997880"/>
      <w:bookmarkStart w:id="119" w:name="_Toc107998007"/>
      <w:r>
        <w:rPr>
          <w:rFonts w:hint="eastAsia" w:ascii="黑体" w:hAnsi="黑体" w:eastAsia="黑体"/>
          <w:b/>
          <w:bCs/>
          <w:color w:val="000000" w:themeColor="text1"/>
          <w:sz w:val="24"/>
          <w14:textFill>
            <w14:solidFill>
              <w14:schemeClr w14:val="tx1"/>
            </w14:solidFill>
          </w14:textFill>
        </w:rPr>
        <w:t>38.</w:t>
      </w:r>
      <w:bookmarkEnd w:id="117"/>
      <w:r>
        <w:rPr>
          <w:rFonts w:hint="eastAsia" w:ascii="黑体" w:hAnsi="黑体" w:eastAsia="黑体"/>
          <w:b/>
          <w:bCs/>
          <w:color w:val="000000" w:themeColor="text1"/>
          <w:sz w:val="24"/>
          <w14:textFill>
            <w14:solidFill>
              <w14:schemeClr w14:val="tx1"/>
            </w14:solidFill>
          </w14:textFill>
        </w:rPr>
        <w:t>预留采购份额</w:t>
      </w:r>
      <w:bookmarkEnd w:id="118"/>
      <w:bookmarkEnd w:id="119"/>
    </w:p>
    <w:p w14:paraId="19E23FF2">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38.1执行中小企业预留采购份额政策的规定：</w:t>
      </w:r>
    </w:p>
    <w:p w14:paraId="1308D529">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（1）预留份额的采购项目或者采购包，应明确该项目或相关采购包专门面向中小企业采购，并作为供应商资格条件。</w:t>
      </w:r>
    </w:p>
    <w:p w14:paraId="1CBA68B3">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（2）要求以联合体形式参加或者合同分包的，应明确联合协议或者分包承诺中中小企业合同金额应当达到的比例，并作为供应商资格条件。</w:t>
      </w:r>
    </w:p>
    <w:p w14:paraId="738BDCD1">
      <w:pPr>
        <w:adjustRightInd w:val="0"/>
        <w:snapToGri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（3）组成联合体或者接受分包合同的中小企业与联合体内其他企业(成员)、分包企业之间不得存在直接控股、管理关系。</w:t>
      </w:r>
    </w:p>
    <w:p w14:paraId="2C89627A">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20" w:name="_Toc107998008"/>
      <w:bookmarkStart w:id="121" w:name="_Toc62225466"/>
      <w:bookmarkStart w:id="122" w:name="_Toc107997881"/>
      <w:r>
        <w:rPr>
          <w:rFonts w:hint="eastAsia" w:ascii="黑体" w:hAnsi="黑体" w:eastAsia="黑体"/>
          <w:b/>
          <w:bCs/>
          <w:color w:val="000000" w:themeColor="text1"/>
          <w:sz w:val="24"/>
          <w14:textFill>
            <w14:solidFill>
              <w14:schemeClr w14:val="tx1"/>
            </w14:solidFill>
          </w14:textFill>
        </w:rPr>
        <w:t>39.强制采购</w:t>
      </w:r>
      <w:bookmarkEnd w:id="120"/>
      <w:bookmarkEnd w:id="121"/>
      <w:bookmarkEnd w:id="122"/>
    </w:p>
    <w:p w14:paraId="7B8D8247">
      <w:pPr>
        <w:adjustRightInd w:val="0"/>
        <w:snapToGrid w:val="0"/>
        <w:spacing w:line="360" w:lineRule="auto"/>
        <w:ind w:firstLine="420" w:firstLineChars="200"/>
        <w:jc w:val="left"/>
        <w:rPr>
          <w:rFonts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39.1纳入财政部会同国务院有关部门发布的节能产品政府采购品目清单（品目清单中标注</w:t>
      </w:r>
      <w:r>
        <w:rPr>
          <w:rFonts w:hint="eastAsia" w:ascii="宋体" w:hAnsi="宋体" w:eastAsia="宋体" w:cs="宋体"/>
          <w:color w:val="000000" w:themeColor="text1"/>
          <w:kern w:val="0"/>
          <w14:textFill>
            <w14:solidFill>
              <w14:schemeClr w14:val="tx1"/>
            </w14:solidFill>
          </w14:textFill>
        </w:rPr>
        <w:sym w:font="Wingdings" w:char="F0AB"/>
      </w:r>
      <w:r>
        <w:rPr>
          <w:rFonts w:hint="eastAsia" w:ascii="宋体" w:hAnsi="宋体" w:eastAsia="宋体" w:cs="宋体"/>
          <w:color w:val="000000" w:themeColor="text1"/>
          <w:kern w:val="0"/>
          <w14:textFill>
            <w14:solidFill>
              <w14:schemeClr w14:val="tx1"/>
            </w14:solidFill>
          </w14:textFill>
        </w:rPr>
        <w:t>符号产品），实施政府强制采购的，供应商提供的产品不符合强制采购规定，其</w:t>
      </w:r>
      <w:r>
        <w:rPr>
          <w:rFonts w:hint="eastAsia" w:ascii="宋体" w:hAnsi="宋体" w:eastAsia="宋体" w:cs="宋体"/>
          <w:b/>
          <w:color w:val="000000" w:themeColor="text1"/>
          <w:kern w:val="0"/>
          <w14:textFill>
            <w14:solidFill>
              <w14:schemeClr w14:val="tx1"/>
            </w14:solidFill>
          </w14:textFill>
        </w:rPr>
        <w:t>响应</w:t>
      </w:r>
      <w:r>
        <w:rPr>
          <w:rFonts w:hint="eastAsia" w:ascii="宋体" w:hAnsi="宋体" w:eastAsia="宋体" w:cs="宋体"/>
          <w:b/>
          <w:color w:val="000000" w:themeColor="text1"/>
          <w:kern w:val="0"/>
          <w:szCs w:val="21"/>
          <w14:textFill>
            <w14:solidFill>
              <w14:schemeClr w14:val="tx1"/>
            </w14:solidFill>
          </w14:textFill>
        </w:rPr>
        <w:t>无效</w:t>
      </w:r>
      <w:r>
        <w:rPr>
          <w:rFonts w:hint="eastAsia" w:ascii="宋体" w:hAnsi="宋体" w:eastAsia="宋体" w:cs="宋体"/>
          <w:color w:val="000000" w:themeColor="text1"/>
          <w:kern w:val="0"/>
          <w14:textFill>
            <w14:solidFill>
              <w14:schemeClr w14:val="tx1"/>
            </w14:solidFill>
          </w14:textFill>
        </w:rPr>
        <w:t>。</w:t>
      </w:r>
    </w:p>
    <w:p w14:paraId="0AAE6E14">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23" w:name="_Toc107998009"/>
      <w:bookmarkStart w:id="124" w:name="_Toc62225467"/>
      <w:bookmarkStart w:id="125" w:name="_Toc107997882"/>
      <w:r>
        <w:rPr>
          <w:rFonts w:hint="eastAsia" w:ascii="黑体" w:hAnsi="黑体" w:eastAsia="黑体"/>
          <w:b/>
          <w:bCs/>
          <w:color w:val="000000" w:themeColor="text1"/>
          <w:sz w:val="24"/>
          <w14:textFill>
            <w14:solidFill>
              <w14:schemeClr w14:val="tx1"/>
            </w14:solidFill>
          </w14:textFill>
        </w:rPr>
        <w:t>40.优先采购</w:t>
      </w:r>
      <w:bookmarkEnd w:id="123"/>
      <w:bookmarkEnd w:id="124"/>
      <w:bookmarkEnd w:id="125"/>
    </w:p>
    <w:p w14:paraId="6B2DD681">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40.1</w:t>
      </w:r>
      <w:r>
        <w:rPr>
          <w:rFonts w:hint="eastAsia" w:ascii="宋体" w:hAnsi="宋体"/>
          <w:color w:val="000000" w:themeColor="text1"/>
          <w14:textFill>
            <w14:solidFill>
              <w14:schemeClr w14:val="tx1"/>
            </w14:solidFill>
          </w14:textFill>
        </w:rPr>
        <w:t>对</w:t>
      </w:r>
      <w:r>
        <w:rPr>
          <w:rFonts w:hint="eastAsia" w:ascii="宋体" w:hAnsi="宋体"/>
          <w:color w:val="000000" w:themeColor="text1"/>
          <w:szCs w:val="21"/>
          <w14:textFill>
            <w14:solidFill>
              <w14:schemeClr w14:val="tx1"/>
            </w14:solidFill>
          </w14:textFill>
        </w:rPr>
        <w:t>纳入财政部会同国务院有关部门发布的节能产品(未</w:t>
      </w:r>
      <w:r>
        <w:rPr>
          <w:rFonts w:hint="eastAsia" w:ascii="宋体" w:hAnsi="宋体" w:eastAsia="宋体" w:cs="宋体"/>
          <w:color w:val="000000" w:themeColor="text1"/>
          <w:kern w:val="0"/>
          <w14:textFill>
            <w14:solidFill>
              <w14:schemeClr w14:val="tx1"/>
            </w14:solidFill>
          </w14:textFill>
        </w:rPr>
        <w:t>标注</w:t>
      </w:r>
      <w:r>
        <w:rPr>
          <w:rFonts w:hint="eastAsia" w:ascii="宋体" w:hAnsi="宋体" w:eastAsia="宋体" w:cs="宋体"/>
          <w:color w:val="000000" w:themeColor="text1"/>
          <w:kern w:val="0"/>
          <w14:textFill>
            <w14:solidFill>
              <w14:schemeClr w14:val="tx1"/>
            </w14:solidFill>
          </w14:textFill>
        </w:rPr>
        <w:sym w:font="Wingdings" w:char="F0AB"/>
      </w:r>
      <w:r>
        <w:rPr>
          <w:rFonts w:hint="eastAsia" w:ascii="宋体" w:hAnsi="宋体" w:eastAsia="宋体" w:cs="宋体"/>
          <w:color w:val="000000" w:themeColor="text1"/>
          <w:kern w:val="0"/>
          <w14:textFill>
            <w14:solidFill>
              <w14:schemeClr w14:val="tx1"/>
            </w14:solidFill>
          </w14:textFill>
        </w:rPr>
        <w:t>符号产品</w:t>
      </w:r>
      <w:r>
        <w:rPr>
          <w:rFonts w:hint="eastAsia" w:ascii="宋体" w:hAnsi="宋体"/>
          <w:color w:val="000000" w:themeColor="text1"/>
          <w:szCs w:val="21"/>
          <w14:textFill>
            <w14:solidFill>
              <w14:schemeClr w14:val="tx1"/>
            </w14:solidFill>
          </w14:textFill>
        </w:rPr>
        <w:t>)、环境标志产品政府采购品目清单，实施政府优先采购的，评审时</w:t>
      </w:r>
      <w:r>
        <w:rPr>
          <w:rFonts w:hint="eastAsia" w:ascii="宋体" w:hAnsi="宋体"/>
          <w:color w:val="000000" w:themeColor="text1"/>
          <w:szCs w:val="21"/>
          <w:lang w:val="en-US" w:eastAsia="zh-CN"/>
          <w14:textFill>
            <w14:solidFill>
              <w14:schemeClr w14:val="tx1"/>
            </w14:solidFill>
          </w14:textFill>
        </w:rPr>
        <w:t>对该部分产品</w:t>
      </w:r>
      <w:r>
        <w:rPr>
          <w:rFonts w:hint="eastAsia" w:ascii="宋体" w:hAnsi="宋体"/>
          <w:color w:val="000000" w:themeColor="text1"/>
          <w:szCs w:val="21"/>
          <w14:textFill>
            <w14:solidFill>
              <w14:schemeClr w14:val="tx1"/>
            </w14:solidFill>
          </w14:textFill>
        </w:rPr>
        <w:t>按</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规定给予价格折扣；</w:t>
      </w:r>
    </w:p>
    <w:p w14:paraId="183E8E9B">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26" w:name="_Toc62225468"/>
      <w:bookmarkStart w:id="127" w:name="_Toc107997883"/>
      <w:bookmarkStart w:id="128" w:name="_Toc107998010"/>
      <w:r>
        <w:rPr>
          <w:rFonts w:hint="eastAsia" w:ascii="黑体" w:hAnsi="黑体" w:eastAsia="黑体"/>
          <w:b/>
          <w:bCs/>
          <w:color w:val="000000" w:themeColor="text1"/>
          <w:sz w:val="24"/>
          <w14:textFill>
            <w14:solidFill>
              <w14:schemeClr w14:val="tx1"/>
            </w14:solidFill>
          </w14:textFill>
        </w:rPr>
        <w:t>41.价格评审优惠</w:t>
      </w:r>
      <w:bookmarkEnd w:id="126"/>
      <w:bookmarkEnd w:id="127"/>
      <w:bookmarkEnd w:id="128"/>
    </w:p>
    <w:p w14:paraId="53A6AC36">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1.1</w:t>
      </w:r>
      <w:r>
        <w:rPr>
          <w:rFonts w:hint="eastAsia" w:ascii="宋体" w:hAnsi="宋体" w:eastAsia="宋体"/>
          <w:color w:val="000000" w:themeColor="text1"/>
          <w14:textFill>
            <w14:solidFill>
              <w14:schemeClr w14:val="tx1"/>
            </w14:solidFill>
          </w14:textFill>
        </w:rPr>
        <w:t>在政府采购活动中，供应商提供的货物、工程或者服务符合下列情形的：</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1</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在货物采购项目中，货物由中小企业制造，即货物由中小企业生产且使用该中小企业商号或者注册商标；（2）在工程采购项目中，工程由中小企业承建，即工程施工单位为中小企业；（3）在服务采购项目中，服务由中小企业承接，即提供服务的人员为中小企业依照《中华人民共和国劳动合同法》订立劳动合同的从业人员</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给予一定比例的价格折扣，用扣除后的价格参与评审；</w:t>
      </w:r>
    </w:p>
    <w:p w14:paraId="6E5285C6">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1.2价格折扣比例</w:t>
      </w:r>
    </w:p>
    <w:p w14:paraId="65EFEC72">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（1）对于经主管预算单位统筹后未预留份额专门面向中小企业采购的采购项目，以及预留份额项目中的非预留部分采购包，符合小微企业生产的货物或者提供的服务、工程情形的，按照</w:t>
      </w:r>
      <w:r>
        <w:rPr>
          <w:rFonts w:hint="eastAsia" w:ascii="宋体" w:hAnsi="宋体"/>
          <w:b/>
          <w:color w:val="000000" w:themeColor="text1"/>
          <w:szCs w:val="21"/>
          <w14:textFill>
            <w14:solidFill>
              <w14:schemeClr w14:val="tx1"/>
            </w14:solidFill>
          </w14:textFill>
        </w:rPr>
        <w:t>【谈判须知前附表】</w:t>
      </w:r>
      <w:r>
        <w:rPr>
          <w:rFonts w:hint="eastAsia" w:ascii="宋体" w:hAnsi="宋体" w:eastAsia="宋体"/>
          <w:color w:val="000000" w:themeColor="text1"/>
          <w14:textFill>
            <w14:solidFill>
              <w14:schemeClr w14:val="tx1"/>
            </w14:solidFill>
          </w14:textFill>
        </w:rPr>
        <w:t>规定的比例给予价格折扣，用扣除后的价格参与评审。</w:t>
      </w:r>
    </w:p>
    <w:p w14:paraId="7FDD4BF2">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（2）接受大中型企业与小微企业组成联合体或者允许大中型企业向一家或者多家小微企业分包的采购项目，对于联合协议或者分包承诺约定小微企业的合同份额占到合同总金额30%以上的，按照</w:t>
      </w:r>
      <w:r>
        <w:rPr>
          <w:rFonts w:hint="eastAsia" w:ascii="宋体" w:hAnsi="宋体"/>
          <w:b/>
          <w:color w:val="000000" w:themeColor="text1"/>
          <w:szCs w:val="21"/>
          <w14:textFill>
            <w14:solidFill>
              <w14:schemeClr w14:val="tx1"/>
            </w14:solidFill>
          </w14:textFill>
        </w:rPr>
        <w:t>【谈判须知前附表】</w:t>
      </w:r>
      <w:r>
        <w:rPr>
          <w:rFonts w:hint="eastAsia" w:ascii="宋体" w:hAnsi="宋体" w:eastAsia="宋体"/>
          <w:color w:val="000000" w:themeColor="text1"/>
          <w14:textFill>
            <w14:solidFill>
              <w14:schemeClr w14:val="tx1"/>
            </w14:solidFill>
          </w14:textFill>
        </w:rPr>
        <w:t>规定的比例给予价格折扣，用扣除后的价格参与评审。以联合体形式参加政府采购活动，联合体各方均为中小企业的，联合体视同中小企业。其中，联合体各方均为小微企业的，联合体视同小微企业。</w:t>
      </w:r>
    </w:p>
    <w:p w14:paraId="6F46DECA">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1.3</w:t>
      </w:r>
      <w:r>
        <w:rPr>
          <w:rFonts w:hint="eastAsia" w:ascii="宋体" w:hAnsi="宋体" w:eastAsia="宋体"/>
          <w:color w:val="000000" w:themeColor="text1"/>
          <w14:textFill>
            <w14:solidFill>
              <w14:schemeClr w14:val="tx1"/>
            </w14:solidFill>
          </w14:textFill>
        </w:rPr>
        <w:t>符合中小企业划分标准的个体工商户视同中小企业，享受评审中价格扣除等促进中小企业发展的政府采购政策。</w:t>
      </w:r>
    </w:p>
    <w:p w14:paraId="785D371B">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1.4</w:t>
      </w:r>
      <w:r>
        <w:rPr>
          <w:rFonts w:hint="eastAsia" w:ascii="宋体" w:hAnsi="宋体" w:eastAsia="宋体"/>
          <w:color w:val="000000" w:themeColor="text1"/>
          <w14:textFill>
            <w14:solidFill>
              <w14:schemeClr w14:val="tx1"/>
            </w14:solidFill>
          </w14:textFill>
        </w:rPr>
        <w:t>监狱企业、残疾人福利性单位视同小型、微型企业，享受评审中价格扣除等促进中小企业发展的政府采购政策。</w:t>
      </w:r>
    </w:p>
    <w:p w14:paraId="2E44F928">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1.5</w:t>
      </w:r>
      <w:r>
        <w:rPr>
          <w:rFonts w:hint="eastAsia" w:ascii="宋体" w:hAnsi="宋体" w:eastAsia="宋体"/>
          <w:color w:val="000000" w:themeColor="text1"/>
          <w14:textFill>
            <w14:solidFill>
              <w14:schemeClr w14:val="tx1"/>
            </w14:solidFill>
          </w14:textFill>
        </w:rPr>
        <w:t xml:space="preserve">与大企业的负责人为同一人，或者与大企业存在直接控股、管理关系的中小企业，不享受评审中价格扣除等促进中小企业发展的政府采购政策。 </w:t>
      </w:r>
    </w:p>
    <w:p w14:paraId="7F3DC59F">
      <w:pPr>
        <w:adjustRightInd w:val="0"/>
        <w:snapToGrid w:val="0"/>
        <w:spacing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ascii="宋体" w:hAnsi="宋体" w:eastAsia="宋体"/>
          <w:color w:val="000000" w:themeColor="text1"/>
          <w14:textFill>
            <w14:solidFill>
              <w14:schemeClr w14:val="tx1"/>
            </w14:solidFill>
          </w14:textFill>
        </w:rPr>
        <w:t>1.6</w:t>
      </w:r>
      <w:r>
        <w:rPr>
          <w:rFonts w:hint="eastAsia" w:ascii="宋体" w:hAnsi="宋体" w:eastAsia="宋体"/>
          <w:color w:val="000000" w:themeColor="text1"/>
          <w14:textFill>
            <w14:solidFill>
              <w14:schemeClr w14:val="tx1"/>
            </w14:solidFill>
          </w14:textFill>
        </w:rPr>
        <w:t>本章第1.2款规定采购项目或者采购包属于“预留采购份额”的，预留部分不再享受本款“价格评审优惠”的小微企业扶持政策。</w:t>
      </w:r>
    </w:p>
    <w:p w14:paraId="070864A5">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29" w:name="_Toc107998011"/>
      <w:bookmarkStart w:id="130" w:name="_Toc107997884"/>
      <w:bookmarkStart w:id="131" w:name="_Toc62225469"/>
      <w:r>
        <w:rPr>
          <w:rFonts w:hint="eastAsia" w:ascii="黑体" w:hAnsi="黑体" w:eastAsia="黑体"/>
          <w:b/>
          <w:bCs/>
          <w:color w:val="000000" w:themeColor="text1"/>
          <w:sz w:val="24"/>
          <w14:textFill>
            <w14:solidFill>
              <w14:schemeClr w14:val="tx1"/>
            </w14:solidFill>
          </w14:textFill>
        </w:rPr>
        <w:t>42.政府采购政策其他规定</w:t>
      </w:r>
      <w:bookmarkEnd w:id="129"/>
      <w:bookmarkEnd w:id="130"/>
      <w:bookmarkEnd w:id="131"/>
    </w:p>
    <w:p w14:paraId="2D1EABB2">
      <w:pPr>
        <w:adjustRightInd w:val="0"/>
        <w:snapToGrid w:val="0"/>
        <w:spacing w:line="360" w:lineRule="auto"/>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42.1.1中型企业、小型企业和微型企业类型按照《关于印发≤政府采购促进中小企业发展办法&gt;的通知》(财库[2020]46号)和《关于印发中小企业划型标准规定的通知》(工信部联企业(2011)300号)规定认定</w:t>
      </w:r>
      <w:r>
        <w:rPr>
          <w:rFonts w:hint="eastAsia" w:ascii="宋体" w:hAnsi="宋体"/>
          <w:color w:val="000000" w:themeColor="text1"/>
          <w:szCs w:val="21"/>
          <w:lang w:eastAsia="zh-CN"/>
          <w14:textFill>
            <w14:solidFill>
              <w14:schemeClr w14:val="tx1"/>
            </w14:solidFill>
          </w14:textFill>
        </w:rPr>
        <w:t>。</w:t>
      </w:r>
    </w:p>
    <w:p w14:paraId="218FB69F">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eastAsia="宋体"/>
          <w:color w:val="000000" w:themeColor="text1"/>
          <w14:textFill>
            <w14:solidFill>
              <w14:schemeClr w14:val="tx1"/>
            </w14:solidFill>
          </w14:textFill>
        </w:rPr>
        <w:t>42.2</w:t>
      </w:r>
      <w:r>
        <w:rPr>
          <w:rFonts w:hint="eastAsia" w:ascii="宋体" w:hAnsi="宋体"/>
          <w:color w:val="000000" w:themeColor="text1"/>
          <w14:textFill>
            <w14:solidFill>
              <w14:schemeClr w14:val="tx1"/>
            </w14:solidFill>
          </w14:textFill>
        </w:rPr>
        <w:t>监狱企业、残</w:t>
      </w:r>
      <w:r>
        <w:rPr>
          <w:rFonts w:hint="eastAsia" w:ascii="宋体" w:hAnsi="宋体"/>
          <w:color w:val="000000" w:themeColor="text1"/>
          <w:szCs w:val="21"/>
          <w14:textFill>
            <w14:solidFill>
              <w14:schemeClr w14:val="tx1"/>
            </w14:solidFill>
          </w14:textFill>
        </w:rPr>
        <w:t>疾人福利性单位以及个体工商户视同小型、微型企业，享受预留采购份额、价格扣除等促进中小企业发展的政府采购政策。监狱企业、残疾人福利性单位以及个体工商户属于小型、微型企业的，不重复享受扶持政策。</w:t>
      </w:r>
    </w:p>
    <w:p w14:paraId="430BE9AE">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42.3以联合体形式参加政府采购活动，联合体各方均为中小企业的，联合体视同中小企业。其中，联合体各方均为小微企业的，联合体视同小微企业。</w:t>
      </w:r>
    </w:p>
    <w:p w14:paraId="343BC6ED">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42.4在货物采购项目中，供应商提供的货物既有中小企业制造货物，也有大型企业制造货物的，不享受中小企业扶持政策。</w:t>
      </w:r>
    </w:p>
    <w:p w14:paraId="1CA62DDB">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供应商提供的产品取得两个及以上优先采购产品认证的，评审时只有其中一项产品能够享受优先采购优惠（供应商自行选择，并在响应文件中并填报相关信息及数据）。</w:t>
      </w:r>
    </w:p>
    <w:p w14:paraId="53837B57">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42.</w:t>
      </w: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价格评审优惠”可以与同时属于“节能产品”、“环境标志产品”中的一项“优先采购”累加计算。</w:t>
      </w:r>
    </w:p>
    <w:p w14:paraId="12C9C9EE">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32" w:name="_Toc23243979"/>
      <w:bookmarkStart w:id="133" w:name="_Toc62225470"/>
      <w:bookmarkStart w:id="134" w:name="_Toc23255846"/>
      <w:bookmarkStart w:id="135" w:name="_Toc107998012"/>
      <w:bookmarkStart w:id="136" w:name="_Toc107997885"/>
      <w:r>
        <w:rPr>
          <w:rFonts w:hint="eastAsia" w:ascii="黑体" w:hAnsi="黑体" w:eastAsia="黑体"/>
          <w:b/>
          <w:bCs/>
          <w:color w:val="000000" w:themeColor="text1"/>
          <w:sz w:val="24"/>
          <w14:textFill>
            <w14:solidFill>
              <w14:schemeClr w14:val="tx1"/>
            </w14:solidFill>
          </w14:textFill>
        </w:rPr>
        <w:t>43.供应商应提供的政府采购政策证明资料</w:t>
      </w:r>
      <w:bookmarkEnd w:id="132"/>
      <w:bookmarkEnd w:id="133"/>
      <w:bookmarkEnd w:id="134"/>
      <w:bookmarkEnd w:id="135"/>
      <w:bookmarkEnd w:id="136"/>
    </w:p>
    <w:p w14:paraId="39AB52A7">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43.1符合本章第38条、第39条、第40条、第41条规定的，供应商应在响应文件中提供相关证明资料。</w:t>
      </w:r>
    </w:p>
    <w:p w14:paraId="52B5E63E">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节能产品、环境标志产品：提供国家确定的认证机构出具的、处于有效期之内的节能产品、环境标志产品认证证书（复印件）。</w:t>
      </w:r>
    </w:p>
    <w:p w14:paraId="69F6407D">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hint="eastAsia" w:ascii="宋体" w:hAnsi="宋体"/>
          <w:color w:val="000000" w:themeColor="text1"/>
          <w:lang w:val="en-US" w:eastAsia="zh-CN"/>
          <w14:textFill>
            <w14:solidFill>
              <w14:schemeClr w14:val="tx1"/>
            </w14:solidFill>
          </w14:textFill>
        </w:rPr>
        <w:t>2</w:t>
      </w:r>
      <w:r>
        <w:rPr>
          <w:rFonts w:hint="eastAsia" w:ascii="宋体" w:hAnsi="宋体" w:eastAsia="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中小企业：货物类采购项目，按《关于印发＜政府采购促进中小企业发展办法＞的通知》(财库[2020]46号) 和《关于印发中小企业划型标准规定的通知》（工信部联企业〔2011〕300号）文件规定提供中小企业声明函（格式）；工程、服务类采购项目，按《湖南省财政厅关于政府采购促进中小企业发展的有关措施的通知》（湘财购[2022]17号）文件规定提供湖南省政府采购供应商资格承诺函（格式）</w:t>
      </w:r>
      <w:r>
        <w:rPr>
          <w:rFonts w:hint="eastAsia" w:ascii="宋体" w:hAnsi="宋体"/>
          <w:color w:val="000000" w:themeColor="text1"/>
          <w:szCs w:val="21"/>
          <w14:textFill>
            <w14:solidFill>
              <w14:schemeClr w14:val="tx1"/>
            </w14:solidFill>
          </w14:textFill>
        </w:rPr>
        <w:t>。</w:t>
      </w:r>
    </w:p>
    <w:p w14:paraId="23721D17">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hint="eastAsia" w:ascii="宋体" w:hAnsi="宋体"/>
          <w:color w:val="000000" w:themeColor="text1"/>
          <w:lang w:val="en-US" w:eastAsia="zh-CN"/>
          <w14:textFill>
            <w14:solidFill>
              <w14:schemeClr w14:val="tx1"/>
            </w14:solidFill>
          </w14:textFill>
        </w:rPr>
        <w:t>3</w:t>
      </w:r>
      <w:r>
        <w:rPr>
          <w:rFonts w:hint="eastAsia" w:ascii="宋体" w:hAnsi="宋体" w:eastAsia="宋体"/>
          <w:color w:val="000000" w:themeColor="text1"/>
          <w14:textFill>
            <w14:solidFill>
              <w14:schemeClr w14:val="tx1"/>
            </w14:solidFill>
          </w14:textFill>
        </w:rPr>
        <w:t>）监狱企业：按《关于政府采购支持监狱企业发展有关问题的通知》(财库〔2014〕68号)文件规定提供证明文件（复印件）。</w:t>
      </w:r>
    </w:p>
    <w:p w14:paraId="085AD43E">
      <w:pPr>
        <w:adjustRightInd w:val="0"/>
        <w:snapToGrid w:val="0"/>
        <w:spacing w:line="360" w:lineRule="auto"/>
        <w:ind w:firstLine="420" w:firstLineChars="200"/>
        <w:jc w:val="lef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hint="eastAsia" w:ascii="宋体" w:hAnsi="宋体"/>
          <w:color w:val="000000" w:themeColor="text1"/>
          <w:lang w:val="en-US" w:eastAsia="zh-CN"/>
          <w14:textFill>
            <w14:solidFill>
              <w14:schemeClr w14:val="tx1"/>
            </w14:solidFill>
          </w14:textFill>
        </w:rPr>
        <w:t>4</w:t>
      </w:r>
      <w:r>
        <w:rPr>
          <w:rFonts w:hint="eastAsia" w:ascii="宋体" w:hAnsi="宋体" w:eastAsia="宋体"/>
          <w:color w:val="000000" w:themeColor="text1"/>
          <w14:textFill>
            <w14:solidFill>
              <w14:schemeClr w14:val="tx1"/>
            </w14:solidFill>
          </w14:textFill>
        </w:rPr>
        <w:t>）残疾人福利性单位：按《关于促进残疾人就业政府采购政策的通知》(财库〔2017〕141号)文件规定提供《残疾人福利性单位声明函》（格式）。</w:t>
      </w:r>
    </w:p>
    <w:p w14:paraId="3EADA4EB">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bookmarkStart w:id="137" w:name="_Toc107998013"/>
      <w:bookmarkStart w:id="138" w:name="_Toc107997886"/>
      <w:bookmarkStart w:id="139" w:name="_Toc62225472"/>
      <w:r>
        <w:rPr>
          <w:rFonts w:hint="eastAsia" w:ascii="黑体" w:hAnsi="黑体" w:eastAsia="黑体"/>
          <w:b/>
          <w:bCs/>
          <w:color w:val="000000" w:themeColor="text1"/>
          <w:sz w:val="24"/>
          <w14:textFill>
            <w14:solidFill>
              <w14:schemeClr w14:val="tx1"/>
            </w14:solidFill>
          </w14:textFill>
        </w:rPr>
        <w:t>4</w:t>
      </w:r>
      <w:r>
        <w:rPr>
          <w:rFonts w:ascii="黑体" w:hAnsi="黑体" w:eastAsia="黑体"/>
          <w:b/>
          <w:bCs/>
          <w:color w:val="000000" w:themeColor="text1"/>
          <w:sz w:val="24"/>
          <w14:textFill>
            <w14:solidFill>
              <w14:schemeClr w14:val="tx1"/>
            </w14:solidFill>
          </w14:textFill>
        </w:rPr>
        <w:t>4</w:t>
      </w:r>
      <w:r>
        <w:rPr>
          <w:rFonts w:hint="eastAsia" w:ascii="黑体" w:hAnsi="黑体" w:eastAsia="黑体"/>
          <w:b/>
          <w:bCs/>
          <w:color w:val="000000" w:themeColor="text1"/>
          <w:sz w:val="24"/>
          <w14:textFill>
            <w14:solidFill>
              <w14:schemeClr w14:val="tx1"/>
            </w14:solidFill>
          </w14:textFill>
        </w:rPr>
        <w:t>. 采购进口产品</w:t>
      </w:r>
    </w:p>
    <w:p w14:paraId="08D90AC8">
      <w:pPr>
        <w:adjustRightInd w:val="0"/>
        <w:snapToGrid w:val="0"/>
        <w:spacing w:line="360" w:lineRule="auto"/>
        <w:ind w:firstLine="420" w:firstLineChars="200"/>
        <w:jc w:val="left"/>
        <w:rPr>
          <w:rFonts w:ascii="黑体" w:hAnsi="黑体" w:eastAsia="黑体"/>
          <w:b/>
          <w:bCs/>
          <w:color w:val="000000" w:themeColor="text1"/>
          <w:sz w:val="24"/>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44.1</w:t>
      </w:r>
      <w:r>
        <w:rPr>
          <w:rFonts w:hint="eastAsia" w:ascii="宋体" w:hAnsi="宋体" w:cs="宋体"/>
          <w:bCs/>
          <w:color w:val="000000" w:themeColor="text1"/>
          <w:kern w:val="0"/>
          <w:szCs w:val="21"/>
          <w:lang w:val="zh-CN"/>
          <w14:textFill>
            <w14:solidFill>
              <w14:schemeClr w14:val="tx1"/>
            </w14:solidFill>
          </w14:textFill>
        </w:rPr>
        <w:t>进口产品是指符合《政府采购进口产品管理办法》（财库〔2007〕119号）和《关于政府采购进口产品管理有关问题的通知》（财办库〔2008〕248号）文件规定的产品。</w:t>
      </w:r>
      <w:r>
        <w:rPr>
          <w:rFonts w:hint="eastAsia" w:ascii="宋体" w:hAnsi="宋体" w:cs="宋体"/>
          <w:b/>
          <w:color w:val="000000" w:themeColor="text1"/>
          <w:kern w:val="0"/>
          <w:szCs w:val="21"/>
          <w:lang w:val="zh-CN"/>
          <w14:textFill>
            <w14:solidFill>
              <w14:schemeClr w14:val="tx1"/>
            </w14:solidFill>
          </w14:textFill>
        </w:rPr>
        <w:t>除【谈判须知前附表】另有规定外，采购项目拒绝进口产品参加谈判。</w:t>
      </w:r>
      <w:r>
        <w:rPr>
          <w:rFonts w:hint="eastAsia" w:ascii="宋体" w:hAnsi="宋体" w:cs="宋体"/>
          <w:bCs/>
          <w:color w:val="000000" w:themeColor="text1"/>
          <w:kern w:val="0"/>
          <w:szCs w:val="21"/>
          <w:lang w:val="zh-CN"/>
          <w14:textFill>
            <w14:solidFill>
              <w14:schemeClr w14:val="tx1"/>
            </w14:solidFill>
          </w14:textFill>
        </w:rPr>
        <w:t>本款规定同意购买进口产品的，不限制满足谈判文件要求的国内产品参与谈判竞争。</w:t>
      </w:r>
    </w:p>
    <w:p w14:paraId="771BF4B0">
      <w:pPr>
        <w:adjustRightInd w:val="0"/>
        <w:snapToGrid w:val="0"/>
        <w:spacing w:line="360" w:lineRule="auto"/>
        <w:outlineLvl w:val="3"/>
        <w:rPr>
          <w:rFonts w:ascii="黑体" w:hAnsi="黑体" w:eastAsia="黑体"/>
          <w:b/>
          <w:bCs/>
          <w:color w:val="000000" w:themeColor="text1"/>
          <w:sz w:val="24"/>
          <w14:textFill>
            <w14:solidFill>
              <w14:schemeClr w14:val="tx1"/>
            </w14:solidFill>
          </w14:textFill>
        </w:rPr>
      </w:pPr>
      <w:r>
        <w:rPr>
          <w:rFonts w:hint="eastAsia" w:ascii="黑体" w:hAnsi="黑体" w:eastAsia="黑体"/>
          <w:b/>
          <w:bCs/>
          <w:color w:val="000000" w:themeColor="text1"/>
          <w:sz w:val="24"/>
          <w14:textFill>
            <w14:solidFill>
              <w14:schemeClr w14:val="tx1"/>
            </w14:solidFill>
          </w14:textFill>
        </w:rPr>
        <w:t>45.融资、担保</w:t>
      </w:r>
      <w:bookmarkEnd w:id="137"/>
      <w:bookmarkEnd w:id="138"/>
      <w:bookmarkEnd w:id="139"/>
    </w:p>
    <w:p w14:paraId="74E18D44">
      <w:pPr>
        <w:adjustRightInd w:val="0"/>
        <w:snapToGrid w:val="0"/>
        <w:spacing w:line="360" w:lineRule="auto"/>
        <w:ind w:firstLine="420" w:firstLineChars="200"/>
        <w:jc w:val="left"/>
        <w:rPr>
          <w:rFonts w:ascii="宋体" w:hAnsi="宋体"/>
          <w:color w:val="000000" w:themeColor="text1"/>
          <w:sz w:val="24"/>
          <w14:textFill>
            <w14:solidFill>
              <w14:schemeClr w14:val="tx1"/>
            </w14:solidFill>
          </w14:textFill>
        </w:rPr>
      </w:pPr>
      <w:r>
        <w:rPr>
          <w:rFonts w:hint="eastAsia" w:ascii="宋体" w:hAnsi="宋体" w:eastAsia="宋体"/>
          <w:color w:val="000000" w:themeColor="text1"/>
          <w14:textFill>
            <w14:solidFill>
              <w14:schemeClr w14:val="tx1"/>
            </w14:solidFill>
          </w14:textFill>
        </w:rPr>
        <w:t>45.1供应商有融资、担保需求的，可登陆中国湖南政府采购网查询相关银行、担保机构业务。</w:t>
      </w:r>
    </w:p>
    <w:p w14:paraId="1B649D91">
      <w:pPr>
        <w:adjustRightInd w:val="0"/>
        <w:snapToGrid w:val="0"/>
        <w:spacing w:line="360" w:lineRule="auto"/>
        <w:jc w:val="center"/>
        <w:outlineLvl w:val="2"/>
        <w:rPr>
          <w:rFonts w:ascii="黑体" w:hAnsi="黑体" w:eastAsia="黑体"/>
          <w:b/>
          <w:bCs/>
          <w:color w:val="000000" w:themeColor="text1"/>
          <w:sz w:val="28"/>
          <w:szCs w:val="28"/>
          <w14:textFill>
            <w14:solidFill>
              <w14:schemeClr w14:val="tx1"/>
            </w14:solidFill>
          </w14:textFill>
        </w:rPr>
      </w:pPr>
      <w:bookmarkStart w:id="140" w:name="_Toc6640"/>
      <w:bookmarkStart w:id="141" w:name="_Toc107998014"/>
      <w:r>
        <w:rPr>
          <w:rFonts w:hint="eastAsia" w:ascii="黑体" w:hAnsi="黑体" w:eastAsia="黑体"/>
          <w:b/>
          <w:bCs/>
          <w:color w:val="000000" w:themeColor="text1"/>
          <w:sz w:val="28"/>
          <w:szCs w:val="28"/>
          <w14:textFill>
            <w14:solidFill>
              <w14:schemeClr w14:val="tx1"/>
            </w14:solidFill>
          </w14:textFill>
        </w:rPr>
        <w:t>八、其他规定</w:t>
      </w:r>
      <w:bookmarkEnd w:id="140"/>
      <w:bookmarkEnd w:id="141"/>
    </w:p>
    <w:p w14:paraId="2068063C">
      <w:pPr>
        <w:spacing w:line="360" w:lineRule="auto"/>
        <w:outlineLvl w:val="3"/>
        <w:rPr>
          <w:rFonts w:ascii="黑体" w:hAnsi="黑体" w:eastAsia="黑体"/>
          <w:b/>
          <w:bCs/>
          <w:color w:val="000000" w:themeColor="text1"/>
          <w:sz w:val="24"/>
          <w14:textFill>
            <w14:solidFill>
              <w14:schemeClr w14:val="tx1"/>
            </w14:solidFill>
          </w14:textFill>
        </w:rPr>
      </w:pPr>
      <w:bookmarkStart w:id="142" w:name="_Toc107998015"/>
      <w:bookmarkStart w:id="143" w:name="_Toc107997888"/>
      <w:r>
        <w:rPr>
          <w:rFonts w:hint="eastAsia" w:ascii="黑体" w:hAnsi="黑体" w:eastAsia="黑体"/>
          <w:b/>
          <w:bCs/>
          <w:color w:val="000000" w:themeColor="text1"/>
          <w:sz w:val="24"/>
          <w14:textFill>
            <w14:solidFill>
              <w14:schemeClr w14:val="tx1"/>
            </w14:solidFill>
          </w14:textFill>
        </w:rPr>
        <w:t>46.其他规定</w:t>
      </w:r>
      <w:bookmarkEnd w:id="142"/>
      <w:bookmarkEnd w:id="143"/>
    </w:p>
    <w:p w14:paraId="41BE3836">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6</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合同价款支付</w:t>
      </w:r>
    </w:p>
    <w:p w14:paraId="6685268F">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（1）竞争性谈判文件规定支付合同预付款的，采购人应按【谈判须知前附表】规定的支付比例和支付条件向符合要求的成交供应商及时支付相应款项，并在政府采购合同中进行明确。</w:t>
      </w:r>
    </w:p>
    <w:p w14:paraId="0682CFD8">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（2）竞争性谈判文件规定需提交质量保证金的，采购人可以按【谈判须知前附表】规定要求成交供应商提交质量保证金，并在政府采购合同中进行明确。</w:t>
      </w:r>
    </w:p>
    <w:p w14:paraId="191E57D1">
      <w:pPr>
        <w:adjustRightInd w:val="0"/>
        <w:snapToGrid w:val="0"/>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（3）供应商可以保函、电子增信替代预付款担保、质量保证金。</w:t>
      </w:r>
    </w:p>
    <w:p w14:paraId="1BE86D48">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46.</w:t>
      </w:r>
      <w:r>
        <w:rPr>
          <w:rFonts w:ascii="宋体" w:hAnsi="宋体"/>
          <w:color w:val="000000" w:themeColor="text1"/>
          <w14:textFill>
            <w14:solidFill>
              <w14:schemeClr w14:val="tx1"/>
            </w14:solidFill>
          </w14:textFill>
        </w:rPr>
        <w:t>2</w:t>
      </w:r>
      <w:r>
        <w:rPr>
          <w:rFonts w:hint="eastAsia" w:ascii="宋体" w:hAnsi="宋体"/>
          <w:color w:val="000000" w:themeColor="text1"/>
          <w:szCs w:val="21"/>
          <w14:textFill>
            <w14:solidFill>
              <w14:schemeClr w14:val="tx1"/>
            </w14:solidFill>
          </w14:textFill>
        </w:rPr>
        <w:t>谈判文件</w:t>
      </w:r>
      <w:r>
        <w:rPr>
          <w:rFonts w:hint="eastAsia" w:hAnsi="宋体"/>
          <w:color w:val="000000" w:themeColor="text1"/>
          <w14:textFill>
            <w14:solidFill>
              <w14:schemeClr w14:val="tx1"/>
            </w14:solidFill>
          </w14:textFill>
        </w:rPr>
        <w:t>的其他规定</w:t>
      </w:r>
      <w:r>
        <w:rPr>
          <w:rFonts w:hint="eastAsia" w:ascii="宋体" w:hAnsi="宋体"/>
          <w:color w:val="000000" w:themeColor="text1"/>
          <w:szCs w:val="21"/>
          <w14:textFill>
            <w14:solidFill>
              <w14:schemeClr w14:val="tx1"/>
            </w14:solidFill>
          </w14:textFill>
        </w:rPr>
        <w:t>见</w:t>
      </w:r>
      <w:r>
        <w:rPr>
          <w:rFonts w:hint="eastAsia" w:ascii="宋体" w:hAnsi="宋体"/>
          <w:b/>
          <w:color w:val="000000" w:themeColor="text1"/>
          <w:szCs w:val="21"/>
          <w14:textFill>
            <w14:solidFill>
              <w14:schemeClr w14:val="tx1"/>
            </w14:solidFill>
          </w14:textFill>
        </w:rPr>
        <w:t>【谈判须知前附表】</w:t>
      </w:r>
      <w:r>
        <w:rPr>
          <w:rFonts w:hint="eastAsia" w:ascii="宋体" w:hAnsi="宋体"/>
          <w:color w:val="000000" w:themeColor="text1"/>
          <w:szCs w:val="21"/>
          <w14:textFill>
            <w14:solidFill>
              <w14:schemeClr w14:val="tx1"/>
            </w14:solidFill>
          </w14:textFill>
        </w:rPr>
        <w:t>。</w:t>
      </w:r>
    </w:p>
    <w:p w14:paraId="2C355E7D">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pPr>
    </w:p>
    <w:p w14:paraId="13107073">
      <w:pPr>
        <w:adjustRightInd w:val="0"/>
        <w:snapToGrid w:val="0"/>
        <w:spacing w:line="360" w:lineRule="auto"/>
        <w:ind w:firstLine="420" w:firstLineChars="200"/>
        <w:jc w:val="left"/>
        <w:rPr>
          <w:rFonts w:ascii="宋体" w:hAnsi="宋体"/>
          <w:color w:val="000000" w:themeColor="text1"/>
          <w:szCs w:val="21"/>
          <w14:textFill>
            <w14:solidFill>
              <w14:schemeClr w14:val="tx1"/>
            </w14:solidFill>
          </w14:textFill>
        </w:rPr>
        <w:sectPr>
          <w:footerReference r:id="rId5" w:type="default"/>
          <w:pgSz w:w="11906" w:h="16838"/>
          <w:pgMar w:top="1418" w:right="1028" w:bottom="1134" w:left="1418" w:header="851" w:footer="992" w:gutter="0"/>
          <w:pgNumType w:fmt="decimal"/>
          <w:cols w:space="720" w:num="1"/>
          <w:docGrid w:type="linesAndChars" w:linePitch="312" w:charSpace="0"/>
        </w:sectPr>
      </w:pPr>
    </w:p>
    <w:p w14:paraId="627410F8">
      <w:pPr>
        <w:numPr>
          <w:ilvl w:val="0"/>
          <w:numId w:val="2"/>
        </w:numPr>
        <w:snapToGrid w:val="0"/>
        <w:spacing w:line="480" w:lineRule="exact"/>
        <w:jc w:val="center"/>
        <w:rPr>
          <w:rFonts w:hint="eastAsia"/>
          <w:b/>
          <w:bCs/>
          <w:color w:val="auto"/>
          <w:sz w:val="36"/>
          <w:szCs w:val="44"/>
        </w:rPr>
      </w:pPr>
      <w:r>
        <w:rPr>
          <w:rFonts w:hint="eastAsia"/>
          <w:b/>
          <w:bCs/>
          <w:color w:val="auto"/>
          <w:sz w:val="36"/>
          <w:szCs w:val="44"/>
        </w:rPr>
        <w:t>采购需求</w:t>
      </w:r>
    </w:p>
    <w:p w14:paraId="54025CBB">
      <w:pPr>
        <w:keepNext w:val="0"/>
        <w:keepLines w:val="0"/>
        <w:pageBreakBefore w:val="0"/>
        <w:kinsoku/>
        <w:wordWrap/>
        <w:overflowPunct/>
        <w:topLinePunct w:val="0"/>
        <w:bidi w:val="0"/>
        <w:adjustRightInd/>
        <w:snapToGrid/>
        <w:spacing w:line="360" w:lineRule="auto"/>
        <w:ind w:firstLine="422"/>
        <w:textAlignment w:val="auto"/>
        <w:rPr>
          <w:rFonts w:ascii="宋体" w:hAnsi="宋体" w:cs="宋体"/>
          <w:b/>
          <w:color w:val="auto"/>
          <w:kern w:val="1"/>
          <w:sz w:val="22"/>
          <w:szCs w:val="22"/>
        </w:rPr>
      </w:pPr>
      <w:r>
        <w:rPr>
          <w:rFonts w:ascii="宋体" w:hAnsi="宋体" w:cs="宋体"/>
          <w:b/>
          <w:color w:val="auto"/>
          <w:kern w:val="1"/>
          <w:sz w:val="22"/>
          <w:szCs w:val="22"/>
        </w:rPr>
        <w:t>一、项目概况</w:t>
      </w:r>
    </w:p>
    <w:p w14:paraId="43CDB35A">
      <w:pPr>
        <w:keepNext w:val="0"/>
        <w:keepLines w:val="0"/>
        <w:pageBreakBefore w:val="0"/>
        <w:kinsoku/>
        <w:wordWrap/>
        <w:overflowPunct/>
        <w:topLinePunct w:val="0"/>
        <w:bidi w:val="0"/>
        <w:adjustRightInd/>
        <w:snapToGrid/>
        <w:spacing w:line="360" w:lineRule="auto"/>
        <w:ind w:firstLine="420"/>
        <w:textAlignment w:val="auto"/>
        <w:rPr>
          <w:rFonts w:hint="eastAsia" w:ascii="宋体" w:hAnsi="宋体" w:cs="宋体"/>
          <w:color w:val="auto"/>
          <w:kern w:val="1"/>
          <w:sz w:val="22"/>
          <w:szCs w:val="22"/>
        </w:rPr>
      </w:pPr>
      <w:r>
        <w:rPr>
          <w:rFonts w:ascii="宋体" w:hAnsi="宋体" w:cs="宋体"/>
          <w:color w:val="auto"/>
          <w:kern w:val="1"/>
          <w:sz w:val="22"/>
          <w:szCs w:val="22"/>
        </w:rPr>
        <w:t>采购项目名称：</w:t>
      </w:r>
      <w:r>
        <w:rPr>
          <w:rFonts w:hint="eastAsia" w:ascii="宋体" w:hAnsi="宋体" w:cs="宋体"/>
          <w:color w:val="auto"/>
          <w:kern w:val="1"/>
          <w:sz w:val="22"/>
          <w:szCs w:val="22"/>
          <w:lang w:eastAsia="zh-CN"/>
        </w:rPr>
        <w:t>怀化市鹤城区城市建设投资有限公司(区执法局充电桩)配电工程（第三次）</w:t>
      </w:r>
      <w:r>
        <w:rPr>
          <w:rFonts w:hint="eastAsia" w:ascii="宋体" w:hAnsi="宋体" w:cs="宋体"/>
          <w:color w:val="auto"/>
          <w:kern w:val="1"/>
          <w:sz w:val="22"/>
          <w:szCs w:val="22"/>
        </w:rPr>
        <w:t xml:space="preserve"> </w:t>
      </w:r>
    </w:p>
    <w:p w14:paraId="0FAF8E89">
      <w:pPr>
        <w:keepNext w:val="0"/>
        <w:keepLines w:val="0"/>
        <w:pageBreakBefore w:val="0"/>
        <w:kinsoku/>
        <w:wordWrap/>
        <w:overflowPunct/>
        <w:topLinePunct w:val="0"/>
        <w:bidi w:val="0"/>
        <w:adjustRightInd/>
        <w:snapToGrid/>
        <w:spacing w:line="360" w:lineRule="auto"/>
        <w:ind w:firstLine="422"/>
        <w:textAlignment w:val="auto"/>
        <w:rPr>
          <w:rFonts w:hint="eastAsia" w:ascii="宋体" w:hAnsi="宋体" w:cs="宋体"/>
          <w:b/>
          <w:color w:val="auto"/>
          <w:kern w:val="1"/>
          <w:sz w:val="22"/>
          <w:szCs w:val="22"/>
          <w:lang w:val="en-US" w:eastAsia="zh-CN"/>
        </w:rPr>
      </w:pPr>
      <w:r>
        <w:rPr>
          <w:rFonts w:ascii="宋体" w:hAnsi="宋体" w:cs="宋体"/>
          <w:b/>
          <w:color w:val="auto"/>
          <w:kern w:val="1"/>
          <w:sz w:val="22"/>
          <w:szCs w:val="22"/>
        </w:rPr>
        <w:t>二、</w:t>
      </w:r>
      <w:r>
        <w:rPr>
          <w:rFonts w:hint="eastAsia" w:ascii="宋体" w:hAnsi="宋体" w:cs="宋体"/>
          <w:b/>
          <w:color w:val="auto"/>
          <w:kern w:val="1"/>
          <w:sz w:val="22"/>
          <w:szCs w:val="22"/>
          <w:lang w:val="en-US" w:eastAsia="zh-CN"/>
        </w:rPr>
        <w:t>采购项目预算及限价</w:t>
      </w:r>
    </w:p>
    <w:p w14:paraId="3915C888">
      <w:pPr>
        <w:keepNext w:val="0"/>
        <w:keepLines w:val="0"/>
        <w:pageBreakBefore w:val="0"/>
        <w:kinsoku/>
        <w:wordWrap/>
        <w:overflowPunct/>
        <w:topLinePunct w:val="0"/>
        <w:bidi w:val="0"/>
        <w:adjustRightInd/>
        <w:snapToGrid/>
        <w:spacing w:line="360" w:lineRule="auto"/>
        <w:ind w:firstLine="422"/>
        <w:textAlignment w:val="auto"/>
        <w:rPr>
          <w:rFonts w:hint="default" w:ascii="宋体" w:hAnsi="宋体" w:cs="宋体"/>
          <w:b w:val="0"/>
          <w:bCs/>
          <w:color w:val="auto"/>
          <w:kern w:val="1"/>
          <w:sz w:val="22"/>
          <w:szCs w:val="22"/>
          <w:lang w:val="en-US" w:eastAsia="zh-CN"/>
        </w:rPr>
      </w:pPr>
      <w:r>
        <w:rPr>
          <w:rFonts w:hint="eastAsia" w:ascii="宋体" w:hAnsi="宋体" w:cs="宋体"/>
          <w:b w:val="0"/>
          <w:bCs/>
          <w:color w:val="auto"/>
          <w:kern w:val="1"/>
          <w:sz w:val="22"/>
          <w:szCs w:val="22"/>
          <w:lang w:val="en-US" w:eastAsia="zh-CN"/>
        </w:rPr>
        <w:t>采购预算：</w:t>
      </w:r>
      <w:r>
        <w:rPr>
          <w:rFonts w:hint="default" w:ascii="宋体" w:hAnsi="宋体" w:cs="宋体"/>
          <w:b w:val="0"/>
          <w:bCs/>
          <w:color w:val="auto"/>
          <w:kern w:val="1"/>
          <w:sz w:val="22"/>
          <w:szCs w:val="22"/>
          <w:lang w:val="en-US" w:eastAsia="zh-CN"/>
        </w:rPr>
        <w:t>551135.85</w:t>
      </w:r>
      <w:r>
        <w:rPr>
          <w:rFonts w:hint="eastAsia" w:ascii="宋体" w:hAnsi="宋体" w:cs="宋体"/>
          <w:b w:val="0"/>
          <w:bCs/>
          <w:color w:val="auto"/>
          <w:kern w:val="1"/>
          <w:sz w:val="22"/>
          <w:szCs w:val="22"/>
          <w:lang w:val="en-US" w:eastAsia="zh-CN"/>
        </w:rPr>
        <w:t>元</w:t>
      </w:r>
    </w:p>
    <w:p w14:paraId="0A6D4746">
      <w:pPr>
        <w:keepNext w:val="0"/>
        <w:keepLines w:val="0"/>
        <w:pageBreakBefore w:val="0"/>
        <w:kinsoku/>
        <w:wordWrap/>
        <w:overflowPunct/>
        <w:topLinePunct w:val="0"/>
        <w:bidi w:val="0"/>
        <w:adjustRightInd/>
        <w:snapToGrid/>
        <w:spacing w:line="360" w:lineRule="auto"/>
        <w:ind w:firstLine="422"/>
        <w:textAlignment w:val="auto"/>
        <w:rPr>
          <w:rFonts w:ascii="宋体" w:hAnsi="宋体" w:cs="宋体"/>
          <w:b/>
          <w:color w:val="auto"/>
          <w:kern w:val="1"/>
          <w:sz w:val="22"/>
          <w:szCs w:val="22"/>
        </w:rPr>
      </w:pPr>
      <w:r>
        <w:rPr>
          <w:rFonts w:hint="eastAsia" w:ascii="宋体" w:hAnsi="宋体" w:cs="宋体"/>
          <w:color w:val="auto"/>
          <w:kern w:val="1"/>
          <w:sz w:val="22"/>
          <w:szCs w:val="22"/>
          <w:lang w:val="en-US" w:eastAsia="zh-CN"/>
        </w:rPr>
        <w:t xml:space="preserve"> </w:t>
      </w:r>
      <w:r>
        <w:rPr>
          <w:rFonts w:ascii="宋体" w:hAnsi="宋体" w:cs="宋体"/>
          <w:b/>
          <w:color w:val="auto"/>
          <w:kern w:val="1"/>
          <w:sz w:val="22"/>
          <w:szCs w:val="22"/>
        </w:rPr>
        <w:t>三、具体工作内容及要求</w:t>
      </w:r>
    </w:p>
    <w:p w14:paraId="5BA1A72C">
      <w:pPr>
        <w:spacing w:beforeLines="0" w:afterLines="0" w:line="560" w:lineRule="exact"/>
        <w:ind w:firstLine="440" w:firstLineChars="200"/>
        <w:rPr>
          <w:rFonts w:ascii="宋体" w:hAnsi="宋体" w:cs="宋体"/>
          <w:color w:val="auto"/>
          <w:kern w:val="1"/>
          <w:sz w:val="22"/>
          <w:szCs w:val="22"/>
        </w:rPr>
      </w:pPr>
      <w:r>
        <w:rPr>
          <w:rFonts w:hint="eastAsia" w:ascii="宋体" w:hAnsi="宋体" w:cs="宋体"/>
          <w:color w:val="auto"/>
          <w:kern w:val="1"/>
          <w:sz w:val="22"/>
          <w:szCs w:val="22"/>
        </w:rPr>
        <w:t>工程为</w:t>
      </w:r>
      <w:r>
        <w:rPr>
          <w:rFonts w:hint="eastAsia" w:ascii="宋体" w:hAnsi="宋体" w:cs="宋体"/>
          <w:color w:val="auto"/>
          <w:kern w:val="1"/>
          <w:sz w:val="22"/>
          <w:szCs w:val="22"/>
          <w:lang w:eastAsia="zh-CN"/>
        </w:rPr>
        <w:t>怀化市鹤城区城市建设投资有限公司(区执法局充电桩)配电工程（第三次）</w:t>
      </w:r>
      <w:r>
        <w:rPr>
          <w:rFonts w:hint="eastAsia" w:ascii="宋体" w:hAnsi="宋体" w:cs="宋体"/>
          <w:color w:val="auto"/>
          <w:kern w:val="1"/>
          <w:sz w:val="22"/>
          <w:szCs w:val="22"/>
          <w:lang w:val="en-US" w:eastAsia="zh-CN"/>
        </w:rPr>
        <w:t>设备材料采购及施工总承包</w:t>
      </w:r>
      <w:r>
        <w:rPr>
          <w:rFonts w:hint="eastAsia" w:ascii="宋体" w:hAnsi="宋体" w:cs="宋体"/>
          <w:color w:val="auto"/>
          <w:kern w:val="1"/>
          <w:sz w:val="22"/>
          <w:szCs w:val="22"/>
          <w:lang w:eastAsia="zh-CN"/>
        </w:rPr>
        <w:t>：</w:t>
      </w:r>
      <w:r>
        <w:rPr>
          <w:rFonts w:hint="eastAsia" w:ascii="宋体" w:hAnsi="宋体" w:cs="宋体"/>
          <w:color w:val="auto"/>
          <w:kern w:val="1"/>
          <w:sz w:val="22"/>
          <w:szCs w:val="22"/>
          <w:lang w:val="en-US" w:eastAsia="zh-CN"/>
        </w:rPr>
        <w:t>1.箱式变电站安装；2</w:t>
      </w:r>
      <w:r>
        <w:rPr>
          <w:rFonts w:hint="eastAsia" w:ascii="宋体" w:hAnsi="宋体" w:eastAsia="宋体" w:cs="宋体"/>
          <w:color w:val="auto"/>
          <w:kern w:val="1"/>
          <w:sz w:val="22"/>
          <w:szCs w:val="22"/>
          <w:lang w:val="en-US" w:eastAsia="zh-CN"/>
        </w:rPr>
        <w:t>.</w:t>
      </w:r>
      <w:r>
        <w:rPr>
          <w:rFonts w:hint="eastAsia" w:ascii="宋体" w:hAnsi="宋体" w:eastAsia="宋体" w:cs="宋体"/>
          <w:color w:val="auto"/>
          <w:kern w:val="1"/>
          <w:sz w:val="22"/>
          <w:szCs w:val="22"/>
          <w:lang w:eastAsia="zh-CN"/>
        </w:rPr>
        <w:t>电缆分支箱安装；</w:t>
      </w:r>
      <w:r>
        <w:rPr>
          <w:rFonts w:hint="eastAsia" w:ascii="宋体" w:hAnsi="宋体" w:cs="宋体"/>
          <w:color w:val="auto"/>
          <w:kern w:val="1"/>
          <w:sz w:val="22"/>
          <w:szCs w:val="22"/>
          <w:lang w:val="en-US" w:eastAsia="zh-CN"/>
        </w:rPr>
        <w:t>3</w:t>
      </w:r>
      <w:r>
        <w:rPr>
          <w:rFonts w:hint="eastAsia" w:ascii="宋体" w:hAnsi="宋体" w:eastAsia="宋体" w:cs="宋体"/>
          <w:color w:val="auto"/>
          <w:kern w:val="1"/>
          <w:sz w:val="22"/>
          <w:szCs w:val="22"/>
          <w:lang w:val="en-US" w:eastAsia="zh-CN"/>
        </w:rPr>
        <w:t>.</w:t>
      </w:r>
      <w:r>
        <w:rPr>
          <w:rFonts w:hint="eastAsia" w:ascii="宋体" w:hAnsi="宋体" w:eastAsia="宋体" w:cs="宋体"/>
          <w:color w:val="auto"/>
          <w:kern w:val="1"/>
          <w:sz w:val="22"/>
          <w:szCs w:val="22"/>
          <w:lang w:eastAsia="zh-CN"/>
        </w:rPr>
        <w:t>电缆敷设；</w:t>
      </w:r>
      <w:r>
        <w:rPr>
          <w:rFonts w:hint="eastAsia" w:ascii="宋体" w:hAnsi="宋体" w:cs="宋体"/>
          <w:color w:val="auto"/>
          <w:kern w:val="1"/>
          <w:sz w:val="22"/>
          <w:szCs w:val="22"/>
          <w:lang w:val="en-US" w:eastAsia="zh-CN"/>
        </w:rPr>
        <w:t>4</w:t>
      </w:r>
      <w:r>
        <w:rPr>
          <w:rFonts w:hint="eastAsia" w:ascii="宋体" w:hAnsi="宋体" w:eastAsia="宋体" w:cs="宋体"/>
          <w:color w:val="auto"/>
          <w:kern w:val="1"/>
          <w:sz w:val="22"/>
          <w:szCs w:val="22"/>
          <w:lang w:val="en-US" w:eastAsia="zh-CN"/>
        </w:rPr>
        <w:t>.</w:t>
      </w:r>
      <w:r>
        <w:rPr>
          <w:rFonts w:hint="eastAsia" w:ascii="宋体" w:hAnsi="宋体" w:eastAsia="宋体" w:cs="宋体"/>
          <w:color w:val="auto"/>
          <w:kern w:val="1"/>
          <w:sz w:val="22"/>
          <w:szCs w:val="22"/>
          <w:lang w:eastAsia="zh-CN"/>
        </w:rPr>
        <w:t>电缆保护管安装；</w:t>
      </w:r>
      <w:r>
        <w:rPr>
          <w:rFonts w:hint="eastAsia" w:ascii="宋体" w:hAnsi="宋体" w:cs="宋体"/>
          <w:color w:val="auto"/>
          <w:kern w:val="1"/>
          <w:sz w:val="22"/>
          <w:szCs w:val="22"/>
          <w:lang w:val="en-US" w:eastAsia="zh-CN"/>
        </w:rPr>
        <w:t>5.</w:t>
      </w:r>
      <w:r>
        <w:rPr>
          <w:rFonts w:hint="eastAsia" w:ascii="宋体" w:hAnsi="宋体" w:eastAsia="宋体" w:cs="宋体"/>
          <w:color w:val="auto"/>
          <w:kern w:val="1"/>
          <w:sz w:val="22"/>
          <w:szCs w:val="22"/>
          <w:lang w:eastAsia="zh-CN"/>
        </w:rPr>
        <w:t>电缆检查井砌筑；</w:t>
      </w:r>
      <w:r>
        <w:rPr>
          <w:rFonts w:hint="eastAsia" w:ascii="宋体" w:hAnsi="宋体" w:cs="宋体"/>
          <w:color w:val="auto"/>
          <w:kern w:val="1"/>
          <w:sz w:val="22"/>
          <w:szCs w:val="22"/>
          <w:lang w:val="en-US" w:eastAsia="zh-CN"/>
        </w:rPr>
        <w:t>6.</w:t>
      </w:r>
      <w:r>
        <w:rPr>
          <w:rFonts w:hint="eastAsia" w:ascii="宋体" w:hAnsi="宋体" w:eastAsia="宋体" w:cs="宋体"/>
          <w:color w:val="auto"/>
          <w:kern w:val="1"/>
          <w:sz w:val="22"/>
          <w:szCs w:val="22"/>
          <w:lang w:eastAsia="zh-CN"/>
        </w:rPr>
        <w:t>管沟开挖及回填等。（详见图纸及</w:t>
      </w:r>
      <w:r>
        <w:rPr>
          <w:rFonts w:hint="eastAsia" w:ascii="宋体" w:hAnsi="宋体" w:eastAsia="宋体" w:cs="宋体"/>
          <w:color w:val="auto"/>
          <w:kern w:val="1"/>
          <w:sz w:val="22"/>
          <w:szCs w:val="22"/>
          <w:lang w:val="en-US" w:eastAsia="zh-CN"/>
        </w:rPr>
        <w:t>工程量清单</w:t>
      </w:r>
      <w:r>
        <w:rPr>
          <w:rFonts w:hint="eastAsia" w:ascii="宋体" w:hAnsi="宋体" w:eastAsia="宋体" w:cs="宋体"/>
          <w:color w:val="auto"/>
          <w:kern w:val="1"/>
          <w:sz w:val="22"/>
          <w:szCs w:val="22"/>
          <w:lang w:eastAsia="zh-CN"/>
        </w:rPr>
        <w:t>等）。</w:t>
      </w:r>
    </w:p>
    <w:p w14:paraId="6893D3B9">
      <w:pPr>
        <w:keepNext w:val="0"/>
        <w:keepLines w:val="0"/>
        <w:pageBreakBefore w:val="0"/>
        <w:numPr>
          <w:ilvl w:val="0"/>
          <w:numId w:val="3"/>
        </w:numPr>
        <w:kinsoku/>
        <w:wordWrap/>
        <w:overflowPunct/>
        <w:topLinePunct w:val="0"/>
        <w:bidi w:val="0"/>
        <w:adjustRightInd/>
        <w:snapToGrid/>
        <w:spacing w:line="360" w:lineRule="auto"/>
        <w:ind w:firstLine="420"/>
        <w:textAlignment w:val="auto"/>
        <w:rPr>
          <w:rFonts w:hint="eastAsia" w:ascii="宋体" w:hAnsi="宋体" w:cs="宋体"/>
          <w:b/>
          <w:color w:val="auto"/>
          <w:kern w:val="1"/>
          <w:sz w:val="22"/>
          <w:szCs w:val="22"/>
        </w:rPr>
      </w:pPr>
      <w:r>
        <w:rPr>
          <w:rFonts w:ascii="宋体" w:hAnsi="宋体" w:cs="宋体"/>
          <w:b/>
          <w:color w:val="auto"/>
          <w:kern w:val="1"/>
          <w:sz w:val="22"/>
          <w:szCs w:val="22"/>
        </w:rPr>
        <w:t>工期、质量要求</w:t>
      </w:r>
      <w:r>
        <w:rPr>
          <w:rFonts w:hint="eastAsia" w:ascii="宋体" w:hAnsi="宋体" w:cs="宋体"/>
          <w:b/>
          <w:color w:val="auto"/>
          <w:kern w:val="1"/>
          <w:sz w:val="22"/>
          <w:szCs w:val="22"/>
        </w:rPr>
        <w:t>、</w:t>
      </w:r>
      <w:r>
        <w:rPr>
          <w:rFonts w:ascii="宋体" w:hAnsi="宋体" w:cs="宋体"/>
          <w:b/>
          <w:color w:val="auto"/>
          <w:kern w:val="1"/>
          <w:sz w:val="22"/>
          <w:szCs w:val="22"/>
        </w:rPr>
        <w:t>付款</w:t>
      </w:r>
      <w:r>
        <w:rPr>
          <w:rFonts w:hint="eastAsia" w:ascii="宋体" w:hAnsi="宋体" w:cs="宋体"/>
          <w:b/>
          <w:color w:val="auto"/>
          <w:kern w:val="1"/>
          <w:sz w:val="22"/>
          <w:szCs w:val="22"/>
        </w:rPr>
        <w:t>及验收要求</w:t>
      </w:r>
    </w:p>
    <w:p w14:paraId="21598032">
      <w:pPr>
        <w:keepNext w:val="0"/>
        <w:keepLines w:val="0"/>
        <w:pageBreakBefore w:val="0"/>
        <w:kinsoku/>
        <w:wordWrap/>
        <w:overflowPunct/>
        <w:topLinePunct w:val="0"/>
        <w:bidi w:val="0"/>
        <w:adjustRightInd/>
        <w:snapToGrid/>
        <w:spacing w:line="360" w:lineRule="auto"/>
        <w:ind w:firstLine="440" w:firstLineChars="200"/>
        <w:textAlignment w:val="auto"/>
        <w:rPr>
          <w:rFonts w:ascii="宋体" w:hAnsi="宋体" w:cs="宋体"/>
          <w:color w:val="auto"/>
          <w:kern w:val="1"/>
          <w:sz w:val="22"/>
          <w:szCs w:val="28"/>
        </w:rPr>
      </w:pPr>
      <w:r>
        <w:rPr>
          <w:rFonts w:ascii="宋体" w:hAnsi="宋体" w:cs="宋体"/>
          <w:color w:val="auto"/>
          <w:kern w:val="1"/>
          <w:sz w:val="22"/>
          <w:szCs w:val="28"/>
        </w:rPr>
        <w:t>1、工期：</w:t>
      </w:r>
      <w:r>
        <w:rPr>
          <w:rFonts w:hint="eastAsia" w:ascii="宋体" w:hAnsi="宋体"/>
          <w:color w:val="auto"/>
          <w:sz w:val="22"/>
          <w:szCs w:val="22"/>
          <w:lang w:val="en-US" w:eastAsia="zh-CN"/>
        </w:rPr>
        <w:t>60</w:t>
      </w:r>
      <w:r>
        <w:rPr>
          <w:rFonts w:hint="eastAsia" w:ascii="宋体" w:hAnsi="宋体"/>
          <w:color w:val="auto"/>
          <w:sz w:val="22"/>
          <w:szCs w:val="22"/>
        </w:rPr>
        <w:t>日历天</w:t>
      </w:r>
      <w:r>
        <w:rPr>
          <w:rFonts w:hint="eastAsia" w:ascii="宋体" w:hAnsi="宋体" w:cs="宋体"/>
          <w:color w:val="auto"/>
          <w:kern w:val="1"/>
          <w:sz w:val="22"/>
          <w:szCs w:val="28"/>
        </w:rPr>
        <w:t>。</w:t>
      </w:r>
    </w:p>
    <w:p w14:paraId="00A47098">
      <w:pPr>
        <w:keepNext w:val="0"/>
        <w:keepLines w:val="0"/>
        <w:pageBreakBefore w:val="0"/>
        <w:kinsoku/>
        <w:wordWrap/>
        <w:overflowPunct/>
        <w:topLinePunct w:val="0"/>
        <w:bidi w:val="0"/>
        <w:adjustRightInd/>
        <w:snapToGrid/>
        <w:spacing w:line="360" w:lineRule="auto"/>
        <w:ind w:firstLine="420"/>
        <w:textAlignment w:val="auto"/>
        <w:rPr>
          <w:rFonts w:hint="eastAsia" w:ascii="宋体" w:hAnsi="宋体" w:cs="宋体"/>
          <w:color w:val="auto"/>
          <w:kern w:val="1"/>
          <w:sz w:val="22"/>
          <w:szCs w:val="28"/>
        </w:rPr>
      </w:pPr>
      <w:r>
        <w:rPr>
          <w:rFonts w:ascii="宋体" w:hAnsi="宋体" w:cs="宋体"/>
          <w:color w:val="auto"/>
          <w:kern w:val="1"/>
          <w:sz w:val="22"/>
          <w:szCs w:val="28"/>
        </w:rPr>
        <w:t>2、质量要求：符合工程质量验收规范，验收合格</w:t>
      </w:r>
      <w:r>
        <w:rPr>
          <w:rFonts w:hint="eastAsia" w:ascii="宋体" w:hAnsi="宋体" w:cs="宋体"/>
          <w:color w:val="auto"/>
          <w:kern w:val="1"/>
          <w:sz w:val="22"/>
          <w:szCs w:val="28"/>
        </w:rPr>
        <w:t>。</w:t>
      </w:r>
    </w:p>
    <w:p w14:paraId="68786ABC">
      <w:pPr>
        <w:keepNext w:val="0"/>
        <w:keepLines w:val="0"/>
        <w:pageBreakBefore w:val="0"/>
        <w:kinsoku/>
        <w:wordWrap/>
        <w:overflowPunct/>
        <w:topLinePunct w:val="0"/>
        <w:bidi w:val="0"/>
        <w:adjustRightInd/>
        <w:snapToGrid/>
        <w:spacing w:line="360" w:lineRule="auto"/>
        <w:ind w:firstLine="420"/>
        <w:textAlignment w:val="auto"/>
        <w:rPr>
          <w:rFonts w:ascii="宋体" w:hAnsi="宋体" w:cs="宋体"/>
          <w:b/>
          <w:color w:val="auto"/>
          <w:kern w:val="1"/>
          <w:sz w:val="22"/>
          <w:szCs w:val="22"/>
        </w:rPr>
      </w:pPr>
      <w:r>
        <w:rPr>
          <w:rFonts w:ascii="宋体" w:hAnsi="宋体" w:cs="宋体"/>
          <w:color w:val="auto"/>
          <w:kern w:val="1"/>
          <w:sz w:val="22"/>
          <w:szCs w:val="22"/>
        </w:rPr>
        <w:t>3、</w:t>
      </w:r>
      <w:r>
        <w:rPr>
          <w:rFonts w:ascii="宋体" w:hAnsi="宋体" w:cs="宋体"/>
          <w:color w:val="auto"/>
          <w:kern w:val="1"/>
          <w:sz w:val="22"/>
          <w:szCs w:val="28"/>
        </w:rPr>
        <w:t>质量标准</w:t>
      </w:r>
    </w:p>
    <w:p w14:paraId="5E06BF3D">
      <w:pPr>
        <w:keepNext w:val="0"/>
        <w:keepLines w:val="0"/>
        <w:pageBreakBefore w:val="0"/>
        <w:kinsoku/>
        <w:wordWrap/>
        <w:overflowPunct/>
        <w:topLinePunct w:val="0"/>
        <w:bidi w:val="0"/>
        <w:adjustRightInd/>
        <w:snapToGrid/>
        <w:spacing w:line="360" w:lineRule="auto"/>
        <w:ind w:firstLine="420"/>
        <w:textAlignment w:val="auto"/>
        <w:rPr>
          <w:rFonts w:ascii="宋体" w:hAnsi="宋体" w:cs="宋体"/>
          <w:color w:val="auto"/>
          <w:kern w:val="1"/>
          <w:sz w:val="22"/>
          <w:szCs w:val="28"/>
        </w:rPr>
      </w:pPr>
      <w:r>
        <w:rPr>
          <w:rFonts w:ascii="宋体" w:hAnsi="宋体" w:cs="宋体"/>
          <w:color w:val="auto"/>
          <w:kern w:val="1"/>
          <w:sz w:val="22"/>
          <w:szCs w:val="28"/>
        </w:rPr>
        <w:t>（1）工程质量及工程验收标准，按建设部现行的有关施工规范和工程质量检验评定标准执行，务必达到合格工程标准。成交供应商如有违反操作规程及粗制滥造现象，采购人有权加以制止，直至下令停止施工，其经济损失全部由承包人负责，工期不得顺延。</w:t>
      </w:r>
    </w:p>
    <w:p w14:paraId="29EEE7F2">
      <w:pPr>
        <w:keepNext w:val="0"/>
        <w:keepLines w:val="0"/>
        <w:pageBreakBefore w:val="0"/>
        <w:kinsoku/>
        <w:wordWrap/>
        <w:overflowPunct/>
        <w:topLinePunct w:val="0"/>
        <w:bidi w:val="0"/>
        <w:adjustRightInd/>
        <w:snapToGrid/>
        <w:spacing w:line="360" w:lineRule="auto"/>
        <w:ind w:firstLine="420"/>
        <w:textAlignment w:val="auto"/>
        <w:rPr>
          <w:rFonts w:ascii="宋体" w:hAnsi="宋体" w:cs="宋体"/>
          <w:color w:val="auto"/>
          <w:kern w:val="1"/>
          <w:sz w:val="22"/>
          <w:szCs w:val="28"/>
        </w:rPr>
      </w:pPr>
      <w:r>
        <w:rPr>
          <w:rFonts w:ascii="宋体" w:hAnsi="宋体" w:cs="宋体"/>
          <w:color w:val="auto"/>
          <w:kern w:val="1"/>
          <w:sz w:val="22"/>
          <w:szCs w:val="28"/>
        </w:rPr>
        <w:t>（2）当现场情况与设计不相符时，须先报告采购方, 再由采购方和设计方根据现场进行调整。</w:t>
      </w:r>
    </w:p>
    <w:p w14:paraId="25F81502">
      <w:pPr>
        <w:keepNext w:val="0"/>
        <w:keepLines w:val="0"/>
        <w:pageBreakBefore w:val="0"/>
        <w:kinsoku/>
        <w:wordWrap/>
        <w:overflowPunct/>
        <w:topLinePunct w:val="0"/>
        <w:bidi w:val="0"/>
        <w:adjustRightInd/>
        <w:snapToGrid/>
        <w:spacing w:line="360" w:lineRule="auto"/>
        <w:ind w:firstLine="420"/>
        <w:textAlignment w:val="auto"/>
        <w:rPr>
          <w:rFonts w:ascii="宋体" w:hAnsi="宋体" w:cs="宋体"/>
          <w:color w:val="auto"/>
          <w:kern w:val="1"/>
          <w:sz w:val="22"/>
          <w:szCs w:val="28"/>
        </w:rPr>
      </w:pPr>
      <w:r>
        <w:rPr>
          <w:rFonts w:ascii="宋体" w:hAnsi="宋体" w:cs="宋体"/>
          <w:color w:val="auto"/>
          <w:kern w:val="1"/>
          <w:sz w:val="22"/>
          <w:szCs w:val="28"/>
        </w:rPr>
        <w:t>（3）保修</w:t>
      </w:r>
      <w:r>
        <w:rPr>
          <w:rFonts w:hint="eastAsia" w:ascii="宋体" w:hAnsi="宋体" w:cs="宋体"/>
          <w:color w:val="auto"/>
          <w:kern w:val="1"/>
          <w:sz w:val="22"/>
          <w:szCs w:val="28"/>
        </w:rPr>
        <w:t>按国务院279号令及国家现行相关规定执行</w:t>
      </w:r>
      <w:r>
        <w:rPr>
          <w:rFonts w:ascii="宋体" w:hAnsi="宋体" w:cs="宋体"/>
          <w:color w:val="auto"/>
          <w:kern w:val="1"/>
          <w:sz w:val="22"/>
          <w:szCs w:val="28"/>
        </w:rPr>
        <w:t>。</w:t>
      </w:r>
    </w:p>
    <w:p w14:paraId="40EFDA4B">
      <w:pPr>
        <w:keepNext w:val="0"/>
        <w:keepLines w:val="0"/>
        <w:pageBreakBefore w:val="0"/>
        <w:kinsoku/>
        <w:wordWrap/>
        <w:overflowPunct/>
        <w:topLinePunct w:val="0"/>
        <w:bidi w:val="0"/>
        <w:adjustRightInd/>
        <w:snapToGrid/>
        <w:spacing w:line="360" w:lineRule="auto"/>
        <w:ind w:firstLine="418"/>
        <w:textAlignment w:val="auto"/>
        <w:rPr>
          <w:rFonts w:hint="eastAsia" w:ascii="宋体" w:hAnsi="宋体" w:cs="宋体"/>
          <w:color w:val="auto"/>
          <w:kern w:val="1"/>
          <w:sz w:val="22"/>
          <w:szCs w:val="22"/>
        </w:rPr>
      </w:pPr>
      <w:r>
        <w:rPr>
          <w:rFonts w:hint="eastAsia" w:ascii="宋体" w:hAnsi="宋体" w:cs="宋体"/>
          <w:color w:val="auto"/>
          <w:kern w:val="1"/>
          <w:sz w:val="22"/>
          <w:szCs w:val="22"/>
        </w:rPr>
        <w:t>4、</w:t>
      </w:r>
      <w:r>
        <w:rPr>
          <w:rFonts w:ascii="宋体" w:hAnsi="宋体" w:cs="宋体"/>
          <w:color w:val="auto"/>
          <w:kern w:val="1"/>
          <w:sz w:val="22"/>
          <w:szCs w:val="22"/>
        </w:rPr>
        <w:t>施工及验收标准</w:t>
      </w:r>
      <w:r>
        <w:rPr>
          <w:rFonts w:hint="eastAsia" w:ascii="宋体" w:hAnsi="宋体" w:cs="宋体"/>
          <w:color w:val="auto"/>
          <w:kern w:val="1"/>
          <w:sz w:val="22"/>
          <w:szCs w:val="22"/>
          <w:lang w:eastAsia="zh-CN"/>
        </w:rPr>
        <w:t>：</w:t>
      </w:r>
      <w:r>
        <w:rPr>
          <w:rFonts w:hint="eastAsia" w:ascii="宋体" w:hAnsi="宋体" w:cs="宋体"/>
          <w:color w:val="auto"/>
          <w:kern w:val="1"/>
          <w:sz w:val="22"/>
          <w:szCs w:val="22"/>
        </w:rPr>
        <w:t>本工程项目的材料、设备、施工须执行中华人民共和国所有现行工程建设国家规范、技术要求及强制性条文，具体以本项目设计文件相关技术标准和要求为准。</w:t>
      </w:r>
    </w:p>
    <w:p w14:paraId="105E5A5D">
      <w:pPr>
        <w:spacing w:beforeLines="0" w:afterLines="0" w:line="560" w:lineRule="exact"/>
        <w:ind w:firstLine="440" w:firstLineChars="200"/>
        <w:rPr>
          <w:rFonts w:hint="eastAsia" w:ascii="宋体" w:hAnsi="宋体" w:eastAsia="宋体" w:cs="宋体"/>
          <w:color w:val="auto"/>
          <w:kern w:val="1"/>
          <w:sz w:val="22"/>
          <w:szCs w:val="22"/>
        </w:rPr>
      </w:pPr>
      <w:r>
        <w:rPr>
          <w:rFonts w:hint="eastAsia" w:ascii="宋体" w:hAnsi="宋体" w:cs="宋体"/>
          <w:color w:val="auto"/>
          <w:kern w:val="1"/>
          <w:sz w:val="22"/>
          <w:szCs w:val="22"/>
        </w:rPr>
        <w:t>5、工程款支付</w:t>
      </w:r>
      <w:r>
        <w:rPr>
          <w:rFonts w:hint="eastAsia" w:ascii="宋体" w:hAnsi="宋体" w:eastAsia="宋体" w:cs="宋体"/>
          <w:color w:val="auto"/>
          <w:kern w:val="1"/>
          <w:sz w:val="22"/>
          <w:szCs w:val="22"/>
          <w:lang w:eastAsia="zh-CN"/>
        </w:rPr>
        <w:t>：</w:t>
      </w:r>
      <w:r>
        <w:rPr>
          <w:rFonts w:hint="eastAsia" w:ascii="宋体" w:hAnsi="宋体" w:eastAsia="宋体" w:cs="宋体"/>
          <w:color w:val="auto"/>
          <w:kern w:val="1"/>
          <w:sz w:val="22"/>
          <w:szCs w:val="22"/>
          <w:lang w:val="en-US" w:eastAsia="zh-CN"/>
        </w:rPr>
        <w:t>按照月实际完成的工程量进行计量和支付申请，每月支付相应工程款80%的金额，承包人必须按实际工程量报进度款，若虚报工程量被发包人发现后，发包人有权按相应比例罚处工程款，</w:t>
      </w:r>
      <w:r>
        <w:rPr>
          <w:rFonts w:hint="eastAsia" w:ascii="宋体" w:hAnsi="宋体" w:eastAsia="宋体" w:cs="宋体"/>
          <w:color w:val="auto"/>
          <w:kern w:val="1"/>
          <w:sz w:val="22"/>
          <w:szCs w:val="22"/>
        </w:rPr>
        <w:t>工程完工经验收合格后支付至总工程价款的</w:t>
      </w:r>
      <w:r>
        <w:rPr>
          <w:rFonts w:hint="eastAsia" w:ascii="宋体" w:hAnsi="宋体" w:eastAsia="宋体" w:cs="宋体"/>
          <w:color w:val="auto"/>
          <w:kern w:val="1"/>
          <w:sz w:val="22"/>
          <w:szCs w:val="22"/>
          <w:lang w:val="en-US" w:eastAsia="zh-CN"/>
        </w:rPr>
        <w:t>80</w:t>
      </w:r>
      <w:r>
        <w:rPr>
          <w:rFonts w:hint="eastAsia" w:ascii="宋体" w:hAnsi="宋体" w:eastAsia="宋体" w:cs="宋体"/>
          <w:color w:val="auto"/>
          <w:kern w:val="1"/>
          <w:sz w:val="22"/>
          <w:szCs w:val="22"/>
        </w:rPr>
        <w:t>%。</w:t>
      </w:r>
      <w:r>
        <w:rPr>
          <w:rFonts w:hint="eastAsia" w:ascii="宋体" w:hAnsi="宋体" w:eastAsia="宋体" w:cs="宋体"/>
          <w:color w:val="auto"/>
          <w:kern w:val="1"/>
          <w:sz w:val="22"/>
          <w:szCs w:val="22"/>
          <w:lang w:eastAsia="zh-CN"/>
        </w:rPr>
        <w:t>工程完工经验收合格且工程资料齐全完善交付发包人后，</w:t>
      </w:r>
      <w:r>
        <w:rPr>
          <w:rFonts w:hint="eastAsia" w:ascii="宋体" w:hAnsi="宋体" w:eastAsia="宋体" w:cs="宋体"/>
          <w:color w:val="auto"/>
          <w:kern w:val="1"/>
          <w:sz w:val="22"/>
          <w:szCs w:val="22"/>
        </w:rPr>
        <w:t>经</w:t>
      </w:r>
      <w:r>
        <w:rPr>
          <w:rFonts w:hint="eastAsia" w:ascii="宋体" w:hAnsi="宋体" w:eastAsia="宋体" w:cs="宋体"/>
          <w:color w:val="auto"/>
          <w:kern w:val="1"/>
          <w:sz w:val="22"/>
          <w:szCs w:val="22"/>
          <w:lang w:eastAsia="zh-CN"/>
        </w:rPr>
        <w:t>建设单位相关部门审核，并出具结算审核报告</w:t>
      </w:r>
      <w:r>
        <w:rPr>
          <w:rFonts w:hint="eastAsia" w:ascii="宋体" w:hAnsi="宋体" w:eastAsia="宋体" w:cs="宋体"/>
          <w:color w:val="auto"/>
          <w:kern w:val="1"/>
          <w:sz w:val="22"/>
          <w:szCs w:val="22"/>
        </w:rPr>
        <w:t>，支付到</w:t>
      </w:r>
      <w:r>
        <w:rPr>
          <w:rFonts w:hint="eastAsia" w:ascii="宋体" w:hAnsi="宋体" w:eastAsia="宋体" w:cs="宋体"/>
          <w:color w:val="auto"/>
          <w:kern w:val="1"/>
          <w:sz w:val="22"/>
          <w:szCs w:val="22"/>
          <w:lang w:eastAsia="zh-CN"/>
        </w:rPr>
        <w:t>结算</w:t>
      </w:r>
      <w:r>
        <w:rPr>
          <w:rFonts w:hint="eastAsia" w:ascii="宋体" w:hAnsi="宋体" w:eastAsia="宋体" w:cs="宋体"/>
          <w:color w:val="auto"/>
          <w:kern w:val="1"/>
          <w:sz w:val="22"/>
          <w:szCs w:val="22"/>
        </w:rPr>
        <w:t>款总额的97%，其余3%做质保金，质保期开始两年后无质量问题无息支付。</w:t>
      </w:r>
      <w:r>
        <w:rPr>
          <w:rFonts w:hint="eastAsia" w:ascii="宋体" w:hAnsi="宋体" w:eastAsia="宋体" w:cs="宋体"/>
          <w:color w:val="auto"/>
          <w:kern w:val="1"/>
          <w:sz w:val="22"/>
          <w:szCs w:val="22"/>
          <w:lang w:val="en-US" w:eastAsia="zh-CN"/>
        </w:rPr>
        <w:t>承包人</w:t>
      </w:r>
      <w:r>
        <w:rPr>
          <w:rFonts w:hint="eastAsia" w:ascii="宋体" w:hAnsi="宋体" w:eastAsia="宋体" w:cs="宋体"/>
          <w:color w:val="auto"/>
          <w:kern w:val="1"/>
          <w:sz w:val="22"/>
          <w:szCs w:val="22"/>
        </w:rPr>
        <w:t>应向</w:t>
      </w:r>
      <w:r>
        <w:rPr>
          <w:rFonts w:hint="eastAsia" w:ascii="宋体" w:hAnsi="宋体" w:eastAsia="宋体" w:cs="宋体"/>
          <w:color w:val="auto"/>
          <w:kern w:val="1"/>
          <w:sz w:val="22"/>
          <w:szCs w:val="22"/>
          <w:lang w:eastAsia="zh-CN"/>
        </w:rPr>
        <w:t>发包人</w:t>
      </w:r>
      <w:r>
        <w:rPr>
          <w:rFonts w:hint="eastAsia" w:ascii="宋体" w:hAnsi="宋体" w:eastAsia="宋体" w:cs="宋体"/>
          <w:color w:val="auto"/>
          <w:kern w:val="1"/>
          <w:sz w:val="22"/>
          <w:szCs w:val="22"/>
        </w:rPr>
        <w:t>提供等额</w:t>
      </w:r>
      <w:r>
        <w:rPr>
          <w:rFonts w:hint="eastAsia" w:ascii="宋体" w:hAnsi="宋体" w:eastAsia="宋体" w:cs="宋体"/>
          <w:color w:val="auto"/>
          <w:kern w:val="1"/>
          <w:sz w:val="22"/>
          <w:szCs w:val="22"/>
          <w:lang w:eastAsia="zh-CN"/>
        </w:rPr>
        <w:t>增值税专用</w:t>
      </w:r>
      <w:r>
        <w:rPr>
          <w:rFonts w:hint="eastAsia" w:ascii="宋体" w:hAnsi="宋体" w:eastAsia="宋体" w:cs="宋体"/>
          <w:color w:val="auto"/>
          <w:kern w:val="1"/>
          <w:sz w:val="22"/>
          <w:szCs w:val="22"/>
        </w:rPr>
        <w:t>发票</w:t>
      </w:r>
      <w:r>
        <w:rPr>
          <w:rFonts w:hint="eastAsia" w:ascii="宋体" w:hAnsi="宋体" w:eastAsia="宋体" w:cs="宋体"/>
          <w:color w:val="auto"/>
          <w:kern w:val="1"/>
          <w:sz w:val="22"/>
          <w:szCs w:val="22"/>
          <w:lang w:val="en-US" w:eastAsia="zh-CN"/>
        </w:rPr>
        <w:t>。</w:t>
      </w:r>
    </w:p>
    <w:p w14:paraId="78075D4F">
      <w:pPr>
        <w:spacing w:beforeLines="0" w:afterLines="0" w:line="560" w:lineRule="exact"/>
        <w:ind w:firstLine="440" w:firstLineChars="200"/>
        <w:rPr>
          <w:rFonts w:hint="eastAsia" w:ascii="宋体" w:hAnsi="宋体" w:eastAsia="宋体" w:cs="宋体"/>
          <w:color w:val="auto"/>
          <w:kern w:val="1"/>
          <w:sz w:val="22"/>
          <w:szCs w:val="22"/>
        </w:rPr>
      </w:pPr>
      <w:r>
        <w:rPr>
          <w:rFonts w:hint="eastAsia" w:ascii="宋体" w:hAnsi="宋体" w:eastAsia="宋体" w:cs="宋体"/>
          <w:color w:val="auto"/>
          <w:kern w:val="1"/>
          <w:sz w:val="22"/>
          <w:szCs w:val="22"/>
        </w:rPr>
        <w:t>第一次支付工程进度款前</w:t>
      </w:r>
      <w:r>
        <w:rPr>
          <w:rFonts w:hint="eastAsia" w:ascii="宋体" w:hAnsi="宋体" w:eastAsia="宋体" w:cs="宋体"/>
          <w:color w:val="auto"/>
          <w:kern w:val="1"/>
          <w:sz w:val="22"/>
          <w:szCs w:val="22"/>
          <w:lang w:eastAsia="zh-CN"/>
        </w:rPr>
        <w:t>，</w:t>
      </w:r>
      <w:r>
        <w:rPr>
          <w:rFonts w:hint="eastAsia" w:ascii="宋体" w:hAnsi="宋体" w:eastAsia="宋体" w:cs="宋体"/>
          <w:color w:val="auto"/>
          <w:kern w:val="1"/>
          <w:sz w:val="22"/>
          <w:szCs w:val="22"/>
          <w:lang w:val="en-US" w:eastAsia="zh-CN"/>
        </w:rPr>
        <w:t>承包人需</w:t>
      </w:r>
      <w:r>
        <w:rPr>
          <w:rFonts w:hint="eastAsia" w:ascii="宋体" w:hAnsi="宋体" w:eastAsia="宋体" w:cs="宋体"/>
          <w:color w:val="auto"/>
          <w:kern w:val="1"/>
          <w:sz w:val="22"/>
          <w:szCs w:val="22"/>
        </w:rPr>
        <w:t>向</w:t>
      </w:r>
      <w:r>
        <w:rPr>
          <w:rFonts w:hint="eastAsia" w:ascii="宋体" w:hAnsi="宋体" w:eastAsia="宋体" w:cs="宋体"/>
          <w:color w:val="auto"/>
          <w:kern w:val="1"/>
          <w:sz w:val="22"/>
          <w:szCs w:val="22"/>
          <w:lang w:eastAsia="zh-CN"/>
        </w:rPr>
        <w:t>发包人</w:t>
      </w:r>
      <w:r>
        <w:rPr>
          <w:rFonts w:hint="eastAsia" w:ascii="宋体" w:hAnsi="宋体" w:eastAsia="宋体" w:cs="宋体"/>
          <w:color w:val="auto"/>
          <w:kern w:val="1"/>
          <w:sz w:val="22"/>
          <w:szCs w:val="22"/>
        </w:rPr>
        <w:t>报备用工合同；第二次支付工程进度款时</w:t>
      </w:r>
      <w:r>
        <w:rPr>
          <w:rFonts w:hint="eastAsia" w:ascii="宋体" w:hAnsi="宋体" w:eastAsia="宋体" w:cs="宋体"/>
          <w:color w:val="auto"/>
          <w:kern w:val="1"/>
          <w:sz w:val="22"/>
          <w:szCs w:val="22"/>
          <w:lang w:eastAsia="zh-CN"/>
        </w:rPr>
        <w:t>，</w:t>
      </w:r>
      <w:r>
        <w:rPr>
          <w:rFonts w:hint="eastAsia" w:ascii="宋体" w:hAnsi="宋体" w:eastAsia="宋体" w:cs="宋体"/>
          <w:color w:val="auto"/>
          <w:kern w:val="1"/>
          <w:sz w:val="22"/>
          <w:szCs w:val="22"/>
          <w:lang w:val="en-US" w:eastAsia="zh-CN"/>
        </w:rPr>
        <w:t>承包人</w:t>
      </w:r>
      <w:r>
        <w:rPr>
          <w:rFonts w:hint="eastAsia" w:ascii="宋体" w:hAnsi="宋体" w:eastAsia="宋体" w:cs="宋体"/>
          <w:color w:val="auto"/>
          <w:kern w:val="1"/>
          <w:sz w:val="22"/>
          <w:szCs w:val="22"/>
        </w:rPr>
        <w:t>需出具上一付款周期（按月、季、年度）</w:t>
      </w:r>
      <w:r>
        <w:rPr>
          <w:rFonts w:hint="eastAsia" w:ascii="宋体" w:hAnsi="宋体" w:eastAsia="宋体" w:cs="宋体"/>
          <w:color w:val="auto"/>
          <w:kern w:val="1"/>
          <w:sz w:val="22"/>
          <w:szCs w:val="22"/>
          <w:lang w:eastAsia="zh-CN"/>
        </w:rPr>
        <w:t>承包人</w:t>
      </w:r>
      <w:r>
        <w:rPr>
          <w:rFonts w:hint="eastAsia" w:ascii="宋体" w:hAnsi="宋体" w:eastAsia="宋体" w:cs="宋体"/>
          <w:color w:val="auto"/>
          <w:kern w:val="1"/>
          <w:sz w:val="22"/>
          <w:szCs w:val="22"/>
        </w:rPr>
        <w:t>依照用工合同（与用工人员签订的）中约定的比例向农民工支付工资的凭证及相关资料；以此类推直至工程结束。否则，</w:t>
      </w:r>
      <w:r>
        <w:rPr>
          <w:rFonts w:hint="eastAsia" w:ascii="宋体" w:hAnsi="宋体" w:eastAsia="宋体" w:cs="宋体"/>
          <w:color w:val="auto"/>
          <w:kern w:val="1"/>
          <w:sz w:val="22"/>
          <w:szCs w:val="22"/>
          <w:lang w:eastAsia="zh-CN"/>
        </w:rPr>
        <w:t>发包人</w:t>
      </w:r>
      <w:r>
        <w:rPr>
          <w:rFonts w:hint="eastAsia" w:ascii="宋体" w:hAnsi="宋体" w:eastAsia="宋体" w:cs="宋体"/>
          <w:color w:val="auto"/>
          <w:kern w:val="1"/>
          <w:sz w:val="22"/>
          <w:szCs w:val="22"/>
        </w:rPr>
        <w:t>可顺延工程款支付期限，并不承担任何违约责任。</w:t>
      </w:r>
    </w:p>
    <w:p w14:paraId="443A1D2F">
      <w:pPr>
        <w:spacing w:beforeLines="0" w:afterLines="0" w:line="560" w:lineRule="exact"/>
        <w:ind w:firstLine="440" w:firstLineChars="200"/>
        <w:rPr>
          <w:rFonts w:hint="eastAsia" w:ascii="宋体" w:hAnsi="宋体" w:eastAsia="宋体" w:cs="宋体"/>
          <w:color w:val="auto"/>
          <w:kern w:val="1"/>
          <w:sz w:val="22"/>
          <w:szCs w:val="22"/>
        </w:rPr>
      </w:pPr>
      <w:r>
        <w:rPr>
          <w:rFonts w:hint="eastAsia" w:ascii="宋体" w:hAnsi="宋体" w:eastAsia="宋体" w:cs="宋体"/>
          <w:color w:val="auto"/>
          <w:kern w:val="1"/>
          <w:sz w:val="22"/>
          <w:szCs w:val="22"/>
        </w:rPr>
        <w:t>以上款项付款前承包方应向发包方提供等额增值税专用发票，否则</w:t>
      </w:r>
      <w:r>
        <w:rPr>
          <w:rFonts w:hint="eastAsia" w:ascii="宋体" w:hAnsi="宋体" w:eastAsia="宋体" w:cs="宋体"/>
          <w:color w:val="auto"/>
          <w:kern w:val="1"/>
          <w:sz w:val="22"/>
          <w:szCs w:val="22"/>
          <w:lang w:eastAsia="zh-CN"/>
        </w:rPr>
        <w:t>发包人</w:t>
      </w:r>
      <w:r>
        <w:rPr>
          <w:rFonts w:hint="eastAsia" w:ascii="宋体" w:hAnsi="宋体" w:eastAsia="宋体" w:cs="宋体"/>
          <w:color w:val="auto"/>
          <w:kern w:val="1"/>
          <w:sz w:val="22"/>
          <w:szCs w:val="22"/>
        </w:rPr>
        <w:t>有权拒绝支付。</w:t>
      </w:r>
    </w:p>
    <w:p w14:paraId="5920A0AC">
      <w:pPr>
        <w:spacing w:beforeLines="0" w:afterLines="0" w:line="560" w:lineRule="exact"/>
        <w:ind w:firstLine="440" w:firstLineChars="200"/>
        <w:rPr>
          <w:rFonts w:hint="eastAsia" w:ascii="宋体" w:hAnsi="宋体" w:eastAsia="宋体" w:cs="宋体"/>
          <w:color w:val="auto"/>
          <w:kern w:val="1"/>
          <w:sz w:val="22"/>
          <w:szCs w:val="22"/>
        </w:rPr>
      </w:pPr>
      <w:r>
        <w:rPr>
          <w:rFonts w:hint="eastAsia" w:ascii="宋体" w:hAnsi="宋体" w:cs="宋体"/>
          <w:color w:val="auto"/>
          <w:kern w:val="1"/>
          <w:sz w:val="22"/>
          <w:szCs w:val="22"/>
        </w:rPr>
        <w:t>6</w:t>
      </w:r>
      <w:r>
        <w:rPr>
          <w:rFonts w:ascii="宋体" w:hAnsi="宋体" w:cs="宋体"/>
          <w:color w:val="auto"/>
          <w:kern w:val="1"/>
          <w:sz w:val="22"/>
          <w:szCs w:val="22"/>
        </w:rPr>
        <w:t>、</w:t>
      </w:r>
      <w:r>
        <w:rPr>
          <w:rFonts w:hint="eastAsia" w:ascii="宋体" w:hAnsi="宋体" w:cs="宋体"/>
          <w:color w:val="auto"/>
          <w:kern w:val="1"/>
          <w:sz w:val="22"/>
          <w:szCs w:val="22"/>
        </w:rPr>
        <w:t>验收要求</w:t>
      </w:r>
      <w:r>
        <w:rPr>
          <w:rFonts w:hint="eastAsia" w:ascii="宋体" w:hAnsi="宋体" w:cs="宋体"/>
          <w:color w:val="auto"/>
          <w:kern w:val="1"/>
          <w:sz w:val="22"/>
          <w:szCs w:val="22"/>
          <w:lang w:eastAsia="zh-CN"/>
        </w:rPr>
        <w:t>：</w:t>
      </w:r>
      <w:r>
        <w:rPr>
          <w:rFonts w:hint="eastAsia" w:ascii="宋体" w:hAnsi="宋体" w:eastAsia="宋体" w:cs="宋体"/>
          <w:color w:val="auto"/>
          <w:kern w:val="1"/>
          <w:sz w:val="22"/>
          <w:szCs w:val="22"/>
          <w:lang w:eastAsia="zh-CN"/>
        </w:rPr>
        <w:t>（</w:t>
      </w:r>
      <w:r>
        <w:rPr>
          <w:rFonts w:hint="eastAsia" w:ascii="宋体" w:hAnsi="宋体" w:eastAsia="宋体" w:cs="宋体"/>
          <w:color w:val="auto"/>
          <w:kern w:val="1"/>
          <w:sz w:val="22"/>
          <w:szCs w:val="22"/>
          <w:lang w:val="en-US" w:eastAsia="zh-CN"/>
        </w:rPr>
        <w:t>1</w:t>
      </w:r>
      <w:r>
        <w:rPr>
          <w:rFonts w:hint="eastAsia" w:ascii="宋体" w:hAnsi="宋体" w:eastAsia="宋体" w:cs="宋体"/>
          <w:color w:val="auto"/>
          <w:kern w:val="1"/>
          <w:sz w:val="22"/>
          <w:szCs w:val="22"/>
          <w:lang w:eastAsia="zh-CN"/>
        </w:rPr>
        <w:t>）</w:t>
      </w:r>
      <w:r>
        <w:rPr>
          <w:rFonts w:hint="eastAsia" w:ascii="宋体" w:hAnsi="宋体" w:eastAsia="宋体" w:cs="宋体"/>
          <w:color w:val="auto"/>
          <w:kern w:val="1"/>
          <w:sz w:val="22"/>
          <w:szCs w:val="22"/>
          <w:lang w:val="en-US" w:eastAsia="zh-CN"/>
        </w:rPr>
        <w:t>承包人</w:t>
      </w:r>
      <w:r>
        <w:rPr>
          <w:rFonts w:hint="eastAsia" w:ascii="宋体" w:hAnsi="宋体" w:eastAsia="宋体" w:cs="宋体"/>
          <w:color w:val="auto"/>
          <w:kern w:val="1"/>
          <w:sz w:val="22"/>
          <w:szCs w:val="22"/>
        </w:rPr>
        <w:t>必须按国家颁布的有关国家标准及规范(GBJl47—990、GBJl48—90、GB50171—91、电力建设施工技术管理制度)进行施工。</w:t>
      </w:r>
      <w:r>
        <w:rPr>
          <w:rFonts w:hint="eastAsia" w:ascii="宋体" w:hAnsi="宋体" w:eastAsia="宋体" w:cs="宋体"/>
          <w:color w:val="auto"/>
          <w:kern w:val="1"/>
          <w:sz w:val="22"/>
          <w:szCs w:val="22"/>
          <w:lang w:eastAsia="zh-CN"/>
        </w:rPr>
        <w:t>发包人</w:t>
      </w:r>
      <w:r>
        <w:rPr>
          <w:rFonts w:hint="eastAsia" w:ascii="宋体" w:hAnsi="宋体" w:eastAsia="宋体" w:cs="宋体"/>
          <w:color w:val="auto"/>
          <w:kern w:val="1"/>
          <w:sz w:val="22"/>
          <w:szCs w:val="22"/>
        </w:rPr>
        <w:t>代表、监理工程师有随时检查、监督施工过程的权利。</w:t>
      </w:r>
    </w:p>
    <w:p w14:paraId="29DB6D69">
      <w:pPr>
        <w:spacing w:beforeLines="0" w:afterLines="0" w:line="560" w:lineRule="exact"/>
        <w:ind w:firstLine="440" w:firstLineChars="200"/>
        <w:rPr>
          <w:rFonts w:hint="eastAsia" w:ascii="宋体" w:hAnsi="宋体" w:eastAsia="宋体" w:cs="宋体"/>
          <w:color w:val="auto"/>
          <w:kern w:val="1"/>
          <w:sz w:val="22"/>
          <w:szCs w:val="22"/>
        </w:rPr>
      </w:pPr>
      <w:r>
        <w:rPr>
          <w:rFonts w:hint="eastAsia" w:ascii="宋体" w:hAnsi="宋体" w:eastAsia="宋体" w:cs="宋体"/>
          <w:color w:val="auto"/>
          <w:kern w:val="1"/>
          <w:sz w:val="22"/>
          <w:szCs w:val="22"/>
          <w:lang w:eastAsia="zh-CN"/>
        </w:rPr>
        <w:t>（</w:t>
      </w:r>
      <w:r>
        <w:rPr>
          <w:rFonts w:hint="eastAsia" w:ascii="宋体" w:hAnsi="宋体" w:eastAsia="宋体" w:cs="宋体"/>
          <w:color w:val="auto"/>
          <w:kern w:val="1"/>
          <w:sz w:val="22"/>
          <w:szCs w:val="22"/>
          <w:lang w:val="en-US" w:eastAsia="zh-CN"/>
        </w:rPr>
        <w:t>2</w:t>
      </w:r>
      <w:r>
        <w:rPr>
          <w:rFonts w:hint="eastAsia" w:ascii="宋体" w:hAnsi="宋体" w:eastAsia="宋体" w:cs="宋体"/>
          <w:color w:val="auto"/>
          <w:kern w:val="1"/>
          <w:sz w:val="22"/>
          <w:szCs w:val="22"/>
          <w:lang w:eastAsia="zh-CN"/>
        </w:rPr>
        <w:t>）</w:t>
      </w:r>
      <w:r>
        <w:rPr>
          <w:rFonts w:hint="eastAsia" w:ascii="宋体" w:hAnsi="宋体" w:eastAsia="宋体" w:cs="宋体"/>
          <w:color w:val="auto"/>
          <w:kern w:val="1"/>
          <w:sz w:val="22"/>
          <w:szCs w:val="22"/>
          <w:lang w:val="en-US" w:eastAsia="zh-CN"/>
        </w:rPr>
        <w:t>承包人</w:t>
      </w:r>
      <w:r>
        <w:rPr>
          <w:rFonts w:hint="eastAsia" w:ascii="宋体" w:hAnsi="宋体" w:eastAsia="宋体" w:cs="宋体"/>
          <w:color w:val="auto"/>
          <w:kern w:val="1"/>
          <w:sz w:val="22"/>
          <w:szCs w:val="22"/>
        </w:rPr>
        <w:t>必须按照设计、施工方案和国家相关规范要求施工，如设计、施工方案的确有误，</w:t>
      </w:r>
      <w:r>
        <w:rPr>
          <w:rFonts w:hint="eastAsia" w:ascii="宋体" w:hAnsi="宋体" w:eastAsia="宋体" w:cs="宋体"/>
          <w:color w:val="auto"/>
          <w:kern w:val="1"/>
          <w:sz w:val="22"/>
          <w:szCs w:val="22"/>
          <w:lang w:eastAsia="zh-CN"/>
        </w:rPr>
        <w:t>承包人</w:t>
      </w:r>
      <w:r>
        <w:rPr>
          <w:rFonts w:hint="eastAsia" w:ascii="宋体" w:hAnsi="宋体" w:eastAsia="宋体" w:cs="宋体"/>
          <w:color w:val="auto"/>
          <w:kern w:val="1"/>
          <w:sz w:val="22"/>
          <w:szCs w:val="22"/>
        </w:rPr>
        <w:t>应及时告知</w:t>
      </w:r>
      <w:r>
        <w:rPr>
          <w:rFonts w:hint="eastAsia" w:ascii="宋体" w:hAnsi="宋体" w:eastAsia="宋体" w:cs="宋体"/>
          <w:color w:val="auto"/>
          <w:kern w:val="1"/>
          <w:sz w:val="22"/>
          <w:szCs w:val="22"/>
          <w:lang w:eastAsia="zh-CN"/>
        </w:rPr>
        <w:t>发包人</w:t>
      </w:r>
      <w:r>
        <w:rPr>
          <w:rFonts w:hint="eastAsia" w:ascii="宋体" w:hAnsi="宋体" w:eastAsia="宋体" w:cs="宋体"/>
          <w:color w:val="auto"/>
          <w:kern w:val="1"/>
          <w:sz w:val="22"/>
          <w:szCs w:val="22"/>
        </w:rPr>
        <w:t>及监理方，</w:t>
      </w:r>
      <w:r>
        <w:rPr>
          <w:rFonts w:hint="eastAsia" w:ascii="宋体" w:hAnsi="宋体" w:eastAsia="宋体" w:cs="宋体"/>
          <w:color w:val="auto"/>
          <w:kern w:val="1"/>
          <w:sz w:val="22"/>
          <w:szCs w:val="22"/>
          <w:lang w:eastAsia="zh-CN"/>
        </w:rPr>
        <w:t>发包人</w:t>
      </w:r>
      <w:r>
        <w:rPr>
          <w:rFonts w:hint="eastAsia" w:ascii="宋体" w:hAnsi="宋体" w:eastAsia="宋体" w:cs="宋体"/>
          <w:color w:val="auto"/>
          <w:kern w:val="1"/>
          <w:sz w:val="22"/>
          <w:szCs w:val="22"/>
        </w:rPr>
        <w:t>及监理方接到通知应及时与</w:t>
      </w:r>
      <w:r>
        <w:rPr>
          <w:rFonts w:hint="eastAsia" w:ascii="宋体" w:hAnsi="宋体" w:eastAsia="宋体" w:cs="宋体"/>
          <w:color w:val="auto"/>
          <w:kern w:val="1"/>
          <w:sz w:val="22"/>
          <w:szCs w:val="22"/>
          <w:lang w:val="en-US" w:eastAsia="zh-CN"/>
        </w:rPr>
        <w:t>承包人</w:t>
      </w:r>
      <w:r>
        <w:rPr>
          <w:rFonts w:hint="eastAsia" w:ascii="宋体" w:hAnsi="宋体" w:eastAsia="宋体" w:cs="宋体"/>
          <w:color w:val="auto"/>
          <w:kern w:val="1"/>
          <w:sz w:val="22"/>
          <w:szCs w:val="22"/>
        </w:rPr>
        <w:t>协商妥善处理，若因</w:t>
      </w:r>
      <w:r>
        <w:rPr>
          <w:rFonts w:hint="eastAsia" w:ascii="宋体" w:hAnsi="宋体" w:eastAsia="宋体" w:cs="宋体"/>
          <w:color w:val="auto"/>
          <w:kern w:val="1"/>
          <w:sz w:val="22"/>
          <w:szCs w:val="22"/>
          <w:lang w:val="en-US" w:eastAsia="zh-CN"/>
        </w:rPr>
        <w:t>承包人</w:t>
      </w:r>
      <w:r>
        <w:rPr>
          <w:rFonts w:hint="eastAsia" w:ascii="宋体" w:hAnsi="宋体" w:eastAsia="宋体" w:cs="宋体"/>
          <w:color w:val="auto"/>
          <w:kern w:val="1"/>
          <w:sz w:val="22"/>
          <w:szCs w:val="22"/>
        </w:rPr>
        <w:t>原因引起的返工，增加返工费用和延误的工期，责任及费用由</w:t>
      </w:r>
      <w:r>
        <w:rPr>
          <w:rFonts w:hint="eastAsia" w:ascii="宋体" w:hAnsi="宋体" w:eastAsia="宋体" w:cs="宋体"/>
          <w:color w:val="auto"/>
          <w:kern w:val="1"/>
          <w:sz w:val="22"/>
          <w:szCs w:val="22"/>
          <w:lang w:val="en-US" w:eastAsia="zh-CN"/>
        </w:rPr>
        <w:t>承包人</w:t>
      </w:r>
      <w:r>
        <w:rPr>
          <w:rFonts w:hint="eastAsia" w:ascii="宋体" w:hAnsi="宋体" w:eastAsia="宋体" w:cs="宋体"/>
          <w:color w:val="auto"/>
          <w:kern w:val="1"/>
          <w:sz w:val="22"/>
          <w:szCs w:val="22"/>
        </w:rPr>
        <w:t>自行承担；</w:t>
      </w:r>
      <w:r>
        <w:rPr>
          <w:rFonts w:hint="eastAsia" w:ascii="宋体" w:hAnsi="宋体" w:eastAsia="宋体" w:cs="宋体"/>
          <w:color w:val="auto"/>
          <w:kern w:val="1"/>
          <w:sz w:val="22"/>
          <w:szCs w:val="22"/>
          <w:lang w:val="en-US" w:eastAsia="zh-CN"/>
        </w:rPr>
        <w:t>承包人</w:t>
      </w:r>
      <w:r>
        <w:rPr>
          <w:rFonts w:hint="eastAsia" w:ascii="宋体" w:hAnsi="宋体" w:eastAsia="宋体" w:cs="宋体"/>
          <w:color w:val="auto"/>
          <w:kern w:val="1"/>
          <w:sz w:val="22"/>
          <w:szCs w:val="22"/>
        </w:rPr>
        <w:t>所有进场原材料、半成品等均应符合施工图设计及相关规范要求，并向监理报验，经</w:t>
      </w:r>
      <w:r>
        <w:rPr>
          <w:rFonts w:hint="eastAsia" w:ascii="宋体" w:hAnsi="宋体" w:eastAsia="宋体" w:cs="宋体"/>
          <w:color w:val="auto"/>
          <w:kern w:val="1"/>
          <w:sz w:val="22"/>
          <w:szCs w:val="22"/>
          <w:lang w:eastAsia="zh-CN"/>
        </w:rPr>
        <w:t>发包人</w:t>
      </w:r>
      <w:r>
        <w:rPr>
          <w:rFonts w:hint="eastAsia" w:ascii="宋体" w:hAnsi="宋体" w:eastAsia="宋体" w:cs="宋体"/>
          <w:color w:val="auto"/>
          <w:kern w:val="1"/>
          <w:sz w:val="22"/>
          <w:szCs w:val="22"/>
        </w:rPr>
        <w:t>认可。发现施工质量达不到标准规范要求或使用不合格材料，施工单位应无条件返工、更换材料并承担由此产生的相关费用及工期延误责任。</w:t>
      </w:r>
    </w:p>
    <w:p w14:paraId="6A895D88">
      <w:pPr>
        <w:spacing w:beforeLines="0" w:afterLines="0" w:line="560" w:lineRule="exact"/>
        <w:ind w:firstLine="440" w:firstLineChars="200"/>
        <w:rPr>
          <w:rFonts w:hint="eastAsia" w:ascii="宋体" w:hAnsi="宋体" w:eastAsia="宋体" w:cs="宋体"/>
          <w:color w:val="auto"/>
          <w:kern w:val="1"/>
          <w:sz w:val="22"/>
          <w:szCs w:val="22"/>
        </w:rPr>
      </w:pPr>
      <w:r>
        <w:rPr>
          <w:rFonts w:hint="eastAsia" w:ascii="宋体" w:hAnsi="宋体" w:eastAsia="宋体" w:cs="宋体"/>
          <w:color w:val="auto"/>
          <w:kern w:val="1"/>
          <w:sz w:val="22"/>
          <w:szCs w:val="22"/>
          <w:lang w:eastAsia="zh-CN"/>
        </w:rPr>
        <w:t>（</w:t>
      </w:r>
      <w:r>
        <w:rPr>
          <w:rFonts w:hint="eastAsia" w:ascii="宋体" w:hAnsi="宋体" w:eastAsia="宋体" w:cs="宋体"/>
          <w:color w:val="auto"/>
          <w:kern w:val="1"/>
          <w:sz w:val="22"/>
          <w:szCs w:val="22"/>
          <w:lang w:val="en-US" w:eastAsia="zh-CN"/>
        </w:rPr>
        <w:t>3</w:t>
      </w:r>
      <w:r>
        <w:rPr>
          <w:rFonts w:hint="eastAsia" w:ascii="宋体" w:hAnsi="宋体" w:eastAsia="宋体" w:cs="宋体"/>
          <w:color w:val="auto"/>
          <w:kern w:val="1"/>
          <w:sz w:val="22"/>
          <w:szCs w:val="22"/>
          <w:lang w:eastAsia="zh-CN"/>
        </w:rPr>
        <w:t>）</w:t>
      </w:r>
      <w:r>
        <w:rPr>
          <w:rFonts w:hint="eastAsia" w:ascii="宋体" w:hAnsi="宋体" w:eastAsia="宋体" w:cs="宋体"/>
          <w:color w:val="auto"/>
          <w:kern w:val="1"/>
          <w:sz w:val="22"/>
          <w:szCs w:val="22"/>
        </w:rPr>
        <w:t>在施工过程中，上道工序完工后，</w:t>
      </w:r>
      <w:r>
        <w:rPr>
          <w:rFonts w:hint="eastAsia" w:ascii="宋体" w:hAnsi="宋体" w:eastAsia="宋体" w:cs="宋体"/>
          <w:color w:val="auto"/>
          <w:kern w:val="1"/>
          <w:sz w:val="22"/>
          <w:szCs w:val="22"/>
          <w:lang w:val="en-US" w:eastAsia="zh-CN"/>
        </w:rPr>
        <w:t>承包人</w:t>
      </w:r>
      <w:r>
        <w:rPr>
          <w:rFonts w:hint="eastAsia" w:ascii="宋体" w:hAnsi="宋体" w:eastAsia="宋体" w:cs="宋体"/>
          <w:color w:val="auto"/>
          <w:kern w:val="1"/>
          <w:sz w:val="22"/>
          <w:szCs w:val="22"/>
        </w:rPr>
        <w:t>应完成自检，并由监理及</w:t>
      </w:r>
      <w:r>
        <w:rPr>
          <w:rFonts w:hint="eastAsia" w:ascii="宋体" w:hAnsi="宋体" w:eastAsia="宋体" w:cs="宋体"/>
          <w:color w:val="auto"/>
          <w:kern w:val="1"/>
          <w:sz w:val="22"/>
          <w:szCs w:val="22"/>
          <w:lang w:eastAsia="zh-CN"/>
        </w:rPr>
        <w:t>发包人</w:t>
      </w:r>
      <w:r>
        <w:rPr>
          <w:rFonts w:hint="eastAsia" w:ascii="宋体" w:hAnsi="宋体" w:eastAsia="宋体" w:cs="宋体"/>
          <w:color w:val="auto"/>
          <w:kern w:val="1"/>
          <w:sz w:val="22"/>
          <w:szCs w:val="22"/>
        </w:rPr>
        <w:t>现场代表认可，方能进行下道工序施工。隐蔽工程应做同步隐蔽资料并经各相关方签字认可。中间和竣工验收按施工验收规范进行。</w:t>
      </w:r>
    </w:p>
    <w:p w14:paraId="2297C821">
      <w:pPr>
        <w:spacing w:beforeLines="0" w:afterLines="0" w:line="560" w:lineRule="exact"/>
        <w:ind w:firstLine="440" w:firstLineChars="200"/>
        <w:rPr>
          <w:rFonts w:hint="eastAsia" w:ascii="宋体" w:hAnsi="宋体" w:cs="宋体"/>
          <w:color w:val="auto"/>
          <w:kern w:val="1"/>
          <w:sz w:val="22"/>
          <w:szCs w:val="22"/>
        </w:rPr>
      </w:pPr>
      <w:r>
        <w:rPr>
          <w:rFonts w:hint="eastAsia" w:ascii="宋体" w:hAnsi="宋体" w:eastAsia="宋体" w:cs="宋体"/>
          <w:color w:val="auto"/>
          <w:kern w:val="1"/>
          <w:sz w:val="22"/>
          <w:szCs w:val="22"/>
          <w:lang w:eastAsia="zh-CN"/>
        </w:rPr>
        <w:t>（</w:t>
      </w:r>
      <w:r>
        <w:rPr>
          <w:rFonts w:hint="eastAsia" w:ascii="宋体" w:hAnsi="宋体" w:eastAsia="宋体" w:cs="宋体"/>
          <w:color w:val="auto"/>
          <w:kern w:val="1"/>
          <w:sz w:val="22"/>
          <w:szCs w:val="22"/>
          <w:lang w:val="en-US" w:eastAsia="zh-CN"/>
        </w:rPr>
        <w:t>4</w:t>
      </w:r>
      <w:r>
        <w:rPr>
          <w:rFonts w:hint="eastAsia" w:ascii="宋体" w:hAnsi="宋体" w:eastAsia="宋体" w:cs="宋体"/>
          <w:color w:val="auto"/>
          <w:kern w:val="1"/>
          <w:sz w:val="22"/>
          <w:szCs w:val="22"/>
          <w:lang w:eastAsia="zh-CN"/>
        </w:rPr>
        <w:t>）</w:t>
      </w:r>
      <w:r>
        <w:rPr>
          <w:rFonts w:hint="eastAsia" w:ascii="宋体" w:hAnsi="宋体" w:eastAsia="宋体" w:cs="宋体"/>
          <w:color w:val="auto"/>
          <w:kern w:val="1"/>
          <w:sz w:val="22"/>
          <w:szCs w:val="22"/>
        </w:rPr>
        <w:t>工程竣工验收时，</w:t>
      </w:r>
      <w:r>
        <w:rPr>
          <w:rFonts w:hint="eastAsia" w:ascii="宋体" w:hAnsi="宋体" w:eastAsia="宋体" w:cs="宋体"/>
          <w:color w:val="auto"/>
          <w:kern w:val="1"/>
          <w:sz w:val="22"/>
          <w:szCs w:val="22"/>
          <w:lang w:val="en-US" w:eastAsia="zh-CN"/>
        </w:rPr>
        <w:t>承包人</w:t>
      </w:r>
      <w:r>
        <w:rPr>
          <w:rFonts w:hint="eastAsia" w:ascii="宋体" w:hAnsi="宋体" w:eastAsia="宋体" w:cs="宋体"/>
          <w:color w:val="auto"/>
          <w:kern w:val="1"/>
          <w:sz w:val="22"/>
          <w:szCs w:val="22"/>
        </w:rPr>
        <w:t>应提前3日通知</w:t>
      </w:r>
      <w:r>
        <w:rPr>
          <w:rFonts w:hint="eastAsia" w:ascii="宋体" w:hAnsi="宋体" w:eastAsia="宋体" w:cs="宋体"/>
          <w:color w:val="auto"/>
          <w:kern w:val="1"/>
          <w:sz w:val="22"/>
          <w:szCs w:val="22"/>
          <w:lang w:eastAsia="zh-CN"/>
        </w:rPr>
        <w:t>发包人</w:t>
      </w:r>
      <w:r>
        <w:rPr>
          <w:rFonts w:hint="eastAsia" w:ascii="宋体" w:hAnsi="宋体" w:eastAsia="宋体" w:cs="宋体"/>
          <w:color w:val="auto"/>
          <w:kern w:val="1"/>
          <w:sz w:val="22"/>
          <w:szCs w:val="22"/>
        </w:rPr>
        <w:t>，并提供完整的竣工验收资料。</w:t>
      </w:r>
    </w:p>
    <w:p w14:paraId="5A68CFE7">
      <w:pPr>
        <w:pStyle w:val="21"/>
        <w:keepNext w:val="0"/>
        <w:keepLines w:val="0"/>
        <w:pageBreakBefore w:val="0"/>
        <w:kinsoku/>
        <w:wordWrap/>
        <w:overflowPunct/>
        <w:topLinePunct w:val="0"/>
        <w:bidi w:val="0"/>
        <w:adjustRightInd/>
        <w:snapToGrid/>
        <w:spacing w:before="0" w:after="0" w:line="360" w:lineRule="auto"/>
        <w:ind w:firstLine="420"/>
        <w:textAlignment w:val="auto"/>
        <w:rPr>
          <w:rFonts w:hint="eastAsia" w:ascii="宋体" w:hAnsi="宋体" w:cs="宋体"/>
          <w:color w:val="auto"/>
          <w:kern w:val="1"/>
          <w:sz w:val="22"/>
          <w:szCs w:val="22"/>
          <w:lang w:val="en-US" w:eastAsia="zh-CN"/>
        </w:rPr>
      </w:pPr>
      <w:r>
        <w:rPr>
          <w:rFonts w:hint="eastAsia" w:ascii="宋体" w:hAnsi="宋体" w:cs="宋体"/>
          <w:color w:val="auto"/>
          <w:kern w:val="1"/>
          <w:sz w:val="22"/>
          <w:szCs w:val="22"/>
          <w:lang w:val="en-US" w:eastAsia="zh-CN"/>
        </w:rPr>
        <w:t>7、工程质量保修期、保修范围和内容：</w:t>
      </w:r>
    </w:p>
    <w:p w14:paraId="565441BF">
      <w:pPr>
        <w:pStyle w:val="21"/>
        <w:keepNext w:val="0"/>
        <w:keepLines w:val="0"/>
        <w:pageBreakBefore w:val="0"/>
        <w:kinsoku/>
        <w:wordWrap/>
        <w:overflowPunct/>
        <w:topLinePunct w:val="0"/>
        <w:bidi w:val="0"/>
        <w:adjustRightInd/>
        <w:snapToGrid/>
        <w:spacing w:before="0" w:after="0" w:line="360" w:lineRule="auto"/>
        <w:ind w:firstLine="420"/>
        <w:textAlignment w:val="auto"/>
        <w:rPr>
          <w:rFonts w:hint="eastAsia" w:ascii="宋体" w:hAnsi="宋体" w:cs="宋体"/>
          <w:color w:val="auto"/>
          <w:kern w:val="1"/>
          <w:sz w:val="22"/>
          <w:szCs w:val="22"/>
          <w:lang w:val="en-US" w:eastAsia="zh-CN"/>
        </w:rPr>
      </w:pPr>
      <w:r>
        <w:rPr>
          <w:rFonts w:hint="eastAsia" w:ascii="宋体" w:hAnsi="宋体" w:cs="宋体"/>
          <w:color w:val="auto"/>
          <w:kern w:val="1"/>
          <w:sz w:val="22"/>
          <w:szCs w:val="22"/>
          <w:lang w:val="en-US" w:eastAsia="zh-CN"/>
        </w:rPr>
        <w:t>1、保修期：质量保修期为竣工验收合格之日起2年。质保期内</w:t>
      </w:r>
      <w:r>
        <w:rPr>
          <w:rFonts w:hint="eastAsia" w:ascii="宋体" w:hAnsi="宋体" w:eastAsia="宋体" w:cs="宋体"/>
          <w:color w:val="auto"/>
          <w:kern w:val="1"/>
          <w:sz w:val="22"/>
          <w:szCs w:val="22"/>
          <w:lang w:val="en-US" w:eastAsia="zh-CN"/>
        </w:rPr>
        <w:t>承包人</w:t>
      </w:r>
      <w:r>
        <w:rPr>
          <w:rFonts w:hint="eastAsia" w:ascii="宋体" w:hAnsi="宋体" w:cs="宋体"/>
          <w:color w:val="auto"/>
          <w:kern w:val="1"/>
          <w:sz w:val="22"/>
          <w:szCs w:val="22"/>
          <w:lang w:val="en-US" w:eastAsia="zh-CN"/>
        </w:rPr>
        <w:t>予以免费维修、维护；质保期外，维修维护由责任方承担费用，保修期内若</w:t>
      </w:r>
      <w:r>
        <w:rPr>
          <w:rFonts w:hint="eastAsia" w:ascii="宋体" w:hAnsi="宋体" w:eastAsia="宋体" w:cs="宋体"/>
          <w:color w:val="auto"/>
          <w:kern w:val="1"/>
          <w:sz w:val="22"/>
          <w:szCs w:val="22"/>
          <w:lang w:val="en-US" w:eastAsia="zh-CN"/>
        </w:rPr>
        <w:t>承包人</w:t>
      </w:r>
      <w:r>
        <w:rPr>
          <w:rFonts w:hint="eastAsia" w:ascii="宋体" w:hAnsi="宋体" w:cs="宋体"/>
          <w:color w:val="auto"/>
          <w:kern w:val="1"/>
          <w:sz w:val="22"/>
          <w:szCs w:val="22"/>
          <w:lang w:val="en-US" w:eastAsia="zh-CN"/>
        </w:rPr>
        <w:t>不能及时履行保修责任，发包人有权聘请第三方代履行，所需要费用从质保金扣除，不足部分由</w:t>
      </w:r>
      <w:r>
        <w:rPr>
          <w:rFonts w:hint="eastAsia" w:ascii="宋体" w:hAnsi="宋体" w:eastAsia="宋体" w:cs="宋体"/>
          <w:color w:val="auto"/>
          <w:kern w:val="1"/>
          <w:sz w:val="22"/>
          <w:szCs w:val="22"/>
          <w:lang w:val="en-US" w:eastAsia="zh-CN"/>
        </w:rPr>
        <w:t>承包人</w:t>
      </w:r>
      <w:r>
        <w:rPr>
          <w:rFonts w:hint="eastAsia" w:ascii="宋体" w:hAnsi="宋体" w:cs="宋体"/>
          <w:color w:val="auto"/>
          <w:kern w:val="1"/>
          <w:sz w:val="22"/>
          <w:szCs w:val="22"/>
          <w:lang w:val="en-US" w:eastAsia="zh-CN"/>
        </w:rPr>
        <w:t>承担。</w:t>
      </w:r>
    </w:p>
    <w:p w14:paraId="4D103C01">
      <w:pPr>
        <w:pStyle w:val="21"/>
        <w:keepNext w:val="0"/>
        <w:keepLines w:val="0"/>
        <w:pageBreakBefore w:val="0"/>
        <w:kinsoku/>
        <w:wordWrap/>
        <w:overflowPunct/>
        <w:topLinePunct w:val="0"/>
        <w:bidi w:val="0"/>
        <w:adjustRightInd/>
        <w:snapToGrid/>
        <w:spacing w:before="0" w:after="0" w:line="360" w:lineRule="auto"/>
        <w:ind w:firstLine="420"/>
        <w:textAlignment w:val="auto"/>
        <w:rPr>
          <w:rFonts w:hint="eastAsia" w:ascii="宋体" w:hAnsi="宋体" w:cs="宋体"/>
          <w:color w:val="auto"/>
          <w:kern w:val="1"/>
          <w:sz w:val="22"/>
          <w:szCs w:val="22"/>
          <w:lang w:val="en-US" w:eastAsia="zh-CN"/>
        </w:rPr>
      </w:pPr>
      <w:r>
        <w:rPr>
          <w:rFonts w:hint="eastAsia" w:ascii="宋体" w:hAnsi="宋体" w:cs="宋体"/>
          <w:color w:val="auto"/>
          <w:kern w:val="1"/>
          <w:sz w:val="22"/>
          <w:szCs w:val="22"/>
          <w:lang w:val="en-US" w:eastAsia="zh-CN"/>
        </w:rPr>
        <w:t>2、保修范围内容：工程承包范围内所有内容。</w:t>
      </w:r>
    </w:p>
    <w:p w14:paraId="7F0D8E1C">
      <w:pPr>
        <w:pStyle w:val="21"/>
        <w:keepNext w:val="0"/>
        <w:keepLines w:val="0"/>
        <w:pageBreakBefore w:val="0"/>
        <w:kinsoku/>
        <w:wordWrap/>
        <w:overflowPunct/>
        <w:topLinePunct w:val="0"/>
        <w:bidi w:val="0"/>
        <w:adjustRightInd/>
        <w:snapToGrid/>
        <w:spacing w:before="0" w:after="0" w:line="360" w:lineRule="auto"/>
        <w:ind w:firstLine="420"/>
        <w:textAlignment w:val="auto"/>
        <w:rPr>
          <w:rFonts w:hint="eastAsia" w:ascii="宋体" w:hAnsi="宋体" w:cs="宋体"/>
          <w:color w:val="auto"/>
          <w:kern w:val="1"/>
          <w:sz w:val="22"/>
          <w:szCs w:val="22"/>
          <w:lang w:val="en-US" w:eastAsia="zh-CN"/>
        </w:rPr>
      </w:pPr>
      <w:r>
        <w:rPr>
          <w:rFonts w:hint="eastAsia" w:ascii="宋体" w:hAnsi="宋体" w:cs="宋体"/>
          <w:color w:val="auto"/>
          <w:kern w:val="1"/>
          <w:sz w:val="22"/>
          <w:szCs w:val="22"/>
          <w:lang w:val="en-US" w:eastAsia="zh-CN"/>
        </w:rPr>
        <w:t>3、属于保修范围、内容的项目，</w:t>
      </w:r>
      <w:r>
        <w:rPr>
          <w:rFonts w:hint="eastAsia" w:ascii="宋体" w:hAnsi="宋体" w:eastAsia="宋体" w:cs="宋体"/>
          <w:color w:val="auto"/>
          <w:kern w:val="1"/>
          <w:sz w:val="22"/>
          <w:szCs w:val="22"/>
          <w:lang w:val="en-US" w:eastAsia="zh-CN"/>
        </w:rPr>
        <w:t>承包人</w:t>
      </w:r>
      <w:r>
        <w:rPr>
          <w:rFonts w:hint="eastAsia" w:ascii="宋体" w:hAnsi="宋体" w:cs="宋体"/>
          <w:color w:val="auto"/>
          <w:kern w:val="1"/>
          <w:sz w:val="22"/>
          <w:szCs w:val="22"/>
          <w:lang w:val="en-US" w:eastAsia="zh-CN"/>
        </w:rPr>
        <w:t>应当在接到维修通知之日起 24小时内派人维修:</w:t>
      </w:r>
      <w:r>
        <w:rPr>
          <w:rFonts w:hint="eastAsia" w:ascii="宋体" w:hAnsi="宋体" w:eastAsia="宋体" w:cs="宋体"/>
          <w:color w:val="auto"/>
          <w:kern w:val="1"/>
          <w:sz w:val="22"/>
          <w:szCs w:val="22"/>
          <w:lang w:val="en-US" w:eastAsia="zh-CN"/>
        </w:rPr>
        <w:t>承包人</w:t>
      </w:r>
      <w:r>
        <w:rPr>
          <w:rFonts w:hint="eastAsia" w:ascii="宋体" w:hAnsi="宋体" w:cs="宋体"/>
          <w:color w:val="auto"/>
          <w:kern w:val="1"/>
          <w:sz w:val="22"/>
          <w:szCs w:val="22"/>
          <w:lang w:val="en-US" w:eastAsia="zh-CN"/>
        </w:rPr>
        <w:t>不在约定期限内派人维修的或维修后仍不能达到本合同约定质量要求的，发包人可以委托他人修理或更换设备，相应费用从质保金内双倍扣除，若质保金已经返还或不足够支付维修费用，</w:t>
      </w:r>
      <w:r>
        <w:rPr>
          <w:rFonts w:hint="eastAsia" w:ascii="宋体" w:hAnsi="宋体" w:eastAsia="宋体" w:cs="宋体"/>
          <w:color w:val="auto"/>
          <w:kern w:val="1"/>
          <w:sz w:val="22"/>
          <w:szCs w:val="22"/>
          <w:lang w:val="en-US" w:eastAsia="zh-CN"/>
        </w:rPr>
        <w:t>承包人</w:t>
      </w:r>
      <w:r>
        <w:rPr>
          <w:rFonts w:hint="eastAsia" w:ascii="宋体" w:hAnsi="宋体" w:cs="宋体"/>
          <w:color w:val="auto"/>
          <w:kern w:val="1"/>
          <w:sz w:val="22"/>
          <w:szCs w:val="22"/>
          <w:lang w:val="en-US" w:eastAsia="zh-CN"/>
        </w:rPr>
        <w:t>还应当承担相应的维修费用。由于</w:t>
      </w:r>
      <w:r>
        <w:rPr>
          <w:rFonts w:hint="eastAsia" w:ascii="宋体" w:hAnsi="宋体" w:eastAsia="宋体" w:cs="宋体"/>
          <w:color w:val="auto"/>
          <w:kern w:val="1"/>
          <w:sz w:val="22"/>
          <w:szCs w:val="22"/>
          <w:lang w:val="en-US" w:eastAsia="zh-CN"/>
        </w:rPr>
        <w:t>承包人</w:t>
      </w:r>
      <w:r>
        <w:rPr>
          <w:rFonts w:hint="eastAsia" w:ascii="宋体" w:hAnsi="宋体" w:cs="宋体"/>
          <w:color w:val="auto"/>
          <w:kern w:val="1"/>
          <w:sz w:val="22"/>
          <w:szCs w:val="22"/>
          <w:lang w:val="en-US" w:eastAsia="zh-CN"/>
        </w:rPr>
        <w:t>提供的材料、工程质量缺陷引起的安全事故责任及费用均由</w:t>
      </w:r>
      <w:r>
        <w:rPr>
          <w:rFonts w:hint="eastAsia" w:ascii="宋体" w:hAnsi="宋体" w:eastAsia="宋体" w:cs="宋体"/>
          <w:color w:val="auto"/>
          <w:kern w:val="1"/>
          <w:sz w:val="22"/>
          <w:szCs w:val="22"/>
          <w:lang w:val="en-US" w:eastAsia="zh-CN"/>
        </w:rPr>
        <w:t>承包人</w:t>
      </w:r>
      <w:r>
        <w:rPr>
          <w:rFonts w:hint="eastAsia" w:ascii="宋体" w:hAnsi="宋体" w:cs="宋体"/>
          <w:color w:val="auto"/>
          <w:kern w:val="1"/>
          <w:sz w:val="22"/>
          <w:szCs w:val="22"/>
          <w:lang w:val="en-US" w:eastAsia="zh-CN"/>
        </w:rPr>
        <w:t>承担。</w:t>
      </w:r>
    </w:p>
    <w:p w14:paraId="41316D72">
      <w:pPr>
        <w:pStyle w:val="21"/>
        <w:keepNext w:val="0"/>
        <w:keepLines w:val="0"/>
        <w:pageBreakBefore w:val="0"/>
        <w:kinsoku/>
        <w:wordWrap/>
        <w:overflowPunct/>
        <w:topLinePunct w:val="0"/>
        <w:bidi w:val="0"/>
        <w:adjustRightInd/>
        <w:snapToGrid/>
        <w:spacing w:before="0" w:after="0" w:line="360" w:lineRule="auto"/>
        <w:ind w:firstLine="420"/>
        <w:textAlignment w:val="auto"/>
        <w:rPr>
          <w:rFonts w:hint="eastAsia" w:ascii="宋体" w:hAnsi="宋体" w:cs="宋体"/>
          <w:color w:val="auto"/>
          <w:kern w:val="1"/>
          <w:sz w:val="22"/>
          <w:szCs w:val="22"/>
          <w:lang w:val="en-US" w:eastAsia="zh-CN"/>
        </w:rPr>
      </w:pPr>
      <w:r>
        <w:rPr>
          <w:rFonts w:hint="eastAsia" w:ascii="宋体" w:hAnsi="宋体" w:cs="宋体"/>
          <w:color w:val="auto"/>
          <w:kern w:val="1"/>
          <w:sz w:val="22"/>
          <w:szCs w:val="22"/>
          <w:lang w:val="en-US" w:eastAsia="zh-CN"/>
        </w:rPr>
        <w:t>4、发生紧急抢修事故的，</w:t>
      </w:r>
      <w:r>
        <w:rPr>
          <w:rFonts w:hint="eastAsia" w:ascii="宋体" w:hAnsi="宋体" w:eastAsia="宋体" w:cs="宋体"/>
          <w:color w:val="auto"/>
          <w:kern w:val="1"/>
          <w:sz w:val="22"/>
          <w:szCs w:val="22"/>
          <w:lang w:val="en-US" w:eastAsia="zh-CN"/>
        </w:rPr>
        <w:t>承包人</w:t>
      </w:r>
      <w:r>
        <w:rPr>
          <w:rFonts w:hint="eastAsia" w:ascii="宋体" w:hAnsi="宋体" w:cs="宋体"/>
          <w:color w:val="auto"/>
          <w:kern w:val="1"/>
          <w:sz w:val="22"/>
          <w:szCs w:val="22"/>
          <w:lang w:val="en-US" w:eastAsia="zh-CN"/>
        </w:rPr>
        <w:t>在接到事故通知后，应当立即到达事故现场组织抢修。</w:t>
      </w:r>
    </w:p>
    <w:p w14:paraId="3C6B118F">
      <w:pPr>
        <w:pStyle w:val="21"/>
        <w:keepNext w:val="0"/>
        <w:keepLines w:val="0"/>
        <w:pageBreakBefore w:val="0"/>
        <w:kinsoku/>
        <w:wordWrap/>
        <w:overflowPunct/>
        <w:topLinePunct w:val="0"/>
        <w:bidi w:val="0"/>
        <w:adjustRightInd/>
        <w:snapToGrid/>
        <w:spacing w:before="0" w:after="0" w:line="360" w:lineRule="auto"/>
        <w:ind w:firstLine="420"/>
        <w:textAlignment w:val="auto"/>
        <w:rPr>
          <w:rFonts w:hint="eastAsia" w:ascii="宋体" w:hAnsi="宋体" w:eastAsia="宋体" w:cs="宋体"/>
          <w:color w:val="auto"/>
          <w:kern w:val="1"/>
          <w:sz w:val="22"/>
          <w:szCs w:val="22"/>
          <w:lang w:val="en-US" w:eastAsia="zh-CN"/>
        </w:rPr>
      </w:pPr>
      <w:r>
        <w:rPr>
          <w:rFonts w:hint="eastAsia" w:ascii="宋体" w:hAnsi="宋体" w:cs="宋体"/>
          <w:color w:val="auto"/>
          <w:kern w:val="1"/>
          <w:sz w:val="22"/>
          <w:szCs w:val="22"/>
          <w:lang w:val="en-US" w:eastAsia="zh-CN"/>
        </w:rPr>
        <w:t>5、质量保修完成后，由</w:t>
      </w:r>
      <w:r>
        <w:rPr>
          <w:rFonts w:hint="eastAsia" w:ascii="宋体" w:hAnsi="宋体" w:eastAsia="宋体" w:cs="宋体"/>
          <w:color w:val="auto"/>
          <w:kern w:val="1"/>
          <w:sz w:val="22"/>
          <w:szCs w:val="22"/>
          <w:lang w:val="en-US" w:eastAsia="zh-CN"/>
        </w:rPr>
        <w:t>承包人</w:t>
      </w:r>
      <w:r>
        <w:rPr>
          <w:rFonts w:hint="eastAsia" w:ascii="宋体" w:hAnsi="宋体" w:cs="宋体"/>
          <w:color w:val="auto"/>
          <w:kern w:val="1"/>
          <w:sz w:val="22"/>
          <w:szCs w:val="22"/>
          <w:lang w:val="en-US" w:eastAsia="zh-CN"/>
        </w:rPr>
        <w:t>报送相关资料，发包人组织验收。</w:t>
      </w:r>
    </w:p>
    <w:p w14:paraId="4E539D7F">
      <w:pPr>
        <w:keepNext w:val="0"/>
        <w:keepLines w:val="0"/>
        <w:pageBreakBefore w:val="0"/>
        <w:kinsoku/>
        <w:wordWrap/>
        <w:overflowPunct/>
        <w:topLinePunct w:val="0"/>
        <w:bidi w:val="0"/>
        <w:adjustRightInd/>
        <w:snapToGrid/>
        <w:spacing w:line="360" w:lineRule="auto"/>
        <w:ind w:firstLine="420"/>
        <w:textAlignment w:val="auto"/>
        <w:rPr>
          <w:rFonts w:ascii="宋体" w:hAnsi="宋体" w:cs="宋体"/>
          <w:b/>
          <w:color w:val="auto"/>
          <w:kern w:val="1"/>
          <w:sz w:val="22"/>
          <w:szCs w:val="22"/>
        </w:rPr>
      </w:pPr>
      <w:r>
        <w:rPr>
          <w:rFonts w:ascii="宋体" w:hAnsi="宋体" w:cs="宋体"/>
          <w:b/>
          <w:color w:val="auto"/>
          <w:kern w:val="1"/>
          <w:sz w:val="22"/>
          <w:szCs w:val="22"/>
        </w:rPr>
        <w:t>五、转包和分包</w:t>
      </w:r>
    </w:p>
    <w:p w14:paraId="5F29DB7A">
      <w:pPr>
        <w:keepNext w:val="0"/>
        <w:keepLines w:val="0"/>
        <w:pageBreakBefore w:val="0"/>
        <w:kinsoku/>
        <w:wordWrap/>
        <w:overflowPunct/>
        <w:topLinePunct w:val="0"/>
        <w:bidi w:val="0"/>
        <w:adjustRightInd/>
        <w:snapToGrid/>
        <w:spacing w:line="360" w:lineRule="auto"/>
        <w:ind w:firstLine="420"/>
        <w:textAlignment w:val="auto"/>
        <w:rPr>
          <w:rFonts w:ascii="宋体" w:hAnsi="宋体" w:cs="宋体"/>
          <w:color w:val="auto"/>
          <w:kern w:val="1"/>
          <w:sz w:val="22"/>
          <w:szCs w:val="22"/>
        </w:rPr>
      </w:pPr>
      <w:r>
        <w:rPr>
          <w:rFonts w:ascii="宋体" w:hAnsi="宋体" w:cs="宋体"/>
          <w:color w:val="auto"/>
          <w:kern w:val="1"/>
          <w:sz w:val="22"/>
          <w:szCs w:val="22"/>
        </w:rPr>
        <w:t>本工程供应商中标后</w:t>
      </w:r>
      <w:r>
        <w:rPr>
          <w:rFonts w:ascii="宋体" w:hAnsi="宋体" w:cs="宋体"/>
          <w:color w:val="auto"/>
          <w:kern w:val="1"/>
          <w:sz w:val="22"/>
          <w:szCs w:val="28"/>
        </w:rPr>
        <w:t>，不得以任何形式将本工程转包或分包给其他单位，如发现转包或分包，采购人有权终止合同，所造成的一切损失由中标供应商负责。</w:t>
      </w:r>
    </w:p>
    <w:p w14:paraId="3F162B77">
      <w:pPr>
        <w:keepNext w:val="0"/>
        <w:keepLines w:val="0"/>
        <w:pageBreakBefore w:val="0"/>
        <w:kinsoku/>
        <w:wordWrap/>
        <w:overflowPunct/>
        <w:topLinePunct w:val="0"/>
        <w:bidi w:val="0"/>
        <w:adjustRightInd/>
        <w:snapToGrid/>
        <w:spacing w:line="360" w:lineRule="auto"/>
        <w:ind w:firstLine="358"/>
        <w:textAlignment w:val="auto"/>
        <w:rPr>
          <w:rFonts w:ascii="宋体" w:hAnsi="宋体" w:cs="宋体"/>
          <w:b/>
          <w:color w:val="auto"/>
          <w:kern w:val="1"/>
          <w:sz w:val="22"/>
          <w:szCs w:val="22"/>
        </w:rPr>
      </w:pPr>
      <w:r>
        <w:rPr>
          <w:rFonts w:ascii="宋体" w:hAnsi="宋体" w:cs="宋体"/>
          <w:b/>
          <w:color w:val="auto"/>
          <w:kern w:val="1"/>
          <w:sz w:val="22"/>
          <w:szCs w:val="22"/>
        </w:rPr>
        <w:t>六、中标供应商竣工后应提供的技术资料</w:t>
      </w:r>
    </w:p>
    <w:p w14:paraId="18C52DE9">
      <w:pPr>
        <w:keepNext w:val="0"/>
        <w:keepLines w:val="0"/>
        <w:pageBreakBefore w:val="0"/>
        <w:kinsoku/>
        <w:wordWrap/>
        <w:overflowPunct/>
        <w:topLinePunct w:val="0"/>
        <w:bidi w:val="0"/>
        <w:adjustRightInd/>
        <w:snapToGrid/>
        <w:spacing w:line="360" w:lineRule="auto"/>
        <w:ind w:firstLine="420"/>
        <w:textAlignment w:val="auto"/>
        <w:rPr>
          <w:rFonts w:hint="eastAsia" w:ascii="宋体" w:hAnsi="宋体" w:cs="宋体"/>
          <w:color w:val="auto"/>
          <w:kern w:val="1"/>
          <w:sz w:val="22"/>
          <w:szCs w:val="28"/>
        </w:rPr>
      </w:pPr>
      <w:r>
        <w:rPr>
          <w:rFonts w:hint="eastAsia" w:ascii="宋体" w:hAnsi="宋体" w:cs="宋体"/>
          <w:color w:val="auto"/>
          <w:kern w:val="1"/>
          <w:sz w:val="22"/>
          <w:szCs w:val="28"/>
        </w:rPr>
        <w:t>按合同约定</w:t>
      </w:r>
    </w:p>
    <w:p w14:paraId="0A9C0A14">
      <w:pPr>
        <w:keepNext w:val="0"/>
        <w:keepLines w:val="0"/>
        <w:pageBreakBefore w:val="0"/>
        <w:kinsoku/>
        <w:wordWrap/>
        <w:overflowPunct/>
        <w:topLinePunct w:val="0"/>
        <w:bidi w:val="0"/>
        <w:adjustRightInd/>
        <w:snapToGrid/>
        <w:spacing w:line="360" w:lineRule="auto"/>
        <w:ind w:firstLine="358"/>
        <w:textAlignment w:val="auto"/>
        <w:rPr>
          <w:rFonts w:ascii="宋体" w:hAnsi="宋体" w:cs="宋体"/>
          <w:b/>
          <w:color w:val="auto"/>
          <w:kern w:val="1"/>
          <w:sz w:val="22"/>
          <w:szCs w:val="22"/>
        </w:rPr>
      </w:pPr>
      <w:r>
        <w:rPr>
          <w:rFonts w:ascii="宋体" w:hAnsi="宋体" w:cs="宋体"/>
          <w:b/>
          <w:color w:val="auto"/>
          <w:kern w:val="1"/>
          <w:sz w:val="22"/>
          <w:szCs w:val="22"/>
        </w:rPr>
        <w:t>七、投标报价文件</w:t>
      </w:r>
    </w:p>
    <w:p w14:paraId="6FCD5242">
      <w:pPr>
        <w:keepNext w:val="0"/>
        <w:keepLines w:val="0"/>
        <w:pageBreakBefore w:val="0"/>
        <w:kinsoku/>
        <w:wordWrap/>
        <w:overflowPunct/>
        <w:topLinePunct w:val="0"/>
        <w:bidi w:val="0"/>
        <w:adjustRightInd/>
        <w:snapToGrid/>
        <w:spacing w:line="360" w:lineRule="auto"/>
        <w:ind w:firstLine="420"/>
        <w:textAlignment w:val="auto"/>
        <w:rPr>
          <w:rFonts w:hint="eastAsia"/>
          <w:b/>
          <w:bCs/>
          <w:color w:val="auto"/>
          <w:sz w:val="22"/>
          <w:szCs w:val="28"/>
        </w:rPr>
      </w:pPr>
      <w:r>
        <w:rPr>
          <w:rFonts w:ascii="宋体" w:hAnsi="宋体" w:cs="宋体"/>
          <w:color w:val="auto"/>
          <w:kern w:val="1"/>
          <w:sz w:val="22"/>
          <w:szCs w:val="22"/>
        </w:rPr>
        <w:t>1、 工程报价文件中的单价和总价均以人民币表示。</w:t>
      </w:r>
      <w:r>
        <w:rPr>
          <w:rFonts w:hint="eastAsia" w:ascii="宋体" w:hAnsi="宋体" w:cs="宋体"/>
          <w:b/>
          <w:bCs/>
          <w:color w:val="auto"/>
          <w:kern w:val="1"/>
          <w:sz w:val="22"/>
          <w:szCs w:val="22"/>
        </w:rPr>
        <w:t>响应</w:t>
      </w:r>
      <w:r>
        <w:rPr>
          <w:rFonts w:ascii="宋体" w:hAnsi="宋体" w:cs="宋体"/>
          <w:b/>
          <w:bCs/>
          <w:color w:val="auto"/>
          <w:kern w:val="1"/>
          <w:sz w:val="22"/>
          <w:szCs w:val="22"/>
        </w:rPr>
        <w:t>报价文件应由下列内容组成</w:t>
      </w:r>
      <w:r>
        <w:rPr>
          <w:rFonts w:hint="eastAsia" w:ascii="宋体" w:hAnsi="宋体" w:cs="宋体"/>
          <w:b/>
          <w:bCs/>
          <w:color w:val="auto"/>
          <w:kern w:val="1"/>
          <w:sz w:val="22"/>
          <w:szCs w:val="22"/>
        </w:rPr>
        <w:t>，具体格式以本项目提供的工程量清单为准。</w:t>
      </w:r>
    </w:p>
    <w:p w14:paraId="3FA7D3EB">
      <w:pPr>
        <w:keepNext w:val="0"/>
        <w:keepLines w:val="0"/>
        <w:pageBreakBefore w:val="0"/>
        <w:kinsoku/>
        <w:wordWrap/>
        <w:overflowPunct/>
        <w:topLinePunct w:val="0"/>
        <w:bidi w:val="0"/>
        <w:adjustRightInd/>
        <w:snapToGrid/>
        <w:spacing w:line="360" w:lineRule="auto"/>
        <w:ind w:firstLine="422"/>
        <w:textAlignment w:val="auto"/>
        <w:rPr>
          <w:rFonts w:ascii="宋体" w:hAnsi="宋体" w:cs="宋体"/>
          <w:b/>
          <w:color w:val="auto"/>
          <w:kern w:val="1"/>
          <w:sz w:val="22"/>
          <w:szCs w:val="22"/>
        </w:rPr>
      </w:pPr>
      <w:r>
        <w:rPr>
          <w:rFonts w:ascii="宋体" w:hAnsi="宋体" w:cs="宋体"/>
          <w:b/>
          <w:color w:val="auto"/>
          <w:kern w:val="1"/>
          <w:sz w:val="22"/>
          <w:szCs w:val="22"/>
        </w:rPr>
        <w:t>2、本工程采用一般计税法相关规定进行。</w:t>
      </w:r>
    </w:p>
    <w:p w14:paraId="14F64B01">
      <w:pPr>
        <w:keepNext w:val="0"/>
        <w:keepLines w:val="0"/>
        <w:pageBreakBefore w:val="0"/>
        <w:kinsoku/>
        <w:wordWrap/>
        <w:overflowPunct/>
        <w:topLinePunct w:val="0"/>
        <w:bidi w:val="0"/>
        <w:adjustRightInd/>
        <w:snapToGrid/>
        <w:spacing w:line="360" w:lineRule="auto"/>
        <w:ind w:firstLine="422"/>
        <w:textAlignment w:val="auto"/>
        <w:rPr>
          <w:rFonts w:ascii="宋体" w:hAnsi="宋体" w:cs="宋体"/>
          <w:b/>
          <w:color w:val="auto"/>
          <w:kern w:val="1"/>
          <w:sz w:val="22"/>
          <w:szCs w:val="22"/>
        </w:rPr>
      </w:pPr>
      <w:r>
        <w:rPr>
          <w:rFonts w:hint="eastAsia" w:ascii="宋体" w:hAnsi="宋体" w:cs="宋体"/>
          <w:b/>
          <w:color w:val="auto"/>
          <w:kern w:val="1"/>
          <w:sz w:val="22"/>
          <w:szCs w:val="22"/>
        </w:rPr>
        <w:t>3、本工程为设最高限价的固定单价合同。</w:t>
      </w:r>
    </w:p>
    <w:p w14:paraId="11921845">
      <w:pPr>
        <w:keepNext w:val="0"/>
        <w:keepLines w:val="0"/>
        <w:pageBreakBefore w:val="0"/>
        <w:kinsoku/>
        <w:wordWrap/>
        <w:overflowPunct/>
        <w:topLinePunct w:val="0"/>
        <w:bidi w:val="0"/>
        <w:adjustRightInd/>
        <w:snapToGrid/>
        <w:spacing w:line="360" w:lineRule="auto"/>
        <w:ind w:firstLine="422"/>
        <w:textAlignment w:val="auto"/>
        <w:rPr>
          <w:rFonts w:ascii="宋体" w:hAnsi="宋体" w:cs="宋体"/>
          <w:bCs/>
          <w:color w:val="auto"/>
          <w:kern w:val="1"/>
          <w:sz w:val="22"/>
          <w:szCs w:val="22"/>
        </w:rPr>
      </w:pPr>
      <w:r>
        <w:rPr>
          <w:rFonts w:ascii="宋体" w:hAnsi="宋体" w:cs="宋体"/>
          <w:bCs/>
          <w:color w:val="auto"/>
          <w:kern w:val="1"/>
          <w:sz w:val="22"/>
          <w:szCs w:val="22"/>
        </w:rPr>
        <w:t>（1）</w:t>
      </w:r>
      <w:r>
        <w:rPr>
          <w:rFonts w:hint="eastAsia" w:ascii="宋体" w:hAnsi="宋体" w:cs="宋体"/>
          <w:bCs/>
          <w:color w:val="auto"/>
          <w:kern w:val="1"/>
          <w:sz w:val="22"/>
          <w:szCs w:val="22"/>
        </w:rPr>
        <w:t>最高限价</w:t>
      </w:r>
      <w:r>
        <w:rPr>
          <w:rFonts w:ascii="宋体" w:hAnsi="宋体" w:cs="宋体"/>
          <w:bCs/>
          <w:color w:val="auto"/>
          <w:kern w:val="1"/>
          <w:sz w:val="22"/>
          <w:szCs w:val="22"/>
        </w:rPr>
        <w:t>为</w:t>
      </w:r>
      <w:r>
        <w:rPr>
          <w:rFonts w:hint="eastAsia" w:ascii="宋体" w:hAnsi="宋体" w:cs="宋体"/>
          <w:bCs/>
          <w:color w:val="auto"/>
          <w:kern w:val="1"/>
          <w:sz w:val="22"/>
          <w:szCs w:val="22"/>
          <w:lang w:val="en-US" w:eastAsia="zh-CN"/>
        </w:rPr>
        <w:t>551135.85</w:t>
      </w:r>
      <w:r>
        <w:rPr>
          <w:rFonts w:hint="eastAsia" w:ascii="宋体" w:hAnsi="宋体" w:cs="宋体"/>
          <w:bCs/>
          <w:color w:val="auto"/>
          <w:kern w:val="1"/>
          <w:sz w:val="22"/>
          <w:szCs w:val="22"/>
        </w:rPr>
        <w:t>元</w:t>
      </w:r>
      <w:r>
        <w:rPr>
          <w:rFonts w:ascii="宋体" w:hAnsi="宋体" w:cs="宋体"/>
          <w:bCs/>
          <w:color w:val="auto"/>
          <w:kern w:val="1"/>
          <w:sz w:val="22"/>
          <w:szCs w:val="22"/>
        </w:rPr>
        <w:t>，投标报价不</w:t>
      </w:r>
      <w:r>
        <w:rPr>
          <w:rFonts w:hint="eastAsia" w:ascii="宋体" w:hAnsi="宋体" w:cs="宋体"/>
          <w:bCs/>
          <w:color w:val="auto"/>
          <w:kern w:val="1"/>
          <w:sz w:val="22"/>
          <w:szCs w:val="22"/>
        </w:rPr>
        <w:t>得</w:t>
      </w:r>
      <w:r>
        <w:rPr>
          <w:rFonts w:ascii="宋体" w:hAnsi="宋体" w:cs="宋体"/>
          <w:bCs/>
          <w:color w:val="auto"/>
          <w:kern w:val="1"/>
          <w:sz w:val="22"/>
          <w:szCs w:val="22"/>
        </w:rPr>
        <w:t>突破</w:t>
      </w:r>
      <w:r>
        <w:rPr>
          <w:rFonts w:hint="eastAsia" w:ascii="宋体" w:hAnsi="宋体" w:cs="宋体"/>
          <w:bCs/>
          <w:color w:val="auto"/>
          <w:kern w:val="1"/>
          <w:sz w:val="22"/>
          <w:szCs w:val="22"/>
        </w:rPr>
        <w:t>最高限价</w:t>
      </w:r>
      <w:r>
        <w:rPr>
          <w:rFonts w:ascii="宋体" w:hAnsi="宋体" w:cs="宋体"/>
          <w:bCs/>
          <w:color w:val="auto"/>
          <w:kern w:val="1"/>
          <w:sz w:val="22"/>
          <w:szCs w:val="22"/>
        </w:rPr>
        <w:t>。投标报价突破</w:t>
      </w:r>
      <w:r>
        <w:rPr>
          <w:rFonts w:hint="eastAsia" w:ascii="宋体" w:hAnsi="宋体" w:cs="宋体"/>
          <w:bCs/>
          <w:color w:val="auto"/>
          <w:kern w:val="1"/>
          <w:sz w:val="22"/>
          <w:szCs w:val="22"/>
        </w:rPr>
        <w:t>最高限价</w:t>
      </w:r>
      <w:r>
        <w:rPr>
          <w:rFonts w:ascii="宋体" w:hAnsi="宋体" w:cs="宋体"/>
          <w:bCs/>
          <w:color w:val="auto"/>
          <w:kern w:val="1"/>
          <w:sz w:val="22"/>
          <w:szCs w:val="22"/>
        </w:rPr>
        <w:t>的，对该投标人作不合格投标人处理</w:t>
      </w:r>
      <w:r>
        <w:rPr>
          <w:rFonts w:hint="eastAsia" w:ascii="宋体" w:hAnsi="宋体" w:cs="宋体"/>
          <w:bCs/>
          <w:color w:val="auto"/>
          <w:kern w:val="1"/>
          <w:sz w:val="22"/>
          <w:szCs w:val="22"/>
        </w:rPr>
        <w:t>。</w:t>
      </w:r>
    </w:p>
    <w:p w14:paraId="43E0ACE1">
      <w:pPr>
        <w:keepNext w:val="0"/>
        <w:keepLines w:val="0"/>
        <w:pageBreakBefore w:val="0"/>
        <w:kinsoku/>
        <w:wordWrap/>
        <w:overflowPunct/>
        <w:topLinePunct w:val="0"/>
        <w:bidi w:val="0"/>
        <w:adjustRightInd/>
        <w:snapToGrid/>
        <w:spacing w:line="360" w:lineRule="auto"/>
        <w:ind w:firstLine="420"/>
        <w:textAlignment w:val="auto"/>
        <w:rPr>
          <w:rFonts w:ascii="宋体" w:hAnsi="宋体" w:cs="宋体"/>
          <w:color w:val="auto"/>
          <w:kern w:val="1"/>
          <w:sz w:val="22"/>
          <w:szCs w:val="22"/>
        </w:rPr>
      </w:pPr>
      <w:r>
        <w:rPr>
          <w:rFonts w:ascii="宋体" w:hAnsi="宋体" w:cs="宋体"/>
          <w:color w:val="auto"/>
          <w:kern w:val="1"/>
          <w:sz w:val="22"/>
          <w:szCs w:val="22"/>
        </w:rPr>
        <w:t>（2）供应商投标期间应对施工现场进行仔细查勘，采购人将给与支持和配合。若供应商认为采购人提供的工程量清单、</w:t>
      </w:r>
      <w:r>
        <w:rPr>
          <w:rFonts w:hint="eastAsia" w:ascii="宋体" w:hAnsi="宋体" w:cs="宋体"/>
          <w:color w:val="auto"/>
          <w:kern w:val="1"/>
          <w:sz w:val="22"/>
          <w:szCs w:val="22"/>
        </w:rPr>
        <w:t>最高限价</w:t>
      </w:r>
      <w:r>
        <w:rPr>
          <w:rFonts w:ascii="宋体" w:hAnsi="宋体" w:cs="宋体"/>
          <w:color w:val="auto"/>
          <w:kern w:val="1"/>
          <w:sz w:val="22"/>
          <w:szCs w:val="22"/>
        </w:rPr>
        <w:t>等有关技术资料还不能充分反映工程情况，可采取措施自行查勘，费用自理。</w:t>
      </w:r>
    </w:p>
    <w:p w14:paraId="52029571">
      <w:pPr>
        <w:keepNext w:val="0"/>
        <w:keepLines w:val="0"/>
        <w:pageBreakBefore w:val="0"/>
        <w:kinsoku/>
        <w:wordWrap/>
        <w:overflowPunct/>
        <w:topLinePunct w:val="0"/>
        <w:bidi w:val="0"/>
        <w:adjustRightInd/>
        <w:snapToGrid/>
        <w:spacing w:line="360" w:lineRule="auto"/>
        <w:ind w:firstLine="420"/>
        <w:textAlignment w:val="auto"/>
        <w:rPr>
          <w:rFonts w:ascii="宋体" w:hAnsi="宋体" w:cs="宋体"/>
          <w:color w:val="auto"/>
          <w:kern w:val="1"/>
          <w:sz w:val="22"/>
          <w:szCs w:val="22"/>
        </w:rPr>
      </w:pPr>
      <w:r>
        <w:rPr>
          <w:rFonts w:ascii="宋体" w:hAnsi="宋体" w:cs="宋体"/>
          <w:color w:val="auto"/>
          <w:kern w:val="1"/>
          <w:sz w:val="22"/>
          <w:szCs w:val="22"/>
        </w:rPr>
        <w:t>供应商应根据采购人提供的工程量清单、</w:t>
      </w:r>
      <w:r>
        <w:rPr>
          <w:rFonts w:hint="eastAsia" w:ascii="宋体" w:hAnsi="宋体" w:cs="宋体"/>
          <w:color w:val="auto"/>
          <w:kern w:val="1"/>
          <w:sz w:val="22"/>
          <w:szCs w:val="22"/>
        </w:rPr>
        <w:t>最高限价、综合单价</w:t>
      </w:r>
      <w:r>
        <w:rPr>
          <w:rFonts w:ascii="宋体" w:hAnsi="宋体" w:cs="宋体"/>
          <w:color w:val="auto"/>
          <w:kern w:val="1"/>
          <w:sz w:val="22"/>
          <w:szCs w:val="22"/>
        </w:rPr>
        <w:t>等有关技术资料及现场踏勘测量情况，在保证竣工后各分部分项工程和所有构配件均处于正常工作状态的前提下，自行报价，投标报价不得突破</w:t>
      </w:r>
      <w:r>
        <w:rPr>
          <w:rFonts w:hint="eastAsia" w:ascii="宋体" w:hAnsi="宋体" w:cs="宋体"/>
          <w:color w:val="auto"/>
          <w:kern w:val="1"/>
          <w:sz w:val="22"/>
          <w:szCs w:val="22"/>
        </w:rPr>
        <w:t>最高限价</w:t>
      </w:r>
      <w:r>
        <w:rPr>
          <w:rFonts w:ascii="宋体" w:hAnsi="宋体" w:cs="宋体"/>
          <w:color w:val="auto"/>
          <w:kern w:val="1"/>
          <w:sz w:val="22"/>
          <w:szCs w:val="22"/>
        </w:rPr>
        <w:t>。</w:t>
      </w:r>
    </w:p>
    <w:p w14:paraId="4C6863B4">
      <w:pPr>
        <w:keepNext w:val="0"/>
        <w:keepLines w:val="0"/>
        <w:pageBreakBefore w:val="0"/>
        <w:kinsoku/>
        <w:wordWrap/>
        <w:overflowPunct/>
        <w:topLinePunct w:val="0"/>
        <w:bidi w:val="0"/>
        <w:adjustRightInd/>
        <w:snapToGrid/>
        <w:spacing w:line="360" w:lineRule="auto"/>
        <w:ind w:firstLine="422"/>
        <w:textAlignment w:val="auto"/>
        <w:rPr>
          <w:rFonts w:ascii="宋体" w:hAnsi="宋体" w:cs="宋体"/>
          <w:bCs/>
          <w:color w:val="auto"/>
          <w:kern w:val="1"/>
          <w:sz w:val="22"/>
          <w:szCs w:val="22"/>
        </w:rPr>
      </w:pPr>
      <w:r>
        <w:rPr>
          <w:rFonts w:ascii="宋体" w:hAnsi="宋体" w:cs="宋体"/>
          <w:bCs/>
          <w:color w:val="auto"/>
          <w:kern w:val="1"/>
          <w:sz w:val="22"/>
          <w:szCs w:val="22"/>
        </w:rPr>
        <w:t>为保证竣工后各分部分项工程和所有构配件均处于正常工作状态，供应商应根据施工现场的实际情况进行合理的施工组织设计，</w:t>
      </w:r>
      <w:r>
        <w:rPr>
          <w:rFonts w:hint="eastAsia" w:ascii="宋体" w:hAnsi="宋体" w:cs="宋体"/>
          <w:bCs/>
          <w:color w:val="auto"/>
          <w:kern w:val="1"/>
          <w:sz w:val="22"/>
          <w:szCs w:val="22"/>
        </w:rPr>
        <w:t>若供应商遗漏</w:t>
      </w:r>
      <w:r>
        <w:rPr>
          <w:rFonts w:hint="eastAsia" w:ascii="宋体" w:hAnsi="宋体" w:cs="宋体"/>
          <w:bCs/>
          <w:color w:val="auto"/>
          <w:kern w:val="1"/>
          <w:sz w:val="22"/>
          <w:szCs w:val="22"/>
          <w:lang w:val="en-US" w:eastAsia="zh-CN"/>
        </w:rPr>
        <w:t>谈判</w:t>
      </w:r>
      <w:r>
        <w:rPr>
          <w:rFonts w:hint="eastAsia" w:ascii="宋体" w:hAnsi="宋体" w:cs="宋体"/>
          <w:bCs/>
          <w:color w:val="auto"/>
          <w:kern w:val="1"/>
          <w:sz w:val="22"/>
          <w:szCs w:val="22"/>
        </w:rPr>
        <w:t>文件所列工程量清单内容，均由成交人自负，采购人不再支付任何费用。</w:t>
      </w:r>
      <w:r>
        <w:rPr>
          <w:rFonts w:ascii="宋体" w:hAnsi="宋体" w:cs="宋体"/>
          <w:bCs/>
          <w:color w:val="auto"/>
          <w:kern w:val="1"/>
          <w:sz w:val="22"/>
          <w:szCs w:val="22"/>
        </w:rPr>
        <w:t>若发现和工程量清单有漏项的情况，必须充分考虑采取必要措施和预案严格控制</w:t>
      </w:r>
      <w:r>
        <w:rPr>
          <w:rFonts w:hint="eastAsia" w:ascii="宋体" w:hAnsi="宋体" w:cs="宋体"/>
          <w:bCs/>
          <w:color w:val="auto"/>
          <w:kern w:val="1"/>
          <w:sz w:val="22"/>
          <w:szCs w:val="22"/>
        </w:rPr>
        <w:t>预算</w:t>
      </w:r>
      <w:r>
        <w:rPr>
          <w:rFonts w:ascii="宋体" w:hAnsi="宋体" w:cs="宋体"/>
          <w:bCs/>
          <w:color w:val="auto"/>
          <w:kern w:val="1"/>
          <w:sz w:val="22"/>
          <w:szCs w:val="22"/>
        </w:rPr>
        <w:t>。</w:t>
      </w:r>
    </w:p>
    <w:p w14:paraId="3727A45F">
      <w:pPr>
        <w:keepNext w:val="0"/>
        <w:keepLines w:val="0"/>
        <w:pageBreakBefore w:val="0"/>
        <w:kinsoku/>
        <w:wordWrap/>
        <w:overflowPunct/>
        <w:topLinePunct w:val="0"/>
        <w:bidi w:val="0"/>
        <w:adjustRightInd/>
        <w:snapToGrid/>
        <w:spacing w:line="360" w:lineRule="auto"/>
        <w:ind w:firstLine="422"/>
        <w:textAlignment w:val="auto"/>
        <w:rPr>
          <w:rFonts w:ascii="宋体" w:hAnsi="宋体" w:cs="宋体"/>
          <w:b/>
          <w:bCs/>
          <w:color w:val="auto"/>
          <w:kern w:val="1"/>
          <w:sz w:val="22"/>
          <w:szCs w:val="22"/>
        </w:rPr>
      </w:pPr>
      <w:r>
        <w:rPr>
          <w:rFonts w:hint="eastAsia" w:ascii="宋体" w:hAnsi="宋体" w:cs="宋体"/>
          <w:b/>
          <w:color w:val="auto"/>
          <w:kern w:val="1"/>
          <w:sz w:val="22"/>
          <w:szCs w:val="22"/>
        </w:rPr>
        <w:t>4</w:t>
      </w:r>
      <w:r>
        <w:rPr>
          <w:rFonts w:ascii="宋体" w:hAnsi="宋体" w:cs="宋体"/>
          <w:b/>
          <w:color w:val="auto"/>
          <w:kern w:val="1"/>
          <w:sz w:val="22"/>
          <w:szCs w:val="22"/>
        </w:rPr>
        <w:t>、</w:t>
      </w:r>
      <w:r>
        <w:rPr>
          <w:rFonts w:ascii="宋体" w:hAnsi="宋体" w:cs="宋体"/>
          <w:b/>
          <w:bCs/>
          <w:color w:val="auto"/>
          <w:kern w:val="1"/>
          <w:sz w:val="22"/>
          <w:szCs w:val="22"/>
        </w:rPr>
        <w:t>采购人不接受有任何选择的报价。</w:t>
      </w:r>
    </w:p>
    <w:p w14:paraId="319B87B0">
      <w:pPr>
        <w:pStyle w:val="28"/>
        <w:keepNext w:val="0"/>
        <w:keepLines w:val="0"/>
        <w:pageBreakBefore w:val="0"/>
        <w:kinsoku/>
        <w:wordWrap/>
        <w:overflowPunct/>
        <w:topLinePunct w:val="0"/>
        <w:bidi w:val="0"/>
        <w:adjustRightInd/>
        <w:snapToGrid/>
        <w:spacing w:line="360" w:lineRule="auto"/>
        <w:ind w:firstLine="422"/>
        <w:textAlignment w:val="auto"/>
        <w:rPr>
          <w:rFonts w:hint="eastAsia" w:ascii="宋体" w:hAnsi="宋体" w:cs="宋体"/>
          <w:bCs/>
          <w:color w:val="auto"/>
          <w:kern w:val="1"/>
          <w:sz w:val="22"/>
          <w:szCs w:val="22"/>
        </w:rPr>
      </w:pPr>
      <w:r>
        <w:rPr>
          <w:rFonts w:ascii="宋体" w:hAnsi="宋体" w:cs="宋体"/>
          <w:b/>
          <w:color w:val="auto"/>
          <w:kern w:val="1"/>
          <w:sz w:val="22"/>
          <w:szCs w:val="22"/>
        </w:rPr>
        <w:t>八、工程量清单</w:t>
      </w:r>
      <w:r>
        <w:rPr>
          <w:rFonts w:hint="eastAsia" w:ascii="宋体" w:hAnsi="宋体" w:cs="宋体"/>
          <w:b/>
          <w:color w:val="auto"/>
          <w:kern w:val="1"/>
          <w:sz w:val="21"/>
          <w:szCs w:val="21"/>
        </w:rPr>
        <w:t>（</w:t>
      </w:r>
      <w:r>
        <w:rPr>
          <w:rFonts w:hint="eastAsia" w:ascii="宋体" w:hAnsi="宋体" w:cs="宋体"/>
          <w:b/>
          <w:color w:val="auto"/>
          <w:sz w:val="24"/>
          <w:szCs w:val="21"/>
        </w:rPr>
        <w:t>另册</w:t>
      </w:r>
      <w:r>
        <w:rPr>
          <w:rFonts w:hint="eastAsia" w:ascii="宋体" w:hAnsi="宋体" w:cs="宋体"/>
          <w:b/>
          <w:color w:val="auto"/>
          <w:kern w:val="1"/>
          <w:sz w:val="21"/>
          <w:szCs w:val="21"/>
        </w:rPr>
        <w:t>）</w:t>
      </w:r>
    </w:p>
    <w:p w14:paraId="242E66DD">
      <w:pPr>
        <w:pStyle w:val="6"/>
        <w:keepNext w:val="0"/>
        <w:keepLines w:val="0"/>
        <w:pageBreakBefore w:val="0"/>
        <w:kinsoku/>
        <w:wordWrap/>
        <w:overflowPunct/>
        <w:topLinePunct w:val="0"/>
        <w:bidi w:val="0"/>
        <w:adjustRightInd/>
        <w:snapToGrid/>
        <w:spacing w:line="360" w:lineRule="exact"/>
        <w:textAlignment w:val="auto"/>
        <w:rPr>
          <w:rFonts w:hint="default" w:ascii="宋体" w:hAnsi="宋体" w:eastAsia="宋体" w:cs="宋体"/>
          <w:b/>
          <w:color w:val="auto"/>
          <w:kern w:val="1"/>
          <w:sz w:val="22"/>
          <w:szCs w:val="22"/>
          <w:lang w:val="en-US" w:eastAsia="zh-CN" w:bidi="ar-SA"/>
        </w:rPr>
      </w:pPr>
      <w:r>
        <w:rPr>
          <w:rFonts w:hint="eastAsia" w:ascii="宋体" w:hAnsi="宋体" w:eastAsia="宋体" w:cs="宋体"/>
          <w:b/>
          <w:color w:val="auto"/>
          <w:kern w:val="1"/>
          <w:sz w:val="22"/>
          <w:szCs w:val="22"/>
          <w:lang w:val="en-US" w:eastAsia="zh-CN" w:bidi="ar-SA"/>
        </w:rPr>
        <w:t>九、图纸（另册）</w:t>
      </w:r>
    </w:p>
    <w:p w14:paraId="1C80747D">
      <w:pPr>
        <w:numPr>
          <w:ilvl w:val="0"/>
          <w:numId w:val="0"/>
        </w:numPr>
        <w:snapToGrid w:val="0"/>
        <w:spacing w:line="480" w:lineRule="exact"/>
        <w:jc w:val="both"/>
        <w:rPr>
          <w:rFonts w:hint="eastAsia"/>
          <w:b/>
          <w:bCs/>
          <w:color w:val="auto"/>
          <w:sz w:val="36"/>
          <w:szCs w:val="44"/>
        </w:rPr>
      </w:pPr>
    </w:p>
    <w:p w14:paraId="68489A84">
      <w:pPr>
        <w:keepNext/>
        <w:adjustRightInd w:val="0"/>
        <w:snapToGrid w:val="0"/>
        <w:spacing w:before="156" w:beforeLines="50" w:line="360" w:lineRule="auto"/>
        <w:jc w:val="center"/>
        <w:outlineLvl w:val="0"/>
        <w:rPr>
          <w:rFonts w:ascii="黑体" w:hAnsi="黑体" w:eastAsia="黑体"/>
          <w:b/>
          <w:bCs/>
          <w:color w:val="000000" w:themeColor="text1"/>
          <w:sz w:val="32"/>
          <w:szCs w:val="32"/>
          <w14:textFill>
            <w14:solidFill>
              <w14:schemeClr w14:val="tx1"/>
            </w14:solidFill>
          </w14:textFill>
        </w:rPr>
      </w:pPr>
      <w:bookmarkStart w:id="144" w:name="_Toc31415"/>
      <w:r>
        <w:rPr>
          <w:rFonts w:hint="eastAsia" w:ascii="黑体" w:hAnsi="黑体" w:eastAsia="黑体"/>
          <w:b/>
          <w:bCs/>
          <w:color w:val="000000" w:themeColor="text1"/>
          <w:sz w:val="32"/>
          <w:szCs w:val="32"/>
          <w14:textFill>
            <w14:solidFill>
              <w14:schemeClr w14:val="tx1"/>
            </w14:solidFill>
          </w14:textFill>
        </w:rPr>
        <w:t>第四章 合同草案条款</w:t>
      </w:r>
      <w:bookmarkEnd w:id="144"/>
    </w:p>
    <w:p w14:paraId="2E6A459F">
      <w:pPr>
        <w:spacing w:line="600" w:lineRule="exact"/>
        <w:jc w:val="center"/>
        <w:rPr>
          <w:rFonts w:hint="default" w:ascii="宋体" w:hAnsi="宋体" w:eastAsia="宋体" w:cs="宋体"/>
          <w:color w:val="auto"/>
          <w:sz w:val="22"/>
          <w:szCs w:val="22"/>
          <w:lang w:val="en-US" w:eastAsia="zh-CN"/>
        </w:rPr>
      </w:pPr>
      <w:bookmarkStart w:id="145" w:name="_Toc22201111"/>
      <w:bookmarkStart w:id="146" w:name="_Toc14242"/>
      <w:r>
        <w:rPr>
          <w:rFonts w:ascii="Times New Roman" w:hAnsi="Times New Roman" w:cs="Times New Roman"/>
          <w:color w:val="auto"/>
          <w:sz w:val="22"/>
          <w:szCs w:val="22"/>
        </w:rPr>
        <w:t>合同编号</w:t>
      </w:r>
      <w:r>
        <w:rPr>
          <w:rFonts w:hint="eastAsia" w:ascii="宋体" w:hAnsi="宋体" w:cs="宋体"/>
          <w:color w:val="auto"/>
          <w:sz w:val="22"/>
          <w:szCs w:val="22"/>
        </w:rPr>
        <w:t>：</w:t>
      </w:r>
    </w:p>
    <w:p w14:paraId="3FEA5FA9">
      <w:pPr>
        <w:tabs>
          <w:tab w:val="center" w:pos="4819"/>
          <w:tab w:val="left" w:pos="6645"/>
        </w:tabs>
        <w:spacing w:line="560" w:lineRule="exact"/>
        <w:ind w:right="-334" w:rightChars="-159"/>
        <w:jc w:val="center"/>
        <w:rPr>
          <w:rFonts w:hint="eastAsia" w:ascii="宋体" w:hAnsi="宋体" w:cs="宋体"/>
          <w:color w:val="auto"/>
          <w:kern w:val="0"/>
          <w:sz w:val="36"/>
          <w:szCs w:val="36"/>
          <w:shd w:val="clear" w:color="auto" w:fill="FFFFFF"/>
        </w:rPr>
      </w:pPr>
    </w:p>
    <w:p w14:paraId="1BB30E6C">
      <w:pPr>
        <w:widowControl w:val="0"/>
        <w:spacing w:after="120" w:line="480" w:lineRule="auto"/>
        <w:jc w:val="both"/>
        <w:rPr>
          <w:rFonts w:hint="eastAsia" w:ascii="宋体" w:hAnsi="宋体" w:eastAsia="宋体" w:cs="宋体"/>
          <w:color w:val="auto"/>
          <w:kern w:val="0"/>
          <w:sz w:val="36"/>
          <w:szCs w:val="36"/>
          <w:shd w:val="clear" w:color="auto" w:fill="FFFFFF"/>
          <w:lang w:val="en-US" w:eastAsia="zh-CN" w:bidi="ar-SA"/>
        </w:rPr>
      </w:pPr>
    </w:p>
    <w:p w14:paraId="42859FFA">
      <w:pPr>
        <w:widowControl w:val="0"/>
        <w:spacing w:after="120" w:line="480" w:lineRule="auto"/>
        <w:jc w:val="both"/>
        <w:rPr>
          <w:rFonts w:hint="eastAsia" w:ascii="宋体" w:hAnsi="宋体" w:eastAsia="宋体" w:cs="宋体"/>
          <w:color w:val="auto"/>
          <w:kern w:val="0"/>
          <w:sz w:val="36"/>
          <w:szCs w:val="36"/>
          <w:shd w:val="clear" w:color="auto" w:fill="FFFFFF"/>
          <w:lang w:val="en-US" w:eastAsia="zh-CN" w:bidi="ar-SA"/>
        </w:rPr>
      </w:pPr>
    </w:p>
    <w:p w14:paraId="731E2D32">
      <w:pPr>
        <w:jc w:val="center"/>
        <w:rPr>
          <w:rFonts w:hint="eastAsia" w:ascii="宋体" w:hAnsi="宋体" w:eastAsia="宋体" w:cs="宋体"/>
          <w:b/>
          <w:color w:val="auto"/>
          <w:sz w:val="56"/>
          <w:szCs w:val="56"/>
        </w:rPr>
      </w:pPr>
      <w:r>
        <w:rPr>
          <w:rFonts w:hint="eastAsia" w:ascii="宋体" w:hAnsi="宋体" w:eastAsia="宋体" w:cs="宋体"/>
          <w:b/>
          <w:color w:val="auto"/>
          <w:sz w:val="56"/>
          <w:szCs w:val="56"/>
        </w:rPr>
        <w:t>电力工程建设合同</w:t>
      </w:r>
    </w:p>
    <w:p w14:paraId="0065D2E8">
      <w:pPr>
        <w:rPr>
          <w:rFonts w:hint="eastAsia" w:ascii="Calibri" w:hAnsi="Calibri" w:cs="Times New Roman"/>
          <w:color w:val="auto"/>
          <w:sz w:val="18"/>
          <w:szCs w:val="21"/>
        </w:rPr>
      </w:pPr>
    </w:p>
    <w:p w14:paraId="50580E59">
      <w:pPr>
        <w:rPr>
          <w:rFonts w:hint="eastAsia" w:ascii="宋体" w:hAnsi="宋体" w:eastAsia="宋体" w:cs="宋体"/>
          <w:color w:val="auto"/>
          <w:sz w:val="22"/>
          <w:szCs w:val="22"/>
        </w:rPr>
      </w:pPr>
    </w:p>
    <w:p w14:paraId="1E611A4B">
      <w:pPr>
        <w:rPr>
          <w:rFonts w:hint="eastAsia" w:ascii="宋体" w:hAnsi="宋体" w:eastAsia="宋体" w:cs="宋体"/>
          <w:color w:val="auto"/>
          <w:sz w:val="22"/>
          <w:szCs w:val="22"/>
        </w:rPr>
      </w:pPr>
    </w:p>
    <w:p w14:paraId="7E130E1F">
      <w:pPr>
        <w:pStyle w:val="44"/>
        <w:spacing w:beforeLines="-2147483648" w:beforeAutospacing="0" w:afterLines="-2147483648" w:afterAutospacing="0"/>
        <w:ind w:firstLine="0" w:firstLineChars="0"/>
        <w:rPr>
          <w:rFonts w:hint="eastAsia" w:ascii="宋体" w:hAnsi="宋体" w:eastAsia="宋体" w:cs="宋体"/>
          <w:color w:val="auto"/>
          <w:sz w:val="22"/>
          <w:szCs w:val="22"/>
        </w:rPr>
      </w:pPr>
    </w:p>
    <w:p w14:paraId="2C8930A0">
      <w:pPr>
        <w:keepNext w:val="0"/>
        <w:keepLines w:val="0"/>
        <w:pageBreakBefore w:val="0"/>
        <w:widowControl w:val="0"/>
        <w:kinsoku/>
        <w:wordWrap/>
        <w:overflowPunct/>
        <w:topLinePunct w:val="0"/>
        <w:autoSpaceDE/>
        <w:autoSpaceDN/>
        <w:bidi w:val="0"/>
        <w:adjustRightInd/>
        <w:snapToGrid/>
        <w:spacing w:line="600" w:lineRule="exact"/>
        <w:ind w:left="1838" w:leftChars="304" w:hanging="1200" w:hangingChars="500"/>
        <w:textAlignment w:val="auto"/>
        <w:rPr>
          <w:rFonts w:hint="eastAsia" w:ascii="宋体" w:hAnsi="宋体" w:eastAsia="宋体" w:cs="宋体"/>
          <w:color w:val="auto"/>
          <w:sz w:val="24"/>
          <w:szCs w:val="24"/>
          <w:u w:val="none"/>
          <w:lang w:eastAsia="zh-CN"/>
        </w:rPr>
      </w:pPr>
      <w:r>
        <w:rPr>
          <w:rFonts w:hint="eastAsia" w:ascii="宋体" w:hAnsi="宋体" w:eastAsia="宋体" w:cs="宋体"/>
          <w:color w:val="auto"/>
          <w:sz w:val="24"/>
          <w:szCs w:val="24"/>
        </w:rPr>
        <w:t>工程</w:t>
      </w:r>
      <w:r>
        <w:rPr>
          <w:rFonts w:hint="eastAsia" w:ascii="宋体" w:hAnsi="宋体" w:eastAsia="宋体" w:cs="宋体"/>
          <w:color w:val="auto"/>
          <w:sz w:val="24"/>
          <w:szCs w:val="24"/>
          <w:u w:val="none"/>
        </w:rPr>
        <w:t>名称：</w:t>
      </w:r>
      <w:r>
        <w:rPr>
          <w:rFonts w:hint="eastAsia" w:ascii="宋体" w:hAnsi="宋体" w:eastAsia="宋体" w:cs="宋体"/>
          <w:color w:val="auto"/>
          <w:sz w:val="24"/>
          <w:szCs w:val="24"/>
          <w:u w:val="single"/>
        </w:rPr>
        <w:t>怀化市鹤城区城市建设投资有限公司（区执法局充电桩）配电工程</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第三次</w:t>
      </w:r>
      <w:r>
        <w:rPr>
          <w:rFonts w:hint="eastAsia" w:ascii="宋体" w:hAnsi="宋体" w:cs="宋体"/>
          <w:color w:val="auto"/>
          <w:sz w:val="24"/>
          <w:szCs w:val="24"/>
          <w:u w:val="single"/>
          <w:lang w:eastAsia="zh-CN"/>
        </w:rPr>
        <w:t>）</w:t>
      </w:r>
    </w:p>
    <w:p w14:paraId="2314CC1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color w:val="auto"/>
          <w:sz w:val="24"/>
          <w:szCs w:val="24"/>
          <w:u w:val="none"/>
        </w:rPr>
      </w:pPr>
    </w:p>
    <w:p w14:paraId="281EB95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 xml:space="preserve">甲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none"/>
        </w:rPr>
        <w:t>方：</w:t>
      </w:r>
      <w:r>
        <w:rPr>
          <w:rFonts w:hint="eastAsia" w:ascii="宋体" w:hAnsi="宋体" w:eastAsia="宋体" w:cs="宋体"/>
          <w:color w:val="auto"/>
          <w:sz w:val="24"/>
          <w:szCs w:val="24"/>
          <w:u w:val="single"/>
        </w:rPr>
        <w:t xml:space="preserve">怀化市鹤城区城市建设投资有限公司 </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none"/>
        </w:rPr>
        <w:t xml:space="preserve">  </w:t>
      </w:r>
    </w:p>
    <w:p w14:paraId="2E8533A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color w:val="auto"/>
          <w:sz w:val="24"/>
          <w:szCs w:val="24"/>
        </w:rPr>
      </w:pPr>
    </w:p>
    <w:p w14:paraId="3CF28A91">
      <w:pPr>
        <w:spacing w:line="600" w:lineRule="exact"/>
        <w:ind w:firstLine="480" w:firstLineChars="200"/>
        <w:rPr>
          <w:rFonts w:hint="eastAsia" w:ascii="宋体" w:hAnsi="宋体" w:eastAsia="宋体" w:cs="宋体"/>
          <w:color w:val="auto"/>
          <w:sz w:val="24"/>
          <w:szCs w:val="24"/>
        </w:rPr>
        <w:sectPr>
          <w:headerReference r:id="rId6" w:type="default"/>
          <w:footerReference r:id="rId7" w:type="default"/>
          <w:footerReference r:id="rId8" w:type="even"/>
          <w:pgSz w:w="11906" w:h="16838"/>
          <w:pgMar w:top="1440" w:right="1519" w:bottom="1440" w:left="1519" w:header="851" w:footer="992" w:gutter="0"/>
          <w:pgNumType w:fmt="decimal"/>
          <w:cols w:space="720" w:num="1"/>
          <w:docGrid w:type="lines" w:linePitch="312" w:charSpace="0"/>
        </w:sectPr>
      </w:pPr>
      <w:r>
        <w:rPr>
          <w:rFonts w:hint="eastAsia" w:ascii="宋体" w:hAnsi="宋体" w:eastAsia="宋体" w:cs="宋体"/>
          <w:color w:val="auto"/>
          <w:sz w:val="24"/>
          <w:szCs w:val="24"/>
        </w:rPr>
        <w:t xml:space="preserve">乙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方：</w:t>
      </w:r>
      <w:r>
        <w:rPr>
          <w:rFonts w:hint="eastAsia" w:ascii="宋体" w:hAnsi="宋体" w:eastAsia="宋体" w:cs="宋体"/>
          <w:color w:val="auto"/>
          <w:sz w:val="24"/>
          <w:szCs w:val="24"/>
          <w:lang w:val="en-US" w:eastAsia="zh-CN"/>
        </w:rPr>
        <w:t xml:space="preserve">  </w:t>
      </w:r>
    </w:p>
    <w:p w14:paraId="7D6597BE">
      <w:pPr>
        <w:jc w:val="center"/>
        <w:rPr>
          <w:rFonts w:hint="eastAsia" w:ascii="宋体" w:hAnsi="宋体" w:eastAsia="宋体" w:cs="宋体"/>
          <w:b/>
          <w:color w:val="auto"/>
          <w:sz w:val="36"/>
          <w:szCs w:val="36"/>
        </w:rPr>
      </w:pPr>
      <w:r>
        <w:rPr>
          <w:rFonts w:hint="eastAsia" w:ascii="宋体" w:hAnsi="宋体" w:eastAsia="宋体" w:cs="宋体"/>
          <w:b/>
          <w:color w:val="auto"/>
          <w:sz w:val="36"/>
          <w:szCs w:val="36"/>
          <w:lang w:eastAsia="zh-CN"/>
        </w:rPr>
        <w:t>施工</w:t>
      </w:r>
      <w:r>
        <w:rPr>
          <w:rFonts w:hint="eastAsia" w:ascii="宋体" w:hAnsi="宋体" w:eastAsia="宋体" w:cs="宋体"/>
          <w:b/>
          <w:color w:val="auto"/>
          <w:sz w:val="36"/>
          <w:szCs w:val="36"/>
        </w:rPr>
        <w:t>合同</w:t>
      </w:r>
    </w:p>
    <w:p w14:paraId="32CB2D17">
      <w:pPr>
        <w:spacing w:beforeLines="0" w:afterLines="0" w:line="560" w:lineRule="exact"/>
        <w:jc w:val="center"/>
        <w:rPr>
          <w:rFonts w:hint="eastAsia" w:ascii="宋体" w:hAnsi="宋体" w:eastAsia="宋体" w:cs="宋体"/>
          <w:b/>
          <w:color w:val="auto"/>
          <w:sz w:val="36"/>
          <w:szCs w:val="36"/>
        </w:rPr>
      </w:pPr>
    </w:p>
    <w:p w14:paraId="38B13A43">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发包方：</w:t>
      </w:r>
      <w:r>
        <w:rPr>
          <w:rFonts w:hint="eastAsia" w:ascii="宋体" w:hAnsi="宋体" w:eastAsia="宋体" w:cs="宋体"/>
          <w:color w:val="auto"/>
          <w:sz w:val="22"/>
          <w:szCs w:val="22"/>
          <w:u w:val="single"/>
        </w:rPr>
        <w:t>怀化市鹤城区城市建设投资有限公司</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以下简称甲方）</w:t>
      </w:r>
    </w:p>
    <w:p w14:paraId="55D8134E">
      <w:pPr>
        <w:spacing w:beforeLines="0" w:afterLines="0" w:line="560" w:lineRule="exact"/>
        <w:ind w:firstLine="440" w:firstLineChars="200"/>
        <w:jc w:val="left"/>
        <w:rPr>
          <w:rFonts w:hint="eastAsia" w:ascii="宋体" w:hAnsi="宋体" w:eastAsia="宋体" w:cs="宋体"/>
          <w:color w:val="auto"/>
          <w:sz w:val="22"/>
          <w:szCs w:val="22"/>
        </w:rPr>
      </w:pPr>
      <w:r>
        <w:rPr>
          <w:rFonts w:hint="eastAsia" w:ascii="宋体" w:hAnsi="宋体" w:eastAsia="宋体" w:cs="宋体"/>
          <w:color w:val="auto"/>
          <w:sz w:val="22"/>
          <w:szCs w:val="22"/>
        </w:rPr>
        <w:t>承包方：</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 xml:space="preserve">以下简称乙方）                             </w:t>
      </w:r>
    </w:p>
    <w:p w14:paraId="30CB8E8B">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根据《中华人民共和国</w:t>
      </w:r>
      <w:r>
        <w:rPr>
          <w:rFonts w:hint="eastAsia" w:ascii="宋体" w:hAnsi="宋体" w:eastAsia="宋体" w:cs="宋体"/>
          <w:color w:val="auto"/>
          <w:sz w:val="22"/>
          <w:szCs w:val="22"/>
          <w:lang w:eastAsia="zh-CN"/>
        </w:rPr>
        <w:t>民法典</w:t>
      </w:r>
      <w:r>
        <w:rPr>
          <w:rFonts w:hint="eastAsia" w:ascii="宋体" w:hAnsi="宋体" w:eastAsia="宋体" w:cs="宋体"/>
          <w:color w:val="auto"/>
          <w:sz w:val="22"/>
          <w:szCs w:val="22"/>
        </w:rPr>
        <w:t>》、《中华人民共和国电力法》等相关法律、法规之规定，遵循平等、自愿、公平和诚实信用的原则，为明确双方的权利、义务和责任，经双方友好协商一致，订立本合同，共同遵守执行。</w:t>
      </w:r>
    </w:p>
    <w:p w14:paraId="5E6031C8">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一、合同文件</w:t>
      </w:r>
    </w:p>
    <w:p w14:paraId="36AD9CE3">
      <w:pPr>
        <w:spacing w:beforeLines="0" w:afterLines="0" w:line="560" w:lineRule="exact"/>
        <w:rPr>
          <w:rFonts w:hint="eastAsia" w:ascii="宋体" w:hAnsi="宋体" w:eastAsia="宋体" w:cs="宋体"/>
          <w:color w:val="auto"/>
          <w:sz w:val="22"/>
          <w:szCs w:val="22"/>
        </w:rPr>
      </w:pPr>
      <w:r>
        <w:rPr>
          <w:rFonts w:hint="eastAsia" w:ascii="宋体" w:hAnsi="宋体" w:eastAsia="宋体" w:cs="宋体"/>
          <w:color w:val="auto"/>
          <w:sz w:val="22"/>
          <w:szCs w:val="22"/>
        </w:rPr>
        <w:t xml:space="preserve">    下列文件构成本合同的组成部分：</w:t>
      </w:r>
    </w:p>
    <w:p w14:paraId="4489DBC9">
      <w:pPr>
        <w:spacing w:beforeLines="0" w:afterLines="0" w:line="560" w:lineRule="exact"/>
        <w:rPr>
          <w:rFonts w:hint="eastAsia" w:ascii="宋体" w:hAnsi="宋体" w:eastAsia="宋体" w:cs="宋体"/>
          <w:color w:val="auto"/>
          <w:sz w:val="22"/>
          <w:szCs w:val="22"/>
        </w:rPr>
      </w:pPr>
      <w:r>
        <w:rPr>
          <w:rFonts w:hint="eastAsia" w:ascii="宋体" w:hAnsi="宋体" w:eastAsia="宋体" w:cs="宋体"/>
          <w:color w:val="auto"/>
          <w:sz w:val="22"/>
          <w:szCs w:val="22"/>
        </w:rPr>
        <w:t xml:space="preserve">    1、本合同书；</w:t>
      </w:r>
    </w:p>
    <w:p w14:paraId="31111F0B">
      <w:pPr>
        <w:spacing w:beforeLines="0" w:afterLines="0" w:line="560" w:lineRule="exact"/>
        <w:ind w:firstLine="555"/>
        <w:rPr>
          <w:rFonts w:hint="eastAsia" w:ascii="宋体" w:hAnsi="宋体" w:eastAsia="宋体" w:cs="宋体"/>
          <w:color w:val="auto"/>
          <w:sz w:val="22"/>
          <w:szCs w:val="22"/>
        </w:rPr>
      </w:pPr>
      <w:r>
        <w:rPr>
          <w:rFonts w:hint="eastAsia" w:ascii="宋体" w:hAnsi="宋体" w:eastAsia="宋体" w:cs="宋体"/>
          <w:color w:val="auto"/>
          <w:sz w:val="22"/>
          <w:szCs w:val="22"/>
        </w:rPr>
        <w:t>2、设计、预算、审计文件及甲方要求等；</w:t>
      </w:r>
    </w:p>
    <w:p w14:paraId="0EF08953">
      <w:pPr>
        <w:spacing w:beforeLines="0" w:afterLines="0" w:line="560" w:lineRule="exact"/>
        <w:jc w:val="left"/>
        <w:rPr>
          <w:rFonts w:hint="eastAsia" w:ascii="宋体" w:hAnsi="宋体" w:eastAsia="宋体" w:cs="宋体"/>
          <w:b w:val="0"/>
          <w:bCs w:val="0"/>
          <w:color w:val="auto"/>
          <w:sz w:val="22"/>
          <w:szCs w:val="22"/>
        </w:rPr>
      </w:pPr>
      <w:r>
        <w:rPr>
          <w:rFonts w:hint="eastAsia" w:ascii="宋体" w:hAnsi="宋体" w:eastAsia="宋体" w:cs="宋体"/>
          <w:color w:val="auto"/>
          <w:sz w:val="22"/>
          <w:szCs w:val="22"/>
        </w:rPr>
        <w:t xml:space="preserve"> </w:t>
      </w:r>
      <w:r>
        <w:rPr>
          <w:rFonts w:hint="eastAsia" w:ascii="宋体" w:hAnsi="宋体" w:eastAsia="宋体" w:cs="宋体"/>
          <w:b/>
          <w:bCs/>
          <w:color w:val="auto"/>
          <w:sz w:val="22"/>
          <w:szCs w:val="22"/>
        </w:rPr>
        <w:t xml:space="preserve">  </w:t>
      </w:r>
      <w:r>
        <w:rPr>
          <w:rFonts w:hint="eastAsia" w:ascii="宋体" w:hAnsi="宋体" w:eastAsia="宋体" w:cs="宋体"/>
          <w:b w:val="0"/>
          <w:bCs w:val="0"/>
          <w:color w:val="auto"/>
          <w:sz w:val="22"/>
          <w:szCs w:val="22"/>
        </w:rPr>
        <w:t xml:space="preserve"> 3、本合同附件1《在建项目安全生产目标管理责任书》</w:t>
      </w: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color w:val="auto"/>
          <w:sz w:val="22"/>
          <w:szCs w:val="22"/>
        </w:rPr>
        <w:t>附件2《在建项目扬尘污染防治管理责任书》</w:t>
      </w: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color w:val="auto"/>
          <w:sz w:val="22"/>
          <w:szCs w:val="22"/>
        </w:rPr>
        <w:t>附件3《农民工工资支付专项承诺书》均为本合同的组成部分，与本合同具有同等法律效力。</w:t>
      </w:r>
    </w:p>
    <w:p w14:paraId="4280D017">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二、工程概况</w:t>
      </w:r>
    </w:p>
    <w:p w14:paraId="6D57D3C3">
      <w:pPr>
        <w:pStyle w:val="45"/>
        <w:keepNext w:val="0"/>
        <w:keepLines w:val="0"/>
        <w:pageBreakBefore w:val="0"/>
        <w:widowControl w:val="0"/>
        <w:tabs>
          <w:tab w:val="left" w:pos="866"/>
        </w:tabs>
        <w:kinsoku/>
        <w:wordWrap/>
        <w:overflowPunct/>
        <w:topLinePunct w:val="0"/>
        <w:autoSpaceDE/>
        <w:autoSpaceDN/>
        <w:bidi w:val="0"/>
        <w:spacing w:beforeLines="0" w:afterLines="0" w:line="560" w:lineRule="exact"/>
        <w:ind w:left="0" w:leftChars="0" w:firstLine="440" w:firstLineChars="200"/>
        <w:jc w:val="both"/>
        <w:textAlignment w:val="auto"/>
        <w:rPr>
          <w:rFonts w:hint="eastAsia" w:ascii="宋体" w:hAnsi="宋体" w:eastAsia="宋体" w:cs="宋体"/>
          <w:color w:val="auto"/>
          <w:spacing w:val="0"/>
          <w:sz w:val="22"/>
          <w:szCs w:val="22"/>
          <w:u w:val="single"/>
          <w:lang w:eastAsia="zh-CN"/>
        </w:rPr>
      </w:pPr>
      <w:bookmarkStart w:id="147" w:name="bookmark8"/>
      <w:r>
        <w:rPr>
          <w:rFonts w:hint="eastAsia" w:ascii="宋体" w:hAnsi="宋体" w:eastAsia="宋体" w:cs="宋体"/>
          <w:color w:val="auto"/>
          <w:spacing w:val="0"/>
          <w:sz w:val="22"/>
          <w:szCs w:val="22"/>
        </w:rPr>
        <w:t>1</w:t>
      </w:r>
      <w:bookmarkEnd w:id="147"/>
      <w:r>
        <w:rPr>
          <w:rFonts w:hint="eastAsia" w:ascii="宋体" w:hAnsi="宋体" w:eastAsia="宋体" w:cs="宋体"/>
          <w:color w:val="auto"/>
          <w:spacing w:val="0"/>
          <w:sz w:val="22"/>
          <w:szCs w:val="22"/>
        </w:rPr>
        <w:t>、工程名称</w:t>
      </w:r>
      <w:r>
        <w:rPr>
          <w:rFonts w:hint="eastAsia" w:ascii="宋体" w:hAnsi="宋体" w:eastAsia="宋体" w:cs="宋体"/>
          <w:color w:val="auto"/>
          <w:spacing w:val="0"/>
          <w:sz w:val="22"/>
          <w:szCs w:val="22"/>
          <w:u w:val="single"/>
        </w:rPr>
        <w:t>：</w:t>
      </w:r>
      <w:bookmarkStart w:id="148" w:name="bookmark9"/>
      <w:r>
        <w:rPr>
          <w:rFonts w:hint="eastAsia" w:ascii="宋体" w:hAnsi="宋体" w:eastAsia="宋体" w:cs="宋体"/>
          <w:color w:val="auto"/>
          <w:spacing w:val="0"/>
          <w:sz w:val="22"/>
          <w:szCs w:val="22"/>
          <w:u w:val="single"/>
        </w:rPr>
        <w:t>怀化市鹤城区城市建设投资有限公司（区执法局充电桩）配电工程</w:t>
      </w:r>
      <w:r>
        <w:rPr>
          <w:rFonts w:hint="eastAsia" w:cs="宋体"/>
          <w:color w:val="auto"/>
          <w:spacing w:val="0"/>
          <w:sz w:val="22"/>
          <w:szCs w:val="22"/>
          <w:u w:val="single"/>
          <w:lang w:eastAsia="zh-CN"/>
        </w:rPr>
        <w:t>（</w:t>
      </w:r>
      <w:r>
        <w:rPr>
          <w:rFonts w:hint="eastAsia" w:cs="宋体"/>
          <w:color w:val="auto"/>
          <w:spacing w:val="0"/>
          <w:sz w:val="22"/>
          <w:szCs w:val="22"/>
          <w:u w:val="single"/>
          <w:lang w:val="en-US" w:eastAsia="zh-CN"/>
        </w:rPr>
        <w:t>第三次</w:t>
      </w:r>
      <w:r>
        <w:rPr>
          <w:rFonts w:hint="eastAsia" w:cs="宋体"/>
          <w:color w:val="auto"/>
          <w:spacing w:val="0"/>
          <w:sz w:val="22"/>
          <w:szCs w:val="22"/>
          <w:u w:val="single"/>
          <w:lang w:eastAsia="zh-CN"/>
        </w:rPr>
        <w:t>）</w:t>
      </w:r>
    </w:p>
    <w:p w14:paraId="4D8CF1A3">
      <w:pPr>
        <w:pStyle w:val="45"/>
        <w:keepNext w:val="0"/>
        <w:keepLines w:val="0"/>
        <w:pageBreakBefore w:val="0"/>
        <w:widowControl w:val="0"/>
        <w:tabs>
          <w:tab w:val="left" w:pos="866"/>
        </w:tabs>
        <w:kinsoku/>
        <w:wordWrap/>
        <w:overflowPunct/>
        <w:topLinePunct w:val="0"/>
        <w:autoSpaceDE/>
        <w:autoSpaceDN/>
        <w:bidi w:val="0"/>
        <w:spacing w:beforeLines="0" w:afterLines="0" w:line="560" w:lineRule="exact"/>
        <w:ind w:left="0" w:leftChars="0" w:firstLine="440" w:firstLineChars="200"/>
        <w:jc w:val="both"/>
        <w:textAlignment w:val="auto"/>
        <w:rPr>
          <w:rFonts w:hint="default" w:ascii="宋体" w:hAnsi="宋体" w:eastAsia="宋体" w:cs="宋体"/>
          <w:color w:val="auto"/>
          <w:sz w:val="22"/>
          <w:szCs w:val="22"/>
          <w:u w:val="single"/>
          <w:lang w:val="en-US" w:eastAsia="zh-CN"/>
        </w:rPr>
      </w:pPr>
      <w:r>
        <w:rPr>
          <w:rFonts w:hint="eastAsia" w:ascii="宋体" w:hAnsi="宋体" w:eastAsia="宋体" w:cs="宋体"/>
          <w:color w:val="auto"/>
          <w:sz w:val="22"/>
          <w:szCs w:val="22"/>
        </w:rPr>
        <w:t>2</w:t>
      </w:r>
      <w:bookmarkEnd w:id="148"/>
      <w:r>
        <w:rPr>
          <w:rFonts w:hint="eastAsia" w:ascii="宋体" w:hAnsi="宋体" w:eastAsia="宋体" w:cs="宋体"/>
          <w:color w:val="auto"/>
          <w:sz w:val="22"/>
          <w:szCs w:val="22"/>
        </w:rPr>
        <w:t>、工程地点：</w:t>
      </w:r>
      <w:r>
        <w:rPr>
          <w:rFonts w:hint="eastAsia" w:ascii="宋体" w:hAnsi="宋体" w:eastAsia="宋体" w:cs="宋体"/>
          <w:color w:val="auto"/>
          <w:sz w:val="22"/>
          <w:szCs w:val="22"/>
          <w:u w:val="single"/>
        </w:rPr>
        <w:t>怀化市鹤城区</w:t>
      </w:r>
    </w:p>
    <w:p w14:paraId="4CBB82AA">
      <w:pPr>
        <w:pStyle w:val="45"/>
        <w:keepNext w:val="0"/>
        <w:keepLines w:val="0"/>
        <w:pageBreakBefore w:val="0"/>
        <w:widowControl w:val="0"/>
        <w:tabs>
          <w:tab w:val="left" w:pos="867"/>
        </w:tabs>
        <w:kinsoku/>
        <w:wordWrap/>
        <w:overflowPunct/>
        <w:topLinePunct w:val="0"/>
        <w:autoSpaceDE/>
        <w:autoSpaceDN/>
        <w:bidi w:val="0"/>
        <w:spacing w:beforeLines="0" w:afterLines="0" w:line="560" w:lineRule="exact"/>
        <w:ind w:left="0" w:leftChars="0" w:firstLine="440" w:firstLineChars="200"/>
        <w:jc w:val="both"/>
        <w:textAlignment w:val="auto"/>
        <w:rPr>
          <w:rFonts w:hint="default" w:ascii="宋体" w:hAnsi="宋体" w:eastAsia="宋体" w:cs="宋体"/>
          <w:color w:val="auto"/>
          <w:sz w:val="22"/>
          <w:szCs w:val="22"/>
          <w:u w:val="single"/>
          <w:lang w:val="en-US" w:eastAsia="zh-CN"/>
        </w:rPr>
      </w:pPr>
      <w:bookmarkStart w:id="149" w:name="bookmark10"/>
      <w:r>
        <w:rPr>
          <w:rFonts w:hint="eastAsia" w:ascii="宋体" w:hAnsi="宋体" w:eastAsia="宋体" w:cs="宋体"/>
          <w:color w:val="auto"/>
          <w:sz w:val="22"/>
          <w:szCs w:val="22"/>
        </w:rPr>
        <w:t>3</w:t>
      </w:r>
      <w:bookmarkEnd w:id="149"/>
      <w:r>
        <w:rPr>
          <w:rFonts w:hint="eastAsia" w:ascii="宋体" w:hAnsi="宋体" w:eastAsia="宋体" w:cs="宋体"/>
          <w:color w:val="auto"/>
          <w:sz w:val="22"/>
          <w:szCs w:val="22"/>
        </w:rPr>
        <w:t>、施工单位：</w:t>
      </w:r>
      <w:r>
        <w:rPr>
          <w:rFonts w:hint="eastAsia" w:cs="宋体"/>
          <w:color w:val="auto"/>
          <w:sz w:val="22"/>
          <w:szCs w:val="22"/>
          <w:u w:val="single"/>
          <w:lang w:val="en-US" w:eastAsia="zh-CN"/>
        </w:rPr>
        <w:t xml:space="preserve">                     </w:t>
      </w:r>
    </w:p>
    <w:p w14:paraId="7FD92CBF">
      <w:pPr>
        <w:pStyle w:val="45"/>
        <w:keepNext w:val="0"/>
        <w:keepLines w:val="0"/>
        <w:pageBreakBefore w:val="0"/>
        <w:widowControl w:val="0"/>
        <w:tabs>
          <w:tab w:val="left" w:pos="906"/>
        </w:tabs>
        <w:kinsoku/>
        <w:wordWrap/>
        <w:overflowPunct/>
        <w:topLinePunct w:val="0"/>
        <w:autoSpaceDE/>
        <w:autoSpaceDN/>
        <w:bidi w:val="0"/>
        <w:spacing w:beforeLines="0" w:afterLines="0" w:line="560" w:lineRule="exact"/>
        <w:ind w:left="0" w:leftChars="0" w:firstLine="440" w:firstLineChars="200"/>
        <w:jc w:val="both"/>
        <w:textAlignment w:val="auto"/>
        <w:rPr>
          <w:rFonts w:hint="eastAsia" w:ascii="宋体" w:hAnsi="宋体" w:eastAsia="宋体" w:cs="宋体"/>
          <w:color w:val="auto"/>
          <w:sz w:val="22"/>
          <w:szCs w:val="22"/>
        </w:rPr>
      </w:pPr>
      <w:bookmarkStart w:id="150" w:name="bookmark11"/>
      <w:r>
        <w:rPr>
          <w:rFonts w:hint="eastAsia" w:ascii="宋体" w:hAnsi="宋体" w:eastAsia="宋体" w:cs="宋体"/>
          <w:color w:val="auto"/>
          <w:sz w:val="22"/>
          <w:szCs w:val="22"/>
        </w:rPr>
        <w:t>4</w:t>
      </w:r>
      <w:bookmarkEnd w:id="150"/>
      <w:r>
        <w:rPr>
          <w:rFonts w:hint="eastAsia" w:ascii="宋体" w:hAnsi="宋体" w:eastAsia="宋体" w:cs="宋体"/>
          <w:color w:val="auto"/>
          <w:sz w:val="22"/>
          <w:szCs w:val="22"/>
        </w:rPr>
        <w:t>、工程内容</w:t>
      </w:r>
      <w:r>
        <w:rPr>
          <w:rFonts w:hint="eastAsia" w:ascii="宋体" w:hAnsi="宋体" w:eastAsia="宋体" w:cs="宋体"/>
          <w:color w:val="auto"/>
          <w:sz w:val="22"/>
          <w:szCs w:val="22"/>
          <w:u w:val="none"/>
        </w:rPr>
        <w:t>：详见工程量清单及施工图纸（为本合同组成部分，与本合同具有同等法律效力）</w:t>
      </w:r>
      <w:r>
        <w:rPr>
          <w:rFonts w:hint="eastAsia" w:ascii="宋体" w:hAnsi="宋体" w:eastAsia="宋体" w:cs="宋体"/>
          <w:strike w:val="0"/>
          <w:dstrike w:val="0"/>
          <w:color w:val="auto"/>
          <w:sz w:val="22"/>
          <w:szCs w:val="22"/>
          <w:u w:val="none"/>
        </w:rPr>
        <w:t>。</w:t>
      </w:r>
    </w:p>
    <w:p w14:paraId="48748F86">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三、承包方式：</w:t>
      </w:r>
    </w:p>
    <w:p w14:paraId="17FF77AE">
      <w:pPr>
        <w:spacing w:beforeLines="0" w:afterLines="0" w:line="560" w:lineRule="exact"/>
        <w:rPr>
          <w:rFonts w:hint="eastAsia" w:ascii="宋体" w:hAnsi="宋体" w:eastAsia="宋体" w:cs="宋体"/>
          <w:color w:val="auto"/>
          <w:sz w:val="22"/>
          <w:szCs w:val="22"/>
        </w:rPr>
      </w:pPr>
      <w:r>
        <w:rPr>
          <w:rFonts w:hint="eastAsia" w:ascii="宋体" w:hAnsi="宋体" w:eastAsia="宋体" w:cs="宋体"/>
          <w:color w:val="auto"/>
          <w:sz w:val="22"/>
          <w:szCs w:val="22"/>
        </w:rPr>
        <w:t xml:space="preserve">    本项目实施过程中，为了达到使用功能需要，承包方以包施工方案、包工、包料（设备、器材等）、包停复电手续、包安装、包系统调试、包竣工验收送电等的方式承包。</w:t>
      </w:r>
    </w:p>
    <w:p w14:paraId="798A1895">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四、工期</w:t>
      </w:r>
    </w:p>
    <w:p w14:paraId="3376F386">
      <w:pPr>
        <w:spacing w:beforeLines="0" w:afterLines="0" w:line="560" w:lineRule="exact"/>
        <w:ind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rPr>
        <w:t>工程工期：</w:t>
      </w:r>
      <w:r>
        <w:rPr>
          <w:rFonts w:hint="eastAsia" w:ascii="宋体" w:hAnsi="宋体" w:eastAsia="宋体" w:cs="宋体"/>
          <w:color w:val="auto"/>
          <w:sz w:val="22"/>
          <w:szCs w:val="22"/>
          <w:u w:val="single"/>
          <w:lang w:val="en-US" w:eastAsia="zh-CN"/>
        </w:rPr>
        <w:t xml:space="preserve"> 60 </w:t>
      </w:r>
      <w:r>
        <w:rPr>
          <w:rFonts w:hint="eastAsia" w:ascii="宋体" w:hAnsi="宋体" w:eastAsia="宋体" w:cs="宋体"/>
          <w:color w:val="auto"/>
          <w:sz w:val="22"/>
          <w:szCs w:val="22"/>
          <w:lang w:val="en-US" w:eastAsia="zh-CN"/>
        </w:rPr>
        <w:t>天</w:t>
      </w:r>
    </w:p>
    <w:p w14:paraId="5DADDD1F">
      <w:pPr>
        <w:keepNext/>
        <w:keepLines/>
        <w:widowControl w:val="0"/>
        <w:spacing w:before="0" w:beforeLines="0" w:after="0" w:afterLines="0" w:line="560" w:lineRule="exact"/>
        <w:ind w:firstLine="440" w:firstLineChars="200"/>
        <w:jc w:val="both"/>
        <w:outlineLvl w:val="2"/>
        <w:rPr>
          <w:rFonts w:hint="eastAsia" w:ascii="Calibri" w:hAnsi="Calibri" w:eastAsia="宋体" w:cs="Times New Roman"/>
          <w:b w:val="0"/>
          <w:bCs w:val="0"/>
          <w:kern w:val="2"/>
          <w:sz w:val="22"/>
          <w:szCs w:val="22"/>
          <w:lang w:val="en-US" w:eastAsia="zh-CN" w:bidi="ar-SA"/>
        </w:rPr>
      </w:pPr>
      <w:r>
        <w:rPr>
          <w:rFonts w:hint="eastAsia" w:ascii="Calibri" w:hAnsi="Calibri" w:eastAsia="宋体" w:cs="Times New Roman"/>
          <w:b w:val="0"/>
          <w:bCs w:val="0"/>
          <w:kern w:val="2"/>
          <w:sz w:val="22"/>
          <w:szCs w:val="22"/>
          <w:lang w:val="en-US" w:eastAsia="zh-CN" w:bidi="ar-SA"/>
        </w:rPr>
        <w:t>计划开工日期：</w:t>
      </w:r>
      <w:r>
        <w:rPr>
          <w:rFonts w:hint="eastAsia" w:ascii="Calibri" w:hAnsi="Calibri" w:eastAsia="宋体" w:cs="Times New Roman"/>
          <w:b w:val="0"/>
          <w:bCs w:val="0"/>
          <w:kern w:val="2"/>
          <w:sz w:val="22"/>
          <w:szCs w:val="22"/>
          <w:u w:val="single"/>
          <w:lang w:val="en-US" w:eastAsia="zh-CN" w:bidi="ar-SA"/>
        </w:rPr>
        <w:t xml:space="preserve">      </w:t>
      </w:r>
      <w:r>
        <w:rPr>
          <w:rFonts w:hint="eastAsia" w:ascii="Calibri" w:hAnsi="Calibri" w:eastAsia="宋体" w:cs="Times New Roman"/>
          <w:b w:val="0"/>
          <w:bCs w:val="0"/>
          <w:kern w:val="2"/>
          <w:sz w:val="22"/>
          <w:szCs w:val="22"/>
          <w:lang w:val="en-US" w:eastAsia="zh-CN" w:bidi="ar-SA"/>
        </w:rPr>
        <w:t>年</w:t>
      </w:r>
      <w:r>
        <w:rPr>
          <w:rFonts w:hint="eastAsia" w:ascii="Calibri" w:hAnsi="Calibri" w:eastAsia="宋体" w:cs="Times New Roman"/>
          <w:b w:val="0"/>
          <w:bCs w:val="0"/>
          <w:kern w:val="2"/>
          <w:sz w:val="22"/>
          <w:szCs w:val="22"/>
          <w:u w:val="single"/>
          <w:lang w:val="en-US" w:eastAsia="zh-CN" w:bidi="ar-SA"/>
        </w:rPr>
        <w:t xml:space="preserve">    </w:t>
      </w:r>
      <w:r>
        <w:rPr>
          <w:rFonts w:hint="eastAsia" w:ascii="Calibri" w:hAnsi="Calibri" w:eastAsia="宋体" w:cs="Times New Roman"/>
          <w:b w:val="0"/>
          <w:bCs w:val="0"/>
          <w:kern w:val="2"/>
          <w:sz w:val="22"/>
          <w:szCs w:val="22"/>
          <w:lang w:val="en-US" w:eastAsia="zh-CN" w:bidi="ar-SA"/>
        </w:rPr>
        <w:t>月</w:t>
      </w:r>
      <w:r>
        <w:rPr>
          <w:rFonts w:hint="eastAsia" w:ascii="Calibri" w:hAnsi="Calibri" w:eastAsia="宋体" w:cs="Times New Roman"/>
          <w:b w:val="0"/>
          <w:bCs w:val="0"/>
          <w:kern w:val="2"/>
          <w:sz w:val="22"/>
          <w:szCs w:val="22"/>
          <w:u w:val="single"/>
          <w:lang w:val="en-US" w:eastAsia="zh-CN" w:bidi="ar-SA"/>
        </w:rPr>
        <w:t xml:space="preserve">    </w:t>
      </w:r>
      <w:r>
        <w:rPr>
          <w:rFonts w:hint="eastAsia" w:ascii="Calibri" w:hAnsi="Calibri" w:eastAsia="宋体" w:cs="Times New Roman"/>
          <w:b w:val="0"/>
          <w:bCs w:val="0"/>
          <w:kern w:val="2"/>
          <w:sz w:val="22"/>
          <w:szCs w:val="22"/>
          <w:lang w:val="en-US" w:eastAsia="zh-CN" w:bidi="ar-SA"/>
        </w:rPr>
        <w:t>日</w:t>
      </w:r>
    </w:p>
    <w:p w14:paraId="31729E7F">
      <w:pPr>
        <w:keepNext/>
        <w:keepLines/>
        <w:widowControl w:val="0"/>
        <w:spacing w:before="0" w:beforeLines="0" w:after="0" w:afterLines="0" w:line="560" w:lineRule="exact"/>
        <w:ind w:firstLine="440" w:firstLineChars="200"/>
        <w:jc w:val="both"/>
        <w:outlineLvl w:val="2"/>
        <w:rPr>
          <w:rFonts w:hint="default" w:ascii="Calibri" w:hAnsi="Calibri" w:eastAsia="宋体" w:cs="Times New Roman"/>
          <w:b/>
          <w:bCs/>
          <w:kern w:val="2"/>
          <w:sz w:val="24"/>
          <w:szCs w:val="24"/>
          <w:lang w:val="en-US" w:eastAsia="zh-CN" w:bidi="ar-SA"/>
        </w:rPr>
      </w:pPr>
      <w:r>
        <w:rPr>
          <w:rFonts w:hint="eastAsia" w:ascii="Calibri" w:hAnsi="Calibri" w:eastAsia="宋体" w:cs="Times New Roman"/>
          <w:b w:val="0"/>
          <w:bCs w:val="0"/>
          <w:kern w:val="2"/>
          <w:sz w:val="22"/>
          <w:szCs w:val="22"/>
          <w:lang w:val="en-US" w:eastAsia="zh-CN" w:bidi="ar-SA"/>
        </w:rPr>
        <w:t>计划竣工日期：</w:t>
      </w:r>
      <w:r>
        <w:rPr>
          <w:rFonts w:hint="eastAsia" w:ascii="Calibri" w:hAnsi="Calibri" w:eastAsia="宋体" w:cs="Times New Roman"/>
          <w:b w:val="0"/>
          <w:bCs w:val="0"/>
          <w:kern w:val="2"/>
          <w:sz w:val="22"/>
          <w:szCs w:val="22"/>
          <w:u w:val="single"/>
          <w:lang w:val="en-US" w:eastAsia="zh-CN" w:bidi="ar-SA"/>
        </w:rPr>
        <w:t xml:space="preserve">      </w:t>
      </w:r>
      <w:r>
        <w:rPr>
          <w:rFonts w:hint="eastAsia" w:ascii="Calibri" w:hAnsi="Calibri" w:eastAsia="宋体" w:cs="Times New Roman"/>
          <w:b w:val="0"/>
          <w:bCs w:val="0"/>
          <w:kern w:val="2"/>
          <w:sz w:val="22"/>
          <w:szCs w:val="22"/>
          <w:lang w:val="en-US" w:eastAsia="zh-CN" w:bidi="ar-SA"/>
        </w:rPr>
        <w:t>年</w:t>
      </w:r>
      <w:r>
        <w:rPr>
          <w:rFonts w:hint="eastAsia" w:ascii="Calibri" w:hAnsi="Calibri" w:eastAsia="宋体" w:cs="Times New Roman"/>
          <w:b w:val="0"/>
          <w:bCs w:val="0"/>
          <w:kern w:val="2"/>
          <w:sz w:val="22"/>
          <w:szCs w:val="22"/>
          <w:u w:val="single"/>
          <w:lang w:val="en-US" w:eastAsia="zh-CN" w:bidi="ar-SA"/>
        </w:rPr>
        <w:t xml:space="preserve">    </w:t>
      </w:r>
      <w:r>
        <w:rPr>
          <w:rFonts w:hint="eastAsia" w:ascii="Calibri" w:hAnsi="Calibri" w:eastAsia="宋体" w:cs="Times New Roman"/>
          <w:b w:val="0"/>
          <w:bCs w:val="0"/>
          <w:kern w:val="2"/>
          <w:sz w:val="22"/>
          <w:szCs w:val="22"/>
          <w:lang w:val="en-US" w:eastAsia="zh-CN" w:bidi="ar-SA"/>
        </w:rPr>
        <w:t>月</w:t>
      </w:r>
      <w:r>
        <w:rPr>
          <w:rFonts w:hint="eastAsia" w:ascii="Calibri" w:hAnsi="Calibri" w:eastAsia="宋体" w:cs="Times New Roman"/>
          <w:b w:val="0"/>
          <w:bCs w:val="0"/>
          <w:kern w:val="2"/>
          <w:sz w:val="22"/>
          <w:szCs w:val="22"/>
          <w:u w:val="single"/>
          <w:lang w:val="en-US" w:eastAsia="zh-CN" w:bidi="ar-SA"/>
        </w:rPr>
        <w:t xml:space="preserve">    </w:t>
      </w:r>
      <w:r>
        <w:rPr>
          <w:rFonts w:hint="eastAsia" w:ascii="Calibri" w:hAnsi="Calibri" w:eastAsia="宋体" w:cs="Times New Roman"/>
          <w:b w:val="0"/>
          <w:bCs w:val="0"/>
          <w:kern w:val="2"/>
          <w:sz w:val="22"/>
          <w:szCs w:val="22"/>
          <w:lang w:val="en-US" w:eastAsia="zh-CN" w:bidi="ar-SA"/>
        </w:rPr>
        <w:t>日</w:t>
      </w:r>
    </w:p>
    <w:p w14:paraId="24F94E2F">
      <w:pPr>
        <w:keepNext/>
        <w:keepLines/>
        <w:widowControl w:val="0"/>
        <w:spacing w:beforeLines="0" w:afterLines="0" w:line="560" w:lineRule="exact"/>
        <w:ind w:firstLine="440" w:firstLineChars="200"/>
        <w:jc w:val="both"/>
        <w:outlineLvl w:val="1"/>
        <w:rPr>
          <w:rFonts w:hint="eastAsia" w:ascii="Arial" w:hAnsi="Arial" w:eastAsia="宋体" w:cs="Times New Roman"/>
          <w:b w:val="0"/>
          <w:bCs w:val="0"/>
          <w:kern w:val="2"/>
          <w:sz w:val="22"/>
          <w:szCs w:val="22"/>
          <w:lang w:val="en-US" w:eastAsia="zh-CN" w:bidi="ar-SA"/>
        </w:rPr>
      </w:pPr>
      <w:r>
        <w:rPr>
          <w:rFonts w:hint="eastAsia" w:ascii="Arial" w:hAnsi="Arial" w:eastAsia="宋体" w:cs="Times New Roman"/>
          <w:b w:val="0"/>
          <w:bCs w:val="0"/>
          <w:kern w:val="2"/>
          <w:sz w:val="22"/>
          <w:szCs w:val="22"/>
          <w:lang w:val="en-US" w:eastAsia="zh-CN" w:bidi="ar-SA"/>
        </w:rPr>
        <w:t>作为经验丰富的承包商，承包人已经充分考虑可能影响工期的不利因素，包括但不限于各种天气条件（如下雨、下雪、冰雹、台风、高温天气）、停水、停电、节假日、扰民和民扰、道路管制、道路施工影响等，承包人已考虑上述不利因素并在工期内进行了合理的施工组织与安排。</w:t>
      </w:r>
    </w:p>
    <w:p w14:paraId="1C936C41">
      <w:pPr>
        <w:spacing w:beforeLines="0" w:afterLines="0" w:line="560" w:lineRule="exact"/>
        <w:ind w:firstLine="440" w:firstLineChars="200"/>
        <w:jc w:val="left"/>
        <w:rPr>
          <w:rFonts w:hint="eastAsia" w:ascii="宋体" w:hAnsi="宋体" w:eastAsia="宋体" w:cs="宋体"/>
          <w:color w:val="auto"/>
          <w:sz w:val="22"/>
          <w:szCs w:val="22"/>
          <w:u w:val="none"/>
          <w:lang w:eastAsia="zh-CN"/>
        </w:rPr>
      </w:pPr>
      <w:r>
        <w:rPr>
          <w:rFonts w:hint="default" w:ascii="宋体" w:hAnsi="宋体" w:eastAsia="宋体" w:cs="宋体"/>
          <w:color w:val="auto"/>
          <w:sz w:val="22"/>
          <w:szCs w:val="22"/>
          <w:u w:val="none"/>
        </w:rPr>
        <w:t>因乙方原因造成工程</w:t>
      </w:r>
      <w:r>
        <w:rPr>
          <w:rFonts w:hint="eastAsia" w:ascii="宋体" w:hAnsi="宋体" w:eastAsia="宋体" w:cs="宋体"/>
          <w:color w:val="auto"/>
          <w:sz w:val="22"/>
          <w:szCs w:val="22"/>
          <w:u w:val="none"/>
        </w:rPr>
        <w:t>实际进度滞后，乙方应按甲方要求增加施工人员、采取赶工措施，</w:t>
      </w:r>
      <w:r>
        <w:rPr>
          <w:rFonts w:hint="eastAsia" w:ascii="宋体" w:hAnsi="宋体" w:eastAsia="宋体" w:cs="宋体"/>
          <w:color w:val="auto"/>
          <w:sz w:val="22"/>
          <w:szCs w:val="22"/>
          <w:u w:val="none"/>
          <w:lang w:val="en-US" w:eastAsia="zh-CN"/>
        </w:rPr>
        <w:t>以确保工程能够按时完成。在此过程中产生的所有额外费用，由乙方自行承担，</w:t>
      </w:r>
      <w:r>
        <w:rPr>
          <w:rFonts w:hint="default" w:ascii="宋体" w:hAnsi="宋体" w:eastAsia="宋体" w:cs="宋体"/>
          <w:color w:val="auto"/>
          <w:sz w:val="22"/>
          <w:szCs w:val="22"/>
          <w:u w:val="none"/>
        </w:rPr>
        <w:t>甲方不</w:t>
      </w:r>
      <w:r>
        <w:rPr>
          <w:rFonts w:hint="eastAsia" w:ascii="宋体" w:hAnsi="宋体" w:eastAsia="宋体" w:cs="宋体"/>
          <w:color w:val="auto"/>
          <w:sz w:val="22"/>
          <w:szCs w:val="22"/>
          <w:u w:val="none"/>
        </w:rPr>
        <w:t>承担</w:t>
      </w:r>
      <w:r>
        <w:rPr>
          <w:rFonts w:hint="default" w:ascii="宋体" w:hAnsi="宋体" w:eastAsia="宋体" w:cs="宋体"/>
          <w:color w:val="auto"/>
          <w:sz w:val="22"/>
          <w:szCs w:val="22"/>
          <w:u w:val="none"/>
        </w:rPr>
        <w:t>任何</w:t>
      </w:r>
      <w:r>
        <w:rPr>
          <w:rFonts w:hint="eastAsia" w:ascii="宋体" w:hAnsi="宋体" w:eastAsia="宋体" w:cs="宋体"/>
          <w:color w:val="auto"/>
          <w:sz w:val="22"/>
          <w:szCs w:val="22"/>
          <w:u w:val="none"/>
        </w:rPr>
        <w:t>费用。</w:t>
      </w:r>
    </w:p>
    <w:p w14:paraId="2A6DBEA5">
      <w:pPr>
        <w:spacing w:beforeLines="0" w:afterLines="0" w:line="560" w:lineRule="exact"/>
        <w:ind w:firstLine="440" w:firstLineChars="200"/>
        <w:jc w:val="left"/>
        <w:rPr>
          <w:rFonts w:hint="eastAsia" w:ascii="黑体" w:hAnsi="黑体" w:eastAsia="黑体" w:cs="黑体"/>
          <w:color w:val="auto"/>
          <w:sz w:val="22"/>
          <w:szCs w:val="22"/>
          <w:lang w:val="en-US" w:eastAsia="zh-CN"/>
        </w:rPr>
      </w:pPr>
      <w:r>
        <w:rPr>
          <w:rFonts w:hint="eastAsia" w:ascii="黑体" w:hAnsi="黑体" w:eastAsia="黑体" w:cs="黑体"/>
          <w:color w:val="auto"/>
          <w:sz w:val="22"/>
          <w:szCs w:val="22"/>
        </w:rPr>
        <w:t>五、承包范围</w:t>
      </w:r>
    </w:p>
    <w:p w14:paraId="742817C8">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1</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lang w:eastAsia="zh-CN"/>
        </w:rPr>
        <w:t>电缆分支箱安装</w:t>
      </w:r>
      <w:r>
        <w:rPr>
          <w:rFonts w:hint="eastAsia" w:ascii="宋体" w:hAnsi="宋体" w:eastAsia="宋体" w:cs="宋体"/>
          <w:color w:val="auto"/>
          <w:sz w:val="22"/>
          <w:szCs w:val="22"/>
        </w:rPr>
        <w:t>；2</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lang w:eastAsia="zh-CN"/>
        </w:rPr>
        <w:t>电缆敷设</w:t>
      </w:r>
      <w:r>
        <w:rPr>
          <w:rFonts w:hint="eastAsia" w:ascii="宋体" w:hAnsi="宋体" w:eastAsia="宋体" w:cs="宋体"/>
          <w:color w:val="auto"/>
          <w:sz w:val="22"/>
          <w:szCs w:val="22"/>
        </w:rPr>
        <w:t>；3</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lang w:eastAsia="zh-CN"/>
        </w:rPr>
        <w:t>电缆保护管安装</w:t>
      </w:r>
      <w:r>
        <w:rPr>
          <w:rFonts w:hint="eastAsia" w:ascii="宋体" w:hAnsi="宋体" w:eastAsia="宋体" w:cs="宋体"/>
          <w:color w:val="auto"/>
          <w:sz w:val="22"/>
          <w:szCs w:val="22"/>
        </w:rPr>
        <w:t>；4.</w:t>
      </w:r>
      <w:r>
        <w:rPr>
          <w:rFonts w:hint="eastAsia" w:ascii="宋体" w:hAnsi="宋体" w:eastAsia="宋体" w:cs="宋体"/>
          <w:color w:val="auto"/>
          <w:sz w:val="22"/>
          <w:szCs w:val="22"/>
          <w:lang w:eastAsia="zh-CN"/>
        </w:rPr>
        <w:t>电缆检查井砌筑</w:t>
      </w:r>
      <w:r>
        <w:rPr>
          <w:rFonts w:hint="eastAsia" w:ascii="宋体" w:hAnsi="宋体" w:eastAsia="宋体" w:cs="宋体"/>
          <w:color w:val="auto"/>
          <w:sz w:val="22"/>
          <w:szCs w:val="22"/>
        </w:rPr>
        <w:t>；5</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lang w:eastAsia="zh-CN"/>
        </w:rPr>
        <w:t>管沟开挖及回填等</w:t>
      </w:r>
      <w:r>
        <w:rPr>
          <w:rFonts w:hint="eastAsia" w:ascii="宋体" w:hAnsi="宋体" w:eastAsia="宋体" w:cs="宋体"/>
          <w:color w:val="auto"/>
          <w:sz w:val="22"/>
          <w:szCs w:val="22"/>
        </w:rPr>
        <w:t>。（详见设计图纸及预算文件等）。</w:t>
      </w:r>
    </w:p>
    <w:p w14:paraId="3DC5C9BD">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六、合同总价</w:t>
      </w:r>
    </w:p>
    <w:p w14:paraId="1D470B29">
      <w:pPr>
        <w:pStyle w:val="45"/>
        <w:keepNext w:val="0"/>
        <w:keepLines w:val="0"/>
        <w:pageBreakBefore w:val="0"/>
        <w:widowControl w:val="0"/>
        <w:numPr>
          <w:ilvl w:val="0"/>
          <w:numId w:val="0"/>
        </w:numPr>
        <w:tabs>
          <w:tab w:val="left" w:pos="991"/>
        </w:tabs>
        <w:kinsoku/>
        <w:wordWrap/>
        <w:overflowPunct/>
        <w:topLinePunct w:val="0"/>
        <w:autoSpaceDE/>
        <w:autoSpaceDN/>
        <w:bidi w:val="0"/>
        <w:spacing w:beforeLines="0" w:afterLines="0" w:line="56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1、合同价（含税）大写：</w:t>
      </w:r>
      <w:r>
        <w:rPr>
          <w:rFonts w:hint="eastAsia" w:cs="宋体"/>
          <w:color w:val="auto"/>
          <w:sz w:val="22"/>
          <w:szCs w:val="22"/>
          <w:u w:val="single"/>
          <w:lang w:val="en-US" w:eastAsia="zh-CN"/>
        </w:rPr>
        <w:t xml:space="preserve">             </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小写：</w:t>
      </w:r>
      <w:r>
        <w:rPr>
          <w:rFonts w:hint="eastAsia" w:cs="宋体"/>
          <w:color w:val="auto"/>
          <w:sz w:val="22"/>
          <w:szCs w:val="22"/>
          <w:u w:val="single"/>
          <w:lang w:val="en-US" w:eastAsia="zh-CN"/>
        </w:rPr>
        <w:t xml:space="preserve">         </w:t>
      </w:r>
      <w:r>
        <w:rPr>
          <w:rFonts w:hint="eastAsia" w:ascii="宋体" w:hAnsi="宋体" w:eastAsia="宋体" w:cs="宋体"/>
          <w:color w:val="auto"/>
          <w:sz w:val="22"/>
          <w:szCs w:val="22"/>
          <w:u w:val="none"/>
          <w:lang w:eastAsia="zh-CN"/>
        </w:rPr>
        <w:t>元。</w:t>
      </w:r>
      <w:r>
        <w:rPr>
          <w:rFonts w:hint="eastAsia" w:cs="宋体"/>
          <w:color w:val="auto"/>
          <w:sz w:val="22"/>
          <w:szCs w:val="22"/>
          <w:lang w:eastAsia="zh-CN"/>
        </w:rPr>
        <w:t>付款</w:t>
      </w:r>
      <w:r>
        <w:rPr>
          <w:rFonts w:hint="eastAsia" w:ascii="宋体" w:hAnsi="宋体" w:eastAsia="宋体" w:cs="宋体"/>
          <w:color w:val="auto"/>
          <w:sz w:val="22"/>
          <w:szCs w:val="22"/>
        </w:rPr>
        <w:t>前乙方需提供相同金额的增值税专用发票，否则甲方有权不支付相应的合同价款。</w:t>
      </w:r>
    </w:p>
    <w:p w14:paraId="6DB5185E">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2、本合同价是指包施工方案、包工、包料、包设备器材、包验收、包办相关手续、包安全文明施工措施费用、包调试、验收和税金等费用。与工程相关的电力报建、停送电、电力部门验收及等所有费用均包含在合同价内。</w:t>
      </w:r>
    </w:p>
    <w:p w14:paraId="1D852BDA">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七、工程计量与结算</w:t>
      </w:r>
    </w:p>
    <w:p w14:paraId="4CA6CC63">
      <w:pPr>
        <w:spacing w:beforeLines="0" w:afterLines="0" w:line="560" w:lineRule="exact"/>
        <w:ind w:firstLine="440" w:firstLineChars="200"/>
        <w:rPr>
          <w:rFonts w:hint="eastAsia" w:ascii="宋体" w:hAnsi="宋体" w:eastAsia="宋体" w:cs="宋体"/>
          <w:b w:val="0"/>
          <w:bCs/>
          <w:color w:val="000000"/>
          <w:sz w:val="22"/>
          <w:szCs w:val="22"/>
          <w:lang w:eastAsia="zh-CN"/>
        </w:rPr>
      </w:pPr>
      <w:r>
        <w:rPr>
          <w:rFonts w:hint="eastAsia" w:ascii="宋体" w:hAnsi="宋体" w:eastAsia="宋体" w:cs="宋体"/>
          <w:b w:val="0"/>
          <w:bCs/>
          <w:color w:val="000000"/>
          <w:sz w:val="22"/>
          <w:szCs w:val="22"/>
        </w:rPr>
        <w:t>1、</w:t>
      </w:r>
      <w:r>
        <w:rPr>
          <w:rFonts w:hint="eastAsia" w:ascii="宋体" w:hAnsi="宋体" w:cs="宋体"/>
          <w:b w:val="0"/>
          <w:bCs/>
          <w:color w:val="000000"/>
          <w:sz w:val="22"/>
          <w:szCs w:val="22"/>
          <w:lang w:eastAsia="zh-CN"/>
        </w:rPr>
        <w:t>工程量：按实际发生工程量计算。</w:t>
      </w:r>
    </w:p>
    <w:p w14:paraId="6D488076">
      <w:pPr>
        <w:spacing w:beforeLines="0" w:afterLines="0" w:line="560" w:lineRule="exact"/>
        <w:ind w:firstLine="440" w:firstLineChars="200"/>
        <w:rPr>
          <w:rFonts w:hint="eastAsia" w:ascii="宋体" w:hAnsi="宋体" w:eastAsia="宋体" w:cs="宋体"/>
          <w:b w:val="0"/>
          <w:bCs/>
          <w:color w:val="000000"/>
          <w:sz w:val="22"/>
          <w:szCs w:val="22"/>
        </w:rPr>
      </w:pPr>
      <w:r>
        <w:rPr>
          <w:rFonts w:hint="eastAsia" w:ascii="宋体" w:hAnsi="宋体" w:eastAsia="宋体" w:cs="宋体"/>
          <w:b w:val="0"/>
          <w:bCs/>
          <w:color w:val="000000"/>
          <w:sz w:val="22"/>
          <w:szCs w:val="22"/>
        </w:rPr>
        <w:t>（1）</w:t>
      </w:r>
      <w:r>
        <w:rPr>
          <w:rFonts w:hint="default" w:ascii="宋体" w:hAnsi="宋体" w:eastAsia="宋体" w:cs="宋体"/>
          <w:b w:val="0"/>
          <w:bCs/>
          <w:color w:val="000000"/>
          <w:sz w:val="22"/>
          <w:szCs w:val="22"/>
        </w:rPr>
        <w:t>乙方</w:t>
      </w:r>
      <w:r>
        <w:rPr>
          <w:rFonts w:hint="eastAsia" w:ascii="宋体" w:hAnsi="宋体" w:eastAsia="宋体" w:cs="宋体"/>
          <w:b w:val="0"/>
          <w:bCs/>
          <w:color w:val="000000"/>
          <w:sz w:val="22"/>
          <w:szCs w:val="22"/>
        </w:rPr>
        <w:t>应按时向甲方提交已完合格工程量的报告。甲方接到报告后7天内按设计图纸核实已完工程量（以</w:t>
      </w:r>
      <w:r>
        <w:rPr>
          <w:rFonts w:hint="eastAsia" w:ascii="宋体" w:hAnsi="宋体" w:eastAsia="宋体" w:cs="宋体"/>
          <w:b w:val="0"/>
          <w:bCs/>
          <w:color w:val="000000"/>
          <w:sz w:val="22"/>
          <w:szCs w:val="22"/>
          <w:lang w:eastAsia="zh-CN"/>
        </w:rPr>
        <w:t>下简</w:t>
      </w:r>
      <w:r>
        <w:rPr>
          <w:rFonts w:hint="eastAsia" w:ascii="宋体" w:hAnsi="宋体" w:eastAsia="宋体" w:cs="宋体"/>
          <w:b w:val="0"/>
          <w:bCs/>
          <w:color w:val="000000"/>
          <w:sz w:val="22"/>
          <w:szCs w:val="22"/>
        </w:rPr>
        <w:t>称计量），并在计量前24小时通知乙方，乙方为计量提供便利条件并派人参加。乙方收到通知后不参加计量，计量结果有效，作为工程价款支付的依据。</w:t>
      </w:r>
    </w:p>
    <w:p w14:paraId="388982B5">
      <w:pPr>
        <w:spacing w:beforeLines="0" w:afterLines="0" w:line="560" w:lineRule="exact"/>
        <w:ind w:firstLine="440" w:firstLineChars="200"/>
        <w:rPr>
          <w:rFonts w:hint="eastAsia" w:ascii="宋体" w:hAnsi="宋体" w:eastAsia="宋体" w:cs="宋体"/>
          <w:b w:val="0"/>
          <w:bCs/>
          <w:color w:val="000000"/>
          <w:sz w:val="22"/>
          <w:szCs w:val="22"/>
        </w:rPr>
      </w:pPr>
      <w:r>
        <w:rPr>
          <w:rFonts w:hint="eastAsia" w:ascii="宋体" w:hAnsi="宋体" w:eastAsia="宋体" w:cs="宋体"/>
          <w:b w:val="0"/>
          <w:bCs/>
          <w:color w:val="000000"/>
          <w:sz w:val="22"/>
          <w:szCs w:val="22"/>
        </w:rPr>
        <w:t>（2）对乙方超出设计图纸范围和因乙方原因造成返工的工程量，甲方不予计量。乙方收到经甲方签认的变更指示后，方可实施变更，未经许可，乙方不得擅自对工程的任何部分进行变更，否则不予计量。</w:t>
      </w:r>
    </w:p>
    <w:p w14:paraId="49B61BF8">
      <w:pPr>
        <w:spacing w:beforeLines="0" w:afterLines="0" w:line="560" w:lineRule="exact"/>
        <w:ind w:firstLine="440" w:firstLineChars="200"/>
        <w:rPr>
          <w:rFonts w:hint="eastAsia" w:ascii="宋体" w:hAnsi="宋体" w:eastAsia="宋体" w:cs="宋体"/>
          <w:b w:val="0"/>
          <w:bCs/>
          <w:color w:val="000000"/>
          <w:sz w:val="22"/>
          <w:szCs w:val="22"/>
        </w:rPr>
      </w:pPr>
      <w:r>
        <w:rPr>
          <w:rFonts w:hint="eastAsia" w:ascii="宋体" w:hAnsi="宋体" w:eastAsia="宋体" w:cs="宋体"/>
          <w:b w:val="0"/>
          <w:bCs/>
          <w:color w:val="000000"/>
          <w:sz w:val="22"/>
          <w:szCs w:val="22"/>
        </w:rPr>
        <w:t>2、工程竣工验收合格后，乙方有义务及时提供完整的相关资料及竣工结算资料，按本合同条款办理结算。</w:t>
      </w:r>
    </w:p>
    <w:p w14:paraId="0C6DAAF3">
      <w:pPr>
        <w:spacing w:beforeLines="0" w:afterLines="0" w:line="560" w:lineRule="exact"/>
        <w:ind w:firstLine="440" w:firstLineChars="200"/>
        <w:rPr>
          <w:rFonts w:hint="eastAsia" w:ascii="宋体" w:hAnsi="宋体" w:eastAsia="宋体" w:cs="宋体"/>
          <w:b w:val="0"/>
          <w:bCs w:val="0"/>
          <w:color w:val="000000"/>
          <w:sz w:val="22"/>
          <w:szCs w:val="22"/>
          <w:lang w:val="en-US" w:eastAsia="zh-CN"/>
        </w:rPr>
      </w:pPr>
      <w:r>
        <w:rPr>
          <w:rFonts w:hint="eastAsia" w:ascii="宋体" w:hAnsi="宋体" w:eastAsia="宋体" w:cs="宋体"/>
          <w:b w:val="0"/>
          <w:bCs w:val="0"/>
          <w:color w:val="000000"/>
          <w:sz w:val="22"/>
          <w:szCs w:val="22"/>
        </w:rPr>
        <w:t>3、工程结算：</w:t>
      </w:r>
    </w:p>
    <w:p w14:paraId="54A019DD">
      <w:pPr>
        <w:spacing w:beforeLines="0" w:afterLines="0" w:line="560" w:lineRule="exact"/>
        <w:ind w:firstLine="440" w:firstLineChars="200"/>
        <w:rPr>
          <w:rFonts w:hint="eastAsia" w:ascii="宋体" w:hAnsi="宋体" w:eastAsia="宋体" w:cs="宋体"/>
          <w:bCs/>
          <w:color w:val="auto"/>
          <w:sz w:val="22"/>
          <w:szCs w:val="22"/>
          <w:u w:val="none"/>
          <w:lang w:val="en-US" w:eastAsia="zh-CN"/>
        </w:rPr>
      </w:pPr>
      <w:r>
        <w:rPr>
          <w:rFonts w:hint="eastAsia" w:ascii="宋体" w:hAnsi="宋体" w:eastAsia="宋体" w:cs="宋体"/>
          <w:bCs/>
          <w:color w:val="auto"/>
          <w:sz w:val="22"/>
          <w:szCs w:val="22"/>
          <w:u w:val="none"/>
          <w:lang w:val="en-US" w:eastAsia="zh-CN"/>
        </w:rPr>
        <w:t>3.1关于工程量变更约定：合同内子目工程量无论增减，按中标单价（且按第一轮报价与最终报价优惠相应下浮）执行，合同外工程量按实结算。</w:t>
      </w:r>
    </w:p>
    <w:p w14:paraId="003F089D">
      <w:pPr>
        <w:spacing w:beforeLines="0" w:afterLines="0" w:line="560" w:lineRule="exact"/>
        <w:ind w:firstLine="440" w:firstLineChars="200"/>
        <w:rPr>
          <w:rFonts w:hint="eastAsia" w:ascii="宋体" w:hAnsi="宋体" w:eastAsia="宋体" w:cs="宋体"/>
          <w:bCs/>
          <w:color w:val="auto"/>
          <w:sz w:val="22"/>
          <w:szCs w:val="22"/>
          <w:u w:val="none"/>
          <w:lang w:val="en-US" w:eastAsia="zh-CN"/>
        </w:rPr>
      </w:pPr>
      <w:r>
        <w:rPr>
          <w:rFonts w:hint="eastAsia" w:ascii="宋体" w:hAnsi="宋体" w:eastAsia="宋体" w:cs="宋体"/>
          <w:bCs/>
          <w:color w:val="auto"/>
          <w:sz w:val="22"/>
          <w:szCs w:val="22"/>
          <w:u w:val="none"/>
          <w:lang w:val="en-US" w:eastAsia="zh-CN"/>
        </w:rPr>
        <w:t>3.2关于合同外变更计价原则约定：中标价中有综合单价的按其单价（且按第一轮报价与最终报价优惠相应下浮）；有类似单价的按其类似单价；</w:t>
      </w:r>
      <w:r>
        <w:rPr>
          <w:rFonts w:hint="eastAsia" w:ascii="宋体" w:hAnsi="宋体" w:eastAsia="宋体" w:cs="宋体"/>
          <w:b w:val="0"/>
          <w:bCs w:val="0"/>
          <w:color w:val="auto"/>
          <w:sz w:val="22"/>
          <w:szCs w:val="22"/>
        </w:rPr>
        <w:t>没有综合单价的按则按施工</w:t>
      </w:r>
      <w:r>
        <w:rPr>
          <w:rFonts w:hint="eastAsia" w:ascii="宋体" w:hAnsi="宋体" w:eastAsia="宋体" w:cs="宋体"/>
          <w:b w:val="0"/>
          <w:bCs w:val="0"/>
          <w:color w:val="auto"/>
          <w:sz w:val="22"/>
          <w:szCs w:val="22"/>
          <w:lang w:val="en-US" w:eastAsia="zh-CN"/>
        </w:rPr>
        <w:t>当</w:t>
      </w:r>
      <w:r>
        <w:rPr>
          <w:rFonts w:hint="eastAsia" w:ascii="宋体" w:hAnsi="宋体" w:eastAsia="宋体" w:cs="宋体"/>
          <w:b w:val="0"/>
          <w:bCs w:val="0"/>
          <w:color w:val="auto"/>
          <w:sz w:val="22"/>
          <w:szCs w:val="22"/>
        </w:rPr>
        <w:t>期相关部门发布的《湖南省建筑工程计价办法》、《湖南省建设工程消耗量标准》以及其它相关文件重新组价</w:t>
      </w:r>
      <w:r>
        <w:rPr>
          <w:rFonts w:hint="eastAsia" w:ascii="宋体" w:hAnsi="宋体" w:eastAsia="宋体" w:cs="宋体"/>
          <w:bCs/>
          <w:color w:val="auto"/>
          <w:sz w:val="22"/>
          <w:szCs w:val="22"/>
          <w:u w:val="none"/>
          <w:lang w:val="en-US" w:eastAsia="zh-CN"/>
        </w:rPr>
        <w:t>，税率按施工同期相关部门发布的文件执行，材料按施工同期《怀化工程造价》发布的材料价格为准，无信息的材料价格由相关部门询价为准，重新组价部分按投标优惠率相应下浮=中标价/招标控制价*100%。未按鹤办(2021)75号文件第六章变更程序的要求完成工程变更审批手续(如有调整按新文件执行)的，不纳入进度款及结算审核。</w:t>
      </w:r>
    </w:p>
    <w:p w14:paraId="4F38BB29">
      <w:pPr>
        <w:spacing w:beforeLines="0" w:afterLines="0" w:line="56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八、付款方式</w:t>
      </w:r>
    </w:p>
    <w:p w14:paraId="1D1DAB22">
      <w:pPr>
        <w:spacing w:beforeLines="0" w:afterLines="0" w:line="56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bCs/>
          <w:color w:val="auto"/>
          <w:kern w:val="2"/>
          <w:sz w:val="22"/>
          <w:szCs w:val="22"/>
          <w:u w:val="none"/>
          <w:lang w:val="en-US" w:eastAsia="zh-CN" w:bidi="ar"/>
        </w:rPr>
        <w:t>按照月实际完成的工程量进行计量和支付申请，每月支付相应工程款80%的金额，承包人必须按实际工程量报进度款，若虚报工程量被发包人发现后，发包人有权按相应比例罚处工程款，</w:t>
      </w:r>
      <w:r>
        <w:rPr>
          <w:rFonts w:hint="eastAsia" w:ascii="宋体" w:hAnsi="宋体" w:eastAsia="宋体" w:cs="宋体"/>
          <w:color w:val="auto"/>
          <w:sz w:val="22"/>
          <w:szCs w:val="22"/>
          <w:highlight w:val="none"/>
        </w:rPr>
        <w:t>工程完工经验收合格后支付至总工程价款的</w:t>
      </w:r>
      <w:r>
        <w:rPr>
          <w:rFonts w:hint="eastAsia" w:ascii="宋体" w:hAnsi="宋体" w:eastAsia="宋体" w:cs="宋体"/>
          <w:color w:val="auto"/>
          <w:sz w:val="22"/>
          <w:szCs w:val="22"/>
          <w:highlight w:val="none"/>
          <w:lang w:val="en-US" w:eastAsia="zh-CN"/>
        </w:rPr>
        <w:t>80</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工程完工经验收合格且工程资料齐全完善交付发包人后，</w:t>
      </w:r>
      <w:r>
        <w:rPr>
          <w:rFonts w:hint="eastAsia" w:ascii="宋体" w:hAnsi="宋体" w:eastAsia="宋体" w:cs="宋体"/>
          <w:color w:val="auto"/>
          <w:sz w:val="22"/>
          <w:szCs w:val="22"/>
          <w:highlight w:val="none"/>
        </w:rPr>
        <w:t>经</w:t>
      </w:r>
      <w:r>
        <w:rPr>
          <w:rFonts w:hint="eastAsia" w:ascii="宋体" w:hAnsi="宋体" w:eastAsia="宋体" w:cs="宋体"/>
          <w:color w:val="auto"/>
          <w:sz w:val="22"/>
          <w:szCs w:val="22"/>
          <w:highlight w:val="none"/>
          <w:lang w:eastAsia="zh-CN"/>
        </w:rPr>
        <w:t>建设单位相关部门审核，并出具结算审核报告</w:t>
      </w:r>
      <w:r>
        <w:rPr>
          <w:rFonts w:hint="eastAsia" w:ascii="宋体" w:hAnsi="宋体" w:eastAsia="宋体" w:cs="宋体"/>
          <w:color w:val="auto"/>
          <w:sz w:val="22"/>
          <w:szCs w:val="22"/>
          <w:highlight w:val="none"/>
        </w:rPr>
        <w:t>，支付到</w:t>
      </w:r>
      <w:r>
        <w:rPr>
          <w:rFonts w:hint="eastAsia" w:ascii="宋体" w:hAnsi="宋体" w:eastAsia="宋体" w:cs="宋体"/>
          <w:color w:val="auto"/>
          <w:sz w:val="22"/>
          <w:szCs w:val="22"/>
          <w:highlight w:val="none"/>
          <w:lang w:eastAsia="zh-CN"/>
        </w:rPr>
        <w:t>结算</w:t>
      </w:r>
      <w:r>
        <w:rPr>
          <w:rFonts w:hint="eastAsia" w:ascii="宋体" w:hAnsi="宋体" w:eastAsia="宋体" w:cs="宋体"/>
          <w:color w:val="auto"/>
          <w:sz w:val="22"/>
          <w:szCs w:val="22"/>
          <w:highlight w:val="none"/>
        </w:rPr>
        <w:t>款总额的97%，其余3%做质保金，质保期</w:t>
      </w:r>
      <w:r>
        <w:rPr>
          <w:rFonts w:hint="eastAsia" w:ascii="宋体" w:hAnsi="宋体" w:eastAsia="宋体" w:cs="宋体"/>
          <w:b w:val="0"/>
          <w:bCs w:val="0"/>
          <w:color w:val="auto"/>
          <w:sz w:val="22"/>
          <w:szCs w:val="22"/>
          <w:highlight w:val="none"/>
        </w:rPr>
        <w:t>开始两年</w:t>
      </w:r>
      <w:r>
        <w:rPr>
          <w:rFonts w:hint="eastAsia" w:ascii="宋体" w:hAnsi="宋体" w:eastAsia="宋体" w:cs="宋体"/>
          <w:color w:val="auto"/>
          <w:sz w:val="22"/>
          <w:szCs w:val="22"/>
          <w:highlight w:val="none"/>
        </w:rPr>
        <w:t>后无质量问题无息支付。</w:t>
      </w:r>
      <w:r>
        <w:rPr>
          <w:rStyle w:val="46"/>
          <w:rFonts w:ascii="宋体" w:hAnsi="宋体" w:cs="Times New Roman"/>
          <w:color w:val="auto"/>
          <w:kern w:val="0"/>
          <w:sz w:val="22"/>
          <w:szCs w:val="22"/>
          <w:highlight w:val="none"/>
        </w:rPr>
        <w:t>乙方应向甲方提供等额</w:t>
      </w:r>
      <w:r>
        <w:rPr>
          <w:rStyle w:val="46"/>
          <w:rFonts w:hint="eastAsia" w:ascii="宋体" w:hAnsi="宋体" w:cs="Times New Roman"/>
          <w:color w:val="auto"/>
          <w:kern w:val="0"/>
          <w:sz w:val="22"/>
          <w:szCs w:val="22"/>
          <w:highlight w:val="none"/>
          <w:lang w:eastAsia="zh-CN"/>
        </w:rPr>
        <w:t>增值税专用</w:t>
      </w:r>
      <w:r>
        <w:rPr>
          <w:rStyle w:val="46"/>
          <w:rFonts w:ascii="宋体" w:hAnsi="宋体" w:cs="Times New Roman"/>
          <w:color w:val="auto"/>
          <w:kern w:val="0"/>
          <w:sz w:val="22"/>
          <w:szCs w:val="22"/>
          <w:highlight w:val="none"/>
        </w:rPr>
        <w:t>发票</w:t>
      </w:r>
      <w:r>
        <w:rPr>
          <w:rStyle w:val="46"/>
          <w:rFonts w:hint="eastAsia" w:ascii="宋体" w:hAnsi="宋体" w:cs="Times New Roman"/>
          <w:color w:val="auto"/>
          <w:kern w:val="0"/>
          <w:sz w:val="22"/>
          <w:szCs w:val="22"/>
          <w:highlight w:val="none"/>
          <w:lang w:val="en-US" w:eastAsia="zh-CN"/>
        </w:rPr>
        <w:t>。</w:t>
      </w:r>
    </w:p>
    <w:p w14:paraId="7CD817F9">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第一次支付工程进度款前</w:t>
      </w: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color w:val="auto"/>
          <w:sz w:val="22"/>
          <w:szCs w:val="22"/>
        </w:rPr>
        <w:t>乙方</w:t>
      </w:r>
      <w:r>
        <w:rPr>
          <w:rFonts w:hint="eastAsia" w:ascii="宋体" w:hAnsi="宋体" w:eastAsia="宋体" w:cs="宋体"/>
          <w:b w:val="0"/>
          <w:bCs w:val="0"/>
          <w:color w:val="auto"/>
          <w:sz w:val="22"/>
          <w:szCs w:val="22"/>
          <w:lang w:val="en-US" w:eastAsia="zh-CN"/>
        </w:rPr>
        <w:t>需</w:t>
      </w:r>
      <w:r>
        <w:rPr>
          <w:rFonts w:hint="eastAsia" w:ascii="宋体" w:hAnsi="宋体" w:eastAsia="宋体" w:cs="宋体"/>
          <w:b w:val="0"/>
          <w:bCs w:val="0"/>
          <w:color w:val="auto"/>
          <w:sz w:val="22"/>
          <w:szCs w:val="22"/>
        </w:rPr>
        <w:t>向甲方报备用工合同；第二次支付工程进度款时</w:t>
      </w: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color w:val="auto"/>
          <w:sz w:val="22"/>
          <w:szCs w:val="22"/>
        </w:rPr>
        <w:t>乙方需出具上一付款周期（按月、季、年度）乙方依照用工合同（与用工人员签订的）中约定的比例向农民工支付工资的凭证及相关资料；以此类推直至工程结束。否则，甲方可顺延工程款支付期限，并不承担任何违约责任。</w:t>
      </w:r>
    </w:p>
    <w:p w14:paraId="2CEFDF13">
      <w:pPr>
        <w:spacing w:beforeLines="0" w:afterLines="0" w:line="560" w:lineRule="exact"/>
        <w:ind w:firstLine="440" w:firstLineChars="200"/>
        <w:rPr>
          <w:rFonts w:hint="eastAsia" w:ascii="宋体" w:hAnsi="宋体" w:eastAsia="宋体" w:cs="宋体"/>
          <w:b/>
          <w:bCs/>
          <w:color w:val="auto"/>
          <w:sz w:val="22"/>
          <w:szCs w:val="22"/>
        </w:rPr>
      </w:pPr>
      <w:r>
        <w:rPr>
          <w:rFonts w:hint="eastAsia" w:ascii="宋体" w:hAnsi="宋体" w:eastAsia="宋体" w:cs="宋体"/>
          <w:b w:val="0"/>
          <w:bCs w:val="0"/>
          <w:color w:val="auto"/>
          <w:sz w:val="22"/>
          <w:szCs w:val="22"/>
        </w:rPr>
        <w:t>以上款项付款前承包方应向发包方提供等额增值税专用发票，否则甲方有权拒绝支付</w:t>
      </w:r>
      <w:r>
        <w:rPr>
          <w:rFonts w:hint="eastAsia" w:ascii="宋体" w:hAnsi="宋体" w:eastAsia="宋体" w:cs="宋体"/>
          <w:b/>
          <w:bCs/>
          <w:color w:val="auto"/>
          <w:sz w:val="22"/>
          <w:szCs w:val="22"/>
        </w:rPr>
        <w:t>。</w:t>
      </w:r>
    </w:p>
    <w:p w14:paraId="565A1068">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九、乙方负责采购的设备及材料</w:t>
      </w:r>
    </w:p>
    <w:p w14:paraId="2F2FEC20">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乙方负责采购的设备及材料必须符合设计和国家电力行业有关规范和标准的要求，设备和材料生产企业应通过IS09001质量体系的认证。若因乙方采购的设备及材料存在质量问题，乙方应立即更换合格产品并在甲方指定期限内整改到位，由此造成的损失、责任由乙方承担。</w:t>
      </w:r>
    </w:p>
    <w:p w14:paraId="5F291E89">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十、工程质量(验收)</w:t>
      </w:r>
    </w:p>
    <w:p w14:paraId="4B38F65F">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1、乙方必须按国家颁布的有关国家标准及规范(GBJl47—990、GBJl48—90、GB50171—91、电力建设施工技术管理制度)进行施工。甲方代表、监理工程师有随时检查、监督施工过程的权利。</w:t>
      </w:r>
    </w:p>
    <w:p w14:paraId="60B98594">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2、乙方必须按照设计、施工方案和国家相关规范要求施工，如设计、施工方案的确有误，乙方应及时告知甲方及监理方，甲方及监理方接到通知应及时与乙方协商妥善处理，若因乙方原因引起的返工，增加返工费用和延误的工期，责任及费用由乙方自行承担；乙方所有进场原材料、半成品等均应符合施工图设计及相关规范要求，并向监理报验，经甲方认可。发现施工质量达不到标准规范要求或使用不合格材料，施工单位应无条件返工、更换材料并承担由此产生的相关费用及工期延误责任。</w:t>
      </w:r>
    </w:p>
    <w:p w14:paraId="710B376D">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3、在施工过程中，上道工序完工后，乙方应完成自检，并由监理及甲方现场代表认可，方能进行下道工序施工。隐蔽工程应做同步隐蔽资料并经各相关方签字认可。中间和竣工验收按施工验收规范进行。</w:t>
      </w:r>
    </w:p>
    <w:p w14:paraId="2C3AAA53">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4、工程竣工验收时，乙方应提前3日通知甲方，并提供完整的竣工验收资料。</w:t>
      </w:r>
    </w:p>
    <w:p w14:paraId="4B7DC1A6">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十一、工程质量保修期、保修范围和内容：</w:t>
      </w:r>
    </w:p>
    <w:p w14:paraId="101FE3F7">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color w:val="auto"/>
          <w:sz w:val="22"/>
          <w:szCs w:val="22"/>
        </w:rPr>
        <w:t>1、保修期：质量保修期为竣工验收合格之日起2年。</w:t>
      </w:r>
      <w:r>
        <w:rPr>
          <w:rFonts w:hint="eastAsia" w:ascii="宋体" w:hAnsi="宋体" w:eastAsia="宋体" w:cs="宋体"/>
          <w:b w:val="0"/>
          <w:bCs w:val="0"/>
          <w:color w:val="auto"/>
          <w:sz w:val="22"/>
          <w:szCs w:val="22"/>
        </w:rPr>
        <w:t>质保期内乙方予以免费维修、维护；质保期外，维修维护由责任方承担费用</w:t>
      </w: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color w:val="auto"/>
          <w:sz w:val="22"/>
          <w:szCs w:val="22"/>
        </w:rPr>
        <w:t>保修期内若乙方不能及时履行保修责任，甲方有权聘请第三方代履行，所需要费用</w:t>
      </w:r>
      <w:r>
        <w:rPr>
          <w:rFonts w:hint="default" w:ascii="宋体" w:hAnsi="宋体" w:eastAsia="宋体" w:cs="宋体"/>
          <w:b w:val="0"/>
          <w:bCs w:val="0"/>
          <w:color w:val="auto"/>
          <w:sz w:val="22"/>
          <w:szCs w:val="22"/>
        </w:rPr>
        <w:t>从质保金扣除，不足部分由乙方承担。</w:t>
      </w:r>
    </w:p>
    <w:p w14:paraId="4B81A565">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2、保修范围内容：工程承包范围内所有内容。</w:t>
      </w:r>
    </w:p>
    <w:p w14:paraId="299C8418">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color w:val="auto"/>
          <w:sz w:val="22"/>
          <w:szCs w:val="22"/>
        </w:rPr>
        <w:t>3、属于保修范围、内容的项目，乙方应当在接到维修通知之日起 24小时内派人维修:乙方不在约定期限内派人维修的或维修后仍不能达到本合同</w:t>
      </w:r>
      <w:r>
        <w:rPr>
          <w:rFonts w:hint="eastAsia" w:ascii="宋体" w:hAnsi="宋体" w:eastAsia="宋体" w:cs="宋体"/>
          <w:b w:val="0"/>
          <w:bCs w:val="0"/>
          <w:color w:val="auto"/>
          <w:sz w:val="22"/>
          <w:szCs w:val="22"/>
        </w:rPr>
        <w:t>约定质量</w:t>
      </w:r>
      <w:r>
        <w:rPr>
          <w:rFonts w:hint="eastAsia" w:ascii="宋体" w:hAnsi="宋体" w:eastAsia="宋体" w:cs="宋体"/>
          <w:color w:val="auto"/>
          <w:sz w:val="22"/>
          <w:szCs w:val="22"/>
        </w:rPr>
        <w:t>要求的，甲方可以委托他人修理或更换设备，相应费用从质保金内双倍扣除，若质保金已经返还或不足够支付维修费用，乙方还应当承担相应的维修费用。</w:t>
      </w:r>
      <w:r>
        <w:rPr>
          <w:rFonts w:hint="eastAsia" w:ascii="宋体" w:hAnsi="宋体" w:eastAsia="宋体" w:cs="宋体"/>
          <w:b w:val="0"/>
          <w:bCs w:val="0"/>
          <w:color w:val="auto"/>
          <w:sz w:val="22"/>
          <w:szCs w:val="22"/>
        </w:rPr>
        <w:t>由于乙方提供的材料、工程质量缺陷引起的安全事故责任及费用均由乙方承担。</w:t>
      </w:r>
    </w:p>
    <w:p w14:paraId="660EC47A">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4、发生紧急抢修事故的，乙方在接到事故通知后，应当立即到达事故现场组织抢修。</w:t>
      </w:r>
    </w:p>
    <w:p w14:paraId="289F5E74">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b w:val="0"/>
          <w:bCs w:val="0"/>
          <w:color w:val="auto"/>
          <w:sz w:val="22"/>
          <w:szCs w:val="22"/>
        </w:rPr>
        <w:t>5、质量保修完成后，由乙方报送相关资料，甲方组织</w:t>
      </w:r>
      <w:r>
        <w:rPr>
          <w:rFonts w:hint="eastAsia" w:ascii="宋体" w:hAnsi="宋体" w:eastAsia="宋体" w:cs="宋体"/>
          <w:color w:val="auto"/>
          <w:sz w:val="22"/>
          <w:szCs w:val="22"/>
        </w:rPr>
        <w:t>验收。</w:t>
      </w:r>
    </w:p>
    <w:p w14:paraId="75984420">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十二、双方的权利义务</w:t>
      </w:r>
    </w:p>
    <w:p w14:paraId="5BF83C2E">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1、甲方负责提供配电设施位置等必要的施工环境，便于乙方施工顺利进行。</w:t>
      </w:r>
    </w:p>
    <w:p w14:paraId="4735F7FF">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2、甲方不得违章指挥乙方从事违反安全规定的作业。甲方配合乙方进行施工，做好施工现场的协调工作。</w:t>
      </w:r>
    </w:p>
    <w:p w14:paraId="7AFF57F9">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3、若甲方发现乙方施工过程中存在重大安全隐患的，甲方有权严肃查处，并有权督促重大安全隐患的整改。</w:t>
      </w:r>
    </w:p>
    <w:p w14:paraId="636D648E">
      <w:pPr>
        <w:spacing w:beforeLines="0" w:afterLines="0" w:line="560" w:lineRule="exact"/>
        <w:ind w:firstLine="440" w:firstLineChars="200"/>
        <w:rPr>
          <w:rFonts w:hint="eastAsia" w:ascii="宋体" w:hAnsi="宋体" w:eastAsia="宋体" w:cs="宋体"/>
          <w:b w:val="0"/>
          <w:bCs w:val="0"/>
          <w:color w:val="auto"/>
          <w:sz w:val="22"/>
          <w:szCs w:val="22"/>
          <w:highlight w:val="yellow"/>
        </w:rPr>
      </w:pPr>
      <w:r>
        <w:rPr>
          <w:rFonts w:hint="eastAsia" w:ascii="宋体" w:hAnsi="宋体" w:eastAsia="宋体" w:cs="宋体"/>
          <w:b w:val="0"/>
          <w:bCs w:val="0"/>
          <w:color w:val="auto"/>
          <w:sz w:val="22"/>
          <w:szCs w:val="22"/>
        </w:rPr>
        <w:t>4、若乙方及所属工程项目部因拖欠农民工工资，以及因分包工程款未支付到位而引发分包单位拖欠农民工工资问题，且未能及时处理和支付的，甲方可直接将本工程的后期应付工程款先行支取，用于垫付</w:t>
      </w:r>
      <w:r>
        <w:rPr>
          <w:rFonts w:hint="eastAsia" w:ascii="宋体" w:hAnsi="宋体" w:eastAsia="宋体" w:cs="宋体"/>
          <w:b w:val="0"/>
          <w:bCs w:val="0"/>
          <w:color w:val="auto"/>
          <w:sz w:val="22"/>
          <w:szCs w:val="22"/>
          <w:lang w:val="en-US" w:eastAsia="zh-CN"/>
        </w:rPr>
        <w:t>乙方</w:t>
      </w:r>
      <w:r>
        <w:rPr>
          <w:rFonts w:hint="eastAsia" w:ascii="宋体" w:hAnsi="宋体" w:eastAsia="宋体" w:cs="宋体"/>
          <w:b w:val="0"/>
          <w:bCs w:val="0"/>
          <w:color w:val="auto"/>
          <w:sz w:val="22"/>
          <w:szCs w:val="22"/>
        </w:rPr>
        <w:t>所欠农民工工资，结算时按所动用数额的1.5倍予以扣除。乙方承担因拖欠农民工工资而先行支取后期应付工程款引起的一切责任。</w:t>
      </w:r>
    </w:p>
    <w:p w14:paraId="26D005FA">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5、乙方负责办理该项目所有市政施工报备、停复电等相关手续并承担相关费用。</w:t>
      </w:r>
    </w:p>
    <w:p w14:paraId="2A5D4D1D">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6、乙方施工质量必须达到国家验收相关规范标准；设备、材料采购必须是湖南省电力公司规定的招标入围厂家产品。</w:t>
      </w:r>
    </w:p>
    <w:p w14:paraId="05E4846C">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7、乙方必须建立健全的管理制度，不断加强对相关人员安全工作的思想教育和技能培训。牢固树立“安全第一”的思想认识，规范操作行为，加强对施工作业人员、施工材料、施工机具的现场管理，做到整齐有序；乙方必须给其从业人员配备足够的安全防护工具，为施工作业提供有效的安全保护措施，购买工伤及意外等保险。安全责任落实到人，定期进行安全检查，及时发现事故隐患，落实整改措施，杜绝事故发生。本合同履行过程中发生安全事故、人身伤亡或财产损失的，一切费用及责任由乙方负责。</w:t>
      </w:r>
    </w:p>
    <w:p w14:paraId="7861AC5D">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8、乙方在施工时应服从甲方和项目监理的管理。工程完工后乙方应清理现场，做到安全、文明施工并撤离。</w:t>
      </w:r>
    </w:p>
    <w:p w14:paraId="65145DB6">
      <w:pPr>
        <w:keepNext/>
        <w:keepLines/>
        <w:widowControl w:val="0"/>
        <w:spacing w:before="0" w:beforeLines="0" w:after="0" w:afterLines="0" w:line="560" w:lineRule="exact"/>
        <w:ind w:firstLine="440" w:firstLineChars="200"/>
        <w:jc w:val="both"/>
        <w:outlineLvl w:val="2"/>
        <w:rPr>
          <w:rFonts w:hint="default" w:ascii="Calibri" w:hAnsi="Calibri" w:eastAsia="宋体" w:cs="Times New Roman"/>
          <w:b w:val="0"/>
          <w:bCs w:val="0"/>
          <w:kern w:val="2"/>
          <w:sz w:val="24"/>
          <w:szCs w:val="24"/>
          <w:lang w:val="en-US" w:eastAsia="zh-CN" w:bidi="ar-SA"/>
        </w:rPr>
      </w:pPr>
      <w:r>
        <w:rPr>
          <w:rFonts w:hint="eastAsia" w:ascii="Calibri" w:hAnsi="Calibri" w:eastAsia="宋体" w:cs="Times New Roman"/>
          <w:b w:val="0"/>
          <w:bCs w:val="0"/>
          <w:kern w:val="2"/>
          <w:sz w:val="22"/>
          <w:szCs w:val="22"/>
          <w:lang w:val="en-US" w:eastAsia="zh-CN" w:bidi="ar-SA"/>
        </w:rPr>
        <w:t>9、未经甲方书面许可，乙方不得将该工程擅自转包或分包。</w:t>
      </w:r>
    </w:p>
    <w:p w14:paraId="40F1A0B4">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十三、违约责任</w:t>
      </w:r>
    </w:p>
    <w:p w14:paraId="72505557">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1、甲方应按本合同约定向乙方支付相应款项，</w:t>
      </w:r>
      <w:r>
        <w:rPr>
          <w:rFonts w:hint="eastAsia" w:ascii="宋体" w:hAnsi="宋体" w:eastAsia="宋体" w:cs="宋体"/>
          <w:b w:val="0"/>
          <w:bCs w:val="0"/>
          <w:color w:val="auto"/>
          <w:sz w:val="22"/>
          <w:szCs w:val="22"/>
          <w:lang w:val="en-US" w:eastAsia="zh-CN"/>
        </w:rPr>
        <w:t>逾期未支付的，以</w:t>
      </w:r>
      <w:r>
        <w:rPr>
          <w:rFonts w:hint="eastAsia" w:ascii="宋体" w:hAnsi="宋体" w:eastAsia="宋体" w:cs="宋体"/>
          <w:color w:val="auto"/>
          <w:sz w:val="22"/>
          <w:szCs w:val="22"/>
        </w:rPr>
        <w:t>应付未付款为基数</w:t>
      </w:r>
      <w:r>
        <w:rPr>
          <w:rFonts w:hint="default" w:ascii="宋体" w:hAnsi="宋体" w:eastAsia="宋体" w:cs="宋体"/>
          <w:color w:val="auto"/>
          <w:sz w:val="22"/>
          <w:szCs w:val="22"/>
        </w:rPr>
        <w:t>，</w:t>
      </w:r>
      <w:r>
        <w:rPr>
          <w:rFonts w:hint="eastAsia" w:ascii="宋体" w:hAnsi="宋体" w:eastAsia="宋体" w:cs="宋体"/>
          <w:b w:val="0"/>
          <w:bCs w:val="0"/>
          <w:color w:val="auto"/>
          <w:sz w:val="22"/>
          <w:szCs w:val="22"/>
        </w:rPr>
        <w:t>按</w:t>
      </w:r>
      <w:r>
        <w:rPr>
          <w:rFonts w:hint="eastAsia" w:ascii="宋体" w:hAnsi="宋体" w:eastAsia="宋体" w:cs="宋体"/>
          <w:color w:val="auto"/>
          <w:sz w:val="22"/>
          <w:szCs w:val="22"/>
        </w:rPr>
        <w:t>全国银行间同业拆借中心公布贷款市场报价利率（LPR）</w:t>
      </w:r>
      <w:r>
        <w:rPr>
          <w:rFonts w:hint="eastAsia" w:ascii="宋体" w:hAnsi="宋体" w:eastAsia="宋体" w:cs="宋体"/>
          <w:b w:val="0"/>
          <w:bCs w:val="0"/>
          <w:color w:val="auto"/>
          <w:sz w:val="22"/>
          <w:szCs w:val="22"/>
        </w:rPr>
        <w:t>向乙方支付违约金。</w:t>
      </w:r>
    </w:p>
    <w:p w14:paraId="76DCB650">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2、乙方应全面履行本合同义务，出现下列情况之一，甲方可向乙方发出通知，自违约之日起，每日向甲方支付本合同总金额0.5%的违约金，发生违约行为之日起7日内仍未整改、纠正或违约15日以上的，甲方有权解除本合同，乙方应向甲方支付本合同总金额1</w:t>
      </w:r>
      <w:r>
        <w:rPr>
          <w:rFonts w:hint="default" w:ascii="宋体" w:hAnsi="宋体" w:eastAsia="宋体" w:cs="宋体"/>
          <w:b w:val="0"/>
          <w:bCs w:val="0"/>
          <w:color w:val="auto"/>
          <w:sz w:val="22"/>
          <w:szCs w:val="22"/>
        </w:rPr>
        <w:t>5</w:t>
      </w:r>
      <w:r>
        <w:rPr>
          <w:rFonts w:hint="eastAsia" w:ascii="宋体" w:hAnsi="宋体" w:eastAsia="宋体" w:cs="宋体"/>
          <w:b w:val="0"/>
          <w:bCs w:val="0"/>
          <w:color w:val="auto"/>
          <w:sz w:val="22"/>
          <w:szCs w:val="22"/>
          <w:lang w:val="en-US" w:eastAsia="zh-CN"/>
        </w:rPr>
        <w:t>%</w:t>
      </w:r>
      <w:r>
        <w:rPr>
          <w:rFonts w:hint="eastAsia" w:ascii="宋体" w:hAnsi="宋体" w:eastAsia="宋体" w:cs="宋体"/>
          <w:b w:val="0"/>
          <w:bCs w:val="0"/>
          <w:color w:val="auto"/>
          <w:sz w:val="22"/>
          <w:szCs w:val="22"/>
        </w:rPr>
        <w:t>的违约金，并赔偿由此造成的损失，若甲方未解除合同，违约金</w:t>
      </w:r>
      <w:r>
        <w:rPr>
          <w:rFonts w:hint="default" w:ascii="宋体" w:hAnsi="宋体" w:eastAsia="宋体" w:cs="宋体"/>
          <w:b w:val="0"/>
          <w:bCs w:val="0"/>
          <w:color w:val="auto"/>
          <w:sz w:val="22"/>
          <w:szCs w:val="22"/>
        </w:rPr>
        <w:t>甲方</w:t>
      </w:r>
      <w:r>
        <w:rPr>
          <w:rFonts w:hint="eastAsia" w:ascii="宋体" w:hAnsi="宋体" w:eastAsia="宋体" w:cs="宋体"/>
          <w:b w:val="0"/>
          <w:bCs w:val="0"/>
          <w:color w:val="auto"/>
          <w:sz w:val="22"/>
          <w:szCs w:val="22"/>
        </w:rPr>
        <w:t>可从工程款中扣除。</w:t>
      </w:r>
    </w:p>
    <w:p w14:paraId="47C1C4ED">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（1）乙方的原因导致乙方的文件、实施和竣工的工程不符合法律法规、工程质量验收标准以及合同约定；</w:t>
      </w:r>
    </w:p>
    <w:p w14:paraId="2D196633">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（2）乙方进行</w:t>
      </w:r>
      <w:r>
        <w:rPr>
          <w:rFonts w:hint="default" w:ascii="宋体" w:hAnsi="宋体" w:eastAsia="宋体" w:cs="宋体"/>
          <w:b w:val="0"/>
          <w:bCs w:val="0"/>
          <w:color w:val="auto"/>
          <w:sz w:val="22"/>
          <w:szCs w:val="22"/>
        </w:rPr>
        <w:t>违法</w:t>
      </w:r>
      <w:r>
        <w:rPr>
          <w:rFonts w:hint="eastAsia" w:ascii="宋体" w:hAnsi="宋体" w:eastAsia="宋体" w:cs="宋体"/>
          <w:b w:val="0"/>
          <w:bCs w:val="0"/>
          <w:color w:val="auto"/>
          <w:sz w:val="22"/>
          <w:szCs w:val="22"/>
        </w:rPr>
        <w:t>转包或违法分包的；</w:t>
      </w:r>
    </w:p>
    <w:p w14:paraId="213D8363">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（3）乙方违反约定采购和使用不合格材料或工程设备；</w:t>
      </w:r>
    </w:p>
    <w:p w14:paraId="1F067436">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（4）因乙方原因导致工程质量不符合合同要求的；</w:t>
      </w:r>
    </w:p>
    <w:p w14:paraId="226E403A">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（5）乙方未能按项目进度计划及时完成合同约定的工作，造成工期延误；</w:t>
      </w:r>
    </w:p>
    <w:p w14:paraId="2B387487">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（6）由于乙方原因未能通过竣工验收的；</w:t>
      </w:r>
    </w:p>
    <w:p w14:paraId="64A16221">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（7）乙方在缺陷责任期及保修期内，未能在合理期限对工程缺陷进行修复，或拒绝按甲方</w:t>
      </w:r>
      <w:r>
        <w:rPr>
          <w:rFonts w:hint="eastAsia" w:ascii="宋体" w:hAnsi="宋体" w:eastAsia="宋体" w:cs="宋体"/>
          <w:b w:val="0"/>
          <w:bCs w:val="0"/>
          <w:color w:val="auto"/>
          <w:sz w:val="22"/>
          <w:szCs w:val="22"/>
          <w:lang w:eastAsia="zh-CN"/>
        </w:rPr>
        <w:t>合理</w:t>
      </w:r>
      <w:r>
        <w:rPr>
          <w:rFonts w:hint="eastAsia" w:ascii="宋体" w:hAnsi="宋体" w:eastAsia="宋体" w:cs="宋体"/>
          <w:b w:val="0"/>
          <w:bCs w:val="0"/>
          <w:color w:val="auto"/>
          <w:sz w:val="22"/>
          <w:szCs w:val="22"/>
        </w:rPr>
        <w:t>指示进行修复的；</w:t>
      </w:r>
    </w:p>
    <w:p w14:paraId="1D114463">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（8）乙方明确表示或者以其行为表明不履行合同主要义务的；</w:t>
      </w:r>
    </w:p>
    <w:p w14:paraId="70B1E99D">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（9）乙方未能按时支付农民工工资的；</w:t>
      </w:r>
    </w:p>
    <w:p w14:paraId="58660C0E">
      <w:pPr>
        <w:spacing w:beforeLines="0" w:afterLines="0" w:line="560" w:lineRule="exact"/>
        <w:ind w:firstLine="440" w:firstLineChars="20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（10）乙方未能按照合同约定履行其他义务的</w:t>
      </w:r>
      <w:r>
        <w:rPr>
          <w:rFonts w:hint="eastAsia" w:ascii="宋体" w:hAnsi="宋体" w:eastAsia="宋体" w:cs="宋体"/>
          <w:b w:val="0"/>
          <w:bCs w:val="0"/>
          <w:color w:val="auto"/>
          <w:sz w:val="22"/>
          <w:szCs w:val="22"/>
          <w:u w:val="none"/>
        </w:rPr>
        <w:t>。</w:t>
      </w:r>
    </w:p>
    <w:p w14:paraId="261BCA7A">
      <w:pPr>
        <w:numPr>
          <w:ilvl w:val="0"/>
          <w:numId w:val="4"/>
        </w:num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b w:val="0"/>
          <w:bCs w:val="0"/>
          <w:color w:val="auto"/>
          <w:sz w:val="22"/>
          <w:szCs w:val="22"/>
        </w:rPr>
        <w:t>本合同履行过程中，乙方工程或使用产品发生质量问题的，乙方必须及时进行整改返工，造成的一切损失由乙方承担，且甲方有权解除本合同，乙方应向甲方支付本合同金额</w:t>
      </w:r>
      <w:r>
        <w:rPr>
          <w:rFonts w:hint="eastAsia" w:ascii="宋体" w:hAnsi="宋体" w:eastAsia="宋体" w:cs="宋体"/>
          <w:b w:val="0"/>
          <w:bCs w:val="0"/>
          <w:color w:val="auto"/>
          <w:sz w:val="22"/>
          <w:szCs w:val="22"/>
          <w:u w:val="single"/>
        </w:rPr>
        <w:t>20</w:t>
      </w:r>
      <w:r>
        <w:rPr>
          <w:rFonts w:hint="eastAsia" w:ascii="宋体" w:hAnsi="宋体" w:eastAsia="宋体" w:cs="宋体"/>
          <w:b w:val="0"/>
          <w:bCs w:val="0"/>
          <w:color w:val="auto"/>
          <w:sz w:val="22"/>
          <w:szCs w:val="22"/>
        </w:rPr>
        <w:t>%的违约金，并赔偿由此造成的损失。</w:t>
      </w:r>
    </w:p>
    <w:p w14:paraId="39BC859E">
      <w:pPr>
        <w:numPr>
          <w:ilvl w:val="0"/>
          <w:numId w:val="0"/>
        </w:numPr>
        <w:spacing w:beforeLines="0" w:afterLines="0" w:line="560" w:lineRule="exact"/>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rPr>
        <w:t>4、</w:t>
      </w:r>
      <w:r>
        <w:rPr>
          <w:rFonts w:hint="default" w:ascii="宋体" w:hAnsi="宋体" w:eastAsia="宋体" w:cs="宋体"/>
          <w:color w:val="auto"/>
          <w:sz w:val="22"/>
          <w:szCs w:val="22"/>
        </w:rPr>
        <w:t>乙方</w:t>
      </w:r>
      <w:r>
        <w:rPr>
          <w:rFonts w:hint="eastAsia" w:ascii="宋体" w:hAnsi="宋体" w:eastAsia="宋体" w:cs="宋体"/>
          <w:color w:val="auto"/>
          <w:sz w:val="22"/>
          <w:szCs w:val="22"/>
        </w:rPr>
        <w:t>违反本协议约定的，</w:t>
      </w:r>
      <w:r>
        <w:rPr>
          <w:rFonts w:hint="default" w:ascii="宋体" w:hAnsi="宋体" w:eastAsia="宋体" w:cs="宋体"/>
          <w:color w:val="auto"/>
          <w:sz w:val="22"/>
          <w:szCs w:val="22"/>
        </w:rPr>
        <w:t>甲方</w:t>
      </w:r>
      <w:r>
        <w:rPr>
          <w:rFonts w:hint="eastAsia" w:ascii="宋体" w:hAnsi="宋体" w:eastAsia="宋体" w:cs="宋体"/>
          <w:color w:val="auto"/>
          <w:sz w:val="22"/>
          <w:szCs w:val="22"/>
        </w:rPr>
        <w:t>有权要求承包方承担上述违约责任及实现权益所产生的一切费用（包含但不限于律师费、诉讼费、保全费、公告费、 评估费、鉴定费等相关费用），并赔偿由此给</w:t>
      </w:r>
      <w:r>
        <w:rPr>
          <w:rFonts w:hint="default" w:ascii="宋体" w:hAnsi="宋体" w:eastAsia="宋体" w:cs="宋体"/>
          <w:color w:val="auto"/>
          <w:sz w:val="22"/>
          <w:szCs w:val="22"/>
        </w:rPr>
        <w:t>甲方</w:t>
      </w:r>
      <w:r>
        <w:rPr>
          <w:rFonts w:hint="eastAsia" w:ascii="宋体" w:hAnsi="宋体" w:eastAsia="宋体" w:cs="宋体"/>
          <w:color w:val="auto"/>
          <w:sz w:val="22"/>
          <w:szCs w:val="22"/>
        </w:rPr>
        <w:t>造成的所有损失</w:t>
      </w:r>
      <w:r>
        <w:rPr>
          <w:rFonts w:hint="eastAsia" w:ascii="宋体" w:hAnsi="宋体" w:eastAsia="宋体" w:cs="宋体"/>
          <w:color w:val="auto"/>
          <w:sz w:val="22"/>
          <w:szCs w:val="22"/>
          <w:lang w:eastAsia="zh-CN"/>
        </w:rPr>
        <w:t>。</w:t>
      </w:r>
    </w:p>
    <w:p w14:paraId="1A8EB70A">
      <w:pPr>
        <w:numPr>
          <w:ilvl w:val="0"/>
          <w:numId w:val="0"/>
        </w:numPr>
        <w:spacing w:beforeLines="0" w:afterLines="0" w:line="560" w:lineRule="exact"/>
        <w:ind w:firstLine="330" w:firstLineChars="150"/>
        <w:rPr>
          <w:rFonts w:hint="eastAsia" w:ascii="宋体" w:hAnsi="宋体" w:eastAsia="宋体" w:cs="宋体"/>
          <w:color w:val="auto"/>
          <w:sz w:val="22"/>
          <w:szCs w:val="22"/>
        </w:rPr>
      </w:pPr>
      <w:r>
        <w:rPr>
          <w:rFonts w:hint="eastAsia" w:ascii="宋体" w:hAnsi="宋体" w:eastAsia="宋体" w:cs="宋体"/>
          <w:color w:val="auto"/>
          <w:sz w:val="22"/>
          <w:szCs w:val="22"/>
        </w:rPr>
        <w:t>5、若因</w:t>
      </w:r>
      <w:r>
        <w:rPr>
          <w:rFonts w:hint="default" w:ascii="宋体" w:hAnsi="宋体" w:eastAsia="宋体" w:cs="宋体"/>
          <w:color w:val="auto"/>
          <w:sz w:val="22"/>
          <w:szCs w:val="22"/>
        </w:rPr>
        <w:t>乙方</w:t>
      </w:r>
      <w:r>
        <w:rPr>
          <w:rFonts w:hint="eastAsia" w:ascii="宋体" w:hAnsi="宋体" w:eastAsia="宋体" w:cs="宋体"/>
          <w:color w:val="auto"/>
          <w:sz w:val="22"/>
          <w:szCs w:val="22"/>
        </w:rPr>
        <w:t>原因导致</w:t>
      </w:r>
      <w:r>
        <w:rPr>
          <w:rFonts w:hint="eastAsia" w:ascii="宋体" w:hAnsi="宋体" w:eastAsia="宋体" w:cs="宋体"/>
          <w:color w:val="auto"/>
          <w:sz w:val="22"/>
          <w:szCs w:val="22"/>
          <w:lang w:val="en-US" w:eastAsia="zh-CN"/>
        </w:rPr>
        <w:t>甲</w:t>
      </w:r>
      <w:r>
        <w:rPr>
          <w:rFonts w:hint="eastAsia" w:ascii="宋体" w:hAnsi="宋体" w:eastAsia="宋体" w:cs="宋体"/>
          <w:color w:val="auto"/>
          <w:sz w:val="22"/>
          <w:szCs w:val="22"/>
        </w:rPr>
        <w:t>方承担行政责任或向第三方承担经济责任的，</w:t>
      </w:r>
      <w:r>
        <w:rPr>
          <w:rFonts w:hint="eastAsia" w:ascii="宋体" w:hAnsi="宋体" w:eastAsia="宋体" w:cs="宋体"/>
          <w:color w:val="auto"/>
          <w:sz w:val="22"/>
          <w:szCs w:val="22"/>
          <w:lang w:val="en-US" w:eastAsia="zh-CN"/>
        </w:rPr>
        <w:t>甲方</w:t>
      </w:r>
      <w:r>
        <w:rPr>
          <w:rFonts w:hint="eastAsia" w:ascii="宋体" w:hAnsi="宋体" w:eastAsia="宋体" w:cs="宋体"/>
          <w:color w:val="auto"/>
          <w:sz w:val="22"/>
          <w:szCs w:val="22"/>
        </w:rPr>
        <w:t>有权向</w:t>
      </w:r>
      <w:r>
        <w:rPr>
          <w:rFonts w:hint="eastAsia" w:ascii="宋体" w:hAnsi="宋体" w:eastAsia="宋体" w:cs="宋体"/>
          <w:color w:val="auto"/>
          <w:sz w:val="22"/>
          <w:szCs w:val="22"/>
          <w:lang w:val="en-US" w:eastAsia="zh-CN"/>
        </w:rPr>
        <w:t>乙</w:t>
      </w:r>
      <w:r>
        <w:rPr>
          <w:rFonts w:hint="eastAsia" w:ascii="宋体" w:hAnsi="宋体" w:eastAsia="宋体" w:cs="宋体"/>
          <w:color w:val="auto"/>
          <w:sz w:val="22"/>
          <w:szCs w:val="22"/>
        </w:rPr>
        <w:t>方追偿并要求</w:t>
      </w:r>
      <w:r>
        <w:rPr>
          <w:rFonts w:hint="eastAsia" w:ascii="宋体" w:hAnsi="宋体" w:eastAsia="宋体" w:cs="宋体"/>
          <w:color w:val="auto"/>
          <w:sz w:val="22"/>
          <w:szCs w:val="22"/>
          <w:lang w:val="en-US" w:eastAsia="zh-CN"/>
        </w:rPr>
        <w:t>乙</w:t>
      </w:r>
      <w:r>
        <w:rPr>
          <w:rFonts w:hint="eastAsia" w:ascii="宋体" w:hAnsi="宋体" w:eastAsia="宋体" w:cs="宋体"/>
          <w:color w:val="auto"/>
          <w:sz w:val="22"/>
          <w:szCs w:val="22"/>
        </w:rPr>
        <w:t>方承担由此给</w:t>
      </w:r>
      <w:r>
        <w:rPr>
          <w:rFonts w:hint="default" w:ascii="宋体" w:hAnsi="宋体" w:eastAsia="宋体" w:cs="宋体"/>
          <w:color w:val="auto"/>
          <w:sz w:val="22"/>
          <w:szCs w:val="22"/>
        </w:rPr>
        <w:t>甲</w:t>
      </w:r>
      <w:r>
        <w:rPr>
          <w:rFonts w:hint="eastAsia" w:ascii="宋体" w:hAnsi="宋体" w:eastAsia="宋体" w:cs="宋体"/>
          <w:color w:val="auto"/>
          <w:sz w:val="22"/>
          <w:szCs w:val="22"/>
        </w:rPr>
        <w:t>方造成的所有损失，且该费用</w:t>
      </w:r>
      <w:r>
        <w:rPr>
          <w:rFonts w:hint="default" w:ascii="宋体" w:hAnsi="宋体" w:eastAsia="宋体" w:cs="宋体"/>
          <w:color w:val="auto"/>
          <w:sz w:val="22"/>
          <w:szCs w:val="22"/>
        </w:rPr>
        <w:t>甲方</w:t>
      </w:r>
      <w:r>
        <w:rPr>
          <w:rFonts w:hint="eastAsia" w:ascii="宋体" w:hAnsi="宋体" w:eastAsia="宋体" w:cs="宋体"/>
          <w:color w:val="auto"/>
          <w:sz w:val="22"/>
          <w:szCs w:val="22"/>
        </w:rPr>
        <w:t>可直接从</w:t>
      </w:r>
      <w:r>
        <w:rPr>
          <w:rFonts w:hint="default" w:ascii="宋体" w:hAnsi="宋体" w:eastAsia="宋体" w:cs="宋体"/>
          <w:color w:val="auto"/>
          <w:sz w:val="22"/>
          <w:szCs w:val="22"/>
        </w:rPr>
        <w:t>乙</w:t>
      </w:r>
      <w:r>
        <w:rPr>
          <w:rFonts w:hint="eastAsia" w:ascii="宋体" w:hAnsi="宋体" w:eastAsia="宋体" w:cs="宋体"/>
          <w:color w:val="auto"/>
          <w:sz w:val="22"/>
          <w:szCs w:val="22"/>
        </w:rPr>
        <w:t>方工程款中扣除。</w:t>
      </w:r>
    </w:p>
    <w:p w14:paraId="120DE92F">
      <w:pPr>
        <w:keepNext w:val="0"/>
        <w:keepLines w:val="0"/>
        <w:widowControl/>
        <w:spacing w:beforeLines="0" w:afterLines="0" w:line="560" w:lineRule="exact"/>
        <w:ind w:firstLine="440" w:firstLineChars="200"/>
        <w:rPr>
          <w:rFonts w:hint="eastAsia" w:ascii="宋体" w:hAnsi="宋体" w:eastAsia="宋体" w:cs="宋体"/>
          <w:b w:val="0"/>
          <w:bCs w:val="0"/>
          <w:sz w:val="22"/>
          <w:szCs w:val="22"/>
          <w:lang w:val="en-US" w:eastAsia="zh-CN"/>
        </w:rPr>
      </w:pPr>
      <w:r>
        <w:rPr>
          <w:rFonts w:hint="eastAsia" w:ascii="宋体" w:hAnsi="宋体" w:eastAsia="宋体" w:cs="宋体"/>
          <w:b w:val="0"/>
          <w:bCs w:val="0"/>
          <w:sz w:val="22"/>
          <w:szCs w:val="22"/>
          <w:lang w:val="en-US" w:eastAsia="zh-CN"/>
        </w:rPr>
        <w:t>6、</w:t>
      </w:r>
      <w:r>
        <w:rPr>
          <w:rFonts w:hint="eastAsia" w:ascii="宋体" w:hAnsi="宋体" w:eastAsia="宋体" w:cs="宋体"/>
          <w:color w:val="auto"/>
          <w:kern w:val="0"/>
          <w:sz w:val="22"/>
          <w:szCs w:val="22"/>
          <w:lang w:val="en-US" w:eastAsia="zh-CN"/>
        </w:rPr>
        <w:t>如果属乙方施工问题而造成周边建筑物、市政公用设施的毁坏，由乙方承担一切责任和造成的损失。</w:t>
      </w:r>
    </w:p>
    <w:p w14:paraId="242457CA">
      <w:pPr>
        <w:spacing w:beforeLines="0" w:afterLines="0" w:line="560" w:lineRule="exact"/>
        <w:ind w:firstLine="440" w:firstLineChars="200"/>
        <w:rPr>
          <w:rFonts w:hint="eastAsia" w:ascii="黑体" w:hAnsi="黑体" w:eastAsia="黑体" w:cs="黑体"/>
          <w:color w:val="auto"/>
          <w:sz w:val="22"/>
          <w:szCs w:val="22"/>
        </w:rPr>
      </w:pPr>
      <w:r>
        <w:rPr>
          <w:rFonts w:hint="eastAsia" w:ascii="黑体" w:hAnsi="黑体" w:eastAsia="黑体" w:cs="黑体"/>
          <w:color w:val="auto"/>
          <w:sz w:val="22"/>
          <w:szCs w:val="22"/>
        </w:rPr>
        <w:t>十四、其他</w:t>
      </w:r>
    </w:p>
    <w:p w14:paraId="67085DC5">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1、本合同如有未尽事宜，经协商可另行签订补充协议，补充协议可与本合同具有同等法律效力。</w:t>
      </w:r>
    </w:p>
    <w:p w14:paraId="39CF552A">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2、承包人按以下第</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u w:val="single"/>
        </w:rPr>
        <w:t>①</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rPr>
        <w:t>种形式提供履约担保。</w:t>
      </w:r>
    </w:p>
    <w:p w14:paraId="7D864D70">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①不提供履约担保。</w:t>
      </w:r>
    </w:p>
    <w:p w14:paraId="4754B327">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②以履约保证金的形式提供履约担保，金额以招标文件约定为准。根据工程施工进度按比例返还(不计利息)。</w:t>
      </w:r>
    </w:p>
    <w:p w14:paraId="70A2FA17">
      <w:pPr>
        <w:spacing w:beforeLines="0" w:afterLines="0" w:line="560" w:lineRule="exac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3、在本合同履行过程中发生争议，由双方当事人协商解决，当事人不愿协商、调解或者协商、调解不成时，甲、乙双方约定向甲方住所地人民法院提起诉讼解决。</w:t>
      </w:r>
    </w:p>
    <w:p w14:paraId="526E5AD4">
      <w:pPr>
        <w:pStyle w:val="45"/>
        <w:keepNext w:val="0"/>
        <w:keepLines w:val="0"/>
        <w:pageBreakBefore w:val="0"/>
        <w:widowControl w:val="0"/>
        <w:tabs>
          <w:tab w:val="left" w:pos="867"/>
        </w:tabs>
        <w:kinsoku/>
        <w:wordWrap/>
        <w:overflowPunct/>
        <w:topLinePunct w:val="0"/>
        <w:autoSpaceDE/>
        <w:autoSpaceDN/>
        <w:bidi w:val="0"/>
        <w:spacing w:beforeLines="0" w:afterLines="0" w:line="560" w:lineRule="exact"/>
        <w:ind w:left="0" w:leftChars="0" w:firstLine="440" w:firstLineChars="200"/>
        <w:jc w:val="both"/>
        <w:textAlignment w:val="auto"/>
        <w:rPr>
          <w:rFonts w:hint="eastAsia" w:ascii="宋体" w:hAnsi="宋体" w:eastAsia="宋体" w:cs="宋体"/>
          <w:color w:val="auto"/>
          <w:sz w:val="22"/>
          <w:szCs w:val="22"/>
        </w:rPr>
      </w:pPr>
      <w:bookmarkStart w:id="151" w:name="bookmark55"/>
      <w:r>
        <w:rPr>
          <w:rFonts w:hint="eastAsia" w:ascii="宋体" w:hAnsi="宋体" w:eastAsia="宋体" w:cs="宋体"/>
          <w:color w:val="auto"/>
          <w:sz w:val="22"/>
          <w:szCs w:val="22"/>
        </w:rPr>
        <w:t>4</w:t>
      </w:r>
      <w:bookmarkEnd w:id="151"/>
      <w:r>
        <w:rPr>
          <w:rFonts w:hint="eastAsia" w:ascii="宋体" w:hAnsi="宋体" w:eastAsia="宋体" w:cs="宋体"/>
          <w:color w:val="auto"/>
          <w:sz w:val="22"/>
          <w:szCs w:val="22"/>
        </w:rPr>
        <w:t>、甲乙双方确定送达地址如下：</w:t>
      </w:r>
    </w:p>
    <w:p w14:paraId="5B7C5539">
      <w:pPr>
        <w:pStyle w:val="45"/>
        <w:keepNext w:val="0"/>
        <w:keepLines w:val="0"/>
        <w:pageBreakBefore w:val="0"/>
        <w:widowControl w:val="0"/>
        <w:tabs>
          <w:tab w:val="left" w:pos="3382"/>
          <w:tab w:val="left" w:pos="5920"/>
        </w:tabs>
        <w:kinsoku/>
        <w:wordWrap/>
        <w:overflowPunct/>
        <w:topLinePunct w:val="0"/>
        <w:autoSpaceDE/>
        <w:autoSpaceDN/>
        <w:bidi w:val="0"/>
        <w:spacing w:beforeLines="0" w:afterLines="0" w:line="560" w:lineRule="exact"/>
        <w:ind w:left="0" w:leftChars="0"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甲方联系人：</w:t>
      </w:r>
      <w:r>
        <w:rPr>
          <w:rFonts w:hint="eastAsia" w:ascii="宋体" w:hAnsi="宋体" w:eastAsia="宋体" w:cs="宋体"/>
          <w:color w:val="auto"/>
          <w:sz w:val="22"/>
          <w:szCs w:val="22"/>
        </w:rPr>
        <w:tab/>
      </w:r>
      <w:r>
        <w:rPr>
          <w:rFonts w:hint="eastAsia" w:cs="宋体"/>
          <w:color w:val="auto"/>
          <w:sz w:val="22"/>
          <w:szCs w:val="22"/>
          <w:lang w:val="en-US" w:eastAsia="zh-CN"/>
        </w:rPr>
        <w:t xml:space="preserve">  </w:t>
      </w:r>
      <w:r>
        <w:rPr>
          <w:rFonts w:hint="eastAsia" w:ascii="宋体" w:hAnsi="宋体" w:eastAsia="宋体" w:cs="宋体"/>
          <w:color w:val="auto"/>
          <w:sz w:val="22"/>
          <w:szCs w:val="22"/>
        </w:rPr>
        <w:t>电话：</w:t>
      </w:r>
    </w:p>
    <w:p w14:paraId="3399314C">
      <w:pPr>
        <w:pStyle w:val="45"/>
        <w:keepNext w:val="0"/>
        <w:keepLines w:val="0"/>
        <w:pageBreakBefore w:val="0"/>
        <w:widowControl w:val="0"/>
        <w:tabs>
          <w:tab w:val="left" w:pos="3382"/>
          <w:tab w:val="left" w:pos="5920"/>
        </w:tabs>
        <w:kinsoku/>
        <w:wordWrap/>
        <w:overflowPunct/>
        <w:topLinePunct w:val="0"/>
        <w:autoSpaceDE/>
        <w:autoSpaceDN/>
        <w:bidi w:val="0"/>
        <w:spacing w:beforeLines="0" w:afterLines="0" w:line="560" w:lineRule="exact"/>
        <w:ind w:left="0" w:leftChars="0" w:firstLine="440" w:firstLineChars="200"/>
        <w:jc w:val="both"/>
        <w:textAlignment w:val="auto"/>
        <w:rPr>
          <w:rFonts w:hint="eastAsia" w:ascii="宋体" w:hAnsi="宋体" w:eastAsia="宋体" w:cs="宋体"/>
          <w:color w:val="auto"/>
          <w:sz w:val="22"/>
          <w:szCs w:val="22"/>
          <w:lang w:eastAsia="zh-CN"/>
        </w:rPr>
      </w:pPr>
      <w:r>
        <w:rPr>
          <w:rFonts w:hint="eastAsia" w:ascii="宋体" w:hAnsi="宋体" w:eastAsia="宋体" w:cs="宋体"/>
          <w:color w:val="auto"/>
          <w:sz w:val="22"/>
          <w:szCs w:val="22"/>
        </w:rPr>
        <w:t>地址：怀化市鹤城区金海路</w:t>
      </w:r>
      <w:r>
        <w:rPr>
          <w:rFonts w:hint="eastAsia" w:ascii="宋体" w:hAnsi="宋体" w:eastAsia="宋体" w:cs="宋体"/>
          <w:color w:val="auto"/>
          <w:sz w:val="22"/>
          <w:szCs w:val="22"/>
          <w:lang w:val="en-US" w:eastAsia="zh-CN"/>
        </w:rPr>
        <w:t>225</w:t>
      </w:r>
      <w:r>
        <w:rPr>
          <w:rFonts w:hint="eastAsia" w:ascii="宋体" w:hAnsi="宋体" w:eastAsia="宋体" w:cs="宋体"/>
          <w:color w:val="auto"/>
          <w:sz w:val="22"/>
          <w:szCs w:val="22"/>
        </w:rPr>
        <w:t>号鹤城区城投</w:t>
      </w:r>
      <w:r>
        <w:rPr>
          <w:rFonts w:hint="eastAsia" w:ascii="宋体" w:hAnsi="宋体" w:eastAsia="宋体" w:cs="宋体"/>
          <w:color w:val="auto"/>
          <w:sz w:val="22"/>
          <w:szCs w:val="22"/>
          <w:lang w:eastAsia="zh-CN"/>
        </w:rPr>
        <w:t>公司</w:t>
      </w:r>
    </w:p>
    <w:p w14:paraId="236C73F3">
      <w:pPr>
        <w:pStyle w:val="45"/>
        <w:keepNext w:val="0"/>
        <w:keepLines w:val="0"/>
        <w:pageBreakBefore w:val="0"/>
        <w:widowControl w:val="0"/>
        <w:tabs>
          <w:tab w:val="left" w:pos="3634"/>
          <w:tab w:val="left" w:pos="5920"/>
        </w:tabs>
        <w:kinsoku/>
        <w:wordWrap/>
        <w:overflowPunct/>
        <w:topLinePunct w:val="0"/>
        <w:autoSpaceDE/>
        <w:autoSpaceDN/>
        <w:bidi w:val="0"/>
        <w:spacing w:beforeLines="0" w:afterLines="0" w:line="560" w:lineRule="exact"/>
        <w:ind w:firstLine="440" w:firstLineChars="200"/>
        <w:jc w:val="both"/>
        <w:textAlignment w:val="auto"/>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rPr>
        <w:t>乙方联系人：</w:t>
      </w:r>
      <w:r>
        <w:rPr>
          <w:rFonts w:hint="eastAsia" w:cs="宋体"/>
          <w:color w:val="auto"/>
          <w:sz w:val="22"/>
          <w:szCs w:val="22"/>
          <w:lang w:val="en-US" w:eastAsia="zh-CN"/>
        </w:rPr>
        <w:t xml:space="preserve">  </w:t>
      </w:r>
      <w:r>
        <w:rPr>
          <w:rFonts w:hint="eastAsia" w:ascii="宋体" w:hAnsi="宋体" w:eastAsia="宋体" w:cs="宋体"/>
          <w:color w:val="auto"/>
          <w:sz w:val="22"/>
          <w:szCs w:val="22"/>
        </w:rPr>
        <w:tab/>
      </w:r>
      <w:r>
        <w:rPr>
          <w:rFonts w:hint="eastAsia" w:ascii="宋体" w:hAnsi="宋体" w:eastAsia="宋体" w:cs="宋体"/>
          <w:color w:val="auto"/>
          <w:sz w:val="22"/>
          <w:szCs w:val="22"/>
        </w:rPr>
        <w:t>电话：</w:t>
      </w:r>
      <w:r>
        <w:rPr>
          <w:rFonts w:hint="eastAsia" w:cs="宋体"/>
          <w:color w:val="auto"/>
          <w:sz w:val="22"/>
          <w:szCs w:val="22"/>
          <w:lang w:val="en-US" w:eastAsia="zh-CN"/>
        </w:rPr>
        <w:t xml:space="preserve">  </w:t>
      </w:r>
    </w:p>
    <w:p w14:paraId="2EEBC84C">
      <w:pPr>
        <w:pStyle w:val="45"/>
        <w:keepNext w:val="0"/>
        <w:keepLines w:val="0"/>
        <w:pageBreakBefore w:val="0"/>
        <w:widowControl w:val="0"/>
        <w:tabs>
          <w:tab w:val="left" w:pos="3634"/>
          <w:tab w:val="left" w:pos="5920"/>
        </w:tabs>
        <w:kinsoku/>
        <w:wordWrap/>
        <w:overflowPunct/>
        <w:topLinePunct w:val="0"/>
        <w:autoSpaceDE/>
        <w:autoSpaceDN/>
        <w:bidi w:val="0"/>
        <w:spacing w:beforeLines="0" w:afterLines="0" w:line="560" w:lineRule="exact"/>
        <w:ind w:firstLine="440" w:firstLineChars="200"/>
        <w:jc w:val="both"/>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rPr>
        <w:t>地址：</w:t>
      </w:r>
    </w:p>
    <w:p w14:paraId="431581DF">
      <w:pPr>
        <w:pStyle w:val="45"/>
        <w:keepNext w:val="0"/>
        <w:keepLines w:val="0"/>
        <w:pageBreakBefore w:val="0"/>
        <w:widowControl w:val="0"/>
        <w:kinsoku/>
        <w:wordWrap/>
        <w:overflowPunct/>
        <w:topLinePunct w:val="0"/>
        <w:autoSpaceDE/>
        <w:autoSpaceDN/>
        <w:bidi w:val="0"/>
        <w:spacing w:beforeLines="0" w:afterLines="0" w:line="560" w:lineRule="exact"/>
        <w:ind w:left="0" w:leftChars="0" w:firstLine="440" w:firstLineChars="200"/>
        <w:jc w:val="both"/>
        <w:textAlignment w:val="auto"/>
        <w:rPr>
          <w:rFonts w:hint="eastAsia" w:ascii="宋体" w:hAnsi="宋体" w:eastAsia="宋体" w:cs="宋体"/>
          <w:color w:val="auto"/>
          <w:sz w:val="22"/>
          <w:szCs w:val="22"/>
          <w:lang w:eastAsia="zh-CN"/>
        </w:rPr>
      </w:pPr>
      <w:r>
        <w:rPr>
          <w:rFonts w:hint="eastAsia" w:ascii="宋体" w:hAnsi="宋体" w:eastAsia="宋体" w:cs="宋体"/>
          <w:color w:val="auto"/>
          <w:sz w:val="22"/>
          <w:szCs w:val="22"/>
        </w:rPr>
        <w:t>甲乙双方送达包含法律文书、通知、文件等全部文书至对方上述地址的即视为有效送达</w:t>
      </w:r>
      <w:r>
        <w:rPr>
          <w:rFonts w:hint="eastAsia" w:ascii="宋体" w:hAnsi="宋体" w:eastAsia="宋体" w:cs="宋体"/>
          <w:color w:val="auto"/>
          <w:sz w:val="22"/>
          <w:szCs w:val="22"/>
          <w:lang w:eastAsia="zh-CN"/>
        </w:rPr>
        <w:t>。任何一方变更通讯接收人、地址或电话号码的，需提前10日书面通知其他方，否则视为未变更，原通讯接收人、地址或电话号码仍然有效。本合同送达条款为独立条款，不受合同整体或其他条款的效力的影响。</w:t>
      </w:r>
    </w:p>
    <w:p w14:paraId="4E64718C">
      <w:pPr>
        <w:pStyle w:val="45"/>
        <w:keepNext w:val="0"/>
        <w:keepLines w:val="0"/>
        <w:pageBreakBefore w:val="0"/>
        <w:widowControl w:val="0"/>
        <w:numPr>
          <w:ilvl w:val="0"/>
          <w:numId w:val="0"/>
        </w:numPr>
        <w:kinsoku/>
        <w:wordWrap/>
        <w:overflowPunct/>
        <w:topLinePunct w:val="0"/>
        <w:autoSpaceDE/>
        <w:autoSpaceDN/>
        <w:bidi w:val="0"/>
        <w:spacing w:beforeLines="0" w:afterLines="0" w:line="560" w:lineRule="exact"/>
        <w:ind w:firstLine="440" w:firstLineChars="200"/>
        <w:textAlignment w:val="auto"/>
        <w:rPr>
          <w:rFonts w:hint="eastAsia" w:ascii="宋体" w:hAnsi="宋体" w:eastAsia="宋体" w:cs="宋体"/>
          <w:i/>
          <w:iCs/>
          <w:color w:val="auto"/>
          <w:sz w:val="22"/>
          <w:szCs w:val="22"/>
          <w:lang w:eastAsia="zh-CN"/>
        </w:rPr>
      </w:pPr>
      <w:r>
        <w:rPr>
          <w:rFonts w:hint="eastAsia" w:ascii="宋体" w:hAnsi="宋体" w:eastAsia="宋体" w:cs="宋体"/>
          <w:color w:val="auto"/>
          <w:sz w:val="22"/>
          <w:szCs w:val="22"/>
          <w:lang w:val="en-US" w:eastAsia="zh-CN"/>
        </w:rPr>
        <w:t>5、</w:t>
      </w:r>
      <w:r>
        <w:rPr>
          <w:rFonts w:hint="eastAsia" w:ascii="宋体" w:hAnsi="宋体" w:eastAsia="宋体" w:cs="宋体"/>
          <w:color w:val="auto"/>
          <w:sz w:val="22"/>
          <w:szCs w:val="22"/>
        </w:rPr>
        <w:t>本</w:t>
      </w:r>
      <w:r>
        <w:rPr>
          <w:rFonts w:hint="eastAsia" w:ascii="宋体" w:hAnsi="宋体" w:eastAsia="宋体" w:cs="宋体"/>
          <w:color w:val="auto"/>
          <w:sz w:val="22"/>
          <w:szCs w:val="22"/>
          <w:lang w:val="zh-CN" w:eastAsia="zh-CN" w:bidi="zh-CN"/>
        </w:rPr>
        <w:t>合同壹式</w:t>
      </w:r>
      <w:r>
        <w:rPr>
          <w:rFonts w:hint="eastAsia" w:ascii="宋体" w:hAnsi="宋体" w:eastAsia="宋体" w:cs="宋体"/>
          <w:color w:val="auto"/>
          <w:sz w:val="22"/>
          <w:szCs w:val="22"/>
          <w:u w:val="single"/>
          <w:lang w:val="zh-CN" w:eastAsia="zh-CN" w:bidi="zh-CN"/>
        </w:rPr>
        <w:t>肆</w:t>
      </w:r>
      <w:r>
        <w:rPr>
          <w:rFonts w:hint="eastAsia" w:ascii="宋体" w:hAnsi="宋体" w:eastAsia="宋体" w:cs="宋体"/>
          <w:color w:val="auto"/>
          <w:sz w:val="22"/>
          <w:szCs w:val="22"/>
          <w:lang w:val="zh-CN" w:eastAsia="zh-CN" w:bidi="zh-CN"/>
        </w:rPr>
        <w:t>份，双方各执</w:t>
      </w:r>
      <w:r>
        <w:rPr>
          <w:rFonts w:hint="eastAsia" w:ascii="宋体" w:hAnsi="宋体" w:eastAsia="宋体" w:cs="宋体"/>
          <w:color w:val="auto"/>
          <w:sz w:val="22"/>
          <w:szCs w:val="22"/>
          <w:u w:val="single"/>
          <w:lang w:val="zh-CN" w:eastAsia="zh-CN" w:bidi="zh-CN"/>
        </w:rPr>
        <w:t>贰</w:t>
      </w:r>
      <w:r>
        <w:rPr>
          <w:rFonts w:hint="eastAsia" w:ascii="宋体" w:hAnsi="宋体" w:eastAsia="宋体" w:cs="宋体"/>
          <w:color w:val="auto"/>
          <w:sz w:val="22"/>
          <w:szCs w:val="22"/>
          <w:lang w:val="zh-CN" w:eastAsia="zh-CN" w:bidi="zh-CN"/>
        </w:rPr>
        <w:t>份</w:t>
      </w:r>
      <w:r>
        <w:rPr>
          <w:rFonts w:hint="eastAsia" w:ascii="宋体" w:hAnsi="宋体" w:eastAsia="宋体" w:cs="宋体"/>
          <w:color w:val="auto"/>
          <w:sz w:val="22"/>
          <w:szCs w:val="22"/>
        </w:rPr>
        <w:t xml:space="preserve">，经双方签章后生效。 </w:t>
      </w:r>
    </w:p>
    <w:p w14:paraId="7AF339D1">
      <w:pPr>
        <w:pStyle w:val="45"/>
        <w:keepNext w:val="0"/>
        <w:keepLines w:val="0"/>
        <w:pageBreakBefore w:val="0"/>
        <w:widowControl w:val="0"/>
        <w:kinsoku/>
        <w:wordWrap/>
        <w:overflowPunct/>
        <w:topLinePunct w:val="0"/>
        <w:autoSpaceDE/>
        <w:autoSpaceDN/>
        <w:bidi w:val="0"/>
        <w:spacing w:beforeLines="0" w:afterLines="0" w:line="560" w:lineRule="exact"/>
        <w:ind w:left="0" w:leftChars="0" w:firstLine="0" w:firstLineChars="0"/>
        <w:textAlignment w:val="auto"/>
        <w:rPr>
          <w:rFonts w:hint="eastAsia" w:ascii="宋体" w:hAnsi="宋体" w:eastAsia="宋体" w:cs="宋体"/>
          <w:color w:val="auto"/>
          <w:sz w:val="22"/>
          <w:szCs w:val="22"/>
          <w:lang w:eastAsia="zh-CN"/>
        </w:rPr>
      </w:pPr>
    </w:p>
    <w:p w14:paraId="3BCED531">
      <w:pPr>
        <w:pStyle w:val="45"/>
        <w:keepNext w:val="0"/>
        <w:keepLines w:val="0"/>
        <w:pageBreakBefore w:val="0"/>
        <w:widowControl w:val="0"/>
        <w:kinsoku/>
        <w:wordWrap/>
        <w:overflowPunct/>
        <w:topLinePunct w:val="0"/>
        <w:autoSpaceDE/>
        <w:autoSpaceDN/>
        <w:bidi w:val="0"/>
        <w:spacing w:beforeLines="0" w:afterLines="0" w:line="560" w:lineRule="exact"/>
        <w:ind w:left="0" w:leftChars="0" w:firstLine="0" w:firstLineChars="0"/>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eastAsia="zh-CN"/>
        </w:rPr>
        <w:t>甲方（盖章）：</w:t>
      </w:r>
      <w:r>
        <w:rPr>
          <w:rFonts w:hint="eastAsia" w:ascii="宋体" w:hAnsi="宋体" w:eastAsia="宋体" w:cs="宋体"/>
          <w:color w:val="auto"/>
          <w:sz w:val="22"/>
          <w:szCs w:val="22"/>
          <w:lang w:val="en-US" w:eastAsia="zh-CN"/>
        </w:rPr>
        <w:t xml:space="preserve">                </w:t>
      </w:r>
      <w:r>
        <w:rPr>
          <w:rFonts w:hint="eastAsia" w:cs="宋体"/>
          <w:color w:val="auto"/>
          <w:sz w:val="22"/>
          <w:szCs w:val="22"/>
          <w:lang w:val="en-US" w:eastAsia="zh-CN"/>
        </w:rPr>
        <w:t xml:space="preserve"> </w:t>
      </w:r>
      <w:r>
        <w:rPr>
          <w:rFonts w:hint="eastAsia" w:ascii="宋体" w:hAnsi="宋体" w:eastAsia="宋体" w:cs="宋体"/>
          <w:color w:val="auto"/>
          <w:sz w:val="22"/>
          <w:szCs w:val="22"/>
          <w:lang w:val="en-US" w:eastAsia="zh-CN"/>
        </w:rPr>
        <w:t>乙方（盖章）：</w:t>
      </w:r>
    </w:p>
    <w:p w14:paraId="1B696E49">
      <w:pPr>
        <w:pStyle w:val="45"/>
        <w:keepNext w:val="0"/>
        <w:keepLines w:val="0"/>
        <w:pageBreakBefore w:val="0"/>
        <w:widowControl w:val="0"/>
        <w:kinsoku/>
        <w:wordWrap/>
        <w:overflowPunct/>
        <w:topLinePunct w:val="0"/>
        <w:autoSpaceDE/>
        <w:autoSpaceDN/>
        <w:bidi w:val="0"/>
        <w:adjustRightInd/>
        <w:snapToGrid/>
        <w:spacing w:beforeLines="0" w:afterLines="0" w:line="560" w:lineRule="exact"/>
        <w:ind w:left="0" w:leftChars="0" w:firstLine="0" w:firstLineChars="0"/>
        <w:textAlignment w:val="auto"/>
        <w:rPr>
          <w:rFonts w:hint="eastAsia" w:ascii="宋体" w:hAnsi="宋体" w:eastAsia="宋体" w:cs="宋体"/>
          <w:color w:val="auto"/>
          <w:sz w:val="22"/>
          <w:szCs w:val="22"/>
          <w:lang w:val="en-US" w:eastAsia="zh-CN"/>
        </w:rPr>
      </w:pPr>
    </w:p>
    <w:p w14:paraId="16B97E5E">
      <w:pPr>
        <w:pStyle w:val="45"/>
        <w:keepNext w:val="0"/>
        <w:keepLines w:val="0"/>
        <w:pageBreakBefore w:val="0"/>
        <w:widowControl w:val="0"/>
        <w:kinsoku/>
        <w:wordWrap/>
        <w:overflowPunct/>
        <w:topLinePunct w:val="0"/>
        <w:autoSpaceDE/>
        <w:autoSpaceDN/>
        <w:bidi w:val="0"/>
        <w:spacing w:beforeLines="0" w:afterLines="0" w:line="560" w:lineRule="exact"/>
        <w:ind w:left="0" w:leftChars="0" w:firstLine="0" w:firstLineChars="0"/>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法定代表人：                  法定代表人：</w:t>
      </w:r>
    </w:p>
    <w:p w14:paraId="60366BC7">
      <w:pPr>
        <w:pStyle w:val="45"/>
        <w:keepNext w:val="0"/>
        <w:keepLines w:val="0"/>
        <w:pageBreakBefore w:val="0"/>
        <w:widowControl w:val="0"/>
        <w:kinsoku/>
        <w:wordWrap/>
        <w:overflowPunct/>
        <w:topLinePunct w:val="0"/>
        <w:autoSpaceDE/>
        <w:autoSpaceDN/>
        <w:bidi w:val="0"/>
        <w:adjustRightInd/>
        <w:snapToGrid/>
        <w:spacing w:beforeLines="0" w:afterLines="0" w:line="560" w:lineRule="exact"/>
        <w:ind w:left="0" w:leftChars="0" w:firstLine="0" w:firstLineChars="0"/>
        <w:textAlignment w:val="auto"/>
        <w:rPr>
          <w:rFonts w:hint="eastAsia" w:ascii="宋体" w:hAnsi="宋体" w:eastAsia="宋体" w:cs="宋体"/>
          <w:color w:val="auto"/>
          <w:sz w:val="22"/>
          <w:szCs w:val="22"/>
          <w:lang w:val="en-US" w:eastAsia="zh-CN"/>
        </w:rPr>
      </w:pPr>
    </w:p>
    <w:p w14:paraId="191F2D3C">
      <w:pPr>
        <w:pStyle w:val="45"/>
        <w:keepNext w:val="0"/>
        <w:keepLines w:val="0"/>
        <w:pageBreakBefore w:val="0"/>
        <w:widowControl w:val="0"/>
        <w:kinsoku/>
        <w:wordWrap/>
        <w:overflowPunct/>
        <w:topLinePunct w:val="0"/>
        <w:autoSpaceDE/>
        <w:autoSpaceDN/>
        <w:bidi w:val="0"/>
        <w:spacing w:beforeLines="0" w:afterLines="0" w:line="560" w:lineRule="exact"/>
        <w:ind w:left="0" w:leftChars="0" w:firstLine="0" w:firstLineChars="0"/>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委托代理人：                  委托代理人：</w:t>
      </w:r>
    </w:p>
    <w:p w14:paraId="3D28CD97">
      <w:pPr>
        <w:pStyle w:val="45"/>
        <w:keepNext w:val="0"/>
        <w:keepLines w:val="0"/>
        <w:pageBreakBefore w:val="0"/>
        <w:widowControl w:val="0"/>
        <w:kinsoku/>
        <w:wordWrap/>
        <w:overflowPunct/>
        <w:topLinePunct w:val="0"/>
        <w:autoSpaceDE/>
        <w:autoSpaceDN/>
        <w:bidi w:val="0"/>
        <w:spacing w:beforeLines="0" w:afterLines="0" w:line="560" w:lineRule="exact"/>
        <w:ind w:left="3960" w:leftChars="0" w:hanging="3960" w:hangingChars="1800"/>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合同经办人：                  开户行：</w:t>
      </w:r>
    </w:p>
    <w:p w14:paraId="5FE2E87B">
      <w:pPr>
        <w:pStyle w:val="45"/>
        <w:keepNext w:val="0"/>
        <w:keepLines w:val="0"/>
        <w:pageBreakBefore w:val="0"/>
        <w:widowControl w:val="0"/>
        <w:kinsoku/>
        <w:wordWrap/>
        <w:overflowPunct/>
        <w:topLinePunct w:val="0"/>
        <w:autoSpaceDE/>
        <w:autoSpaceDN/>
        <w:bidi w:val="0"/>
        <w:spacing w:beforeLines="0" w:afterLines="0" w:line="560" w:lineRule="exact"/>
        <w:ind w:left="0" w:firstLine="0"/>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 xml:space="preserve">                           </w:t>
      </w:r>
      <w:r>
        <w:rPr>
          <w:rFonts w:hint="eastAsia" w:cs="宋体"/>
          <w:color w:val="auto"/>
          <w:sz w:val="22"/>
          <w:szCs w:val="22"/>
          <w:lang w:val="en-US" w:eastAsia="zh-CN"/>
        </w:rPr>
        <w:t xml:space="preserve">   </w:t>
      </w:r>
      <w:r>
        <w:rPr>
          <w:rFonts w:hint="eastAsia" w:ascii="宋体" w:hAnsi="宋体" w:eastAsia="宋体" w:cs="宋体"/>
          <w:color w:val="auto"/>
          <w:sz w:val="22"/>
          <w:szCs w:val="22"/>
          <w:lang w:val="en-US" w:eastAsia="zh-CN"/>
        </w:rPr>
        <w:t>账户：</w:t>
      </w:r>
    </w:p>
    <w:p w14:paraId="300711D3">
      <w:pPr>
        <w:pStyle w:val="45"/>
        <w:spacing w:beforeLines="0" w:afterLines="0" w:line="560" w:lineRule="exact"/>
        <w:ind w:firstLine="0"/>
        <w:rPr>
          <w:rFonts w:hint="eastAsia" w:cs="宋体"/>
          <w:color w:val="auto"/>
          <w:sz w:val="22"/>
          <w:szCs w:val="22"/>
          <w:lang w:val="en-US" w:eastAsia="zh-CN"/>
        </w:rPr>
      </w:pPr>
      <w:r>
        <w:rPr>
          <w:rFonts w:hint="eastAsia" w:ascii="宋体" w:hAnsi="宋体" w:eastAsia="宋体" w:cs="宋体"/>
          <w:color w:val="auto"/>
          <w:sz w:val="22"/>
          <w:szCs w:val="22"/>
          <w:lang w:val="en-US" w:eastAsia="zh-CN"/>
        </w:rPr>
        <w:t>日期：                        日期</w:t>
      </w:r>
      <w:r>
        <w:rPr>
          <w:rFonts w:hint="eastAsia" w:cs="宋体"/>
          <w:color w:val="auto"/>
          <w:sz w:val="22"/>
          <w:szCs w:val="22"/>
          <w:lang w:val="en-US" w:eastAsia="zh-CN"/>
        </w:rPr>
        <w:t>：</w:t>
      </w:r>
    </w:p>
    <w:p w14:paraId="4FC10172">
      <w:pPr>
        <w:pStyle w:val="47"/>
        <w:jc w:val="left"/>
        <w:rPr>
          <w:rFonts w:hint="eastAsia" w:cs="宋体"/>
          <w:color w:val="auto"/>
          <w:sz w:val="22"/>
          <w:szCs w:val="22"/>
          <w:lang w:val="en-US" w:eastAsia="zh-CN"/>
        </w:rPr>
      </w:pPr>
      <w:r>
        <w:rPr>
          <w:rFonts w:hint="eastAsia" w:cs="宋体"/>
          <w:color w:val="auto"/>
          <w:sz w:val="22"/>
          <w:szCs w:val="22"/>
          <w:lang w:val="en-US" w:eastAsia="zh-CN"/>
        </w:rPr>
        <w:br w:type="column"/>
      </w:r>
      <w:bookmarkStart w:id="152" w:name="_Toc518454013"/>
      <w:bookmarkStart w:id="153" w:name="_Toc516844701"/>
      <w:r>
        <w:rPr>
          <w:rFonts w:hint="eastAsia" w:ascii="黑体" w:hAnsi="黑体" w:eastAsia="黑体" w:cs="黑体"/>
          <w:color w:val="auto"/>
          <w:sz w:val="22"/>
          <w:szCs w:val="22"/>
          <w:lang w:val="en-US" w:eastAsia="zh-CN"/>
        </w:rPr>
        <w:t>附件一</w:t>
      </w:r>
    </w:p>
    <w:bookmarkEnd w:id="152"/>
    <w:bookmarkEnd w:id="153"/>
    <w:p w14:paraId="2ACD688D">
      <w:pPr>
        <w:pStyle w:val="47"/>
        <w:pageBreakBefore w:val="0"/>
        <w:widowControl/>
        <w:kinsoku/>
        <w:wordWrap/>
        <w:overflowPunct/>
        <w:topLinePunct w:val="0"/>
        <w:autoSpaceDE/>
        <w:autoSpaceDN/>
        <w:bidi w:val="0"/>
        <w:adjustRightInd/>
        <w:snapToGrid/>
        <w:spacing w:line="520" w:lineRule="exact"/>
        <w:jc w:val="center"/>
        <w:textAlignment w:val="auto"/>
        <w:rPr>
          <w:rStyle w:val="25"/>
          <w:rFonts w:hint="eastAsia" w:ascii="黑体" w:hAnsi="黑体" w:eastAsia="黑体" w:cs="黑体"/>
          <w:b w:val="0"/>
          <w:bCs/>
          <w:color w:val="auto"/>
          <w:kern w:val="0"/>
          <w:sz w:val="24"/>
          <w:szCs w:val="24"/>
          <w:highlight w:val="none"/>
          <w:shd w:val="clear" w:color="auto" w:fill="FFFFFF"/>
          <w:lang w:bidi="en-US"/>
        </w:rPr>
      </w:pPr>
      <w:r>
        <w:rPr>
          <w:rFonts w:hint="eastAsia" w:ascii="黑体" w:hAnsi="黑体" w:eastAsia="黑体" w:cs="黑体"/>
          <w:b w:val="0"/>
          <w:bCs w:val="0"/>
          <w:color w:val="auto"/>
          <w:sz w:val="32"/>
          <w:szCs w:val="32"/>
        </w:rPr>
        <w:t>在建项目安全生产目标管理责任书</w:t>
      </w:r>
    </w:p>
    <w:p w14:paraId="55AE9005">
      <w:pPr>
        <w:pStyle w:val="47"/>
        <w:pageBreakBefore w:val="0"/>
        <w:widowControl/>
        <w:kinsoku/>
        <w:wordWrap/>
        <w:overflowPunct/>
        <w:topLinePunct w:val="0"/>
        <w:autoSpaceDE/>
        <w:autoSpaceDN/>
        <w:bidi w:val="0"/>
        <w:adjustRightInd/>
        <w:snapToGrid/>
        <w:spacing w:afterLines="0" w:line="560" w:lineRule="exact"/>
        <w:ind w:firstLine="440" w:firstLineChars="200"/>
        <w:jc w:val="left"/>
        <w:textAlignment w:val="auto"/>
        <w:rPr>
          <w:rStyle w:val="25"/>
          <w:rFonts w:hint="eastAsia" w:ascii="宋体" w:hAnsi="宋体" w:eastAsia="宋体" w:cs="宋体"/>
          <w:b w:val="0"/>
          <w:bCs/>
          <w:color w:val="auto"/>
          <w:kern w:val="0"/>
          <w:sz w:val="22"/>
          <w:szCs w:val="22"/>
          <w:highlight w:val="none"/>
          <w:shd w:val="clear" w:color="auto" w:fill="FFFFFF"/>
          <w:lang w:bidi="en-US"/>
        </w:rPr>
      </w:pPr>
    </w:p>
    <w:p w14:paraId="65316E0D">
      <w:pPr>
        <w:pStyle w:val="47"/>
        <w:pageBreakBefore w:val="0"/>
        <w:widowControl/>
        <w:kinsoku/>
        <w:wordWrap/>
        <w:overflowPunct/>
        <w:topLinePunct w:val="0"/>
        <w:autoSpaceDE/>
        <w:autoSpaceDN/>
        <w:bidi w:val="0"/>
        <w:adjustRightInd/>
        <w:snapToGrid/>
        <w:spacing w:afterLines="0" w:line="560" w:lineRule="exact"/>
        <w:ind w:firstLine="440" w:firstLineChars="200"/>
        <w:jc w:val="left"/>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发包人：</w:t>
      </w:r>
      <w:r>
        <w:rPr>
          <w:rStyle w:val="25"/>
          <w:rFonts w:hint="eastAsia" w:ascii="宋体" w:hAnsi="宋体" w:eastAsia="宋体" w:cs="宋体"/>
          <w:b w:val="0"/>
          <w:bCs/>
          <w:color w:val="auto"/>
          <w:kern w:val="0"/>
          <w:sz w:val="22"/>
          <w:szCs w:val="22"/>
          <w:highlight w:val="none"/>
          <w:shd w:val="clear" w:color="auto" w:fill="FFFFFF"/>
          <w:lang w:val="en-US" w:eastAsia="zh-CN" w:bidi="en-US"/>
        </w:rPr>
        <w:t xml:space="preserve"> </w:t>
      </w:r>
      <w:r>
        <w:rPr>
          <w:rStyle w:val="25"/>
          <w:rFonts w:hint="eastAsia" w:ascii="宋体" w:hAnsi="宋体" w:eastAsia="宋体" w:cs="宋体"/>
          <w:color w:val="auto"/>
          <w:sz w:val="22"/>
          <w:szCs w:val="22"/>
          <w:highlight w:val="none"/>
          <w:u w:val="single"/>
          <w:lang w:val="en-US" w:eastAsia="zh-CN"/>
        </w:rPr>
        <w:t xml:space="preserve"> 怀化市鹤城区城市建设投资有限公司</w:t>
      </w:r>
      <w:r>
        <w:rPr>
          <w:rStyle w:val="25"/>
          <w:rFonts w:hint="eastAsia" w:ascii="仿宋_GB2312" w:hAnsi="宋体" w:eastAsia="仿宋_GB2312" w:cs="Times New Roman"/>
          <w:color w:val="auto"/>
          <w:sz w:val="22"/>
          <w:szCs w:val="22"/>
          <w:highlight w:val="none"/>
          <w:u w:val="single"/>
          <w:lang w:val="en-US" w:eastAsia="zh-CN"/>
        </w:rPr>
        <w:t xml:space="preserve">  </w:t>
      </w:r>
      <w:r>
        <w:rPr>
          <w:rStyle w:val="25"/>
          <w:rFonts w:hint="eastAsia" w:ascii="宋体" w:hAnsi="宋体" w:eastAsia="宋体" w:cs="宋体"/>
          <w:b w:val="0"/>
          <w:bCs/>
          <w:color w:val="auto"/>
          <w:kern w:val="0"/>
          <w:sz w:val="22"/>
          <w:szCs w:val="22"/>
          <w:highlight w:val="none"/>
          <w:u w:val="none" w:color="000000"/>
          <w:shd w:val="clear" w:color="auto" w:fill="FFFFFF"/>
          <w:lang w:val="en-US" w:eastAsia="zh-CN" w:bidi="en-US"/>
        </w:rPr>
        <w:t xml:space="preserve"> </w:t>
      </w:r>
      <w:r>
        <w:rPr>
          <w:rStyle w:val="25"/>
          <w:rFonts w:hint="eastAsia" w:ascii="宋体" w:hAnsi="宋体" w:eastAsia="宋体" w:cs="宋体"/>
          <w:b w:val="0"/>
          <w:bCs/>
          <w:color w:val="auto"/>
          <w:kern w:val="0"/>
          <w:sz w:val="22"/>
          <w:szCs w:val="22"/>
          <w:highlight w:val="none"/>
          <w:shd w:val="clear" w:color="auto" w:fill="FFFFFF"/>
          <w:lang w:bidi="en-US"/>
        </w:rPr>
        <w:t xml:space="preserve">                      </w:t>
      </w:r>
    </w:p>
    <w:p w14:paraId="5E62F6F3">
      <w:pPr>
        <w:pStyle w:val="48"/>
        <w:pageBreakBefore w:val="0"/>
        <w:kinsoku/>
        <w:wordWrap/>
        <w:overflowPunct/>
        <w:topLinePunct w:val="0"/>
        <w:autoSpaceDE/>
        <w:autoSpaceDN/>
        <w:bidi w:val="0"/>
        <w:adjustRightInd/>
        <w:snapToGrid/>
        <w:spacing w:before="0" w:after="0" w:afterLines="0" w:line="560" w:lineRule="exact"/>
        <w:ind w:left="0" w:leftChars="0" w:firstLine="440" w:firstLineChars="200"/>
        <w:textAlignment w:val="auto"/>
        <w:rPr>
          <w:rStyle w:val="25"/>
          <w:rFonts w:hint="default" w:ascii="宋体" w:hAnsi="宋体" w:eastAsia="宋体" w:cs="宋体"/>
          <w:b w:val="0"/>
          <w:bCs/>
          <w:color w:val="auto"/>
          <w:sz w:val="22"/>
          <w:szCs w:val="22"/>
          <w:highlight w:val="none"/>
          <w:u w:val="single"/>
          <w:lang w:val="en-US" w:eastAsia="zh-CN"/>
        </w:rPr>
      </w:pPr>
      <w:r>
        <w:rPr>
          <w:rStyle w:val="25"/>
          <w:rFonts w:hint="eastAsia" w:ascii="宋体" w:hAnsi="宋体" w:eastAsia="宋体" w:cs="宋体"/>
          <w:b w:val="0"/>
          <w:bCs/>
          <w:color w:val="auto"/>
          <w:kern w:val="0"/>
          <w:sz w:val="22"/>
          <w:szCs w:val="22"/>
          <w:highlight w:val="none"/>
          <w:shd w:val="clear" w:color="auto" w:fill="FFFFFF"/>
          <w:lang w:bidi="en-US"/>
        </w:rPr>
        <w:t>承包人：</w:t>
      </w:r>
      <w:r>
        <w:rPr>
          <w:rStyle w:val="25"/>
          <w:rFonts w:hint="eastAsia" w:ascii="仿宋_GB2312" w:hAnsi="Times New Roman" w:eastAsia="仿宋_GB2312" w:cs="Times New Roman"/>
          <w:color w:val="auto"/>
          <w:sz w:val="22"/>
          <w:szCs w:val="22"/>
          <w:highlight w:val="none"/>
          <w:u w:val="single"/>
          <w:lang w:val="en-US" w:eastAsia="zh-CN"/>
        </w:rPr>
        <w:t xml:space="preserve">                                     </w:t>
      </w:r>
    </w:p>
    <w:p w14:paraId="0180AB71">
      <w:pPr>
        <w:pStyle w:val="47"/>
        <w:pageBreakBefore w:val="0"/>
        <w:widowControl/>
        <w:kinsoku/>
        <w:wordWrap/>
        <w:overflowPunct/>
        <w:topLinePunct w:val="0"/>
        <w:autoSpaceDE/>
        <w:autoSpaceDN/>
        <w:bidi w:val="0"/>
        <w:adjustRightInd/>
        <w:snapToGrid/>
        <w:spacing w:afterLines="0" w:line="560" w:lineRule="exact"/>
        <w:ind w:firstLine="440" w:firstLineChars="200"/>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建筑施工生产是安全危险性较高的行业。根据“企业负责、行业管理、国家监察、群众监督、劳动者遵章守纪”的国家安全生产管理体制和《中华人民共和国建筑法》第36条及《消防安全责任制实施办法》，建筑工程安全管理必须坚持“安全第一、预防为主”的方针，以及</w:t>
      </w:r>
      <w:r>
        <w:rPr>
          <w:rStyle w:val="25"/>
          <w:rFonts w:hint="eastAsia" w:ascii="宋体" w:hAnsi="宋体" w:eastAsia="宋体" w:cs="宋体"/>
          <w:b w:val="0"/>
          <w:bCs/>
          <w:color w:val="auto"/>
          <w:kern w:val="0"/>
          <w:sz w:val="22"/>
          <w:szCs w:val="22"/>
          <w:highlight w:val="none"/>
          <w:lang w:bidi="en-US"/>
        </w:rPr>
        <w:t>按照“</w:t>
      </w:r>
      <w:r>
        <w:rPr>
          <w:rStyle w:val="25"/>
          <w:rFonts w:hint="eastAsia" w:ascii="宋体" w:hAnsi="宋体" w:eastAsia="宋体" w:cs="宋体"/>
          <w:b w:val="0"/>
          <w:bCs/>
          <w:color w:val="auto"/>
          <w:kern w:val="0"/>
          <w:sz w:val="22"/>
          <w:szCs w:val="22"/>
          <w:highlight w:val="none"/>
          <w:lang w:eastAsia="en-US" w:bidi="en-US"/>
        </w:rPr>
        <w:fldChar w:fldCharType="begin"/>
      </w:r>
      <w:r>
        <w:rPr>
          <w:rStyle w:val="25"/>
          <w:rFonts w:hint="eastAsia" w:ascii="宋体" w:hAnsi="宋体" w:eastAsia="宋体" w:cs="宋体"/>
          <w:b w:val="0"/>
          <w:bCs/>
          <w:color w:val="auto"/>
          <w:kern w:val="0"/>
          <w:sz w:val="22"/>
          <w:szCs w:val="22"/>
          <w:highlight w:val="none"/>
          <w:lang w:bidi="en-US"/>
        </w:rPr>
        <w:instrText xml:space="preserve"> HYPERLINK "https://www.baidu.com/s?wd=%E4%B8%89%E4%B8%AA%E5%BF%85%E9%A1%BB&amp;tn=SE_PcZhidaonwhc_ngpagmjz&amp;rsv_dl=gh_pc_zhidao" \t "_blank" </w:instrText>
      </w:r>
      <w:r>
        <w:rPr>
          <w:rStyle w:val="25"/>
          <w:rFonts w:hint="eastAsia" w:ascii="宋体" w:hAnsi="宋体" w:eastAsia="宋体" w:cs="宋体"/>
          <w:b w:val="0"/>
          <w:bCs/>
          <w:color w:val="auto"/>
          <w:kern w:val="0"/>
          <w:sz w:val="22"/>
          <w:szCs w:val="22"/>
          <w:highlight w:val="none"/>
          <w:lang w:eastAsia="en-US" w:bidi="en-US"/>
        </w:rPr>
        <w:fldChar w:fldCharType="separate"/>
      </w:r>
      <w:r>
        <w:rPr>
          <w:rStyle w:val="25"/>
          <w:rFonts w:hint="eastAsia" w:ascii="宋体" w:hAnsi="宋体" w:eastAsia="宋体" w:cs="宋体"/>
          <w:b w:val="0"/>
          <w:bCs/>
          <w:color w:val="auto"/>
          <w:kern w:val="0"/>
          <w:sz w:val="22"/>
          <w:szCs w:val="22"/>
          <w:highlight w:val="none"/>
          <w:lang w:bidi="en-US"/>
        </w:rPr>
        <w:t>三个必须</w:t>
      </w:r>
      <w:r>
        <w:rPr>
          <w:rStyle w:val="25"/>
          <w:rFonts w:hint="eastAsia" w:ascii="宋体" w:hAnsi="宋体" w:eastAsia="宋体" w:cs="宋体"/>
          <w:b w:val="0"/>
          <w:bCs/>
          <w:color w:val="auto"/>
          <w:kern w:val="0"/>
          <w:sz w:val="22"/>
          <w:szCs w:val="22"/>
          <w:highlight w:val="none"/>
          <w:lang w:eastAsia="en-US" w:bidi="en-US"/>
        </w:rPr>
        <w:fldChar w:fldCharType="end"/>
      </w:r>
      <w:r>
        <w:rPr>
          <w:rStyle w:val="25"/>
          <w:rFonts w:hint="eastAsia" w:ascii="宋体" w:hAnsi="宋体" w:eastAsia="宋体" w:cs="宋体"/>
          <w:b w:val="0"/>
          <w:bCs/>
          <w:color w:val="auto"/>
          <w:kern w:val="0"/>
          <w:sz w:val="22"/>
          <w:szCs w:val="22"/>
          <w:highlight w:val="none"/>
          <w:lang w:bidi="en-US"/>
        </w:rPr>
        <w:t>”（管业务必须管安全、管行业必须管安全、管生产经营必须管安全）</w:t>
      </w:r>
      <w:r>
        <w:rPr>
          <w:rStyle w:val="25"/>
          <w:rFonts w:hint="eastAsia" w:ascii="宋体" w:hAnsi="宋体" w:eastAsia="宋体" w:cs="宋体"/>
          <w:b w:val="0"/>
          <w:bCs/>
          <w:color w:val="auto"/>
          <w:kern w:val="0"/>
          <w:sz w:val="22"/>
          <w:szCs w:val="22"/>
          <w:highlight w:val="none"/>
          <w:shd w:val="clear" w:color="auto" w:fill="FFFFFF"/>
          <w:lang w:bidi="en-US"/>
        </w:rPr>
        <w:t>的规定，结合本工程建设实际需要，发包人将工程（项目）承包人。为确保工程顺利进行，保障公司财物完整和工人的人身安全，经和项目部协商一致，达成如下协议：</w:t>
      </w:r>
    </w:p>
    <w:p w14:paraId="616591A4">
      <w:pPr>
        <w:pStyle w:val="47"/>
        <w:pageBreakBefore w:val="0"/>
        <w:widowControl/>
        <w:kinsoku/>
        <w:wordWrap/>
        <w:overflowPunct/>
        <w:topLinePunct w:val="0"/>
        <w:autoSpaceDE/>
        <w:autoSpaceDN/>
        <w:bidi w:val="0"/>
        <w:adjustRightInd/>
        <w:snapToGrid/>
        <w:spacing w:afterLines="0" w:line="560" w:lineRule="exact"/>
        <w:ind w:firstLine="360"/>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 xml:space="preserve"> （1）签定责任书后，承包人应在发包人的管理和监督下立即组织人员展开工作，承包人项目经理应对所属人员负责，并对行业要求配备应有岗位人员。</w:t>
      </w:r>
    </w:p>
    <w:p w14:paraId="45882EDB">
      <w:pPr>
        <w:pStyle w:val="47"/>
        <w:pageBreakBefore w:val="0"/>
        <w:widowControl/>
        <w:kinsoku/>
        <w:wordWrap/>
        <w:overflowPunct/>
        <w:topLinePunct w:val="0"/>
        <w:autoSpaceDE/>
        <w:autoSpaceDN/>
        <w:bidi w:val="0"/>
        <w:adjustRightInd/>
        <w:snapToGrid/>
        <w:spacing w:afterLines="0" w:line="560" w:lineRule="exact"/>
        <w:ind w:firstLine="360"/>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 xml:space="preserve"> （2）承包人应在工程施工前职工进场后立即与职工签定安全生产、消防安全责任协议，同时发包人、承包人共同对职工进行安全三级教育，并规范填写三级教育卡，同时配合发包人做好外来人口的管理、登记工作。</w:t>
      </w:r>
    </w:p>
    <w:p w14:paraId="1E0192CE">
      <w:pPr>
        <w:pStyle w:val="47"/>
        <w:pageBreakBefore w:val="0"/>
        <w:widowControl/>
        <w:kinsoku/>
        <w:wordWrap/>
        <w:overflowPunct/>
        <w:topLinePunct w:val="0"/>
        <w:autoSpaceDE/>
        <w:autoSpaceDN/>
        <w:bidi w:val="0"/>
        <w:adjustRightInd/>
        <w:snapToGrid/>
        <w:spacing w:afterLines="0" w:line="560" w:lineRule="exact"/>
        <w:ind w:firstLine="360"/>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 xml:space="preserve"> （3）承包人在施工期间应配合公司进行安全管理工作，教育员工遵守岗位操作规程，自我防护能力，不违章作业，做到“三不伤害”。对存在安全隐患的地方或部位应及时整改，否则由公司进行停工整改及处罚。</w:t>
      </w:r>
    </w:p>
    <w:p w14:paraId="4FB50B5F">
      <w:pPr>
        <w:pStyle w:val="47"/>
        <w:pageBreakBefore w:val="0"/>
        <w:widowControl/>
        <w:kinsoku/>
        <w:wordWrap/>
        <w:overflowPunct/>
        <w:topLinePunct w:val="0"/>
        <w:autoSpaceDE/>
        <w:autoSpaceDN/>
        <w:bidi w:val="0"/>
        <w:adjustRightInd/>
        <w:snapToGrid/>
        <w:spacing w:afterLines="0" w:line="560" w:lineRule="exact"/>
        <w:ind w:firstLine="440" w:firstLineChars="200"/>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4）承包人项目负责人应熟悉安全生产法律、法规，同时在遵守企业和工地各项规章制度、安全生产纪律和不违章指挥的同时，组织各班组进行班前安全及技术安全交底工作。根据公司下达的生产任务、工程质量和进度、现场达标等工作按质按量完成。</w:t>
      </w:r>
    </w:p>
    <w:p w14:paraId="50BCF4DD">
      <w:pPr>
        <w:pStyle w:val="47"/>
        <w:pageBreakBefore w:val="0"/>
        <w:widowControl/>
        <w:kinsoku/>
        <w:wordWrap/>
        <w:overflowPunct/>
        <w:topLinePunct w:val="0"/>
        <w:autoSpaceDE/>
        <w:autoSpaceDN/>
        <w:bidi w:val="0"/>
        <w:adjustRightInd/>
        <w:snapToGrid/>
        <w:spacing w:afterLines="0" w:line="560" w:lineRule="exact"/>
        <w:ind w:firstLine="440" w:firstLineChars="200"/>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5）积极组织开展消防安全检查，推进消防教育培训、技术服务和物防、技防等工作。建立常态化火灾隐患排查整治机制，组织实施重大火灾隐患和区域性火灾隐患整治工作，消防设施设备购置、实行重大火灾隐患挂牌督办制度。定期开展防火检查、巡查，及时消除火灾隐患。建立消防安全组织，明确专人负责消防工作，制定消防安全制度，落实消防安全措施。</w:t>
      </w:r>
    </w:p>
    <w:p w14:paraId="0D52B212">
      <w:pPr>
        <w:pStyle w:val="47"/>
        <w:pageBreakBefore w:val="0"/>
        <w:widowControl/>
        <w:kinsoku/>
        <w:wordWrap/>
        <w:overflowPunct/>
        <w:topLinePunct w:val="0"/>
        <w:autoSpaceDE/>
        <w:autoSpaceDN/>
        <w:bidi w:val="0"/>
        <w:adjustRightInd/>
        <w:snapToGrid/>
        <w:spacing w:afterLines="0" w:line="560" w:lineRule="exact"/>
        <w:ind w:firstLine="360"/>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 xml:space="preserve"> （6）及时总结、交流现场管理经验，不断提高完善自我，加强学习自己的业务水平和综合协调能力，大胆管理，努力塑造公司形象。</w:t>
      </w:r>
    </w:p>
    <w:p w14:paraId="29DBD8B2">
      <w:pPr>
        <w:pStyle w:val="47"/>
        <w:pageBreakBefore w:val="0"/>
        <w:widowControl/>
        <w:kinsoku/>
        <w:wordWrap/>
        <w:overflowPunct/>
        <w:topLinePunct w:val="0"/>
        <w:autoSpaceDE/>
        <w:autoSpaceDN/>
        <w:bidi w:val="0"/>
        <w:adjustRightInd/>
        <w:snapToGrid/>
        <w:spacing w:afterLines="0" w:line="560" w:lineRule="exact"/>
        <w:ind w:firstLine="360"/>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 xml:space="preserve"> （7）承包人在施工中，要做到无伤亡事故发生，争创文明工地。承包人管理人员或职工发生工伤事故的，由承包人承担全部责任，并负责赔偿因此造成公司的财物损失。发包人不负责任何责任。凡工伤事故处理费用超过伍千元，一律上报公司安全部。</w:t>
      </w:r>
    </w:p>
    <w:p w14:paraId="113753BC">
      <w:pPr>
        <w:pStyle w:val="47"/>
        <w:pageBreakBefore w:val="0"/>
        <w:widowControl/>
        <w:kinsoku/>
        <w:wordWrap/>
        <w:overflowPunct/>
        <w:topLinePunct w:val="0"/>
        <w:autoSpaceDE/>
        <w:autoSpaceDN/>
        <w:bidi w:val="0"/>
        <w:adjustRightInd/>
        <w:snapToGrid/>
        <w:spacing w:afterLines="0" w:line="560" w:lineRule="exact"/>
        <w:ind w:firstLine="360"/>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 xml:space="preserve"> （8）公司对项目部提出的现实安全隐患要及时给予解决，对项目部提出的安全防护物品的购置和资金要求应及时解决，一时不能解决的应说明情况和原因，以及能解决的具体时间和数量、金额。</w:t>
      </w:r>
    </w:p>
    <w:p w14:paraId="5A0A0CEA">
      <w:pPr>
        <w:pStyle w:val="47"/>
        <w:pageBreakBefore w:val="0"/>
        <w:widowControl/>
        <w:kinsoku/>
        <w:wordWrap/>
        <w:overflowPunct/>
        <w:topLinePunct w:val="0"/>
        <w:autoSpaceDE/>
        <w:autoSpaceDN/>
        <w:bidi w:val="0"/>
        <w:adjustRightInd/>
        <w:snapToGrid/>
        <w:spacing w:afterLines="0" w:line="560" w:lineRule="exact"/>
        <w:ind w:firstLine="440" w:firstLineChars="200"/>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（9）本安全责任书根据项目实际发生内容和发包人安全生产制度和消防安全责任进行调整，承包人须无条件接受对本项目安全责任的调整。</w:t>
      </w:r>
    </w:p>
    <w:p w14:paraId="5973140F">
      <w:pPr>
        <w:pStyle w:val="47"/>
        <w:pageBreakBefore w:val="0"/>
        <w:widowControl/>
        <w:kinsoku/>
        <w:wordWrap/>
        <w:overflowPunct/>
        <w:topLinePunct w:val="0"/>
        <w:autoSpaceDE/>
        <w:autoSpaceDN/>
        <w:bidi w:val="0"/>
        <w:adjustRightInd/>
        <w:snapToGrid/>
        <w:spacing w:afterLines="0" w:line="560" w:lineRule="exact"/>
        <w:ind w:firstLine="440" w:firstLineChars="200"/>
        <w:jc w:val="left"/>
        <w:textAlignment w:val="auto"/>
        <w:rPr>
          <w:rStyle w:val="25"/>
          <w:rFonts w:hint="eastAsia" w:ascii="宋体" w:hAnsi="宋体" w:eastAsia="宋体" w:cs="宋体"/>
          <w:b w:val="0"/>
          <w:bCs/>
          <w:color w:val="auto"/>
          <w:kern w:val="0"/>
          <w:sz w:val="22"/>
          <w:szCs w:val="22"/>
          <w:highlight w:val="none"/>
          <w:shd w:val="clear" w:color="auto" w:fill="FFFFFF"/>
          <w:lang w:bidi="en-US"/>
        </w:rPr>
      </w:pPr>
      <w:r>
        <w:rPr>
          <w:rStyle w:val="25"/>
          <w:rFonts w:hint="eastAsia" w:ascii="宋体" w:hAnsi="宋体" w:eastAsia="宋体" w:cs="宋体"/>
          <w:b w:val="0"/>
          <w:bCs/>
          <w:color w:val="auto"/>
          <w:kern w:val="0"/>
          <w:sz w:val="22"/>
          <w:szCs w:val="22"/>
          <w:highlight w:val="none"/>
          <w:shd w:val="clear" w:color="auto" w:fill="FFFFFF"/>
          <w:lang w:bidi="en-US"/>
        </w:rPr>
        <w:t>本协议一式肆份，双方各执贰份，签字后即生效。</w:t>
      </w:r>
    </w:p>
    <w:p w14:paraId="79D7E50B">
      <w:pPr>
        <w:pStyle w:val="47"/>
        <w:pageBreakBefore w:val="0"/>
        <w:widowControl/>
        <w:kinsoku/>
        <w:wordWrap/>
        <w:overflowPunct/>
        <w:topLinePunct w:val="0"/>
        <w:autoSpaceDE/>
        <w:autoSpaceDN/>
        <w:bidi w:val="0"/>
        <w:adjustRightInd/>
        <w:snapToGrid/>
        <w:spacing w:line="520" w:lineRule="exact"/>
        <w:ind w:firstLine="660" w:firstLineChars="300"/>
        <w:jc w:val="left"/>
        <w:textAlignment w:val="auto"/>
        <w:rPr>
          <w:rStyle w:val="25"/>
          <w:rFonts w:hint="eastAsia" w:ascii="宋体" w:hAnsi="宋体" w:eastAsia="宋体" w:cs="宋体"/>
          <w:b w:val="0"/>
          <w:bCs/>
          <w:color w:val="auto"/>
          <w:kern w:val="0"/>
          <w:sz w:val="22"/>
          <w:szCs w:val="22"/>
          <w:highlight w:val="none"/>
          <w:shd w:val="clear" w:color="auto" w:fill="FFFFFF"/>
          <w:lang w:bidi="en-US"/>
        </w:rPr>
      </w:pPr>
    </w:p>
    <w:p w14:paraId="43E7899D">
      <w:pPr>
        <w:pStyle w:val="47"/>
        <w:pageBreakBefore w:val="0"/>
        <w:widowControl/>
        <w:kinsoku/>
        <w:wordWrap/>
        <w:overflowPunct/>
        <w:topLinePunct w:val="0"/>
        <w:autoSpaceDE/>
        <w:autoSpaceDN/>
        <w:bidi w:val="0"/>
        <w:adjustRightInd/>
        <w:snapToGrid/>
        <w:spacing w:line="520" w:lineRule="exact"/>
        <w:ind w:firstLine="6600" w:firstLineChars="3000"/>
        <w:jc w:val="left"/>
        <w:textAlignment w:val="auto"/>
        <w:rPr>
          <w:rStyle w:val="25"/>
          <w:rFonts w:hint="eastAsia" w:ascii="Times New Roman" w:hAnsi="Times New Roman" w:eastAsia="宋体" w:cs="Times New Roman"/>
          <w:b w:val="0"/>
          <w:bCs/>
          <w:color w:val="auto"/>
          <w:sz w:val="22"/>
          <w:szCs w:val="22"/>
          <w:highlight w:val="none"/>
        </w:rPr>
      </w:pPr>
    </w:p>
    <w:p w14:paraId="5EC35985">
      <w:pPr>
        <w:pStyle w:val="47"/>
        <w:pageBreakBefore w:val="0"/>
        <w:widowControl/>
        <w:kinsoku/>
        <w:wordWrap/>
        <w:overflowPunct/>
        <w:topLinePunct w:val="0"/>
        <w:autoSpaceDE/>
        <w:autoSpaceDN/>
        <w:bidi w:val="0"/>
        <w:adjustRightInd/>
        <w:snapToGrid/>
        <w:spacing w:line="520" w:lineRule="exact"/>
        <w:ind w:firstLine="4620" w:firstLineChars="2100"/>
        <w:jc w:val="left"/>
        <w:textAlignment w:val="auto"/>
        <w:rPr>
          <w:rStyle w:val="25"/>
          <w:rFonts w:hint="eastAsia" w:ascii="宋体" w:hAnsi="宋体" w:eastAsia="宋体" w:cs="宋体"/>
          <w:b w:val="0"/>
          <w:bCs/>
          <w:color w:val="auto"/>
          <w:kern w:val="0"/>
          <w:sz w:val="22"/>
          <w:szCs w:val="22"/>
          <w:highlight w:val="none"/>
          <w:lang w:bidi="en-US"/>
        </w:rPr>
      </w:pPr>
      <w:r>
        <w:rPr>
          <w:rStyle w:val="25"/>
          <w:rFonts w:hint="eastAsia" w:ascii="宋体" w:hAnsi="宋体" w:eastAsia="宋体" w:cs="宋体"/>
          <w:b w:val="0"/>
          <w:bCs/>
          <w:color w:val="auto"/>
          <w:kern w:val="0"/>
          <w:sz w:val="22"/>
          <w:szCs w:val="22"/>
          <w:highlight w:val="none"/>
          <w:shd w:val="clear" w:color="auto" w:fill="FFFFFF"/>
          <w:lang w:bidi="en-US"/>
        </w:rPr>
        <w:t xml:space="preserve">承包人签字：      </w:t>
      </w:r>
    </w:p>
    <w:p w14:paraId="314232AD">
      <w:pPr>
        <w:pStyle w:val="47"/>
        <w:pageBreakBefore w:val="0"/>
        <w:widowControl/>
        <w:kinsoku/>
        <w:wordWrap/>
        <w:overflowPunct/>
        <w:topLinePunct w:val="0"/>
        <w:autoSpaceDE/>
        <w:autoSpaceDN/>
        <w:bidi w:val="0"/>
        <w:adjustRightInd/>
        <w:snapToGrid/>
        <w:spacing w:line="520" w:lineRule="exact"/>
        <w:ind w:firstLine="1430" w:firstLineChars="650"/>
        <w:jc w:val="left"/>
        <w:textAlignment w:val="auto"/>
        <w:rPr>
          <w:rStyle w:val="25"/>
          <w:rFonts w:hint="eastAsia" w:ascii="宋体" w:hAnsi="宋体" w:eastAsia="宋体" w:cs="宋体"/>
          <w:b w:val="0"/>
          <w:bCs/>
          <w:color w:val="auto"/>
          <w:kern w:val="0"/>
          <w:sz w:val="22"/>
          <w:szCs w:val="22"/>
          <w:highlight w:val="none"/>
          <w:lang w:bidi="en-US"/>
        </w:rPr>
      </w:pPr>
      <w:r>
        <w:rPr>
          <w:rStyle w:val="25"/>
          <w:rFonts w:hint="eastAsia" w:ascii="宋体" w:hAnsi="宋体" w:eastAsia="宋体" w:cs="宋体"/>
          <w:b w:val="0"/>
          <w:bCs/>
          <w:color w:val="auto"/>
          <w:kern w:val="0"/>
          <w:sz w:val="22"/>
          <w:szCs w:val="22"/>
          <w:highlight w:val="none"/>
          <w:lang w:bidi="en-US"/>
        </w:rPr>
        <w:t xml:space="preserve">                      </w:t>
      </w:r>
      <w:r>
        <w:rPr>
          <w:rStyle w:val="25"/>
          <w:rFonts w:hint="eastAsia" w:ascii="Times New Roman" w:hAnsi="Times New Roman" w:eastAsia="宋体" w:cs="宋体"/>
          <w:b w:val="0"/>
          <w:bCs/>
          <w:color w:val="auto"/>
          <w:kern w:val="0"/>
          <w:sz w:val="22"/>
          <w:szCs w:val="22"/>
          <w:highlight w:val="none"/>
          <w:lang w:val="en-US" w:eastAsia="zh-CN" w:bidi="en-US"/>
        </w:rPr>
        <w:t xml:space="preserve">  </w:t>
      </w:r>
      <w:r>
        <w:rPr>
          <w:rStyle w:val="25"/>
          <w:rFonts w:hint="eastAsia" w:ascii="Calibri" w:hAnsi="Calibri" w:cs="宋体"/>
          <w:b w:val="0"/>
          <w:bCs/>
          <w:color w:val="auto"/>
          <w:kern w:val="0"/>
          <w:sz w:val="22"/>
          <w:szCs w:val="22"/>
          <w:highlight w:val="none"/>
          <w:lang w:val="en-US" w:eastAsia="zh-CN" w:bidi="en-US"/>
        </w:rPr>
        <w:t xml:space="preserve">   </w:t>
      </w:r>
      <w:r>
        <w:rPr>
          <w:rStyle w:val="25"/>
          <w:rFonts w:hint="eastAsia" w:ascii="Times New Roman" w:hAnsi="Times New Roman" w:eastAsia="宋体" w:cs="宋体"/>
          <w:b w:val="0"/>
          <w:bCs/>
          <w:color w:val="auto"/>
          <w:kern w:val="0"/>
          <w:sz w:val="22"/>
          <w:szCs w:val="22"/>
          <w:highlight w:val="none"/>
          <w:lang w:val="en-US" w:eastAsia="zh-CN" w:bidi="en-US"/>
        </w:rPr>
        <w:t xml:space="preserve">  </w:t>
      </w:r>
      <w:r>
        <w:rPr>
          <w:rStyle w:val="25"/>
          <w:rFonts w:hint="eastAsia" w:ascii="宋体" w:hAnsi="宋体" w:eastAsia="宋体" w:cs="宋体"/>
          <w:b w:val="0"/>
          <w:bCs/>
          <w:color w:val="auto"/>
          <w:kern w:val="0"/>
          <w:sz w:val="22"/>
          <w:szCs w:val="22"/>
          <w:highlight w:val="none"/>
          <w:lang w:bidi="en-US"/>
        </w:rPr>
        <w:t xml:space="preserve">年 </w:t>
      </w:r>
      <w:r>
        <w:rPr>
          <w:rStyle w:val="25"/>
          <w:rFonts w:hint="eastAsia" w:ascii="宋体" w:hAnsi="宋体" w:cs="宋体"/>
          <w:b w:val="0"/>
          <w:bCs/>
          <w:color w:val="auto"/>
          <w:kern w:val="0"/>
          <w:sz w:val="22"/>
          <w:szCs w:val="22"/>
          <w:highlight w:val="none"/>
          <w:lang w:val="en-US" w:eastAsia="zh-CN" w:bidi="en-US"/>
        </w:rPr>
        <w:t xml:space="preserve"> </w:t>
      </w:r>
      <w:r>
        <w:rPr>
          <w:rStyle w:val="25"/>
          <w:rFonts w:hint="eastAsia" w:ascii="宋体" w:hAnsi="宋体" w:eastAsia="宋体" w:cs="宋体"/>
          <w:b w:val="0"/>
          <w:bCs/>
          <w:color w:val="auto"/>
          <w:kern w:val="0"/>
          <w:sz w:val="22"/>
          <w:szCs w:val="22"/>
          <w:highlight w:val="none"/>
          <w:lang w:bidi="en-US"/>
        </w:rPr>
        <w:t xml:space="preserve">  月 </w:t>
      </w:r>
      <w:r>
        <w:rPr>
          <w:rStyle w:val="25"/>
          <w:rFonts w:hint="eastAsia" w:ascii="宋体" w:hAnsi="宋体" w:cs="宋体"/>
          <w:b w:val="0"/>
          <w:bCs/>
          <w:color w:val="auto"/>
          <w:kern w:val="0"/>
          <w:sz w:val="22"/>
          <w:szCs w:val="22"/>
          <w:highlight w:val="none"/>
          <w:lang w:val="en-US" w:eastAsia="zh-CN" w:bidi="en-US"/>
        </w:rPr>
        <w:t xml:space="preserve">  </w:t>
      </w:r>
      <w:r>
        <w:rPr>
          <w:rStyle w:val="25"/>
          <w:rFonts w:hint="eastAsia" w:ascii="宋体" w:hAnsi="宋体" w:eastAsia="宋体" w:cs="宋体"/>
          <w:b w:val="0"/>
          <w:bCs/>
          <w:color w:val="auto"/>
          <w:kern w:val="0"/>
          <w:sz w:val="22"/>
          <w:szCs w:val="22"/>
          <w:highlight w:val="none"/>
          <w:lang w:bidi="en-US"/>
        </w:rPr>
        <w:t xml:space="preserve"> 日</w:t>
      </w:r>
    </w:p>
    <w:p w14:paraId="0F0BD4B9">
      <w:pPr>
        <w:pStyle w:val="51"/>
        <w:ind w:left="0" w:leftChars="0" w:firstLine="0" w:firstLineChars="0"/>
        <w:rPr>
          <w:rStyle w:val="25"/>
          <w:rFonts w:hint="default" w:cs="Times New Roman"/>
          <w:b w:val="0"/>
          <w:bCs/>
          <w:color w:val="auto"/>
          <w:sz w:val="40"/>
          <w:szCs w:val="40"/>
          <w:highlight w:val="none"/>
          <w:lang w:val="en-US"/>
        </w:rPr>
      </w:pPr>
      <w:r>
        <w:rPr>
          <w:rStyle w:val="25"/>
          <w:rFonts w:hint="eastAsia" w:ascii="黑体" w:hAnsi="黑体" w:eastAsia="黑体" w:cs="黑体"/>
          <w:b w:val="0"/>
          <w:bCs/>
          <w:color w:val="auto"/>
          <w:kern w:val="0"/>
          <w:sz w:val="21"/>
          <w:szCs w:val="21"/>
          <w:highlight w:val="none"/>
          <w:lang w:bidi="en-US"/>
        </w:rPr>
        <w:br w:type="page"/>
      </w:r>
      <w:r>
        <w:rPr>
          <w:rFonts w:hint="eastAsia" w:cs="宋体"/>
          <w:i w:val="0"/>
          <w:iCs/>
          <w:color w:val="auto"/>
          <w:sz w:val="22"/>
          <w:szCs w:val="22"/>
          <w:lang w:val="en-US" w:eastAsia="zh-CN"/>
        </w:rPr>
        <w:t>附件2</w:t>
      </w:r>
    </w:p>
    <w:p w14:paraId="250E4B04">
      <w:pPr>
        <w:pStyle w:val="47"/>
        <w:pageBreakBefore w:val="0"/>
        <w:widowControl/>
        <w:kinsoku/>
        <w:wordWrap/>
        <w:overflowPunct/>
        <w:topLinePunct w:val="0"/>
        <w:autoSpaceDE/>
        <w:autoSpaceDN/>
        <w:bidi w:val="0"/>
        <w:adjustRightInd/>
        <w:snapToGrid/>
        <w:spacing w:line="240" w:lineRule="auto"/>
        <w:ind w:firstLine="360"/>
        <w:jc w:val="center"/>
        <w:textAlignment w:val="auto"/>
        <w:rPr>
          <w:rStyle w:val="25"/>
          <w:rFonts w:hint="eastAsia" w:ascii="宋体" w:hAnsi="宋体" w:eastAsia="宋体" w:cs="宋体"/>
          <w:b/>
          <w:bCs w:val="0"/>
          <w:color w:val="auto"/>
          <w:kern w:val="0"/>
          <w:sz w:val="40"/>
          <w:szCs w:val="40"/>
          <w:highlight w:val="none"/>
          <w:lang w:bidi="en-US"/>
        </w:rPr>
      </w:pPr>
      <w:r>
        <w:rPr>
          <w:rStyle w:val="25"/>
          <w:rFonts w:hint="eastAsia" w:ascii="宋体" w:hAnsi="宋体" w:eastAsia="宋体" w:cs="宋体"/>
          <w:b/>
          <w:bCs w:val="0"/>
          <w:color w:val="auto"/>
          <w:kern w:val="0"/>
          <w:sz w:val="40"/>
          <w:szCs w:val="40"/>
          <w:highlight w:val="none"/>
          <w:lang w:bidi="en-US"/>
        </w:rPr>
        <w:t>在建项目扬尘污染防治管理</w:t>
      </w:r>
      <w:r>
        <w:rPr>
          <w:rStyle w:val="25"/>
          <w:rFonts w:hint="eastAsia" w:ascii="宋体" w:hAnsi="宋体" w:cs="宋体"/>
          <w:b/>
          <w:bCs w:val="0"/>
          <w:color w:val="auto"/>
          <w:kern w:val="0"/>
          <w:sz w:val="40"/>
          <w:szCs w:val="40"/>
          <w:highlight w:val="none"/>
          <w:lang w:eastAsia="zh-CN" w:bidi="en-US"/>
        </w:rPr>
        <w:t>责任</w:t>
      </w:r>
      <w:r>
        <w:rPr>
          <w:rStyle w:val="25"/>
          <w:rFonts w:hint="eastAsia" w:ascii="宋体" w:hAnsi="宋体" w:eastAsia="宋体" w:cs="宋体"/>
          <w:b/>
          <w:bCs w:val="0"/>
          <w:color w:val="auto"/>
          <w:kern w:val="0"/>
          <w:sz w:val="40"/>
          <w:szCs w:val="40"/>
          <w:highlight w:val="none"/>
          <w:lang w:bidi="en-US"/>
        </w:rPr>
        <w:t>书</w:t>
      </w:r>
    </w:p>
    <w:p w14:paraId="7DCF7430">
      <w:pPr>
        <w:pStyle w:val="47"/>
        <w:pageBreakBefore w:val="0"/>
        <w:widowControl/>
        <w:kinsoku/>
        <w:wordWrap/>
        <w:overflowPunct/>
        <w:topLinePunct w:val="0"/>
        <w:autoSpaceDE/>
        <w:autoSpaceDN/>
        <w:bidi w:val="0"/>
        <w:adjustRightInd/>
        <w:snapToGrid/>
        <w:spacing w:line="240" w:lineRule="auto"/>
        <w:ind w:firstLine="360"/>
        <w:jc w:val="center"/>
        <w:textAlignment w:val="auto"/>
        <w:rPr>
          <w:rStyle w:val="25"/>
          <w:rFonts w:hint="eastAsia" w:ascii="宋体" w:hAnsi="宋体" w:eastAsia="宋体" w:cs="宋体"/>
          <w:b/>
          <w:bCs w:val="0"/>
          <w:color w:val="auto"/>
          <w:kern w:val="0"/>
          <w:sz w:val="40"/>
          <w:szCs w:val="40"/>
          <w:highlight w:val="none"/>
          <w:lang w:bidi="en-US"/>
        </w:rPr>
      </w:pPr>
    </w:p>
    <w:p w14:paraId="60E45263">
      <w:pPr>
        <w:pStyle w:val="47"/>
        <w:pageBreakBefore w:val="0"/>
        <w:widowControl/>
        <w:kinsoku/>
        <w:wordWrap/>
        <w:overflowPunct/>
        <w:topLinePunct w:val="0"/>
        <w:autoSpaceDE/>
        <w:autoSpaceDN/>
        <w:bidi w:val="0"/>
        <w:adjustRightInd/>
        <w:snapToGrid/>
        <w:spacing w:line="240" w:lineRule="auto"/>
        <w:ind w:firstLine="0"/>
        <w:jc w:val="both"/>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发包方：</w:t>
      </w:r>
      <w:r>
        <w:rPr>
          <w:rStyle w:val="25"/>
          <w:rFonts w:hint="eastAsia" w:ascii="宋体" w:hAnsi="宋体" w:cs="宋体"/>
          <w:b w:val="0"/>
          <w:bCs/>
          <w:i w:val="0"/>
          <w:iCs w:val="0"/>
          <w:color w:val="auto"/>
          <w:kern w:val="0"/>
          <w:sz w:val="22"/>
          <w:szCs w:val="22"/>
          <w:highlight w:val="none"/>
          <w:u w:val="single"/>
          <w:lang w:val="en-US" w:eastAsia="zh-CN" w:bidi="en-US"/>
        </w:rPr>
        <w:t xml:space="preserve"> 怀化市鹤城区城市建设投资有限公司</w:t>
      </w:r>
      <w:r>
        <w:rPr>
          <w:rStyle w:val="25"/>
          <w:rFonts w:hint="eastAsia" w:ascii="宋体" w:hAnsi="宋体" w:eastAsia="宋体" w:cs="宋体"/>
          <w:b w:val="0"/>
          <w:bCs/>
          <w:i w:val="0"/>
          <w:iCs w:val="0"/>
          <w:color w:val="auto"/>
          <w:kern w:val="0"/>
          <w:sz w:val="22"/>
          <w:szCs w:val="22"/>
          <w:highlight w:val="none"/>
          <w:lang w:eastAsia="zh-CN" w:bidi="en-US"/>
        </w:rPr>
        <w:t>（</w:t>
      </w:r>
      <w:r>
        <w:rPr>
          <w:rStyle w:val="25"/>
          <w:rFonts w:hint="eastAsia" w:ascii="宋体" w:hAnsi="宋体" w:eastAsia="宋体" w:cs="宋体"/>
          <w:b w:val="0"/>
          <w:bCs/>
          <w:i w:val="0"/>
          <w:iCs w:val="0"/>
          <w:color w:val="auto"/>
          <w:kern w:val="0"/>
          <w:sz w:val="22"/>
          <w:szCs w:val="22"/>
          <w:highlight w:val="none"/>
          <w:lang w:bidi="en-US"/>
        </w:rPr>
        <w:t>以下简称甲方）</w:t>
      </w:r>
    </w:p>
    <w:p w14:paraId="70BE6520">
      <w:pPr>
        <w:pStyle w:val="48"/>
        <w:pageBreakBefore w:val="0"/>
        <w:kinsoku/>
        <w:wordWrap/>
        <w:overflowPunct/>
        <w:topLinePunct w:val="0"/>
        <w:autoSpaceDE/>
        <w:autoSpaceDN/>
        <w:bidi w:val="0"/>
        <w:adjustRightInd/>
        <w:snapToGrid/>
        <w:spacing w:after="0" w:afterLines="0" w:line="520" w:lineRule="exact"/>
        <w:ind w:left="0" w:leftChars="0" w:firstLine="0" w:firstLineChars="0"/>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承包方：</w:t>
      </w:r>
      <w:r>
        <w:rPr>
          <w:rStyle w:val="25"/>
          <w:rFonts w:hint="eastAsia" w:ascii="宋体" w:hAnsi="宋体" w:eastAsia="宋体" w:cs="宋体"/>
          <w:color w:val="auto"/>
          <w:sz w:val="22"/>
          <w:szCs w:val="22"/>
          <w:highlight w:val="none"/>
          <w:u w:val="single"/>
          <w:lang w:val="en-US" w:eastAsia="zh-CN"/>
        </w:rPr>
        <w:t xml:space="preserve">                         </w:t>
      </w:r>
      <w:r>
        <w:rPr>
          <w:rStyle w:val="25"/>
          <w:rFonts w:hint="eastAsia" w:ascii="宋体" w:hAnsi="宋体" w:eastAsia="宋体" w:cs="宋体"/>
          <w:b w:val="0"/>
          <w:bCs/>
          <w:i w:val="0"/>
          <w:iCs w:val="0"/>
          <w:color w:val="auto"/>
          <w:kern w:val="0"/>
          <w:sz w:val="22"/>
          <w:szCs w:val="22"/>
          <w:highlight w:val="none"/>
          <w:lang w:val="en-US" w:eastAsia="zh-CN" w:bidi="en-US"/>
        </w:rPr>
        <w:t xml:space="preserve"> </w:t>
      </w:r>
      <w:r>
        <w:rPr>
          <w:rStyle w:val="25"/>
          <w:rFonts w:hint="eastAsia" w:ascii="宋体" w:hAnsi="宋体" w:eastAsia="宋体" w:cs="宋体"/>
          <w:b w:val="0"/>
          <w:bCs/>
          <w:i w:val="0"/>
          <w:iCs w:val="0"/>
          <w:color w:val="auto"/>
          <w:kern w:val="0"/>
          <w:sz w:val="22"/>
          <w:szCs w:val="22"/>
          <w:highlight w:val="none"/>
          <w:lang w:eastAsia="zh-CN" w:bidi="en-US"/>
        </w:rPr>
        <w:t>（</w:t>
      </w:r>
      <w:r>
        <w:rPr>
          <w:rStyle w:val="25"/>
          <w:rFonts w:hint="eastAsia" w:ascii="宋体" w:hAnsi="宋体" w:eastAsia="宋体" w:cs="宋体"/>
          <w:b w:val="0"/>
          <w:bCs/>
          <w:i w:val="0"/>
          <w:iCs w:val="0"/>
          <w:color w:val="auto"/>
          <w:kern w:val="0"/>
          <w:sz w:val="22"/>
          <w:szCs w:val="22"/>
          <w:highlight w:val="none"/>
          <w:lang w:bidi="en-US"/>
        </w:rPr>
        <w:t xml:space="preserve">以下简称乙方）                         </w:t>
      </w:r>
    </w:p>
    <w:p w14:paraId="684C0FD4">
      <w:pPr>
        <w:pStyle w:val="47"/>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为了贯彻落实怀化市突出环境问题整改工作领导小组办公室《关于印发&lt;怀化城区扬尘污染综合整治实施方案</w:t>
      </w:r>
      <w:r>
        <w:rPr>
          <w:rStyle w:val="25"/>
          <w:rFonts w:hint="eastAsia" w:ascii="宋体" w:hAnsi="宋体" w:eastAsia="宋体" w:cs="宋体"/>
          <w:b w:val="0"/>
          <w:bCs/>
          <w:i w:val="0"/>
          <w:iCs w:val="0"/>
          <w:color w:val="auto"/>
          <w:kern w:val="0"/>
          <w:sz w:val="22"/>
          <w:szCs w:val="22"/>
          <w:highlight w:val="none"/>
          <w:lang w:eastAsia="zh-CN" w:bidi="en-US"/>
        </w:rPr>
        <w:t>＞</w:t>
      </w:r>
      <w:r>
        <w:rPr>
          <w:rStyle w:val="25"/>
          <w:rFonts w:hint="eastAsia" w:ascii="宋体" w:hAnsi="宋体" w:eastAsia="宋体" w:cs="宋体"/>
          <w:b w:val="0"/>
          <w:bCs/>
          <w:i w:val="0"/>
          <w:iCs w:val="0"/>
          <w:color w:val="auto"/>
          <w:kern w:val="0"/>
          <w:sz w:val="22"/>
          <w:szCs w:val="22"/>
          <w:highlight w:val="none"/>
          <w:lang w:bidi="en-US"/>
        </w:rPr>
        <w:t>的通知》（怀环整改办发（2017）3号）、《关于交办&lt;城区扬尘污染整治任务清单</w:t>
      </w:r>
      <w:r>
        <w:rPr>
          <w:rStyle w:val="25"/>
          <w:rFonts w:hint="eastAsia" w:ascii="宋体" w:hAnsi="宋体" w:eastAsia="宋体" w:cs="宋体"/>
          <w:b w:val="0"/>
          <w:bCs/>
          <w:i w:val="0"/>
          <w:iCs w:val="0"/>
          <w:color w:val="auto"/>
          <w:kern w:val="0"/>
          <w:sz w:val="22"/>
          <w:szCs w:val="22"/>
          <w:highlight w:val="none"/>
          <w:lang w:eastAsia="zh-CN" w:bidi="en-US"/>
        </w:rPr>
        <w:t>＞</w:t>
      </w:r>
      <w:r>
        <w:rPr>
          <w:rStyle w:val="25"/>
          <w:rFonts w:hint="eastAsia" w:ascii="宋体" w:hAnsi="宋体" w:eastAsia="宋体" w:cs="宋体"/>
          <w:b w:val="0"/>
          <w:bCs/>
          <w:i w:val="0"/>
          <w:iCs w:val="0"/>
          <w:color w:val="auto"/>
          <w:kern w:val="0"/>
          <w:sz w:val="22"/>
          <w:szCs w:val="22"/>
          <w:highlight w:val="none"/>
          <w:lang w:bidi="en-US"/>
        </w:rPr>
        <w:t>的通知》（怀环整改办发（2017）1号）及《鹤城区扬尘污染综合防治工作手册》文件精神，加强各在建项目扬尘污染防治薄弱环节管理力量，改善个项目区域周边空气质量，确保圆满通过各年度扬尘考核，特制定该责任书。</w:t>
      </w:r>
    </w:p>
    <w:p w14:paraId="6FE621C3">
      <w:pPr>
        <w:pStyle w:val="47"/>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一、责任期限</w:t>
      </w:r>
    </w:p>
    <w:p w14:paraId="398389F6">
      <w:pPr>
        <w:pStyle w:val="47"/>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 xml:space="preserve">本责任书自甲乙双方签字之日起至竣工验收合格之日止。 </w:t>
      </w:r>
    </w:p>
    <w:p w14:paraId="316AECC4">
      <w:pPr>
        <w:pStyle w:val="47"/>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 xml:space="preserve">二、责任内容 </w:t>
      </w:r>
    </w:p>
    <w:p w14:paraId="5093517F">
      <w:pPr>
        <w:pStyle w:val="47"/>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i w:val="0"/>
          <w:iCs w:val="0"/>
          <w:color w:val="auto"/>
          <w:kern w:val="0"/>
          <w:sz w:val="22"/>
          <w:szCs w:val="22"/>
          <w:highlight w:val="none"/>
          <w:lang w:eastAsia="zh-CN" w:bidi="en-US"/>
        </w:rPr>
      </w:pPr>
      <w:r>
        <w:rPr>
          <w:rStyle w:val="25"/>
          <w:rFonts w:hint="eastAsia" w:ascii="宋体" w:hAnsi="宋体" w:eastAsia="宋体" w:cs="宋体"/>
          <w:b w:val="0"/>
          <w:bCs/>
          <w:i w:val="0"/>
          <w:iCs w:val="0"/>
          <w:color w:val="auto"/>
          <w:kern w:val="0"/>
          <w:sz w:val="22"/>
          <w:szCs w:val="22"/>
          <w:highlight w:val="none"/>
          <w:lang w:bidi="en-US"/>
        </w:rPr>
        <w:t>项目落实“</w:t>
      </w:r>
      <w:r>
        <w:rPr>
          <w:rStyle w:val="25"/>
          <w:rFonts w:hint="eastAsia" w:ascii="宋体" w:hAnsi="宋体" w:eastAsia="宋体" w:cs="宋体"/>
          <w:b w:val="0"/>
          <w:bCs/>
          <w:i w:val="0"/>
          <w:iCs w:val="0"/>
          <w:color w:val="auto"/>
          <w:kern w:val="0"/>
          <w:sz w:val="22"/>
          <w:szCs w:val="22"/>
          <w:highlight w:val="none"/>
          <w:lang w:val="en-US" w:eastAsia="zh-CN" w:bidi="en-US"/>
        </w:rPr>
        <w:t>6</w:t>
      </w:r>
      <w:r>
        <w:rPr>
          <w:rStyle w:val="25"/>
          <w:rFonts w:hint="eastAsia" w:ascii="宋体" w:hAnsi="宋体" w:eastAsia="宋体" w:cs="宋体"/>
          <w:b w:val="0"/>
          <w:bCs/>
          <w:i w:val="0"/>
          <w:iCs w:val="0"/>
          <w:color w:val="auto"/>
          <w:kern w:val="0"/>
          <w:sz w:val="22"/>
          <w:szCs w:val="22"/>
          <w:highlight w:val="none"/>
          <w:lang w:bidi="en-US"/>
        </w:rPr>
        <w:t>+</w:t>
      </w:r>
      <w:r>
        <w:rPr>
          <w:rStyle w:val="25"/>
          <w:rFonts w:hint="eastAsia" w:ascii="宋体" w:hAnsi="宋体" w:eastAsia="宋体" w:cs="宋体"/>
          <w:b w:val="0"/>
          <w:bCs/>
          <w:i w:val="0"/>
          <w:iCs w:val="0"/>
          <w:color w:val="auto"/>
          <w:kern w:val="0"/>
          <w:sz w:val="22"/>
          <w:szCs w:val="22"/>
          <w:highlight w:val="none"/>
          <w:lang w:val="en-US" w:eastAsia="zh-CN" w:bidi="en-US"/>
        </w:rPr>
        <w:t>2</w:t>
      </w:r>
      <w:r>
        <w:rPr>
          <w:rStyle w:val="25"/>
          <w:rFonts w:hint="eastAsia" w:ascii="宋体" w:hAnsi="宋体" w:eastAsia="宋体" w:cs="宋体"/>
          <w:b w:val="0"/>
          <w:bCs/>
          <w:i w:val="0"/>
          <w:iCs w:val="0"/>
          <w:color w:val="auto"/>
          <w:kern w:val="0"/>
          <w:sz w:val="22"/>
          <w:szCs w:val="22"/>
          <w:highlight w:val="none"/>
          <w:lang w:bidi="en-US"/>
        </w:rPr>
        <w:t>”扬尘防治措施，即：工地按标准100%设置围墙（档）封闭施工；施工道路100%进行硬化；工地场内堆放材料和裸露土方100%进行覆盖，按照要求安装防尘降尘的喷淋（雾）设备；出场车辆100%进行冲洗，不带泥沙上路；拆除工程100%湿法降尘作业；按要求使用智能环保渣土车运输；1万平方米以上且工期超过半年的工地安装视频及扬尘在线监测，并与市住建局监控平台联网</w:t>
      </w:r>
      <w:r>
        <w:rPr>
          <w:rStyle w:val="25"/>
          <w:rFonts w:hint="eastAsia" w:ascii="宋体" w:hAnsi="宋体" w:eastAsia="宋体" w:cs="宋体"/>
          <w:b w:val="0"/>
          <w:bCs/>
          <w:i w:val="0"/>
          <w:iCs w:val="0"/>
          <w:color w:val="auto"/>
          <w:kern w:val="0"/>
          <w:sz w:val="22"/>
          <w:szCs w:val="22"/>
          <w:highlight w:val="none"/>
          <w:lang w:eastAsia="zh-CN" w:bidi="en-US"/>
        </w:rPr>
        <w:t>，重点部位安装视频监控。</w:t>
      </w:r>
    </w:p>
    <w:p w14:paraId="167BF9C6">
      <w:pPr>
        <w:pStyle w:val="47"/>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 xml:space="preserve">三、考核时间  </w:t>
      </w:r>
    </w:p>
    <w:p w14:paraId="3B3C61F3">
      <w:pPr>
        <w:pStyle w:val="47"/>
        <w:pageBreakBefore w:val="0"/>
        <w:widowControl/>
        <w:kinsoku/>
        <w:wordWrap/>
        <w:overflowPunct/>
        <w:topLinePunct w:val="0"/>
        <w:autoSpaceDE/>
        <w:autoSpaceDN/>
        <w:bidi w:val="0"/>
        <w:adjustRightInd/>
        <w:snapToGrid/>
        <w:spacing w:line="520" w:lineRule="exact"/>
        <w:ind w:firstLine="440" w:firstLineChars="200"/>
        <w:jc w:val="left"/>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考核期限：本项目开工建设之日起至竣工验收合格之日止。</w:t>
      </w:r>
    </w:p>
    <w:p w14:paraId="7DE7A360">
      <w:pPr>
        <w:pStyle w:val="47"/>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四、违约责任</w:t>
      </w:r>
    </w:p>
    <w:p w14:paraId="789F97E9">
      <w:pPr>
        <w:pStyle w:val="47"/>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1、如乙方未按项目要求实施“</w:t>
      </w:r>
      <w:r>
        <w:rPr>
          <w:rStyle w:val="25"/>
          <w:rFonts w:hint="eastAsia" w:ascii="宋体" w:hAnsi="宋体" w:eastAsia="宋体" w:cs="宋体"/>
          <w:b w:val="0"/>
          <w:bCs/>
          <w:i w:val="0"/>
          <w:iCs w:val="0"/>
          <w:color w:val="auto"/>
          <w:kern w:val="0"/>
          <w:sz w:val="22"/>
          <w:szCs w:val="22"/>
          <w:highlight w:val="none"/>
          <w:lang w:val="en-US" w:eastAsia="zh-CN" w:bidi="en-US"/>
        </w:rPr>
        <w:t>6</w:t>
      </w:r>
      <w:r>
        <w:rPr>
          <w:rStyle w:val="25"/>
          <w:rFonts w:hint="eastAsia" w:ascii="宋体" w:hAnsi="宋体" w:eastAsia="宋体" w:cs="宋体"/>
          <w:b w:val="0"/>
          <w:bCs/>
          <w:i w:val="0"/>
          <w:iCs w:val="0"/>
          <w:color w:val="auto"/>
          <w:kern w:val="0"/>
          <w:sz w:val="22"/>
          <w:szCs w:val="22"/>
          <w:highlight w:val="none"/>
          <w:lang w:bidi="en-US"/>
        </w:rPr>
        <w:t>+</w:t>
      </w:r>
      <w:r>
        <w:rPr>
          <w:rStyle w:val="25"/>
          <w:rFonts w:hint="eastAsia" w:ascii="宋体" w:hAnsi="宋体" w:eastAsia="宋体" w:cs="宋体"/>
          <w:b w:val="0"/>
          <w:bCs/>
          <w:i w:val="0"/>
          <w:iCs w:val="0"/>
          <w:color w:val="auto"/>
          <w:kern w:val="0"/>
          <w:sz w:val="22"/>
          <w:szCs w:val="22"/>
          <w:highlight w:val="none"/>
          <w:lang w:val="en-US" w:eastAsia="zh-CN" w:bidi="en-US"/>
        </w:rPr>
        <w:t>2</w:t>
      </w:r>
      <w:r>
        <w:rPr>
          <w:rStyle w:val="25"/>
          <w:rFonts w:hint="eastAsia" w:ascii="宋体" w:hAnsi="宋体" w:eastAsia="宋体" w:cs="宋体"/>
          <w:b w:val="0"/>
          <w:bCs/>
          <w:i w:val="0"/>
          <w:iCs w:val="0"/>
          <w:color w:val="auto"/>
          <w:kern w:val="0"/>
          <w:sz w:val="22"/>
          <w:szCs w:val="22"/>
          <w:highlight w:val="none"/>
          <w:lang w:bidi="en-US"/>
        </w:rPr>
        <w:t>措施”，每违反一次乙方应向甲方交纳</w:t>
      </w:r>
      <w:r>
        <w:rPr>
          <w:rStyle w:val="25"/>
          <w:rFonts w:hint="eastAsia" w:ascii="宋体" w:hAnsi="宋体" w:cs="宋体"/>
          <w:b w:val="0"/>
          <w:bCs/>
          <w:i w:val="0"/>
          <w:iCs w:val="0"/>
          <w:color w:val="auto"/>
          <w:kern w:val="0"/>
          <w:sz w:val="22"/>
          <w:szCs w:val="22"/>
          <w:highlight w:val="none"/>
          <w:lang w:eastAsia="zh-CN" w:bidi="en-US"/>
        </w:rPr>
        <w:t>1</w:t>
      </w:r>
      <w:r>
        <w:rPr>
          <w:rStyle w:val="25"/>
          <w:rFonts w:hint="eastAsia" w:ascii="宋体" w:hAnsi="宋体" w:eastAsia="宋体" w:cs="宋体"/>
          <w:b w:val="0"/>
          <w:bCs/>
          <w:i w:val="0"/>
          <w:iCs w:val="0"/>
          <w:color w:val="auto"/>
          <w:kern w:val="0"/>
          <w:sz w:val="22"/>
          <w:szCs w:val="22"/>
          <w:highlight w:val="none"/>
          <w:lang w:bidi="en-US"/>
        </w:rPr>
        <w:t>000元违约金并整改到位；如被区扬尘办检查发现并扣分的，每发现一次乙方应向甲方交纳</w:t>
      </w:r>
      <w:r>
        <w:rPr>
          <w:rStyle w:val="25"/>
          <w:rFonts w:hint="eastAsia" w:ascii="宋体" w:hAnsi="宋体" w:cs="宋体"/>
          <w:b w:val="0"/>
          <w:bCs/>
          <w:i w:val="0"/>
          <w:iCs w:val="0"/>
          <w:color w:val="auto"/>
          <w:kern w:val="0"/>
          <w:sz w:val="22"/>
          <w:szCs w:val="22"/>
          <w:highlight w:val="none"/>
          <w:lang w:eastAsia="zh-CN" w:bidi="en-US"/>
        </w:rPr>
        <w:t>5</w:t>
      </w:r>
      <w:r>
        <w:rPr>
          <w:rStyle w:val="25"/>
          <w:rFonts w:hint="eastAsia" w:ascii="宋体" w:hAnsi="宋体" w:eastAsia="宋体" w:cs="宋体"/>
          <w:b w:val="0"/>
          <w:bCs/>
          <w:i w:val="0"/>
          <w:iCs w:val="0"/>
          <w:color w:val="auto"/>
          <w:kern w:val="0"/>
          <w:sz w:val="22"/>
          <w:szCs w:val="22"/>
          <w:highlight w:val="none"/>
          <w:lang w:bidi="en-US"/>
        </w:rPr>
        <w:t>000元违约金并整改到位。</w:t>
      </w:r>
    </w:p>
    <w:p w14:paraId="322C6046">
      <w:pPr>
        <w:pStyle w:val="47"/>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2、项目PM月均值超过57微克/立方米，乙方应向甲方交纳</w:t>
      </w:r>
      <w:r>
        <w:rPr>
          <w:rStyle w:val="25"/>
          <w:rFonts w:hint="eastAsia" w:ascii="宋体" w:hAnsi="宋体" w:cs="宋体"/>
          <w:b w:val="0"/>
          <w:bCs/>
          <w:i w:val="0"/>
          <w:iCs w:val="0"/>
          <w:color w:val="auto"/>
          <w:kern w:val="0"/>
          <w:sz w:val="22"/>
          <w:szCs w:val="22"/>
          <w:highlight w:val="none"/>
          <w:lang w:eastAsia="zh-CN" w:bidi="en-US"/>
        </w:rPr>
        <w:t>1</w:t>
      </w:r>
      <w:r>
        <w:rPr>
          <w:rStyle w:val="25"/>
          <w:rFonts w:hint="eastAsia" w:ascii="宋体" w:hAnsi="宋体" w:eastAsia="宋体" w:cs="宋体"/>
          <w:b w:val="0"/>
          <w:bCs/>
          <w:i w:val="0"/>
          <w:iCs w:val="0"/>
          <w:color w:val="auto"/>
          <w:kern w:val="0"/>
          <w:sz w:val="22"/>
          <w:szCs w:val="22"/>
          <w:highlight w:val="none"/>
          <w:lang w:bidi="en-US"/>
        </w:rPr>
        <w:t>000元违约金并整改到位；被区扬尘办检查发现并扣分的，乙方应向甲方交纳</w:t>
      </w:r>
      <w:r>
        <w:rPr>
          <w:rStyle w:val="25"/>
          <w:rFonts w:hint="eastAsia" w:ascii="宋体" w:hAnsi="宋体" w:cs="宋体"/>
          <w:b w:val="0"/>
          <w:bCs/>
          <w:i w:val="0"/>
          <w:iCs w:val="0"/>
          <w:color w:val="auto"/>
          <w:kern w:val="0"/>
          <w:sz w:val="22"/>
          <w:szCs w:val="22"/>
          <w:highlight w:val="none"/>
          <w:lang w:eastAsia="zh-CN" w:bidi="en-US"/>
        </w:rPr>
        <w:t>5</w:t>
      </w:r>
      <w:r>
        <w:rPr>
          <w:rStyle w:val="25"/>
          <w:rFonts w:hint="eastAsia" w:ascii="宋体" w:hAnsi="宋体" w:eastAsia="宋体" w:cs="宋体"/>
          <w:b w:val="0"/>
          <w:bCs/>
          <w:i w:val="0"/>
          <w:iCs w:val="0"/>
          <w:color w:val="auto"/>
          <w:kern w:val="0"/>
          <w:sz w:val="22"/>
          <w:szCs w:val="22"/>
          <w:highlight w:val="none"/>
          <w:lang w:bidi="en-US"/>
        </w:rPr>
        <w:t>000元违约金并整改到位。</w:t>
      </w:r>
    </w:p>
    <w:p w14:paraId="454CA0CF">
      <w:pPr>
        <w:pStyle w:val="47"/>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3、项目渣土车带泥出场或带泥上路的，每违反一次乙方应向甲方交纳1000元违约金并整改到位；被区扬尘办检查发现并扣分的，每发现一次乙方应向甲方交纳5000元违约金并整改到位。</w:t>
      </w:r>
    </w:p>
    <w:p w14:paraId="105219DA">
      <w:pPr>
        <w:pStyle w:val="47"/>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4、项目未按要求使用智能环保渣土车辆和执行规定及约定运输时间的，每违反一次乙方应向甲方交纳200元违约金并整改到位；被区扬尘办检查发现并扣分的，每发现一次乙方应向甲方交纳1000元违约金并整改到位。</w:t>
      </w:r>
    </w:p>
    <w:p w14:paraId="379DB3DF">
      <w:pPr>
        <w:pStyle w:val="47"/>
        <w:pageBreakBefore w:val="0"/>
        <w:widowControl/>
        <w:kinsoku/>
        <w:wordWrap/>
        <w:overflowPunct/>
        <w:topLinePunct w:val="0"/>
        <w:autoSpaceDE/>
        <w:autoSpaceDN/>
        <w:bidi w:val="0"/>
        <w:adjustRightInd/>
        <w:snapToGrid/>
        <w:spacing w:line="520" w:lineRule="exact"/>
        <w:ind w:firstLine="570"/>
        <w:jc w:val="left"/>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 xml:space="preserve">五、附则 </w:t>
      </w:r>
    </w:p>
    <w:p w14:paraId="27865226">
      <w:pPr>
        <w:pStyle w:val="47"/>
        <w:pageBreakBefore w:val="0"/>
        <w:widowControl/>
        <w:kinsoku/>
        <w:wordWrap/>
        <w:overflowPunct/>
        <w:topLinePunct w:val="0"/>
        <w:autoSpaceDE/>
        <w:autoSpaceDN/>
        <w:bidi w:val="0"/>
        <w:adjustRightInd/>
        <w:snapToGrid/>
        <w:spacing w:line="520" w:lineRule="exact"/>
        <w:ind w:firstLine="570"/>
        <w:jc w:val="left"/>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1、若签订责任书的施工单位主要责任人发生变动，则责任由继任者承担。</w:t>
      </w:r>
    </w:p>
    <w:p w14:paraId="6E716CF9">
      <w:pPr>
        <w:pStyle w:val="47"/>
        <w:pageBreakBefore w:val="0"/>
        <w:widowControl/>
        <w:kinsoku/>
        <w:wordWrap/>
        <w:overflowPunct/>
        <w:topLinePunct w:val="0"/>
        <w:autoSpaceDE/>
        <w:autoSpaceDN/>
        <w:bidi w:val="0"/>
        <w:adjustRightInd/>
        <w:snapToGrid/>
        <w:spacing w:line="520" w:lineRule="exact"/>
        <w:ind w:firstLine="570"/>
        <w:jc w:val="left"/>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2、本责任书涉及的具体事项由</w:t>
      </w:r>
      <w:r>
        <w:rPr>
          <w:rStyle w:val="25"/>
          <w:rFonts w:hint="eastAsia" w:ascii="宋体" w:hAnsi="宋体" w:eastAsia="宋体" w:cs="宋体"/>
          <w:b w:val="0"/>
          <w:bCs/>
          <w:i w:val="0"/>
          <w:iCs w:val="0"/>
          <w:color w:val="auto"/>
          <w:kern w:val="0"/>
          <w:sz w:val="22"/>
          <w:szCs w:val="22"/>
          <w:highlight w:val="none"/>
          <w:lang w:eastAsia="zh-CN" w:bidi="en-US"/>
        </w:rPr>
        <w:t>怀化市鹤城区城市管理和综合执法局</w:t>
      </w:r>
      <w:r>
        <w:rPr>
          <w:rStyle w:val="25"/>
          <w:rFonts w:hint="eastAsia" w:ascii="宋体" w:hAnsi="宋体" w:eastAsia="宋体" w:cs="宋体"/>
          <w:b w:val="0"/>
          <w:bCs/>
          <w:i w:val="0"/>
          <w:iCs w:val="0"/>
          <w:color w:val="auto"/>
          <w:kern w:val="0"/>
          <w:sz w:val="22"/>
          <w:szCs w:val="22"/>
          <w:highlight w:val="none"/>
          <w:lang w:bidi="en-US"/>
        </w:rPr>
        <w:t>负责解释。</w:t>
      </w:r>
    </w:p>
    <w:p w14:paraId="399D1E6A">
      <w:pPr>
        <w:pStyle w:val="47"/>
        <w:pageBreakBefore w:val="0"/>
        <w:widowControl/>
        <w:kinsoku/>
        <w:wordWrap/>
        <w:overflowPunct/>
        <w:topLinePunct w:val="0"/>
        <w:autoSpaceDE/>
        <w:autoSpaceDN/>
        <w:bidi w:val="0"/>
        <w:adjustRightInd/>
        <w:snapToGrid/>
        <w:spacing w:line="520" w:lineRule="exact"/>
        <w:ind w:firstLine="570"/>
        <w:jc w:val="left"/>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 xml:space="preserve">3、本责任书一式肆份，签约双方各持两份。  </w:t>
      </w:r>
    </w:p>
    <w:p w14:paraId="375F1415">
      <w:pPr>
        <w:pStyle w:val="47"/>
        <w:pageBreakBefore w:val="0"/>
        <w:widowControl/>
        <w:kinsoku/>
        <w:wordWrap/>
        <w:overflowPunct/>
        <w:topLinePunct w:val="0"/>
        <w:autoSpaceDE/>
        <w:autoSpaceDN/>
        <w:bidi w:val="0"/>
        <w:adjustRightInd/>
        <w:snapToGrid/>
        <w:spacing w:line="520" w:lineRule="exact"/>
        <w:jc w:val="left"/>
        <w:textAlignment w:val="auto"/>
        <w:rPr>
          <w:rStyle w:val="25"/>
          <w:rFonts w:hint="eastAsia" w:ascii="宋体" w:hAnsi="宋体" w:eastAsia="宋体" w:cs="宋体"/>
          <w:b w:val="0"/>
          <w:bCs/>
          <w:i/>
          <w:iCs/>
          <w:color w:val="auto"/>
          <w:kern w:val="0"/>
          <w:sz w:val="22"/>
          <w:szCs w:val="22"/>
          <w:highlight w:val="none"/>
          <w:lang w:bidi="en-US"/>
        </w:rPr>
      </w:pPr>
      <w:r>
        <w:rPr>
          <w:rStyle w:val="25"/>
          <w:rFonts w:hint="eastAsia" w:ascii="宋体" w:hAnsi="宋体" w:eastAsia="宋体" w:cs="宋体"/>
          <w:b w:val="0"/>
          <w:bCs/>
          <w:i/>
          <w:iCs/>
          <w:color w:val="auto"/>
          <w:kern w:val="0"/>
          <w:sz w:val="22"/>
          <w:szCs w:val="22"/>
          <w:highlight w:val="none"/>
          <w:lang w:bidi="en-US"/>
        </w:rPr>
        <w:t>（以下无正文）</w:t>
      </w:r>
    </w:p>
    <w:p w14:paraId="7C2FB0C9">
      <w:pPr>
        <w:pStyle w:val="47"/>
        <w:pageBreakBefore w:val="0"/>
        <w:widowControl/>
        <w:kinsoku/>
        <w:wordWrap/>
        <w:overflowPunct/>
        <w:topLinePunct w:val="0"/>
        <w:autoSpaceDE/>
        <w:autoSpaceDN/>
        <w:bidi w:val="0"/>
        <w:adjustRightInd/>
        <w:snapToGrid/>
        <w:spacing w:line="520" w:lineRule="exact"/>
        <w:jc w:val="left"/>
        <w:textAlignment w:val="auto"/>
        <w:rPr>
          <w:rStyle w:val="25"/>
          <w:rFonts w:hint="eastAsia" w:ascii="宋体" w:hAnsi="宋体" w:eastAsia="宋体" w:cs="宋体"/>
          <w:b w:val="0"/>
          <w:bCs/>
          <w:i w:val="0"/>
          <w:iCs w:val="0"/>
          <w:color w:val="auto"/>
          <w:kern w:val="0"/>
          <w:sz w:val="22"/>
          <w:szCs w:val="22"/>
          <w:highlight w:val="none"/>
          <w:lang w:bidi="en-US"/>
        </w:rPr>
      </w:pPr>
    </w:p>
    <w:p w14:paraId="505EBD05">
      <w:pPr>
        <w:pStyle w:val="47"/>
        <w:pageBreakBefore w:val="0"/>
        <w:widowControl/>
        <w:kinsoku/>
        <w:wordWrap/>
        <w:overflowPunct/>
        <w:topLinePunct w:val="0"/>
        <w:autoSpaceDE/>
        <w:autoSpaceDN/>
        <w:bidi w:val="0"/>
        <w:adjustRightInd/>
        <w:snapToGrid/>
        <w:spacing w:line="520" w:lineRule="exact"/>
        <w:jc w:val="left"/>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 xml:space="preserve">                     </w:t>
      </w:r>
      <w:r>
        <w:rPr>
          <w:rStyle w:val="25"/>
          <w:rFonts w:hint="eastAsia" w:ascii="宋体" w:hAnsi="宋体" w:cs="宋体"/>
          <w:b w:val="0"/>
          <w:bCs/>
          <w:i w:val="0"/>
          <w:iCs w:val="0"/>
          <w:color w:val="auto"/>
          <w:kern w:val="0"/>
          <w:sz w:val="22"/>
          <w:szCs w:val="22"/>
          <w:highlight w:val="none"/>
          <w:lang w:val="en-US" w:eastAsia="zh-CN" w:bidi="en-US"/>
        </w:rPr>
        <w:t xml:space="preserve">                </w:t>
      </w:r>
      <w:r>
        <w:rPr>
          <w:rStyle w:val="25"/>
          <w:rFonts w:hint="eastAsia" w:ascii="宋体" w:hAnsi="宋体" w:eastAsia="宋体" w:cs="宋体"/>
          <w:b w:val="0"/>
          <w:bCs/>
          <w:i w:val="0"/>
          <w:iCs w:val="0"/>
          <w:color w:val="auto"/>
          <w:kern w:val="0"/>
          <w:sz w:val="22"/>
          <w:szCs w:val="22"/>
          <w:highlight w:val="none"/>
          <w:lang w:bidi="en-US"/>
        </w:rPr>
        <w:t xml:space="preserve">承包人（盖章）：  </w:t>
      </w:r>
    </w:p>
    <w:p w14:paraId="50F28D61">
      <w:pPr>
        <w:pStyle w:val="47"/>
        <w:pageBreakBefore w:val="0"/>
        <w:widowControl/>
        <w:kinsoku/>
        <w:wordWrap/>
        <w:overflowPunct/>
        <w:topLinePunct w:val="0"/>
        <w:autoSpaceDE/>
        <w:autoSpaceDN/>
        <w:bidi w:val="0"/>
        <w:adjustRightInd/>
        <w:snapToGrid/>
        <w:spacing w:line="520" w:lineRule="exact"/>
        <w:jc w:val="left"/>
        <w:textAlignment w:val="auto"/>
        <w:rPr>
          <w:rStyle w:val="25"/>
          <w:rFonts w:hint="default"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 xml:space="preserve">                        </w:t>
      </w:r>
      <w:r>
        <w:rPr>
          <w:rStyle w:val="25"/>
          <w:rFonts w:hint="eastAsia" w:ascii="宋体" w:hAnsi="宋体" w:cs="宋体"/>
          <w:b w:val="0"/>
          <w:bCs/>
          <w:i w:val="0"/>
          <w:iCs w:val="0"/>
          <w:color w:val="auto"/>
          <w:kern w:val="0"/>
          <w:sz w:val="22"/>
          <w:szCs w:val="22"/>
          <w:highlight w:val="none"/>
          <w:lang w:val="en-US" w:eastAsia="zh-CN" w:bidi="en-US"/>
        </w:rPr>
        <w:t xml:space="preserve">             </w:t>
      </w:r>
      <w:r>
        <w:rPr>
          <w:rStyle w:val="25"/>
          <w:rFonts w:hint="eastAsia" w:ascii="宋体" w:hAnsi="宋体" w:eastAsia="宋体" w:cs="宋体"/>
          <w:b w:val="0"/>
          <w:bCs/>
          <w:i w:val="0"/>
          <w:iCs w:val="0"/>
          <w:color w:val="auto"/>
          <w:kern w:val="0"/>
          <w:sz w:val="22"/>
          <w:szCs w:val="22"/>
          <w:highlight w:val="none"/>
          <w:lang w:bidi="en-US"/>
        </w:rPr>
        <w:t>法定代表人：</w:t>
      </w:r>
      <w:r>
        <w:rPr>
          <w:rStyle w:val="25"/>
          <w:rFonts w:hint="eastAsia" w:ascii="宋体" w:hAnsi="宋体" w:cs="宋体"/>
          <w:b w:val="0"/>
          <w:bCs/>
          <w:i w:val="0"/>
          <w:iCs w:val="0"/>
          <w:color w:val="auto"/>
          <w:kern w:val="0"/>
          <w:sz w:val="22"/>
          <w:szCs w:val="22"/>
          <w:highlight w:val="none"/>
          <w:lang w:val="en-US" w:eastAsia="zh-CN" w:bidi="en-US"/>
        </w:rPr>
        <w:t xml:space="preserve">       </w:t>
      </w:r>
    </w:p>
    <w:p w14:paraId="14939E22">
      <w:pPr>
        <w:pStyle w:val="47"/>
        <w:pageBreakBefore w:val="0"/>
        <w:widowControl/>
        <w:kinsoku/>
        <w:wordWrap/>
        <w:overflowPunct/>
        <w:topLinePunct w:val="0"/>
        <w:autoSpaceDE/>
        <w:autoSpaceDN/>
        <w:bidi w:val="0"/>
        <w:adjustRightInd/>
        <w:snapToGrid/>
        <w:spacing w:line="520" w:lineRule="exact"/>
        <w:jc w:val="left"/>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 xml:space="preserve">                 </w:t>
      </w:r>
      <w:r>
        <w:rPr>
          <w:rStyle w:val="25"/>
          <w:rFonts w:hint="eastAsia" w:ascii="宋体" w:hAnsi="宋体" w:cs="宋体"/>
          <w:b w:val="0"/>
          <w:bCs/>
          <w:i w:val="0"/>
          <w:iCs w:val="0"/>
          <w:color w:val="auto"/>
          <w:kern w:val="0"/>
          <w:sz w:val="22"/>
          <w:szCs w:val="22"/>
          <w:highlight w:val="none"/>
          <w:lang w:val="en-US" w:eastAsia="zh-CN" w:bidi="en-US"/>
        </w:rPr>
        <w:t xml:space="preserve">                    </w:t>
      </w:r>
      <w:r>
        <w:rPr>
          <w:rStyle w:val="25"/>
          <w:rFonts w:hint="eastAsia" w:ascii="宋体" w:hAnsi="宋体" w:eastAsia="宋体" w:cs="宋体"/>
          <w:b w:val="0"/>
          <w:bCs/>
          <w:i w:val="0"/>
          <w:iCs w:val="0"/>
          <w:color w:val="auto"/>
          <w:kern w:val="0"/>
          <w:sz w:val="22"/>
          <w:szCs w:val="22"/>
          <w:highlight w:val="none"/>
          <w:lang w:bidi="en-US"/>
        </w:rPr>
        <w:t xml:space="preserve">委托代理人（签名）：   </w:t>
      </w:r>
    </w:p>
    <w:p w14:paraId="395BB48F">
      <w:pPr>
        <w:pStyle w:val="47"/>
        <w:pageBreakBefore w:val="0"/>
        <w:widowControl/>
        <w:kinsoku/>
        <w:wordWrap/>
        <w:overflowPunct/>
        <w:topLinePunct w:val="0"/>
        <w:autoSpaceDE/>
        <w:autoSpaceDN/>
        <w:bidi w:val="0"/>
        <w:adjustRightInd/>
        <w:snapToGrid/>
        <w:spacing w:line="520" w:lineRule="exact"/>
        <w:ind w:firstLine="220" w:firstLineChars="100"/>
        <w:jc w:val="left"/>
        <w:textAlignment w:val="auto"/>
        <w:rPr>
          <w:rStyle w:val="25"/>
          <w:rFonts w:hint="eastAsia" w:ascii="宋体" w:hAnsi="宋体" w:eastAsia="宋体" w:cs="宋体"/>
          <w:b w:val="0"/>
          <w:bCs/>
          <w:i w:val="0"/>
          <w:iCs w:val="0"/>
          <w:color w:val="auto"/>
          <w:kern w:val="0"/>
          <w:sz w:val="22"/>
          <w:szCs w:val="22"/>
          <w:highlight w:val="none"/>
          <w:lang w:bidi="en-US"/>
        </w:rPr>
      </w:pPr>
      <w:r>
        <w:rPr>
          <w:rStyle w:val="25"/>
          <w:rFonts w:hint="eastAsia" w:ascii="宋体" w:hAnsi="宋体" w:eastAsia="宋体" w:cs="宋体"/>
          <w:b w:val="0"/>
          <w:bCs/>
          <w:i w:val="0"/>
          <w:iCs w:val="0"/>
          <w:color w:val="auto"/>
          <w:kern w:val="0"/>
          <w:sz w:val="22"/>
          <w:szCs w:val="22"/>
          <w:highlight w:val="none"/>
          <w:lang w:bidi="en-US"/>
        </w:rPr>
        <w:t xml:space="preserve">         </w:t>
      </w:r>
      <w:r>
        <w:rPr>
          <w:rStyle w:val="25"/>
          <w:rFonts w:hint="eastAsia" w:ascii="宋体" w:hAnsi="宋体" w:cs="宋体"/>
          <w:b w:val="0"/>
          <w:bCs/>
          <w:i w:val="0"/>
          <w:iCs w:val="0"/>
          <w:color w:val="auto"/>
          <w:kern w:val="0"/>
          <w:sz w:val="22"/>
          <w:szCs w:val="22"/>
          <w:highlight w:val="none"/>
          <w:lang w:val="en-US" w:eastAsia="zh-CN" w:bidi="en-US"/>
        </w:rPr>
        <w:t xml:space="preserve">                          </w:t>
      </w:r>
      <w:r>
        <w:rPr>
          <w:rStyle w:val="25"/>
          <w:rFonts w:hint="eastAsia" w:ascii="宋体" w:hAnsi="宋体" w:eastAsia="宋体" w:cs="宋体"/>
          <w:b w:val="0"/>
          <w:bCs/>
          <w:i w:val="0"/>
          <w:iCs w:val="0"/>
          <w:color w:val="auto"/>
          <w:kern w:val="0"/>
          <w:sz w:val="22"/>
          <w:szCs w:val="22"/>
          <w:highlight w:val="none"/>
          <w:lang w:bidi="en-US"/>
        </w:rPr>
        <w:t xml:space="preserve">日期： </w:t>
      </w:r>
      <w:r>
        <w:rPr>
          <w:rStyle w:val="25"/>
          <w:rFonts w:hint="eastAsia" w:ascii="宋体" w:hAnsi="宋体" w:cs="宋体"/>
          <w:b w:val="0"/>
          <w:bCs/>
          <w:i w:val="0"/>
          <w:iCs w:val="0"/>
          <w:color w:val="auto"/>
          <w:kern w:val="0"/>
          <w:sz w:val="22"/>
          <w:szCs w:val="22"/>
          <w:highlight w:val="none"/>
          <w:lang w:val="en-US" w:eastAsia="zh-CN" w:bidi="en-US"/>
        </w:rPr>
        <w:t xml:space="preserve"> </w:t>
      </w:r>
      <w:r>
        <w:rPr>
          <w:rStyle w:val="25"/>
          <w:rFonts w:hint="eastAsia" w:ascii="宋体" w:hAnsi="宋体" w:eastAsia="宋体" w:cs="宋体"/>
          <w:b w:val="0"/>
          <w:bCs/>
          <w:i w:val="0"/>
          <w:iCs w:val="0"/>
          <w:color w:val="auto"/>
          <w:kern w:val="0"/>
          <w:sz w:val="22"/>
          <w:szCs w:val="22"/>
          <w:highlight w:val="none"/>
          <w:lang w:bidi="en-US"/>
        </w:rPr>
        <w:t xml:space="preserve"> 年</w:t>
      </w:r>
      <w:r>
        <w:rPr>
          <w:rStyle w:val="25"/>
          <w:rFonts w:hint="eastAsia" w:ascii="宋体" w:hAnsi="宋体" w:cs="宋体"/>
          <w:b w:val="0"/>
          <w:bCs/>
          <w:i w:val="0"/>
          <w:iCs w:val="0"/>
          <w:color w:val="auto"/>
          <w:kern w:val="0"/>
          <w:sz w:val="22"/>
          <w:szCs w:val="22"/>
          <w:highlight w:val="none"/>
          <w:lang w:val="en-US" w:eastAsia="zh-CN" w:bidi="en-US"/>
        </w:rPr>
        <w:t xml:space="preserve"> </w:t>
      </w:r>
      <w:r>
        <w:rPr>
          <w:rStyle w:val="25"/>
          <w:rFonts w:hint="eastAsia" w:ascii="宋体" w:hAnsi="宋体" w:eastAsia="宋体" w:cs="宋体"/>
          <w:b w:val="0"/>
          <w:bCs/>
          <w:i w:val="0"/>
          <w:iCs w:val="0"/>
          <w:color w:val="auto"/>
          <w:kern w:val="0"/>
          <w:sz w:val="22"/>
          <w:szCs w:val="22"/>
          <w:highlight w:val="none"/>
          <w:lang w:bidi="en-US"/>
        </w:rPr>
        <w:t xml:space="preserve">  月 </w:t>
      </w:r>
      <w:r>
        <w:rPr>
          <w:rStyle w:val="25"/>
          <w:rFonts w:hint="eastAsia" w:ascii="宋体" w:hAnsi="宋体" w:cs="宋体"/>
          <w:b w:val="0"/>
          <w:bCs/>
          <w:i w:val="0"/>
          <w:iCs w:val="0"/>
          <w:color w:val="auto"/>
          <w:kern w:val="0"/>
          <w:sz w:val="22"/>
          <w:szCs w:val="22"/>
          <w:highlight w:val="none"/>
          <w:lang w:val="en-US" w:eastAsia="zh-CN" w:bidi="en-US"/>
        </w:rPr>
        <w:t xml:space="preserve"> </w:t>
      </w:r>
      <w:r>
        <w:rPr>
          <w:rStyle w:val="25"/>
          <w:rFonts w:hint="eastAsia" w:ascii="宋体" w:hAnsi="宋体" w:eastAsia="宋体" w:cs="宋体"/>
          <w:b w:val="0"/>
          <w:bCs/>
          <w:i w:val="0"/>
          <w:iCs w:val="0"/>
          <w:color w:val="auto"/>
          <w:kern w:val="0"/>
          <w:sz w:val="22"/>
          <w:szCs w:val="22"/>
          <w:highlight w:val="none"/>
          <w:lang w:bidi="en-US"/>
        </w:rPr>
        <w:t xml:space="preserve"> 日</w:t>
      </w:r>
    </w:p>
    <w:p w14:paraId="3DA3A7F3">
      <w:pPr>
        <w:pStyle w:val="47"/>
        <w:widowControl/>
        <w:wordWrap/>
        <w:topLinePunct w:val="0"/>
        <w:adjustRightInd/>
        <w:snapToGrid/>
        <w:spacing w:line="520" w:lineRule="exact"/>
        <w:ind w:firstLine="0" w:firstLineChars="0"/>
        <w:jc w:val="left"/>
        <w:rPr>
          <w:rStyle w:val="25"/>
          <w:rFonts w:hint="eastAsia" w:ascii="黑体" w:hAnsi="黑体" w:eastAsia="黑体" w:cs="黑体"/>
          <w:b w:val="0"/>
          <w:bCs/>
          <w:color w:val="auto"/>
          <w:kern w:val="0"/>
          <w:sz w:val="21"/>
          <w:szCs w:val="21"/>
          <w:highlight w:val="none"/>
          <w:lang w:bidi="en-US"/>
        </w:rPr>
      </w:pPr>
    </w:p>
    <w:p w14:paraId="4934E3F8">
      <w:pPr>
        <w:pStyle w:val="47"/>
        <w:widowControl/>
        <w:wordWrap/>
        <w:topLinePunct w:val="0"/>
        <w:adjustRightInd/>
        <w:snapToGrid/>
        <w:spacing w:line="520" w:lineRule="exact"/>
        <w:ind w:firstLine="0" w:firstLineChars="0"/>
        <w:jc w:val="left"/>
        <w:rPr>
          <w:rStyle w:val="25"/>
          <w:rFonts w:hint="eastAsia" w:ascii="黑体" w:hAnsi="黑体" w:eastAsia="黑体" w:cs="黑体"/>
          <w:b w:val="0"/>
          <w:bCs/>
          <w:color w:val="auto"/>
          <w:kern w:val="0"/>
          <w:sz w:val="21"/>
          <w:szCs w:val="21"/>
          <w:highlight w:val="none"/>
          <w:lang w:bidi="en-US"/>
        </w:rPr>
      </w:pPr>
      <w:r>
        <w:rPr>
          <w:rStyle w:val="25"/>
          <w:rFonts w:hint="eastAsia" w:ascii="宋体" w:hAnsi="宋体" w:eastAsia="宋体" w:cs="宋体"/>
          <w:b w:val="0"/>
          <w:bCs/>
          <w:i w:val="0"/>
          <w:iCs w:val="0"/>
          <w:color w:val="auto"/>
          <w:kern w:val="0"/>
          <w:sz w:val="20"/>
          <w:szCs w:val="20"/>
          <w:highlight w:val="none"/>
          <w:lang w:bidi="en-US"/>
        </w:rPr>
        <w:t xml:space="preserve">    </w:t>
      </w:r>
      <w:r>
        <w:rPr>
          <w:rStyle w:val="25"/>
          <w:rFonts w:hint="eastAsia" w:ascii="宋体" w:hAnsi="宋体" w:cs="宋体"/>
          <w:b w:val="0"/>
          <w:bCs/>
          <w:i w:val="0"/>
          <w:iCs w:val="0"/>
          <w:color w:val="auto"/>
          <w:kern w:val="0"/>
          <w:sz w:val="20"/>
          <w:szCs w:val="20"/>
          <w:highlight w:val="none"/>
          <w:lang w:val="en-US" w:eastAsia="zh-CN" w:bidi="en-US"/>
        </w:rPr>
        <w:t xml:space="preserve"> </w:t>
      </w:r>
    </w:p>
    <w:p w14:paraId="10A29338">
      <w:pPr>
        <w:rPr>
          <w:rFonts w:hint="eastAsia" w:ascii="黑体" w:hAnsi="黑体" w:eastAsia="黑体" w:cs="黑体"/>
          <w:color w:val="auto"/>
          <w:sz w:val="24"/>
          <w:szCs w:val="24"/>
          <w:u w:val="none"/>
          <w:lang w:val="en-US" w:eastAsia="zh-CN"/>
        </w:rPr>
      </w:pPr>
      <w:r>
        <w:rPr>
          <w:rFonts w:hint="eastAsia" w:ascii="黑体" w:hAnsi="黑体" w:eastAsia="黑体" w:cs="黑体"/>
          <w:color w:val="auto"/>
          <w:sz w:val="24"/>
          <w:szCs w:val="24"/>
          <w:u w:val="none"/>
          <w:lang w:val="en-US" w:eastAsia="zh-CN"/>
        </w:rPr>
        <w:br w:type="page"/>
      </w:r>
    </w:p>
    <w:p w14:paraId="455875BE">
      <w:pPr>
        <w:pStyle w:val="47"/>
        <w:jc w:val="left"/>
        <w:rPr>
          <w:rFonts w:hint="eastAsia" w:cs="宋体"/>
          <w:color w:val="auto"/>
          <w:sz w:val="22"/>
          <w:szCs w:val="22"/>
          <w:lang w:val="en-US" w:eastAsia="zh-CN"/>
        </w:rPr>
      </w:pPr>
      <w:r>
        <w:rPr>
          <w:rFonts w:hint="eastAsia" w:ascii="黑体" w:hAnsi="黑体" w:eastAsia="黑体" w:cs="黑体"/>
          <w:color w:val="auto"/>
          <w:sz w:val="24"/>
          <w:szCs w:val="24"/>
          <w:u w:val="none"/>
          <w:lang w:val="en-US" w:eastAsia="zh-CN"/>
        </w:rPr>
        <w:t>附件3</w:t>
      </w:r>
    </w:p>
    <w:p w14:paraId="54868CCF">
      <w:pPr>
        <w:pStyle w:val="47"/>
        <w:jc w:val="center"/>
        <w:rPr>
          <w:rStyle w:val="25"/>
          <w:rFonts w:hint="eastAsia" w:ascii="宋体" w:hAnsi="宋体" w:eastAsia="宋体" w:cs="宋体"/>
          <w:b/>
          <w:bCs w:val="0"/>
          <w:color w:val="auto"/>
          <w:sz w:val="32"/>
          <w:szCs w:val="32"/>
          <w:highlight w:val="none"/>
        </w:rPr>
      </w:pPr>
      <w:r>
        <w:rPr>
          <w:rStyle w:val="25"/>
          <w:rFonts w:hint="eastAsia" w:ascii="宋体" w:hAnsi="宋体" w:eastAsia="宋体" w:cs="宋体"/>
          <w:b/>
          <w:bCs w:val="0"/>
          <w:color w:val="auto"/>
          <w:sz w:val="32"/>
          <w:szCs w:val="32"/>
          <w:highlight w:val="none"/>
        </w:rPr>
        <w:t>农民工工资支付专项承诺书</w:t>
      </w:r>
    </w:p>
    <w:p w14:paraId="4FA8EADA">
      <w:pPr>
        <w:pStyle w:val="47"/>
        <w:keepNext w:val="0"/>
        <w:keepLines w:val="0"/>
        <w:pageBreakBefore w:val="0"/>
        <w:widowControl/>
        <w:kinsoku/>
        <w:wordWrap/>
        <w:overflowPunct/>
        <w:topLinePunct w:val="0"/>
        <w:autoSpaceDE/>
        <w:autoSpaceDN/>
        <w:bidi w:val="0"/>
        <w:adjustRightInd/>
        <w:snapToGrid/>
        <w:spacing w:line="480" w:lineRule="exact"/>
        <w:jc w:val="left"/>
        <w:textAlignment w:val="auto"/>
        <w:rPr>
          <w:rStyle w:val="25"/>
          <w:rFonts w:hint="eastAsia" w:ascii="宋体" w:hAnsi="宋体" w:eastAsia="宋体" w:cs="宋体"/>
          <w:b w:val="0"/>
          <w:bCs/>
          <w:color w:val="auto"/>
          <w:kern w:val="0"/>
          <w:sz w:val="20"/>
          <w:szCs w:val="20"/>
          <w:highlight w:val="none"/>
          <w:lang w:bidi="en-US"/>
        </w:rPr>
      </w:pPr>
    </w:p>
    <w:p w14:paraId="7C6931D5">
      <w:pPr>
        <w:pStyle w:val="47"/>
        <w:keepNext w:val="0"/>
        <w:keepLines w:val="0"/>
        <w:pageBreakBefore w:val="0"/>
        <w:widowControl/>
        <w:kinsoku/>
        <w:wordWrap/>
        <w:overflowPunct/>
        <w:topLinePunct w:val="0"/>
        <w:autoSpaceDE/>
        <w:autoSpaceDN/>
        <w:bidi w:val="0"/>
        <w:adjustRightInd/>
        <w:snapToGrid/>
        <w:spacing w:line="480" w:lineRule="exact"/>
        <w:jc w:val="left"/>
        <w:textAlignment w:val="auto"/>
        <w:rPr>
          <w:rStyle w:val="25"/>
          <w:rFonts w:hint="eastAsia" w:ascii="宋体" w:hAnsi="宋体" w:eastAsia="宋体" w:cs="宋体"/>
          <w:b w:val="0"/>
          <w:bCs/>
          <w:color w:val="auto"/>
          <w:kern w:val="0"/>
          <w:sz w:val="20"/>
          <w:szCs w:val="20"/>
          <w:highlight w:val="none"/>
          <w:u w:val="none"/>
          <w:lang w:bidi="en-US"/>
        </w:rPr>
      </w:pPr>
      <w:r>
        <w:rPr>
          <w:rStyle w:val="25"/>
          <w:rFonts w:hint="eastAsia" w:ascii="宋体" w:hAnsi="宋体" w:eastAsia="宋体" w:cs="宋体"/>
          <w:b w:val="0"/>
          <w:bCs/>
          <w:color w:val="auto"/>
          <w:kern w:val="0"/>
          <w:sz w:val="22"/>
          <w:szCs w:val="22"/>
          <w:highlight w:val="none"/>
          <w:u w:val="none"/>
          <w:lang w:bidi="en-US"/>
        </w:rPr>
        <w:t>致</w:t>
      </w:r>
      <w:r>
        <w:rPr>
          <w:rStyle w:val="25"/>
          <w:rFonts w:hint="eastAsia" w:ascii="宋体" w:hAnsi="宋体" w:cs="宋体"/>
          <w:b w:val="0"/>
          <w:bCs/>
          <w:color w:val="auto"/>
          <w:kern w:val="0"/>
          <w:sz w:val="22"/>
          <w:szCs w:val="22"/>
          <w:highlight w:val="none"/>
          <w:u w:val="single"/>
          <w:lang w:val="en-US" w:eastAsia="zh-CN" w:bidi="en-US"/>
        </w:rPr>
        <w:t xml:space="preserve"> 怀化市鹤城区城市建设投资有限公司</w:t>
      </w:r>
      <w:r>
        <w:rPr>
          <w:rStyle w:val="25"/>
          <w:rFonts w:hint="eastAsia" w:ascii="宋体" w:hAnsi="宋体" w:cs="宋体"/>
          <w:b w:val="0"/>
          <w:bCs/>
          <w:color w:val="auto"/>
          <w:kern w:val="0"/>
          <w:sz w:val="20"/>
          <w:szCs w:val="20"/>
          <w:highlight w:val="none"/>
          <w:u w:val="single"/>
          <w:lang w:val="en-US" w:eastAsia="zh-CN" w:bidi="en-US"/>
        </w:rPr>
        <w:t xml:space="preserve"> </w:t>
      </w:r>
      <w:r>
        <w:rPr>
          <w:rStyle w:val="25"/>
          <w:rFonts w:hint="eastAsia" w:ascii="Calibri" w:hAnsi="Calibri" w:cs="宋体"/>
          <w:b w:val="0"/>
          <w:bCs/>
          <w:color w:val="auto"/>
          <w:kern w:val="0"/>
          <w:sz w:val="20"/>
          <w:szCs w:val="20"/>
          <w:highlight w:val="none"/>
          <w:u w:val="none"/>
          <w:lang w:eastAsia="zh-CN" w:bidi="en-US"/>
        </w:rPr>
        <w:t xml:space="preserve"> </w:t>
      </w:r>
      <w:r>
        <w:rPr>
          <w:rStyle w:val="25"/>
          <w:rFonts w:hint="eastAsia" w:ascii="宋体" w:hAnsi="宋体" w:eastAsia="宋体" w:cs="宋体"/>
          <w:b w:val="0"/>
          <w:bCs/>
          <w:color w:val="auto"/>
          <w:kern w:val="0"/>
          <w:sz w:val="20"/>
          <w:szCs w:val="20"/>
          <w:highlight w:val="none"/>
          <w:u w:val="none"/>
          <w:lang w:bidi="en-US"/>
        </w:rPr>
        <w:t>：</w:t>
      </w:r>
    </w:p>
    <w:p w14:paraId="2E49E260">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为了保证民工的合法权益，保障民工工资，本公司郑重承诺含本项目在内的在建各项工程，严格按照国家法律法规规定、合同要求等依据支付民工工资，保障民工合法权益，现承诺如下：</w:t>
      </w:r>
    </w:p>
    <w:p w14:paraId="7DD914F1">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1、严格遵守国家和地方关于民工工资的有关规定。</w:t>
      </w:r>
    </w:p>
    <w:p w14:paraId="28D42B8E">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2、按照《劳动法》、《劳动合同法》等规定雇佣和使用民工，工资将及时如数发给民工。</w:t>
      </w:r>
    </w:p>
    <w:p w14:paraId="7C7FB904">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3、我公司劳务班组雇佣民工的将要求各班组按照（非发包人）原因造成返工的工程量，并负责督促其按照合同规定及时结付民工工资。</w:t>
      </w:r>
    </w:p>
    <w:p w14:paraId="629FC18B">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4、按照劳动法律法规等规定，雇佣和使用民工工资将直接发放给民工本人，严禁发放给包工头。</w:t>
      </w:r>
    </w:p>
    <w:p w14:paraId="769F72BB">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5、我公司对民工工资的支付负直接责任，全面负责与之形成劳务、劳动关系的民工的用工管理。</w:t>
      </w:r>
    </w:p>
    <w:p w14:paraId="51852EF1">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6、我公司在民工进场后10天内建立进场民工花名册，其中包含进场民工个人详细信息、进场时间、从事工种、所在班组等资料，随册附进场民工身份证，劳动合同、技术专业证书等相关材料，随时掌握进场民工的数量并每月将民工用工花名册书面报告给</w:t>
      </w:r>
      <w:r>
        <w:rPr>
          <w:rStyle w:val="25"/>
          <w:rFonts w:hint="eastAsia" w:ascii="Times New Roman" w:hAnsi="Times New Roman" w:eastAsia="宋体" w:cs="宋体"/>
          <w:b w:val="0"/>
          <w:bCs/>
          <w:color w:val="auto"/>
          <w:kern w:val="0"/>
          <w:sz w:val="22"/>
          <w:szCs w:val="22"/>
          <w:highlight w:val="none"/>
          <w:u w:val="none"/>
          <w:lang w:eastAsia="zh-CN" w:bidi="en-US"/>
        </w:rPr>
        <w:t>怀化市鹤城区城市管理和综合执法局</w:t>
      </w:r>
      <w:r>
        <w:rPr>
          <w:rStyle w:val="25"/>
          <w:rFonts w:hint="eastAsia" w:ascii="宋体" w:hAnsi="宋体" w:eastAsia="宋体" w:cs="宋体"/>
          <w:b w:val="0"/>
          <w:bCs/>
          <w:color w:val="auto"/>
          <w:kern w:val="0"/>
          <w:sz w:val="22"/>
          <w:szCs w:val="22"/>
          <w:highlight w:val="none"/>
          <w:u w:val="none"/>
          <w:lang w:bidi="en-US"/>
        </w:rPr>
        <w:t>。我公司项目负责人直接管理施工现场的民工，不得通过包工头、带班长等代管。</w:t>
      </w:r>
    </w:p>
    <w:p w14:paraId="7D2965C7">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7、我公司民工工资的支付工作接受建设单位（本项目发包方即</w:t>
      </w:r>
      <w:r>
        <w:rPr>
          <w:rStyle w:val="25"/>
          <w:rFonts w:hint="eastAsia" w:ascii="Times New Roman" w:hAnsi="Times New Roman" w:eastAsia="宋体" w:cs="宋体"/>
          <w:b w:val="0"/>
          <w:bCs/>
          <w:color w:val="auto"/>
          <w:kern w:val="0"/>
          <w:sz w:val="22"/>
          <w:szCs w:val="22"/>
          <w:highlight w:val="none"/>
          <w:u w:val="none"/>
          <w:lang w:eastAsia="zh-CN" w:bidi="en-US"/>
        </w:rPr>
        <w:t>怀化市鹤城区城市管理和综合执法局</w:t>
      </w:r>
      <w:r>
        <w:rPr>
          <w:rStyle w:val="25"/>
          <w:rFonts w:hint="eastAsia" w:ascii="宋体" w:hAnsi="宋体" w:eastAsia="宋体" w:cs="宋体"/>
          <w:b w:val="0"/>
          <w:bCs/>
          <w:color w:val="auto"/>
          <w:kern w:val="0"/>
          <w:sz w:val="22"/>
          <w:szCs w:val="22"/>
          <w:highlight w:val="none"/>
          <w:u w:val="none"/>
          <w:lang w:bidi="en-US"/>
        </w:rPr>
        <w:t>）监督管理，双方签订的施工合同就民工工资的支付作出约定，我公司按建设单位提供的规范文本签订保障民工工资发放工作的承诺书。我公司若有违反合同约定中民工工资支付相关条款及承诺书中条款的行为，全部责任由我公司承担，并按照合同约定的违约条款对建设单位负责。</w:t>
      </w:r>
    </w:p>
    <w:p w14:paraId="51C84328">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我公司承诺农民工工资按照用工合同中的约定（按月、季、年度）形式支付</w:t>
      </w:r>
      <w:r>
        <w:rPr>
          <w:rStyle w:val="25"/>
          <w:rFonts w:hint="eastAsia" w:ascii="宋体" w:hAnsi="宋体" w:cs="宋体"/>
          <w:b w:val="0"/>
          <w:bCs/>
          <w:color w:val="auto"/>
          <w:kern w:val="0"/>
          <w:sz w:val="22"/>
          <w:szCs w:val="22"/>
          <w:highlight w:val="none"/>
          <w:u w:val="none"/>
          <w:lang w:eastAsia="zh-CN" w:bidi="en-US"/>
        </w:rPr>
        <w:t>。</w:t>
      </w:r>
      <w:r>
        <w:rPr>
          <w:rStyle w:val="25"/>
          <w:rFonts w:hint="eastAsia" w:ascii="宋体" w:hAnsi="宋体" w:eastAsia="宋体" w:cs="宋体"/>
          <w:b w:val="0"/>
          <w:bCs/>
          <w:color w:val="auto"/>
          <w:kern w:val="0"/>
          <w:sz w:val="22"/>
          <w:szCs w:val="22"/>
          <w:highlight w:val="none"/>
          <w:u w:val="none"/>
          <w:lang w:bidi="en-US"/>
        </w:rPr>
        <w:t>第一次支付工程进度款前需完成向建设单位报备劳务合同及用工花名册；第二次支付工程进度款时需出具上一付款周期（按月、季、年度）承包单位依照用工合同（与用工人员签订的）中约定的比例向所有农民工支付工资的有效银行汇款凭证及相关资料；以此类推直至工程结束。我公司承诺按每笔工程款中的80%支付农民工工资。</w:t>
      </w:r>
    </w:p>
    <w:p w14:paraId="74E09DBF">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8、如果发生违反规定拖欠或克扣民工工资行为造成民工上访，本公司愿意接受人力资源社会保障、建设、公安等部门依照有关规定作出的处罚和决定并承担由此产生的所有责任。</w:t>
      </w:r>
    </w:p>
    <w:p w14:paraId="419538EA">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9、我公司相关人员积极配合承包方落实保障农民工工资发放的各项工作，协调各方面关系，及时按承包方要求送交各项资料。</w:t>
      </w:r>
    </w:p>
    <w:p w14:paraId="59E7FF46">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10、一旦出现本公司及所属工程项目经理部因拖欠农民工工资，以及因分包工程款未支付到位而引发分包单位拖欠农民工工资问题，且未能及时处理和支付的，建设单位（本项目发包方）可直接将本工程的后期应付工程款先行支取，用于垫付所欠农民工工资，结算时按所动用数额的1.5倍予以扣除。我公司承担因拖欠农民工工资而先行支取后期应付工程款引起的一切责任。</w:t>
      </w:r>
    </w:p>
    <w:p w14:paraId="0F427A1D">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t>11、本公司自接到先行支取后期应付工程款通知后，在5天内予以书面确认。否则，视为默认，由此造成的一切损失及责任由我公司承担。</w:t>
      </w:r>
    </w:p>
    <w:p w14:paraId="641F72EE">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jc w:val="left"/>
        <w:textAlignment w:val="auto"/>
        <w:rPr>
          <w:rStyle w:val="25"/>
          <w:rFonts w:hint="eastAsia" w:ascii="宋体" w:hAnsi="宋体" w:eastAsia="宋体" w:cs="宋体"/>
          <w:b w:val="0"/>
          <w:bCs/>
          <w:color w:val="auto"/>
          <w:kern w:val="0"/>
          <w:sz w:val="22"/>
          <w:szCs w:val="22"/>
          <w:highlight w:val="none"/>
          <w:u w:val="none"/>
          <w:lang w:bidi="en-US"/>
        </w:rPr>
      </w:pPr>
    </w:p>
    <w:p w14:paraId="604888A2">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jc w:val="center"/>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cs="宋体"/>
          <w:b w:val="0"/>
          <w:bCs/>
          <w:color w:val="auto"/>
          <w:kern w:val="0"/>
          <w:sz w:val="22"/>
          <w:szCs w:val="22"/>
          <w:highlight w:val="none"/>
          <w:u w:val="none"/>
          <w:lang w:val="en-US" w:eastAsia="zh-CN" w:bidi="en-US"/>
        </w:rPr>
        <w:t xml:space="preserve">       </w:t>
      </w:r>
      <w:r>
        <w:rPr>
          <w:rStyle w:val="25"/>
          <w:rFonts w:hint="eastAsia" w:ascii="宋体" w:hAnsi="宋体" w:eastAsia="宋体" w:cs="宋体"/>
          <w:b w:val="0"/>
          <w:bCs/>
          <w:color w:val="auto"/>
          <w:kern w:val="0"/>
          <w:sz w:val="22"/>
          <w:szCs w:val="22"/>
          <w:highlight w:val="none"/>
          <w:u w:val="none"/>
          <w:lang w:bidi="en-US"/>
        </w:rPr>
        <w:t>承诺人</w:t>
      </w:r>
      <w:r>
        <w:rPr>
          <w:rStyle w:val="25"/>
          <w:rFonts w:hint="eastAsia" w:ascii="宋体" w:hAnsi="宋体" w:eastAsia="宋体" w:cs="宋体"/>
          <w:b w:val="0"/>
          <w:bCs/>
          <w:color w:val="auto"/>
          <w:kern w:val="0"/>
          <w:sz w:val="22"/>
          <w:szCs w:val="22"/>
          <w:highlight w:val="none"/>
          <w:u w:val="none"/>
          <w:lang w:eastAsia="zh-CN" w:bidi="en-US"/>
        </w:rPr>
        <w:t>（</w:t>
      </w:r>
      <w:r>
        <w:rPr>
          <w:rStyle w:val="25"/>
          <w:rFonts w:hint="eastAsia" w:ascii="宋体" w:hAnsi="宋体" w:eastAsia="宋体" w:cs="宋体"/>
          <w:b w:val="0"/>
          <w:bCs/>
          <w:color w:val="auto"/>
          <w:kern w:val="0"/>
          <w:sz w:val="22"/>
          <w:szCs w:val="22"/>
          <w:highlight w:val="none"/>
          <w:u w:val="none"/>
          <w:lang w:bidi="en-US"/>
        </w:rPr>
        <w:t>企业盖章</w:t>
      </w:r>
      <w:r>
        <w:rPr>
          <w:rStyle w:val="25"/>
          <w:rFonts w:hint="eastAsia" w:ascii="宋体" w:hAnsi="宋体" w:eastAsia="宋体" w:cs="宋体"/>
          <w:b w:val="0"/>
          <w:bCs/>
          <w:color w:val="auto"/>
          <w:kern w:val="0"/>
          <w:sz w:val="22"/>
          <w:szCs w:val="22"/>
          <w:highlight w:val="none"/>
          <w:u w:val="none"/>
          <w:lang w:eastAsia="zh-CN" w:bidi="en-US"/>
        </w:rPr>
        <w:t>）</w:t>
      </w:r>
      <w:r>
        <w:rPr>
          <w:rStyle w:val="25"/>
          <w:rFonts w:hint="eastAsia" w:ascii="宋体" w:hAnsi="宋体" w:eastAsia="宋体" w:cs="宋体"/>
          <w:b w:val="0"/>
          <w:bCs/>
          <w:color w:val="auto"/>
          <w:kern w:val="0"/>
          <w:sz w:val="22"/>
          <w:szCs w:val="22"/>
          <w:highlight w:val="none"/>
          <w:u w:val="none"/>
          <w:lang w:bidi="en-US"/>
        </w:rPr>
        <w:t xml:space="preserve">：  </w:t>
      </w:r>
    </w:p>
    <w:p w14:paraId="3F023DEB">
      <w:pPr>
        <w:pStyle w:val="47"/>
        <w:keepNext w:val="0"/>
        <w:keepLines w:val="0"/>
        <w:pageBreakBefore w:val="0"/>
        <w:widowControl/>
        <w:kinsoku/>
        <w:wordWrap/>
        <w:overflowPunct/>
        <w:topLinePunct w:val="0"/>
        <w:autoSpaceDE/>
        <w:autoSpaceDN/>
        <w:bidi w:val="0"/>
        <w:adjustRightInd/>
        <w:snapToGrid/>
        <w:spacing w:line="520" w:lineRule="exact"/>
        <w:ind w:firstLine="440" w:firstLineChars="200"/>
        <w:jc w:val="center"/>
        <w:textAlignment w:val="auto"/>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cs="宋体"/>
          <w:b w:val="0"/>
          <w:bCs/>
          <w:color w:val="auto"/>
          <w:kern w:val="0"/>
          <w:sz w:val="22"/>
          <w:szCs w:val="22"/>
          <w:highlight w:val="none"/>
          <w:u w:val="none"/>
          <w:lang w:val="en-US" w:eastAsia="zh-CN" w:bidi="en-US"/>
        </w:rPr>
        <w:t xml:space="preserve">          </w:t>
      </w:r>
      <w:r>
        <w:rPr>
          <w:rStyle w:val="25"/>
          <w:rFonts w:hint="eastAsia" w:ascii="宋体" w:hAnsi="宋体" w:eastAsia="宋体" w:cs="宋体"/>
          <w:b w:val="0"/>
          <w:bCs/>
          <w:color w:val="auto"/>
          <w:kern w:val="0"/>
          <w:sz w:val="22"/>
          <w:szCs w:val="22"/>
          <w:highlight w:val="none"/>
          <w:u w:val="none"/>
          <w:lang w:bidi="en-US"/>
        </w:rPr>
        <w:t xml:space="preserve">法定代表人/委托代理人：     </w:t>
      </w:r>
    </w:p>
    <w:p w14:paraId="4DEEB0F7">
      <w:pPr>
        <w:pStyle w:val="47"/>
        <w:spacing w:line="520" w:lineRule="exact"/>
        <w:ind w:firstLine="440" w:firstLineChars="200"/>
        <w:jc w:val="center"/>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cs="宋体"/>
          <w:b w:val="0"/>
          <w:bCs/>
          <w:color w:val="auto"/>
          <w:kern w:val="0"/>
          <w:sz w:val="22"/>
          <w:szCs w:val="22"/>
          <w:highlight w:val="none"/>
          <w:u w:val="none"/>
          <w:lang w:val="en-US" w:eastAsia="zh-CN" w:bidi="en-US"/>
        </w:rPr>
        <w:t xml:space="preserve">             </w:t>
      </w:r>
      <w:r>
        <w:rPr>
          <w:rStyle w:val="25"/>
          <w:rFonts w:hint="eastAsia" w:ascii="宋体" w:hAnsi="宋体" w:eastAsia="宋体" w:cs="宋体"/>
          <w:b w:val="0"/>
          <w:bCs/>
          <w:color w:val="auto"/>
          <w:kern w:val="0"/>
          <w:sz w:val="22"/>
          <w:szCs w:val="22"/>
          <w:highlight w:val="none"/>
          <w:u w:val="none"/>
          <w:lang w:bidi="en-US"/>
        </w:rPr>
        <w:t xml:space="preserve">日期：     年   </w:t>
      </w:r>
      <w:r>
        <w:rPr>
          <w:rStyle w:val="25"/>
          <w:rFonts w:hint="eastAsia" w:ascii="宋体" w:hAnsi="宋体" w:cs="宋体"/>
          <w:b w:val="0"/>
          <w:bCs/>
          <w:color w:val="auto"/>
          <w:kern w:val="0"/>
          <w:sz w:val="22"/>
          <w:szCs w:val="22"/>
          <w:highlight w:val="none"/>
          <w:u w:val="none"/>
          <w:lang w:val="en-US" w:eastAsia="zh-CN" w:bidi="en-US"/>
        </w:rPr>
        <w:t xml:space="preserve">  </w:t>
      </w:r>
      <w:r>
        <w:rPr>
          <w:rStyle w:val="25"/>
          <w:rFonts w:hint="eastAsia" w:ascii="宋体" w:hAnsi="宋体" w:eastAsia="宋体" w:cs="宋体"/>
          <w:b w:val="0"/>
          <w:bCs/>
          <w:color w:val="auto"/>
          <w:kern w:val="0"/>
          <w:sz w:val="22"/>
          <w:szCs w:val="22"/>
          <w:highlight w:val="none"/>
          <w:u w:val="none"/>
          <w:lang w:bidi="en-US"/>
        </w:rPr>
        <w:t>月   日</w:t>
      </w:r>
    </w:p>
    <w:p w14:paraId="33084A4C">
      <w:pPr>
        <w:rPr>
          <w:rStyle w:val="25"/>
          <w:rFonts w:hint="eastAsia" w:ascii="宋体" w:hAnsi="宋体" w:eastAsia="宋体" w:cs="宋体"/>
          <w:b w:val="0"/>
          <w:bCs/>
          <w:color w:val="auto"/>
          <w:kern w:val="0"/>
          <w:sz w:val="22"/>
          <w:szCs w:val="22"/>
          <w:highlight w:val="none"/>
          <w:u w:val="none"/>
          <w:lang w:bidi="en-US"/>
        </w:rPr>
      </w:pPr>
      <w:r>
        <w:rPr>
          <w:rStyle w:val="25"/>
          <w:rFonts w:hint="eastAsia" w:ascii="宋体" w:hAnsi="宋体" w:eastAsia="宋体" w:cs="宋体"/>
          <w:b w:val="0"/>
          <w:bCs/>
          <w:color w:val="auto"/>
          <w:kern w:val="0"/>
          <w:sz w:val="22"/>
          <w:szCs w:val="22"/>
          <w:highlight w:val="none"/>
          <w:u w:val="none"/>
          <w:lang w:bidi="en-US"/>
        </w:rPr>
        <w:br w:type="page"/>
      </w:r>
    </w:p>
    <w:p w14:paraId="708EE6A7">
      <w:pPr>
        <w:keepNext/>
        <w:keepLines/>
        <w:numPr>
          <w:ilvl w:val="0"/>
          <w:numId w:val="5"/>
        </w:numPr>
        <w:adjustRightInd w:val="0"/>
        <w:snapToGrid w:val="0"/>
        <w:spacing w:before="156" w:beforeLines="50" w:line="360" w:lineRule="auto"/>
        <w:jc w:val="center"/>
        <w:outlineLvl w:val="1"/>
        <w:rPr>
          <w:rFonts w:hint="eastAsia" w:ascii="黑体" w:hAnsi="黑体" w:eastAsia="黑体"/>
          <w:b/>
          <w:bCs/>
          <w:color w:val="000000" w:themeColor="text1"/>
          <w:sz w:val="28"/>
          <w:szCs w:val="28"/>
          <w14:textFill>
            <w14:solidFill>
              <w14:schemeClr w14:val="tx1"/>
            </w14:solidFill>
          </w14:textFill>
        </w:rPr>
      </w:pPr>
      <w:r>
        <w:rPr>
          <w:rFonts w:hint="eastAsia" w:ascii="黑体" w:hAnsi="黑体" w:eastAsia="黑体"/>
          <w:b/>
          <w:bCs/>
          <w:color w:val="000000" w:themeColor="text1"/>
          <w:sz w:val="28"/>
          <w:szCs w:val="28"/>
          <w14:textFill>
            <w14:solidFill>
              <w14:schemeClr w14:val="tx1"/>
            </w14:solidFill>
          </w14:textFill>
        </w:rPr>
        <w:t>政府采购合同</w:t>
      </w:r>
      <w:bookmarkEnd w:id="145"/>
      <w:bookmarkEnd w:id="146"/>
    </w:p>
    <w:p w14:paraId="08F4739E">
      <w:pPr>
        <w:adjustRightInd w:val="0"/>
        <w:snapToGrid w:val="0"/>
        <w:spacing w:line="360" w:lineRule="auto"/>
        <w:jc w:val="center"/>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通用合同条款</w:t>
      </w:r>
    </w:p>
    <w:p w14:paraId="5D8D1A72">
      <w:pPr>
        <w:tabs>
          <w:tab w:val="left" w:pos="8820"/>
          <w:tab w:val="left" w:pos="9345"/>
          <w:tab w:val="left" w:pos="9765"/>
        </w:tabs>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1.</w:t>
      </w:r>
      <w:r>
        <w:rPr>
          <w:rFonts w:hint="eastAsia" w:ascii="宋体" w:hAnsi="宋体"/>
          <w:b/>
          <w:bCs/>
          <w:color w:val="000000" w:themeColor="text1"/>
          <w:sz w:val="24"/>
          <w14:textFill>
            <w14:solidFill>
              <w14:schemeClr w14:val="tx1"/>
            </w14:solidFill>
          </w14:textFill>
        </w:rPr>
        <w:t>定义</w:t>
      </w:r>
    </w:p>
    <w:p w14:paraId="50FC1AC7">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1.1合同当事人</w:t>
      </w:r>
    </w:p>
    <w:p w14:paraId="63768A5E">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（1）采购人（以下称甲方）是指使用财政性资金，通过政府采购程序向供应商购买货物、服务的国家机关、事业单位、团体组织。本次采购的甲方名称、地址见</w:t>
      </w:r>
      <w:r>
        <w:rPr>
          <w:rFonts w:hint="eastAsia" w:ascii="宋体" w:hAnsi="宋体"/>
          <w:b/>
          <w:color w:val="000000" w:themeColor="text1"/>
          <w:szCs w:val="21"/>
          <w14:textFill>
            <w14:solidFill>
              <w14:schemeClr w14:val="tx1"/>
            </w14:solidFill>
          </w14:textFill>
        </w:rPr>
        <w:t>【政府采购合同专用条款】。</w:t>
      </w:r>
    </w:p>
    <w:p w14:paraId="08162829">
      <w:pPr>
        <w:autoSpaceDE w:val="0"/>
        <w:autoSpaceDN w:val="0"/>
        <w:adjustRightInd w:val="0"/>
        <w:snapToGrid w:val="0"/>
        <w:spacing w:before="50" w:line="360" w:lineRule="auto"/>
        <w:ind w:firstLine="420" w:firstLineChars="200"/>
        <w:jc w:val="left"/>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（2）供应商（以下称乙方）是指参加政府采购活动而取得中标结果，并向采购人提供货物、服务的法人、其他组织或者自然人。</w:t>
      </w:r>
    </w:p>
    <w:p w14:paraId="08E9D953">
      <w:pPr>
        <w:tabs>
          <w:tab w:val="left" w:pos="570"/>
          <w:tab w:val="left" w:pos="9240"/>
          <w:tab w:val="left" w:pos="9555"/>
        </w:tabs>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1.2本合同下列术语应解释为：</w:t>
      </w:r>
    </w:p>
    <w:p w14:paraId="14862142">
      <w:pPr>
        <w:tabs>
          <w:tab w:val="left" w:pos="570"/>
          <w:tab w:val="left" w:pos="9240"/>
          <w:tab w:val="left" w:pos="9555"/>
        </w:tabs>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（1）“合同”系指甲乙双方签署的、政府采购合同协议书中载明的甲乙双方所达成的协议，包括所有的附件、附录和上述文件所提到的构成合同的所有文件。</w:t>
      </w:r>
    </w:p>
    <w:p w14:paraId="5D1CA004">
      <w:pPr>
        <w:tabs>
          <w:tab w:val="left" w:pos="570"/>
          <w:tab w:val="left" w:pos="9240"/>
          <w:tab w:val="left" w:pos="9555"/>
        </w:tabs>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（2）“合同价”系指根据本合同规定乙方在正确地完全履行合同义务后甲方应支付给乙方的价款。</w:t>
      </w:r>
    </w:p>
    <w:p w14:paraId="0B852E00">
      <w:pPr>
        <w:tabs>
          <w:tab w:val="left" w:pos="570"/>
          <w:tab w:val="left" w:pos="9240"/>
          <w:tab w:val="left" w:pos="9555"/>
        </w:tabs>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（3）“货物”系指乙方根据本合同规定须向甲方提供的各种形态和种类的物品，包括原材料、设备、产品（包括软件）及相关的其备品备件、工具、手册及其它技术资料和材料。</w:t>
      </w:r>
    </w:p>
    <w:p w14:paraId="1BBAAA1B">
      <w:pPr>
        <w:tabs>
          <w:tab w:val="left" w:pos="570"/>
          <w:tab w:val="left" w:pos="8880"/>
          <w:tab w:val="left" w:pos="9555"/>
        </w:tabs>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服务”系指根据合同规定，乙方应提供的技术、管理和其它服务，包括但不限于：管理和质量保证、运输、保险、检验、现场准备、安装、集成、调试、培训、维修、技术支持等以及合同中规定乙方应承担的其它义务。</w:t>
      </w:r>
    </w:p>
    <w:p w14:paraId="2D827CC4">
      <w:pPr>
        <w:tabs>
          <w:tab w:val="left" w:pos="570"/>
          <w:tab w:val="left" w:pos="9240"/>
          <w:tab w:val="left" w:pos="9555"/>
        </w:tabs>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（5）“合同条款”系指本合同条款。</w:t>
      </w:r>
    </w:p>
    <w:p w14:paraId="3830836C">
      <w:pPr>
        <w:tabs>
          <w:tab w:val="left" w:pos="570"/>
          <w:tab w:val="left" w:pos="9240"/>
          <w:tab w:val="left" w:pos="9555"/>
        </w:tabs>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（6）“项目现场”系指本合同项下货物安装、运行的现场，其名称见</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307DBA63">
      <w:pPr>
        <w:autoSpaceDE w:val="0"/>
        <w:autoSpaceDN w:val="0"/>
        <w:adjustRightInd w:val="0"/>
        <w:snapToGrid w:val="0"/>
        <w:spacing w:before="50"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2.合同的适用范围</w:t>
      </w:r>
    </w:p>
    <w:p w14:paraId="6139E1AE">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 本合同条款适用于没有被本合同其他部分的条款所取代的范围。</w:t>
      </w:r>
    </w:p>
    <w:p w14:paraId="597126D7">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2.2 合同内容根据招标文件、投标文件而确定。</w:t>
      </w:r>
    </w:p>
    <w:p w14:paraId="62ED1FB1">
      <w:pPr>
        <w:autoSpaceDE w:val="0"/>
        <w:autoSpaceDN w:val="0"/>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3.</w:t>
      </w:r>
      <w:r>
        <w:rPr>
          <w:rFonts w:hint="eastAsia" w:ascii="宋体" w:hAnsi="宋体"/>
          <w:b/>
          <w:color w:val="000000" w:themeColor="text1"/>
          <w:sz w:val="24"/>
          <w14:textFill>
            <w14:solidFill>
              <w14:schemeClr w14:val="tx1"/>
            </w14:solidFill>
          </w14:textFill>
        </w:rPr>
        <w:t>合同标的及金额</w:t>
      </w:r>
    </w:p>
    <w:p w14:paraId="1E74D90C">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3.1 合同标的及金额应与中标结果一致。</w:t>
      </w:r>
    </w:p>
    <w:p w14:paraId="095294F7">
      <w:pPr>
        <w:autoSpaceDE w:val="0"/>
        <w:autoSpaceDN w:val="0"/>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w:t>
      </w:r>
      <w:r>
        <w:rPr>
          <w:rFonts w:hint="eastAsia" w:ascii="宋体" w:hAnsi="宋体"/>
          <w:b/>
          <w:color w:val="000000" w:themeColor="text1"/>
          <w:sz w:val="24"/>
          <w14:textFill>
            <w14:solidFill>
              <w14:schemeClr w14:val="tx1"/>
            </w14:solidFill>
          </w14:textFill>
        </w:rPr>
        <w:t>合同价款</w:t>
      </w:r>
    </w:p>
    <w:p w14:paraId="5ED60A43">
      <w:pPr>
        <w:adjustRightInd w:val="0"/>
        <w:snapToGrid w:val="0"/>
        <w:spacing w:before="50" w:line="360" w:lineRule="auto"/>
        <w:ind w:firstLine="420" w:firstLineChars="200"/>
        <w:jc w:val="left"/>
        <w:rPr>
          <w:rFonts w:ascii="宋体" w:hAnsi="宋体"/>
          <w:b/>
          <w:bCs/>
          <w:i/>
          <w:i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4.1具体合同价款见本合同第3.1条。乙方为履行本合同而发生的所有费用均应包含在合同价款中，甲方不再另行支付其它任何费用。</w:t>
      </w:r>
    </w:p>
    <w:p w14:paraId="794D2A96">
      <w:pPr>
        <w:adjustRightInd w:val="0"/>
        <w:snapToGrid w:val="0"/>
        <w:spacing w:before="50"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5.履行合同的时间、地点和方式</w:t>
      </w:r>
    </w:p>
    <w:p w14:paraId="148B81A2">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5.1 乙方应当在甲方确定的时间、指定的地点履行合同，具体的交货时间、地点和方式见</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46FC3D07">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5.2 乙方提供服务的应当在甲方指定的地点完成服务项目。</w:t>
      </w:r>
    </w:p>
    <w:p w14:paraId="4D254B7F">
      <w:pPr>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6.</w:t>
      </w:r>
      <w:r>
        <w:rPr>
          <w:rFonts w:hint="eastAsia" w:ascii="宋体" w:hAnsi="宋体"/>
          <w:b/>
          <w:color w:val="000000" w:themeColor="text1"/>
          <w:sz w:val="24"/>
          <w14:textFill>
            <w14:solidFill>
              <w14:schemeClr w14:val="tx1"/>
            </w14:solidFill>
          </w14:textFill>
        </w:rPr>
        <w:t>货物的验收</w:t>
      </w:r>
    </w:p>
    <w:p w14:paraId="66A25B79">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6.1 甲方在收到乙方交付的货物后应当及时组织验收。</w:t>
      </w:r>
    </w:p>
    <w:p w14:paraId="442F9191">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6.2 货物的表面瑕疵，甲方应在验收时当面提出；对质量问题有异议的应在安装调试后十个工作日内提出。</w:t>
      </w:r>
    </w:p>
    <w:p w14:paraId="6C2B8FF0">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6.3 在验收过程中发现数量不足或有质量、技术等问题，乙方应负责按照甲方的要求采取补足、更换或退货等处理措施，并承担由此发生的一切费用和损失。</w:t>
      </w:r>
    </w:p>
    <w:p w14:paraId="7D21CA79">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6.4 甲方在乙方按合同规定交货或安装、调试后，无正当理由而拖延接收、验收或拒绝接收、验收的，应承担因此给乙方造成的直接损失。</w:t>
      </w:r>
    </w:p>
    <w:p w14:paraId="37C2CBE6">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6.5 甲方对货物进行检查验收合格后，应当收取发票并在《交货验收单》上签署验收意见及加盖单位印章。</w:t>
      </w:r>
    </w:p>
    <w:p w14:paraId="0FBACC98">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6.6 大型或者复杂的货物采购项目，甲方可以邀请国家认可的质量检测机构参加验收工作，并由其出具验收报告单。</w:t>
      </w:r>
    </w:p>
    <w:p w14:paraId="2D8C480D">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6.7 乙方提供的进口产品，乙方应出示中华人民共和国进出口商品检验部门出具的检验证书（招标文件第五章采购需求另有约定的除外）。</w:t>
      </w:r>
    </w:p>
    <w:p w14:paraId="6076BBB0">
      <w:pPr>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7.货物包装要求</w:t>
      </w:r>
    </w:p>
    <w:p w14:paraId="47B3CF19">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14:paraId="7E2E2000">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 每一个包装箱内应附一份详细装箱单、质量证书和保修保养证书。</w:t>
      </w:r>
    </w:p>
    <w:p w14:paraId="7239E169">
      <w:pPr>
        <w:adjustRightInd w:val="0"/>
        <w:snapToGrid w:val="0"/>
        <w:spacing w:before="50"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8.运输和保险</w:t>
      </w:r>
    </w:p>
    <w:p w14:paraId="257FCEBF">
      <w:pPr>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8.1乙方负责办理将货物运抵本合同第5.1条规定的交货地点的一切运输事项，相关费用应包括在合同总价中。</w:t>
      </w:r>
    </w:p>
    <w:p w14:paraId="0A980E2A">
      <w:pPr>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8.2乙方应向保险公司投保以甲方为受益人的发运合同货物发票金额的110％运输一切险。</w:t>
      </w:r>
    </w:p>
    <w:p w14:paraId="2AB12BCB">
      <w:pPr>
        <w:adjustRightInd w:val="0"/>
        <w:snapToGrid w:val="0"/>
        <w:spacing w:before="50"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9.质量标准和保证</w:t>
      </w:r>
    </w:p>
    <w:p w14:paraId="2ECD8014">
      <w:pPr>
        <w:pStyle w:val="13"/>
        <w:adjustRightInd w:val="0"/>
        <w:snapToGrid w:val="0"/>
        <w:spacing w:before="50" w:line="360" w:lineRule="auto"/>
        <w:ind w:firstLine="420" w:firstLineChars="200"/>
        <w:jc w:val="left"/>
        <w:rPr>
          <w:rFonts w:hAnsi="宋体"/>
          <w:b/>
          <w:color w:val="000000" w:themeColor="text1"/>
          <w14:textFill>
            <w14:solidFill>
              <w14:schemeClr w14:val="tx1"/>
            </w14:solidFill>
          </w14:textFill>
        </w:rPr>
      </w:pPr>
      <w:r>
        <w:rPr>
          <w:rFonts w:hint="eastAsia" w:hAnsi="宋体"/>
          <w:color w:val="000000" w:themeColor="text1"/>
          <w14:textFill>
            <w14:solidFill>
              <w14:schemeClr w14:val="tx1"/>
            </w14:solidFill>
          </w14:textFill>
        </w:rPr>
        <w:t>9.1 质量标准</w:t>
      </w:r>
    </w:p>
    <w:p w14:paraId="42D489A4">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（1）本合同下交付的货物应符合招标文件第四章“技术规格、参数与要求”所述的标准。如果没有提及适用标准，则应符合中华人民共和国有关机构发布的最新版本的标准。</w:t>
      </w:r>
    </w:p>
    <w:p w14:paraId="13912441">
      <w:pPr>
        <w:pStyle w:val="13"/>
        <w:adjustRightInd w:val="0"/>
        <w:snapToGrid w:val="0"/>
        <w:spacing w:before="50" w:line="360" w:lineRule="auto"/>
        <w:ind w:firstLine="420" w:firstLineChars="20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（2）采用中华人民共和国法定计量单位。</w:t>
      </w:r>
    </w:p>
    <w:p w14:paraId="05E979C5">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（3）乙方所出售的货物还应符合国家有关安全、环保、卫生之规定。</w:t>
      </w:r>
    </w:p>
    <w:p w14:paraId="2EBB4476">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9.2 保证</w:t>
      </w:r>
    </w:p>
    <w:p w14:paraId="79007628">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规定或乙方承诺（两者以较长的为准）的质量保证期内，本保证保持有效。</w:t>
      </w:r>
    </w:p>
    <w:p w14:paraId="09B3CA6C">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（2）在质量保证期内所发现的缺陷，甲方应尽快以书面形式通知乙方。</w:t>
      </w:r>
    </w:p>
    <w:p w14:paraId="6AAC9BC4">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（3）乙方收到通知后应在</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规定的响应时间内以合理的速度免费维修或更换有缺陷的货物或部件。</w:t>
      </w:r>
    </w:p>
    <w:p w14:paraId="527C5924">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（4）在质量保证期内，如果货物的质量或规格与合同不符，或证实货物是有缺陷的，包括潜在的缺陷或使用不符合要求的材料等，甲方可以根据本合同第15.1条规定以书面形式向乙方提出补救措施或索赔。</w:t>
      </w:r>
    </w:p>
    <w:p w14:paraId="69C70356">
      <w:pPr>
        <w:adjustRightInd w:val="0"/>
        <w:snapToGrid w:val="0"/>
        <w:spacing w:before="50" w:line="360" w:lineRule="auto"/>
        <w:ind w:firstLine="420" w:firstLineChars="200"/>
        <w:jc w:val="left"/>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（5）乙方在约定的时间内未能弥补缺陷，甲方可采取必要的补救措施，但其风险和费用将由乙方承担，甲方根据合同规定对乙方行使的其他权利不受影响。</w:t>
      </w:r>
    </w:p>
    <w:p w14:paraId="46997C39">
      <w:pPr>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10.权利瑕疵担保</w:t>
      </w:r>
    </w:p>
    <w:p w14:paraId="2F229AB6">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10.1 乙方保证对其出售的货物享有合法的权利。</w:t>
      </w:r>
    </w:p>
    <w:p w14:paraId="051277B5">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10.2 乙方保证在其出售的货物上不存在任何未曾向甲方透露的担保物权，如抵押权、质押权、留置权等。</w:t>
      </w:r>
    </w:p>
    <w:p w14:paraId="26F555E3">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10.3 如甲方使用该货物构成上述侵权的，则由乙方承担全部责任。</w:t>
      </w:r>
    </w:p>
    <w:p w14:paraId="19123431">
      <w:pPr>
        <w:autoSpaceDE w:val="0"/>
        <w:autoSpaceDN w:val="0"/>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11.知识产权保护</w:t>
      </w:r>
    </w:p>
    <w:p w14:paraId="53049C13">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11.1 乙方对其所销售的货物应当享有知识产权或经权利人合法授权，保证没有侵犯任何第三人的知识产权和商业秘密等权利。</w:t>
      </w:r>
    </w:p>
    <w:p w14:paraId="1A60D1F6">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11.2 甲方使用乙方提供的货物对第三人构成侵权的，应当由乙方承担全部法律责任，给甲方造成损害的，乙方应当承担赔偿责任。</w:t>
      </w:r>
    </w:p>
    <w:p w14:paraId="6F954C5D">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11.3 甲方委托乙方开发的产品，甲方享有知识产权，未经甲方许可不得转让任何第三人。</w:t>
      </w:r>
    </w:p>
    <w:p w14:paraId="59C6F094">
      <w:pPr>
        <w:autoSpaceDE w:val="0"/>
        <w:autoSpaceDN w:val="0"/>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12.保密义务</w:t>
      </w:r>
    </w:p>
    <w:p w14:paraId="1F823896">
      <w:pPr>
        <w:autoSpaceDE w:val="0"/>
        <w:autoSpaceDN w:val="0"/>
        <w:adjustRightInd w:val="0"/>
        <w:snapToGrid w:val="0"/>
        <w:spacing w:before="50" w:line="360" w:lineRule="auto"/>
        <w:ind w:firstLine="420" w:firstLineChars="200"/>
        <w:jc w:val="left"/>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12.1 甲、乙双方在采购和履行合同过程中所获悉的对方属于保密的内容，双方均有保密义务。保密义务期限为服务期内及合同终止后 3 年，涉及患者个人信息的保密义务长期有效</w:t>
      </w:r>
      <w:r>
        <w:rPr>
          <w:rFonts w:hint="eastAsia" w:ascii="宋体" w:hAnsi="宋体"/>
          <w:color w:val="000000" w:themeColor="text1"/>
          <w:szCs w:val="21"/>
          <w:lang w:eastAsia="zh-CN"/>
          <w14:textFill>
            <w14:solidFill>
              <w14:schemeClr w14:val="tx1"/>
            </w14:solidFill>
          </w14:textFill>
        </w:rPr>
        <w:t>。</w:t>
      </w:r>
    </w:p>
    <w:p w14:paraId="1F1653D7">
      <w:pPr>
        <w:autoSpaceDE w:val="0"/>
        <w:autoSpaceDN w:val="0"/>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13.合同价款支付</w:t>
      </w:r>
    </w:p>
    <w:p w14:paraId="752330E9">
      <w:pPr>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13.1验收合格后，乙方出具正规发票给甲方，凭甲方开具的《政府采购合同验收报告单》办理合同价</w:t>
      </w:r>
      <w:r>
        <w:rPr>
          <w:rFonts w:hint="eastAsia" w:ascii="宋体" w:hAnsi="宋体"/>
          <w:bCs/>
          <w:color w:val="000000" w:themeColor="text1"/>
          <w:szCs w:val="21"/>
          <w14:textFill>
            <w14:solidFill>
              <w14:schemeClr w14:val="tx1"/>
            </w14:solidFill>
          </w14:textFill>
        </w:rPr>
        <w:t>款</w:t>
      </w:r>
      <w:r>
        <w:rPr>
          <w:rFonts w:hint="eastAsia" w:ascii="宋体" w:hAnsi="宋体"/>
          <w:color w:val="000000" w:themeColor="text1"/>
          <w:szCs w:val="21"/>
          <w14:textFill>
            <w14:solidFill>
              <w14:schemeClr w14:val="tx1"/>
            </w14:solidFill>
          </w14:textFill>
        </w:rPr>
        <w:t>结算手续。</w:t>
      </w:r>
    </w:p>
    <w:p w14:paraId="087913B6">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13.2 合同价款构成中应当由财政支付的部分，甲方应当在货物验收合格后的十五个工作日内向国库管理部门申请支付，经国库管理部门审核后直接支付给乙方。</w:t>
      </w:r>
    </w:p>
    <w:p w14:paraId="636FC3F5">
      <w:pPr>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13.3 合同价款构成中应当由甲方自行支付的部分，甲方应当在货物验收合格后十五个工作内支付。</w:t>
      </w:r>
    </w:p>
    <w:p w14:paraId="1D0A33AA">
      <w:pPr>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13.4支付合同价</w:t>
      </w:r>
      <w:r>
        <w:rPr>
          <w:rFonts w:hint="eastAsia" w:ascii="宋体" w:hAnsi="宋体"/>
          <w:bCs/>
          <w:color w:val="000000" w:themeColor="text1"/>
          <w:szCs w:val="21"/>
          <w14:textFill>
            <w14:solidFill>
              <w14:schemeClr w14:val="tx1"/>
            </w14:solidFill>
          </w14:textFill>
        </w:rPr>
        <w:t>款</w:t>
      </w:r>
      <w:r>
        <w:rPr>
          <w:rFonts w:hint="eastAsia" w:ascii="宋体" w:hAnsi="宋体"/>
          <w:color w:val="000000" w:themeColor="text1"/>
          <w:szCs w:val="21"/>
          <w14:textFill>
            <w14:solidFill>
              <w14:schemeClr w14:val="tx1"/>
            </w14:solidFill>
          </w14:textFill>
        </w:rPr>
        <w:t>时，一律不向乙方以外的任何第三方办理付款手续。开户行和账号以签订的政府采购合同为准，如果乙方要求变更，则乙方必须提供加盖了财务专用章、法定代表人签字的证明文件，报经甲方审查同意。</w:t>
      </w:r>
    </w:p>
    <w:p w14:paraId="4C1C4BF2">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13.5 合同价款支付方式</w:t>
      </w:r>
      <w:r>
        <w:rPr>
          <w:rFonts w:hint="eastAsia" w:ascii="宋体" w:hAnsi="宋体"/>
          <w:bCs/>
          <w:color w:val="000000" w:themeColor="text1"/>
          <w:szCs w:val="21"/>
          <w14:textFill>
            <w14:solidFill>
              <w14:schemeClr w14:val="tx1"/>
            </w14:solidFill>
          </w14:textFill>
        </w:rPr>
        <w:t>和条件在</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中另有规定。</w:t>
      </w:r>
    </w:p>
    <w:p w14:paraId="7F89EC4B">
      <w:pPr>
        <w:autoSpaceDE w:val="0"/>
        <w:autoSpaceDN w:val="0"/>
        <w:adjustRightInd w:val="0"/>
        <w:snapToGrid w:val="0"/>
        <w:spacing w:before="50" w:line="360" w:lineRule="auto"/>
        <w:jc w:val="left"/>
        <w:rPr>
          <w:rFonts w:ascii="宋体" w:hAnsi="宋体"/>
          <w:b/>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14.</w:t>
      </w:r>
      <w:r>
        <w:rPr>
          <w:rFonts w:hint="eastAsia"/>
          <w:b/>
          <w:color w:val="000000" w:themeColor="text1"/>
          <w:sz w:val="24"/>
          <w14:textFill>
            <w14:solidFill>
              <w14:schemeClr w14:val="tx1"/>
            </w14:solidFill>
          </w14:textFill>
        </w:rPr>
        <w:t>乙方应提供的</w:t>
      </w:r>
      <w:r>
        <w:rPr>
          <w:rFonts w:hint="eastAsia" w:ascii="宋体" w:hAnsi="宋体"/>
          <w:b/>
          <w:color w:val="000000" w:themeColor="text1"/>
          <w:sz w:val="24"/>
          <w14:textFill>
            <w14:solidFill>
              <w14:schemeClr w14:val="tx1"/>
            </w14:solidFill>
          </w14:textFill>
        </w:rPr>
        <w:t>服务</w:t>
      </w:r>
    </w:p>
    <w:p w14:paraId="690ADFEF">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14.1 乙方应向甲方提交所提供货物的技术文件，包括相应的中文技术文件，如：产品目录、图纸、操作手册、使用说明、维护手册或服务指南。这些文件应包装好随同货物一起发运。</w:t>
      </w:r>
    </w:p>
    <w:p w14:paraId="2CEE8001">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14.2 乙方还应提供下列服务：</w:t>
      </w:r>
    </w:p>
    <w:p w14:paraId="13E9293A">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（1）货物的现场移动、安装、调试、启动监督及技术支持；</w:t>
      </w:r>
    </w:p>
    <w:p w14:paraId="6E3C6BA8">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（2）提供货物组装和维修所需的专用工具和辅助材料；</w:t>
      </w:r>
    </w:p>
    <w:p w14:paraId="35F1874C">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（3）在合同各方商定的一定期限内对所有的货物实施运行监督、维修，但前提条件是该服务并不能免除乙方在质量保证期内所承担的义务；</w:t>
      </w:r>
    </w:p>
    <w:p w14:paraId="0F0D90FE">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（4）在制造商或项目现场就货物的安装、启动、运营、维护对甲方操作人员进行培训；</w:t>
      </w:r>
    </w:p>
    <w:p w14:paraId="6EE93A0C">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规定由乙方提供的其他服务。</w:t>
      </w:r>
    </w:p>
    <w:p w14:paraId="2F0F6D4B">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14.3 乙方提供的服务的费用应包含在合同价款中，甲方不再另行支付。</w:t>
      </w:r>
    </w:p>
    <w:p w14:paraId="3A0AEBC2">
      <w:pPr>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15.违约责任</w:t>
      </w:r>
    </w:p>
    <w:p w14:paraId="649BDFBD">
      <w:pPr>
        <w:adjustRightInd w:val="0"/>
        <w:snapToGrid w:val="0"/>
        <w:spacing w:before="50"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15.1质量瑕疵的补救措施和索赔</w:t>
      </w:r>
    </w:p>
    <w:p w14:paraId="60ACA15E">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14:paraId="218D90F4">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①乙方同意退货并将货款退还给甲方，由此发生的一切费用和损失由乙方承担。</w:t>
      </w:r>
    </w:p>
    <w:p w14:paraId="1F473780">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②根据货物的质量状况以及甲方所遭受的损失，经过甲乙双方商定降低货物的价格。</w:t>
      </w:r>
    </w:p>
    <w:p w14:paraId="120591AE">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647D02B9">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14:paraId="7C3E8A19">
      <w:pPr>
        <w:autoSpaceDE w:val="0"/>
        <w:autoSpaceDN w:val="0"/>
        <w:adjustRightInd w:val="0"/>
        <w:snapToGrid w:val="0"/>
        <w:spacing w:before="50"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15.2 迟延交货的违约责任</w:t>
      </w:r>
    </w:p>
    <w:p w14:paraId="0F074B88">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683CF99A">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（2）除本合同</w:t>
      </w:r>
      <w:r>
        <w:rPr>
          <w:rFonts w:hint="eastAsia" w:ascii="宋体" w:hAnsi="宋体"/>
          <w:bCs/>
          <w:color w:val="000000" w:themeColor="text1"/>
          <w:szCs w:val="21"/>
          <w14:textFill>
            <w14:solidFill>
              <w14:schemeClr w14:val="tx1"/>
            </w14:solidFill>
          </w14:textFill>
        </w:rPr>
        <w:t>第20条</w:t>
      </w:r>
      <w:r>
        <w:rPr>
          <w:rFonts w:hint="eastAsia" w:ascii="宋体" w:hAnsi="宋体"/>
          <w:color w:val="000000" w:themeColor="text1"/>
          <w:szCs w:val="21"/>
          <w14:textFill>
            <w14:solidFill>
              <w14:schemeClr w14:val="tx1"/>
            </w14:solidFill>
          </w14:textFill>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14:paraId="1C36E433">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如果乙方迟延交货，甲方有权终止全部或部分合同，并依其认为适当的条件和方法购买与未交货物类似的货物，乙方应对购买类似货物所超出的那部分费用负责。但是，乙方应继续执行合同中未终止的部分。</w:t>
      </w:r>
    </w:p>
    <w:p w14:paraId="1A42EB33">
      <w:pPr>
        <w:autoSpaceDE w:val="0"/>
        <w:autoSpaceDN w:val="0"/>
        <w:adjustRightInd w:val="0"/>
        <w:snapToGrid w:val="0"/>
        <w:spacing w:before="50"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16.合同的变更</w:t>
      </w:r>
    </w:p>
    <w:p w14:paraId="5297DFD1">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16.1 在合同履行过程中，甲、乙双方可就合同履行的时间、地点和方式等协商进行变更。协商一致后，双方应签订书面的补充协议。</w:t>
      </w:r>
    </w:p>
    <w:p w14:paraId="7C417259">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16.2 在不改变合同其他条款的前提下，甲方有权在合同价款百分之十的范围内追加与合同标的相同的货物或服务，并就此与乙方签订补充合同，乙方不得拒绝。</w:t>
      </w:r>
    </w:p>
    <w:p w14:paraId="42A0FB6C">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16.3 除双方签署书面协议，并成为合同不可分割的一部分外，本合同条件不得有任何变更。</w:t>
      </w:r>
    </w:p>
    <w:p w14:paraId="3F5EC273">
      <w:pPr>
        <w:autoSpaceDE w:val="0"/>
        <w:autoSpaceDN w:val="0"/>
        <w:adjustRightInd w:val="0"/>
        <w:snapToGrid w:val="0"/>
        <w:spacing w:before="50"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17.合同中止与终止</w:t>
      </w:r>
    </w:p>
    <w:p w14:paraId="12C4E7A0">
      <w:pPr>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17.1合同的中止</w:t>
      </w:r>
    </w:p>
    <w:p w14:paraId="14260409">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（1）合同在履行过程中，因采购计划调整，甲方可以要求中止履行，待计划确定后继续履行；</w:t>
      </w:r>
    </w:p>
    <w:p w14:paraId="3B7DC61D">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（2）合同履行过程中因供应商就采购过程或结果提起投诉的，甲方认为有必要或财政部门责令中止的，应当中止合同的履行。</w:t>
      </w:r>
    </w:p>
    <w:p w14:paraId="29E1E1A4">
      <w:pPr>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17.2合同的终止</w:t>
      </w:r>
    </w:p>
    <w:p w14:paraId="5AE65933">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（1）合同因有效期限届满而终止；</w:t>
      </w:r>
    </w:p>
    <w:p w14:paraId="273EDA60">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（2）乙方未能依照本合同约定条件履行合同，已构成根本性违约的，甲方有权终止本合同，并追究乙方的违约责任。</w:t>
      </w:r>
    </w:p>
    <w:p w14:paraId="6582BB4D">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（3）如果乙方丧失履约能力或被宣告破产，甲方可在任何时候以书面形式通知乙方终止合同而不给乙方补偿。</w:t>
      </w:r>
    </w:p>
    <w:p w14:paraId="0F995E9D">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（4）如果乙方在履行合同过程中有不正当竞争行为，甲方有权解除合同，并按《中华人民共和国反不正当竞争法》规定由有关部门追究其法律责任。</w:t>
      </w:r>
    </w:p>
    <w:p w14:paraId="120FA61C">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（5）如果合同的履行将损害国家利益或社会公共利益，甲方有权终止合同的履行，给乙方造成损失的予以相应补偿。</w:t>
      </w:r>
    </w:p>
    <w:p w14:paraId="5088F81C">
      <w:pPr>
        <w:autoSpaceDE w:val="0"/>
        <w:autoSpaceDN w:val="0"/>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18.合同转让和分包</w:t>
      </w:r>
    </w:p>
    <w:p w14:paraId="7BAF3CFE">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18.1 乙方不得以任何形式将合同转包。</w:t>
      </w:r>
    </w:p>
    <w:p w14:paraId="0BB5256D">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18.2 乙方未在投标文件中说明，不得将</w:t>
      </w:r>
      <w:r>
        <w:rPr>
          <w:rFonts w:hint="eastAsia" w:ascii="宋体" w:hAnsi="宋体"/>
          <w:bCs/>
          <w:color w:val="000000" w:themeColor="text1"/>
          <w:szCs w:val="21"/>
          <w14:textFill>
            <w14:solidFill>
              <w14:schemeClr w14:val="tx1"/>
            </w14:solidFill>
          </w14:textFill>
        </w:rPr>
        <w:t>合同</w:t>
      </w:r>
      <w:r>
        <w:rPr>
          <w:rFonts w:hint="eastAsia" w:ascii="宋体" w:hAnsi="宋体"/>
          <w:color w:val="000000" w:themeColor="text1"/>
          <w:szCs w:val="21"/>
          <w14:textFill>
            <w14:solidFill>
              <w14:schemeClr w14:val="tx1"/>
            </w14:solidFill>
          </w14:textFill>
        </w:rPr>
        <w:t>的非主体、非关键性工作分包给他人。</w:t>
      </w:r>
    </w:p>
    <w:p w14:paraId="2E2710EE">
      <w:pPr>
        <w:autoSpaceDE w:val="0"/>
        <w:autoSpaceDN w:val="0"/>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19.不可抗力</w:t>
      </w:r>
    </w:p>
    <w:p w14:paraId="7A0F062E">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19.1 不可抗力是指合同双方不可预见、不可避免、不可克服的自然灾害和社会事件。</w:t>
      </w:r>
    </w:p>
    <w:p w14:paraId="7B3079AB">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19.2 任何一方对由于不可抗力造成的部分或全部不能履行合同不承担违约责任。但迟延履行后发生不可抗力的，不能免除责任。</w:t>
      </w:r>
    </w:p>
    <w:p w14:paraId="03A15320">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19.3 遇有不可抗力的一方，应在三日内将事件的情况以书面形式通知另一方，并在事件发生后十日内，向另一方提交合同不能履行或部分不能履行或需要延期履行理由的报告。</w:t>
      </w:r>
    </w:p>
    <w:p w14:paraId="062EFDD0">
      <w:pPr>
        <w:autoSpaceDE w:val="0"/>
        <w:autoSpaceDN w:val="0"/>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20.解决争议的方法</w:t>
      </w:r>
    </w:p>
    <w:p w14:paraId="2AABE84A">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20.1 合同各方应通过友好协商，解决在执行合同过程中所发生的或与合同有关的一切争端。如从协商开始后十日内仍不能解决，可以向财政部门提请调解。</w:t>
      </w:r>
    </w:p>
    <w:p w14:paraId="5AC7CFC2">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20.2 调解不成可以按</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中约定中规定下列方式之一提起仲裁或诉讼：</w:t>
      </w:r>
    </w:p>
    <w:p w14:paraId="1B5F89D4">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（1）向甲方所在地仲裁机构提起仲裁；</w:t>
      </w:r>
    </w:p>
    <w:p w14:paraId="29586FB3">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（2）向甲方所在地人民法院提起诉讼。</w:t>
      </w:r>
    </w:p>
    <w:p w14:paraId="0AA30FD3">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20.3 如仲裁或诉讼事项不影响合同其它部分的履行，则在仲裁或诉讼期间，除正在进行仲裁或诉讼的部分外，合同的其它部分应继续执行。</w:t>
      </w:r>
    </w:p>
    <w:p w14:paraId="0DE11B42">
      <w:pPr>
        <w:autoSpaceDE w:val="0"/>
        <w:autoSpaceDN w:val="0"/>
        <w:adjustRightInd w:val="0"/>
        <w:snapToGrid w:val="0"/>
        <w:spacing w:before="50"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21.法律适用</w:t>
      </w:r>
    </w:p>
    <w:p w14:paraId="345DA125">
      <w:pPr>
        <w:autoSpaceDE w:val="0"/>
        <w:autoSpaceDN w:val="0"/>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21.1 本合同适用中华人民共和国现行法律、行政法规和规章，如合同条款与法律、行政法规和规章不一致的，按照法律、行政法规和规章修改本合同。</w:t>
      </w:r>
    </w:p>
    <w:p w14:paraId="4CE4AED8">
      <w:pPr>
        <w:autoSpaceDE w:val="0"/>
        <w:autoSpaceDN w:val="0"/>
        <w:adjustRightInd w:val="0"/>
        <w:snapToGrid w:val="0"/>
        <w:spacing w:before="50" w:line="360" w:lineRule="auto"/>
        <w:jc w:val="left"/>
        <w:rPr>
          <w:rFonts w:ascii="宋体" w:hAnsi="宋体"/>
          <w:b/>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22.</w:t>
      </w:r>
      <w:r>
        <w:rPr>
          <w:rFonts w:hint="eastAsia" w:ascii="宋体" w:hAnsi="宋体"/>
          <w:b/>
          <w:color w:val="000000" w:themeColor="text1"/>
          <w:sz w:val="24"/>
          <w14:textFill>
            <w14:solidFill>
              <w14:schemeClr w14:val="tx1"/>
            </w14:solidFill>
          </w14:textFill>
        </w:rPr>
        <w:t>通知</w:t>
      </w:r>
    </w:p>
    <w:p w14:paraId="6A71CADE">
      <w:pPr>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22.1本合同一方给另一方的通知均应采用书面形式，传真或快递送到本合同中规定的对方的地址和办理签收手续，</w:t>
      </w:r>
    </w:p>
    <w:p w14:paraId="7C4360C0">
      <w:pPr>
        <w:adjustRightInd w:val="0"/>
        <w:snapToGrid w:val="0"/>
        <w:spacing w:before="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22.2通知以送到之日或通知书中规定的生效之日起生效，两者中以较迟之日为准。</w:t>
      </w:r>
    </w:p>
    <w:p w14:paraId="073D1978">
      <w:pPr>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23. 合同未尽事项</w:t>
      </w:r>
    </w:p>
    <w:p w14:paraId="3586285B">
      <w:pPr>
        <w:adjustRightInd w:val="0"/>
        <w:snapToGrid w:val="0"/>
        <w:spacing w:before="50"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23.1合同未尽事项见</w:t>
      </w:r>
      <w:r>
        <w:rPr>
          <w:rFonts w:hint="eastAsia" w:ascii="宋体" w:hAnsi="宋体"/>
          <w:b/>
          <w:color w:val="000000" w:themeColor="text1"/>
          <w:szCs w:val="21"/>
          <w14:textFill>
            <w14:solidFill>
              <w14:schemeClr w14:val="tx1"/>
            </w14:solidFill>
          </w14:textFill>
        </w:rPr>
        <w:t>【政府采购合同专用条款】。</w:t>
      </w:r>
    </w:p>
    <w:p w14:paraId="6C30AE46">
      <w:pPr>
        <w:adjustRightInd w:val="0"/>
        <w:snapToGrid w:val="0"/>
        <w:spacing w:before="5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24.合同生效</w:t>
      </w:r>
    </w:p>
    <w:p w14:paraId="02C3C1F7">
      <w:pPr>
        <w:autoSpaceDE w:val="0"/>
        <w:autoSpaceDN w:val="0"/>
        <w:adjustRightInd w:val="0"/>
        <w:snapToGrid w:val="0"/>
        <w:spacing w:before="50" w:line="360" w:lineRule="auto"/>
        <w:ind w:firstLine="420" w:firstLineChars="200"/>
        <w:jc w:val="left"/>
        <w:rPr>
          <w:rFonts w:ascii="黑体" w:hAnsi="黑体" w:eastAsia="黑体"/>
          <w:b/>
          <w:bCs/>
          <w:color w:val="000000" w:themeColor="text1"/>
          <w:sz w:val="32"/>
          <w14:textFill>
            <w14:solidFill>
              <w14:schemeClr w14:val="tx1"/>
            </w14:solidFill>
          </w14:textFill>
        </w:rPr>
      </w:pPr>
      <w:r>
        <w:rPr>
          <w:rFonts w:hint="eastAsia" w:ascii="宋体" w:hAnsi="宋体"/>
          <w:color w:val="000000" w:themeColor="text1"/>
          <w:szCs w:val="21"/>
          <w14:textFill>
            <w14:solidFill>
              <w14:schemeClr w14:val="tx1"/>
            </w14:solidFill>
          </w14:textFill>
        </w:rPr>
        <w:t>24.1 本合同在合同双方签字盖章后生效。</w:t>
      </w:r>
      <w:r>
        <w:rPr>
          <w:rFonts w:ascii="黑体" w:hAnsi="黑体" w:eastAsia="黑体"/>
          <w:b/>
          <w:bCs/>
          <w:color w:val="000000" w:themeColor="text1"/>
          <w:sz w:val="32"/>
          <w14:textFill>
            <w14:solidFill>
              <w14:schemeClr w14:val="tx1"/>
            </w14:solidFill>
          </w14:textFill>
        </w:rPr>
        <w:br w:type="page"/>
      </w:r>
    </w:p>
    <w:p w14:paraId="2CF8B98E">
      <w:pPr>
        <w:pStyle w:val="3"/>
        <w:adjustRightInd w:val="0"/>
        <w:snapToGrid w:val="0"/>
        <w:jc w:val="center"/>
        <w:rPr>
          <w:rFonts w:ascii="黑体" w:hAnsi="华文中宋" w:eastAsia="黑体"/>
          <w:color w:val="000000" w:themeColor="text1"/>
          <w:sz w:val="28"/>
          <w:szCs w:val="28"/>
          <w14:textFill>
            <w14:solidFill>
              <w14:schemeClr w14:val="tx1"/>
            </w14:solidFill>
          </w14:textFill>
        </w:rPr>
      </w:pPr>
      <w:bookmarkStart w:id="154" w:name="_Toc20651239"/>
      <w:bookmarkStart w:id="155" w:name="_Toc15693"/>
      <w:bookmarkStart w:id="156" w:name="_Toc116977178"/>
      <w:r>
        <w:rPr>
          <w:rFonts w:hint="eastAsia" w:ascii="黑体" w:hAnsi="华文中宋" w:eastAsia="黑体"/>
          <w:color w:val="000000" w:themeColor="text1"/>
          <w:sz w:val="28"/>
          <w:szCs w:val="28"/>
          <w14:textFill>
            <w14:solidFill>
              <w14:schemeClr w14:val="tx1"/>
            </w14:solidFill>
          </w14:textFill>
        </w:rPr>
        <w:t>第三节 政府采购合同专用条款</w:t>
      </w:r>
      <w:bookmarkEnd w:id="154"/>
      <w:bookmarkEnd w:id="155"/>
      <w:bookmarkEnd w:id="156"/>
    </w:p>
    <w:p w14:paraId="6B760D70">
      <w:pPr>
        <w:adjustRightInd w:val="0"/>
        <w:snapToGrid w:val="0"/>
        <w:spacing w:line="360" w:lineRule="auto"/>
        <w:jc w:val="center"/>
        <w:rPr>
          <w:rFonts w:ascii="宋体" w:hAnsi="宋体"/>
          <w:color w:val="000000" w:themeColor="text1"/>
          <w:sz w:val="24"/>
          <w14:textFill>
            <w14:solidFill>
              <w14:schemeClr w14:val="tx1"/>
            </w14:solidFill>
          </w14:textFill>
        </w:rPr>
      </w:pPr>
    </w:p>
    <w:tbl>
      <w:tblPr>
        <w:tblStyle w:val="23"/>
        <w:tblW w:w="900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1843"/>
        <w:gridCol w:w="5464"/>
      </w:tblGrid>
      <w:tr w14:paraId="43B057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2D6DFEB7">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本章第二节</w:t>
            </w:r>
          </w:p>
          <w:p w14:paraId="4464F386">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第1.1款</w:t>
            </w:r>
          </w:p>
        </w:tc>
        <w:tc>
          <w:tcPr>
            <w:tcW w:w="1843" w:type="dxa"/>
            <w:noWrap w:val="0"/>
            <w:vAlign w:val="center"/>
          </w:tcPr>
          <w:p w14:paraId="6C11F850">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甲方名称、地址 </w:t>
            </w:r>
          </w:p>
        </w:tc>
        <w:tc>
          <w:tcPr>
            <w:tcW w:w="5464" w:type="dxa"/>
            <w:noWrap w:val="0"/>
            <w:vAlign w:val="center"/>
          </w:tcPr>
          <w:p w14:paraId="1FE4A565">
            <w:pPr>
              <w:pStyle w:val="14"/>
              <w:spacing w:line="240" w:lineRule="auto"/>
              <w:ind w:left="0" w:leftChars="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名称：怀化市鹤城区城市建设投资有限公司 </w:t>
            </w:r>
          </w:p>
          <w:p w14:paraId="1A0381C6">
            <w:pPr>
              <w:pStyle w:val="14"/>
              <w:spacing w:line="240" w:lineRule="auto"/>
              <w:ind w:left="0" w:leftChars="0"/>
              <w:rPr>
                <w:rFonts w:hint="default"/>
                <w:color w:val="000000" w:themeColor="text1"/>
                <w:lang w:val="en-US"/>
                <w14:textFill>
                  <w14:solidFill>
                    <w14:schemeClr w14:val="tx1"/>
                  </w14:solidFill>
                </w14:textFill>
              </w:rPr>
            </w:pPr>
            <w:r>
              <w:rPr>
                <w:rFonts w:hint="eastAsia"/>
                <w:color w:val="000000" w:themeColor="text1"/>
                <w:lang w:val="en-US" w:eastAsia="zh-CN"/>
                <w14:textFill>
                  <w14:solidFill>
                    <w14:schemeClr w14:val="tx1"/>
                  </w14:solidFill>
                </w14:textFill>
              </w:rPr>
              <w:t xml:space="preserve">地址：怀化市鹤城区 </w:t>
            </w:r>
          </w:p>
        </w:tc>
      </w:tr>
      <w:tr w14:paraId="453597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731AEDA1">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本章第二节</w:t>
            </w:r>
          </w:p>
          <w:p w14:paraId="0DF1760E">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第1.2（6）项</w:t>
            </w:r>
          </w:p>
        </w:tc>
        <w:tc>
          <w:tcPr>
            <w:tcW w:w="1843" w:type="dxa"/>
            <w:noWrap w:val="0"/>
            <w:vAlign w:val="center"/>
          </w:tcPr>
          <w:p w14:paraId="7F6FA539">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项目现场</w:t>
            </w:r>
          </w:p>
        </w:tc>
        <w:tc>
          <w:tcPr>
            <w:tcW w:w="5464" w:type="dxa"/>
            <w:noWrap w:val="0"/>
            <w:vAlign w:val="center"/>
          </w:tcPr>
          <w:p w14:paraId="39FC13EA">
            <w:pPr>
              <w:pStyle w:val="14"/>
              <w:spacing w:line="240" w:lineRule="auto"/>
              <w:ind w:left="0" w:leftChars="0"/>
              <w:rPr>
                <w:rFonts w:hint="eastAsia" w:ascii="宋体" w:hAnsi="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甲方指定地点</w:t>
            </w:r>
          </w:p>
        </w:tc>
      </w:tr>
      <w:tr w14:paraId="4F5E88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2D0E7655">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本章第二节</w:t>
            </w:r>
          </w:p>
          <w:p w14:paraId="44C77FD7">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第5.1款</w:t>
            </w:r>
          </w:p>
        </w:tc>
        <w:tc>
          <w:tcPr>
            <w:tcW w:w="1843" w:type="dxa"/>
            <w:noWrap w:val="0"/>
            <w:vAlign w:val="center"/>
          </w:tcPr>
          <w:p w14:paraId="2C30A73C">
            <w:pPr>
              <w:adjustRightInd w:val="0"/>
              <w:snapToGrid w:val="0"/>
              <w:spacing w:line="360" w:lineRule="auto"/>
              <w:jc w:val="left"/>
              <w:rPr>
                <w:rFonts w:ascii="宋体" w:hAnsi="宋体"/>
                <w:color w:val="auto"/>
                <w:szCs w:val="21"/>
              </w:rPr>
            </w:pPr>
            <w:r>
              <w:rPr>
                <w:rFonts w:hint="eastAsia" w:ascii="宋体" w:hAnsi="宋体"/>
                <w:color w:val="auto"/>
                <w:szCs w:val="21"/>
              </w:rPr>
              <w:t>履行合同的时间、地点及方式</w:t>
            </w:r>
          </w:p>
        </w:tc>
        <w:tc>
          <w:tcPr>
            <w:tcW w:w="5464" w:type="dxa"/>
            <w:noWrap w:val="0"/>
            <w:vAlign w:val="center"/>
          </w:tcPr>
          <w:p w14:paraId="47C1983D">
            <w:pPr>
              <w:adjustRightInd w:val="0"/>
              <w:snapToGrid w:val="0"/>
              <w:spacing w:line="360" w:lineRule="auto"/>
              <w:jc w:val="left"/>
              <w:rPr>
                <w:rFonts w:hint="eastAsia" w:ascii="宋体" w:hAnsi="宋体"/>
                <w:color w:val="auto"/>
                <w:szCs w:val="21"/>
                <w:lang w:val="en-US" w:eastAsia="zh-CN"/>
              </w:rPr>
            </w:pPr>
            <w:r>
              <w:rPr>
                <w:rFonts w:hint="eastAsia" w:ascii="宋体" w:hAnsi="宋体"/>
                <w:color w:val="auto"/>
                <w:szCs w:val="21"/>
                <w:lang w:val="en-US" w:eastAsia="zh-CN"/>
              </w:rPr>
              <w:t>工期</w:t>
            </w:r>
            <w:r>
              <w:rPr>
                <w:rFonts w:hint="eastAsia" w:ascii="宋体" w:hAnsi="宋体"/>
                <w:color w:val="auto"/>
                <w:szCs w:val="21"/>
              </w:rPr>
              <w:t>：</w:t>
            </w:r>
            <w:r>
              <w:rPr>
                <w:rFonts w:hint="eastAsia" w:ascii="宋体" w:hAnsi="宋体"/>
                <w:color w:val="auto"/>
                <w:szCs w:val="21"/>
                <w:lang w:val="en-US" w:eastAsia="zh-CN"/>
              </w:rPr>
              <w:t xml:space="preserve">60日历天  </w:t>
            </w:r>
          </w:p>
          <w:p w14:paraId="73A861D7">
            <w:pPr>
              <w:adjustRightInd w:val="0"/>
              <w:snapToGrid w:val="0"/>
              <w:spacing w:line="360" w:lineRule="auto"/>
              <w:jc w:val="left"/>
              <w:rPr>
                <w:rFonts w:ascii="宋体" w:hAnsi="宋体"/>
                <w:color w:val="auto"/>
                <w:szCs w:val="21"/>
              </w:rPr>
            </w:pPr>
            <w:r>
              <w:rPr>
                <w:rFonts w:hint="eastAsia" w:ascii="宋体" w:hAnsi="宋体"/>
                <w:color w:val="auto"/>
                <w:szCs w:val="21"/>
              </w:rPr>
              <w:t>地点：甲方指定地点</w:t>
            </w:r>
          </w:p>
          <w:p w14:paraId="7DEE3DF3">
            <w:pPr>
              <w:adjustRightInd w:val="0"/>
              <w:snapToGrid w:val="0"/>
              <w:spacing w:line="360" w:lineRule="auto"/>
              <w:jc w:val="left"/>
              <w:rPr>
                <w:rFonts w:ascii="宋体" w:hAnsi="宋体"/>
                <w:color w:val="auto"/>
                <w:szCs w:val="21"/>
              </w:rPr>
            </w:pPr>
            <w:r>
              <w:rPr>
                <w:rFonts w:ascii="宋体" w:hAnsi="宋体"/>
                <w:color w:val="auto"/>
                <w:szCs w:val="21"/>
              </w:rPr>
              <w:t>方式：按采购人要求完成。</w:t>
            </w:r>
          </w:p>
        </w:tc>
      </w:tr>
      <w:tr w14:paraId="77A28D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4E8B6497">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本章第二节</w:t>
            </w:r>
          </w:p>
          <w:p w14:paraId="08CF6600">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第9.2（1）项</w:t>
            </w:r>
          </w:p>
        </w:tc>
        <w:tc>
          <w:tcPr>
            <w:tcW w:w="1843" w:type="dxa"/>
            <w:noWrap w:val="0"/>
            <w:vAlign w:val="center"/>
          </w:tcPr>
          <w:p w14:paraId="48811A35">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质量保证</w:t>
            </w:r>
          </w:p>
        </w:tc>
        <w:tc>
          <w:tcPr>
            <w:tcW w:w="5464" w:type="dxa"/>
            <w:noWrap w:val="0"/>
            <w:vAlign w:val="center"/>
          </w:tcPr>
          <w:p w14:paraId="43915A97">
            <w:pPr>
              <w:autoSpaceDE w:val="0"/>
              <w:autoSpaceDN w:val="0"/>
              <w:adjustRightInd w:val="0"/>
              <w:snapToGrid w:val="0"/>
              <w:spacing w:line="360" w:lineRule="auto"/>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详见采购需求</w:t>
            </w:r>
          </w:p>
        </w:tc>
      </w:tr>
      <w:tr w14:paraId="150F3B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049AF0C2">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本章第二节</w:t>
            </w:r>
          </w:p>
          <w:p w14:paraId="281A3B9C">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第9.2（3）项</w:t>
            </w:r>
          </w:p>
        </w:tc>
        <w:tc>
          <w:tcPr>
            <w:tcW w:w="1843" w:type="dxa"/>
            <w:noWrap w:val="0"/>
            <w:vAlign w:val="center"/>
          </w:tcPr>
          <w:p w14:paraId="5BE8871F">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响应时间</w:t>
            </w:r>
          </w:p>
        </w:tc>
        <w:tc>
          <w:tcPr>
            <w:tcW w:w="5464" w:type="dxa"/>
            <w:noWrap w:val="0"/>
            <w:vAlign w:val="center"/>
          </w:tcPr>
          <w:p w14:paraId="21035BC3">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7*24小时</w:t>
            </w:r>
          </w:p>
        </w:tc>
      </w:tr>
      <w:tr w14:paraId="0694D7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07E00B78">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本章第二节</w:t>
            </w:r>
          </w:p>
          <w:p w14:paraId="46BEE3D2">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第13.5款</w:t>
            </w:r>
          </w:p>
        </w:tc>
        <w:tc>
          <w:tcPr>
            <w:tcW w:w="1843" w:type="dxa"/>
            <w:noWrap w:val="0"/>
            <w:vAlign w:val="center"/>
          </w:tcPr>
          <w:p w14:paraId="1A51F001">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合同价款支付方式</w:t>
            </w:r>
            <w:r>
              <w:rPr>
                <w:rFonts w:hint="eastAsia" w:ascii="宋体" w:hAnsi="宋体"/>
                <w:bCs/>
                <w:color w:val="000000" w:themeColor="text1"/>
                <w:szCs w:val="21"/>
                <w14:textFill>
                  <w14:solidFill>
                    <w14:schemeClr w14:val="tx1"/>
                  </w14:solidFill>
                </w14:textFill>
              </w:rPr>
              <w:t>和条件</w:t>
            </w:r>
          </w:p>
        </w:tc>
        <w:tc>
          <w:tcPr>
            <w:tcW w:w="5464" w:type="dxa"/>
            <w:noWrap w:val="0"/>
            <w:vAlign w:val="center"/>
          </w:tcPr>
          <w:p w14:paraId="64E821CC">
            <w:pPr>
              <w:adjustRightInd w:val="0"/>
              <w:snapToGrid w:val="0"/>
              <w:spacing w:line="360" w:lineRule="auto"/>
              <w:jc w:val="left"/>
              <w:rPr>
                <w:rFonts w:hint="eastAsia" w:ascii="宋体" w:hAnsi="宋体"/>
                <w:color w:val="000000" w:themeColor="text1"/>
                <w:szCs w:val="21"/>
                <w14:textFill>
                  <w14:solidFill>
                    <w14:schemeClr w14:val="tx1"/>
                  </w14:solidFill>
                </w14:textFill>
              </w:rPr>
            </w:pPr>
            <w:r>
              <w:rPr>
                <w:rFonts w:hint="eastAsia" w:ascii="宋体" w:hAnsi="宋体"/>
                <w:szCs w:val="21"/>
              </w:rPr>
              <w:t>详见采购需求</w:t>
            </w:r>
            <w:r>
              <w:rPr>
                <w:rFonts w:hint="eastAsia" w:ascii="宋体" w:hAnsi="宋体"/>
                <w:szCs w:val="21"/>
                <w:lang w:val="en-US" w:eastAsia="zh-CN"/>
              </w:rPr>
              <w:t>以及</w:t>
            </w:r>
            <w:r>
              <w:rPr>
                <w:rFonts w:hint="eastAsia" w:ascii="宋体" w:hAnsi="宋体"/>
                <w:color w:val="auto"/>
                <w:szCs w:val="21"/>
                <w:lang w:eastAsia="zh-CN"/>
              </w:rPr>
              <w:t>合同约定执行</w:t>
            </w:r>
          </w:p>
        </w:tc>
      </w:tr>
      <w:tr w14:paraId="4E21A0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26574A6D">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本章第二节</w:t>
            </w:r>
          </w:p>
          <w:p w14:paraId="480C1061">
            <w:pPr>
              <w:adjustRightInd w:val="0"/>
              <w:snapToGrid w:val="0"/>
              <w:spacing w:line="360" w:lineRule="auto"/>
              <w:jc w:val="center"/>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第20.2款</w:t>
            </w:r>
          </w:p>
        </w:tc>
        <w:tc>
          <w:tcPr>
            <w:tcW w:w="1843" w:type="dxa"/>
            <w:noWrap w:val="0"/>
            <w:vAlign w:val="center"/>
          </w:tcPr>
          <w:p w14:paraId="213A8579">
            <w:pPr>
              <w:adjustRightInd w:val="0"/>
              <w:snapToGrid w:val="0"/>
              <w:spacing w:line="360" w:lineRule="auto"/>
              <w:jc w:val="left"/>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解决争议的方式</w:t>
            </w:r>
          </w:p>
        </w:tc>
        <w:tc>
          <w:tcPr>
            <w:tcW w:w="5464" w:type="dxa"/>
            <w:noWrap w:val="0"/>
            <w:vAlign w:val="center"/>
          </w:tcPr>
          <w:p w14:paraId="25E5D58C">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 xml:space="preserve"> 诉讼</w:t>
            </w:r>
          </w:p>
          <w:p w14:paraId="765735AE">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 xml:space="preserve"> 仲裁</w:t>
            </w:r>
          </w:p>
        </w:tc>
      </w:tr>
      <w:tr w14:paraId="7FE829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18C563A1">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本章第二节</w:t>
            </w:r>
          </w:p>
          <w:p w14:paraId="228DFC5B">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第23.1款</w:t>
            </w:r>
          </w:p>
        </w:tc>
        <w:tc>
          <w:tcPr>
            <w:tcW w:w="1843" w:type="dxa"/>
            <w:noWrap w:val="0"/>
            <w:vAlign w:val="center"/>
          </w:tcPr>
          <w:p w14:paraId="6BFC3F64">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合同未尽事项</w:t>
            </w:r>
          </w:p>
        </w:tc>
        <w:tc>
          <w:tcPr>
            <w:tcW w:w="5464" w:type="dxa"/>
            <w:noWrap w:val="0"/>
            <w:vAlign w:val="center"/>
          </w:tcPr>
          <w:p w14:paraId="5CED7800">
            <w:pPr>
              <w:adjustRightInd w:val="0"/>
              <w:snapToGrid w:val="0"/>
              <w:spacing w:line="36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双方友好协商</w:t>
            </w:r>
          </w:p>
        </w:tc>
      </w:tr>
    </w:tbl>
    <w:p w14:paraId="252BB25C">
      <w:pPr>
        <w:pStyle w:val="6"/>
        <w:rPr>
          <w:rFonts w:hint="eastAsia" w:eastAsiaTheme="minorEastAsia"/>
          <w:color w:val="000000" w:themeColor="text1"/>
          <w:lang w:eastAsia="zh-CN"/>
          <w14:textFill>
            <w14:solidFill>
              <w14:schemeClr w14:val="tx1"/>
            </w14:solidFill>
          </w14:textFill>
        </w:rPr>
        <w:sectPr>
          <w:pgSz w:w="11906" w:h="16838"/>
          <w:pgMar w:top="1474" w:right="1474" w:bottom="1474" w:left="1588" w:header="851" w:footer="992" w:gutter="0"/>
          <w:pgNumType w:fmt="decimal"/>
          <w:cols w:space="720" w:num="1"/>
          <w:docGrid w:type="lines" w:linePitch="312" w:charSpace="0"/>
        </w:sectPr>
      </w:pPr>
      <w:r>
        <w:rPr>
          <w:rFonts w:hint="eastAsia" w:ascii="宋体" w:hAnsi="宋体"/>
          <w:b/>
          <w:color w:val="000000" w:themeColor="text1"/>
          <w:szCs w:val="21"/>
          <w:lang w:eastAsia="zh-CN"/>
          <w14:textFill>
            <w14:solidFill>
              <w14:schemeClr w14:val="tx1"/>
            </w14:solidFill>
          </w14:textFill>
        </w:rPr>
        <w:t>（</w:t>
      </w:r>
      <w:r>
        <w:rPr>
          <w:rFonts w:hint="eastAsia" w:asciiTheme="minorEastAsia" w:hAnsiTheme="minorEastAsia" w:eastAsiaTheme="minorEastAsia" w:cstheme="minorEastAsia"/>
          <w:b/>
          <w:color w:val="000000" w:themeColor="text1"/>
          <w:szCs w:val="21"/>
          <w14:textFill>
            <w14:solidFill>
              <w14:schemeClr w14:val="tx1"/>
            </w14:solidFill>
          </w14:textFill>
        </w:rPr>
        <w:t>具体合同内容按签订的合同为准</w:t>
      </w:r>
      <w:r>
        <w:rPr>
          <w:rFonts w:hint="eastAsia" w:asciiTheme="minorEastAsia" w:hAnsiTheme="minorEastAsia" w:eastAsiaTheme="minorEastAsia" w:cstheme="minorEastAsia"/>
          <w:b/>
          <w:color w:val="000000" w:themeColor="text1"/>
          <w:szCs w:val="21"/>
          <w:lang w:eastAsia="zh-CN"/>
          <w14:textFill>
            <w14:solidFill>
              <w14:schemeClr w14:val="tx1"/>
            </w14:solidFill>
          </w14:textFill>
        </w:rPr>
        <w:t>）</w:t>
      </w:r>
    </w:p>
    <w:p w14:paraId="65DE9064">
      <w:pPr>
        <w:keepNext/>
        <w:adjustRightInd w:val="0"/>
        <w:snapToGrid w:val="0"/>
        <w:spacing w:before="156" w:beforeLines="50" w:line="360" w:lineRule="auto"/>
        <w:jc w:val="center"/>
        <w:outlineLvl w:val="0"/>
        <w:rPr>
          <w:rFonts w:ascii="黑体" w:hAnsi="黑体" w:eastAsia="黑体"/>
          <w:b/>
          <w:bCs/>
          <w:color w:val="000000" w:themeColor="text1"/>
          <w:sz w:val="32"/>
          <w:szCs w:val="32"/>
          <w14:textFill>
            <w14:solidFill>
              <w14:schemeClr w14:val="tx1"/>
            </w14:solidFill>
          </w14:textFill>
        </w:rPr>
      </w:pPr>
      <w:bookmarkStart w:id="157" w:name="_Toc23950"/>
      <w:bookmarkStart w:id="158" w:name="_Toc19628646"/>
      <w:r>
        <w:rPr>
          <w:rFonts w:hint="eastAsia" w:ascii="黑体" w:hAnsi="黑体" w:eastAsia="黑体"/>
          <w:b/>
          <w:bCs/>
          <w:color w:val="000000" w:themeColor="text1"/>
          <w:sz w:val="32"/>
          <w:szCs w:val="32"/>
          <w14:textFill>
            <w14:solidFill>
              <w14:schemeClr w14:val="tx1"/>
            </w14:solidFill>
          </w14:textFill>
        </w:rPr>
        <w:t>第五章 响应文件组成</w:t>
      </w:r>
      <w:bookmarkEnd w:id="157"/>
      <w:bookmarkEnd w:id="158"/>
    </w:p>
    <w:p w14:paraId="209CBDC8">
      <w:pPr>
        <w:widowControl/>
        <w:tabs>
          <w:tab w:val="left" w:pos="753"/>
        </w:tabs>
        <w:adjustRightInd w:val="0"/>
        <w:snapToGrid w:val="0"/>
        <w:spacing w:before="156" w:beforeLines="50"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目录</w:t>
      </w:r>
    </w:p>
    <w:p w14:paraId="642869AA">
      <w:pPr>
        <w:adjustRightInd w:val="0"/>
        <w:snapToGrid w:val="0"/>
        <w:spacing w:before="156" w:beforeLines="50" w:line="360" w:lineRule="auto"/>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供应商的响应文件应包含以下部分：</w:t>
      </w:r>
    </w:p>
    <w:p w14:paraId="2E317508">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一</w:t>
      </w:r>
      <w:r>
        <w:rPr>
          <w:rFonts w:hint="eastAsia" w:ascii="宋体" w:hAnsi="宋体"/>
          <w:color w:val="000000" w:themeColor="text1"/>
          <w:szCs w:val="21"/>
          <w14:textFill>
            <w14:solidFill>
              <w14:schemeClr w14:val="tx1"/>
            </w14:solidFill>
          </w14:textFill>
        </w:rPr>
        <w:t>、报价表及报价文件(格式)</w:t>
      </w:r>
    </w:p>
    <w:p w14:paraId="1C3D116B">
      <w:pPr>
        <w:widowControl/>
        <w:tabs>
          <w:tab w:val="left" w:pos="753"/>
        </w:tabs>
        <w:adjustRightInd w:val="0"/>
        <w:snapToGrid w:val="0"/>
        <w:spacing w:before="156" w:beforeLines="50"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1</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谈判响应声明(格式)</w:t>
      </w:r>
    </w:p>
    <w:p w14:paraId="20D87EDD">
      <w:pPr>
        <w:widowControl/>
        <w:tabs>
          <w:tab w:val="left" w:pos="753"/>
        </w:tabs>
        <w:adjustRightInd w:val="0"/>
        <w:snapToGrid w:val="0"/>
        <w:spacing w:before="156" w:beforeLines="50" w:line="360" w:lineRule="auto"/>
        <w:ind w:firstLine="840" w:firstLineChars="400"/>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（2）、供应商资格声明(格式)</w:t>
      </w:r>
    </w:p>
    <w:p w14:paraId="730C4AD8">
      <w:pPr>
        <w:widowControl/>
        <w:tabs>
          <w:tab w:val="left" w:pos="753"/>
        </w:tabs>
        <w:adjustRightInd w:val="0"/>
        <w:snapToGrid w:val="0"/>
        <w:spacing w:before="156" w:beforeLines="50" w:line="360" w:lineRule="auto"/>
        <w:ind w:firstLine="840" w:firstLineChars="400"/>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（3）、湖南省政府采购供应商资格承诺函（格式）</w:t>
      </w:r>
    </w:p>
    <w:p w14:paraId="0279D905">
      <w:pPr>
        <w:widowControl/>
        <w:tabs>
          <w:tab w:val="left" w:pos="753"/>
        </w:tabs>
        <w:adjustRightInd w:val="0"/>
        <w:snapToGrid w:val="0"/>
        <w:spacing w:before="156" w:beforeLines="50"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三、保证金</w:t>
      </w:r>
    </w:p>
    <w:p w14:paraId="6680B3CD">
      <w:pPr>
        <w:widowControl/>
        <w:tabs>
          <w:tab w:val="left" w:pos="753"/>
        </w:tabs>
        <w:adjustRightInd w:val="0"/>
        <w:snapToGrid w:val="0"/>
        <w:spacing w:before="156" w:beforeLines="50"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四、法定代表人（单位负责人）身份证明(格式)</w:t>
      </w:r>
    </w:p>
    <w:p w14:paraId="34B51AD2">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五、供应商资格审查材料</w:t>
      </w:r>
    </w:p>
    <w:p w14:paraId="68A240D4">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六、采购需求响应</w:t>
      </w:r>
    </w:p>
    <w:p w14:paraId="536BCDCB">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七、合同条款偏离表</w:t>
      </w:r>
    </w:p>
    <w:p w14:paraId="3B3EAD67">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八、采购需求偏离表</w:t>
      </w:r>
    </w:p>
    <w:p w14:paraId="422B0A1E">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九、享受政府采购政策的证明资料</w:t>
      </w:r>
    </w:p>
    <w:p w14:paraId="55F9D138">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kern w:val="32"/>
          <w:szCs w:val="21"/>
          <w14:textFill>
            <w14:solidFill>
              <w14:schemeClr w14:val="tx1"/>
            </w14:solidFill>
          </w14:textFill>
        </w:rPr>
        <w:t>十、</w:t>
      </w:r>
      <w:r>
        <w:rPr>
          <w:rFonts w:hint="eastAsia" w:ascii="宋体" w:hAnsi="宋体"/>
          <w:color w:val="000000" w:themeColor="text1"/>
          <w:szCs w:val="21"/>
          <w14:textFill>
            <w14:solidFill>
              <w14:schemeClr w14:val="tx1"/>
            </w14:solidFill>
          </w14:textFill>
        </w:rPr>
        <w:t>响应标的符合谈判文件规定的证明文件</w:t>
      </w:r>
    </w:p>
    <w:p w14:paraId="0AFC2D8A">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十一、供应商认为需提供的其他资料（如有）</w:t>
      </w:r>
    </w:p>
    <w:p w14:paraId="7BBB16E0">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十二、最后报价</w:t>
      </w:r>
    </w:p>
    <w:p w14:paraId="0A22EF39">
      <w:pPr>
        <w:widowControl/>
        <w:tabs>
          <w:tab w:val="left" w:pos="753"/>
        </w:tabs>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11C6912">
      <w:pPr>
        <w:adjustRightInd w:val="0"/>
        <w:snapToGrid w:val="0"/>
        <w:spacing w:before="156" w:beforeLines="50" w:line="360" w:lineRule="auto"/>
        <w:rPr>
          <w:rFonts w:ascii="宋体"/>
          <w:color w:val="000000" w:themeColor="text1"/>
          <w14:textFill>
            <w14:solidFill>
              <w14:schemeClr w14:val="tx1"/>
            </w14:solidFill>
          </w14:textFill>
        </w:rPr>
      </w:pPr>
    </w:p>
    <w:p w14:paraId="10D60D22">
      <w:pPr>
        <w:spacing w:line="360" w:lineRule="exact"/>
        <w:jc w:val="center"/>
        <w:rPr>
          <w:rFonts w:ascii="黑体" w:eastAsia="黑体"/>
          <w:b/>
          <w:color w:val="000000" w:themeColor="text1"/>
          <w:sz w:val="32"/>
          <w:szCs w:val="32"/>
          <w14:textFill>
            <w14:solidFill>
              <w14:schemeClr w14:val="tx1"/>
            </w14:solidFill>
          </w14:textFill>
        </w:rPr>
      </w:pPr>
    </w:p>
    <w:p w14:paraId="05046E40">
      <w:pPr>
        <w:spacing w:line="360" w:lineRule="exact"/>
        <w:jc w:val="center"/>
        <w:rPr>
          <w:rFonts w:ascii="黑体" w:eastAsia="黑体"/>
          <w:b/>
          <w:color w:val="000000" w:themeColor="text1"/>
          <w:sz w:val="32"/>
          <w:szCs w:val="32"/>
          <w14:textFill>
            <w14:solidFill>
              <w14:schemeClr w14:val="tx1"/>
            </w14:solidFill>
          </w14:textFill>
        </w:rPr>
      </w:pPr>
    </w:p>
    <w:p w14:paraId="43253651">
      <w:pPr>
        <w:spacing w:line="360" w:lineRule="exact"/>
        <w:jc w:val="center"/>
        <w:rPr>
          <w:rFonts w:ascii="黑体" w:eastAsia="黑体"/>
          <w:b/>
          <w:color w:val="000000" w:themeColor="text1"/>
          <w:sz w:val="32"/>
          <w:szCs w:val="32"/>
          <w14:textFill>
            <w14:solidFill>
              <w14:schemeClr w14:val="tx1"/>
            </w14:solidFill>
          </w14:textFill>
        </w:rPr>
      </w:pPr>
    </w:p>
    <w:p w14:paraId="4CD17A82">
      <w:pPr>
        <w:spacing w:line="360" w:lineRule="exact"/>
        <w:jc w:val="center"/>
        <w:rPr>
          <w:rFonts w:ascii="黑体" w:eastAsia="黑体"/>
          <w:b/>
          <w:color w:val="000000" w:themeColor="text1"/>
          <w:sz w:val="32"/>
          <w:szCs w:val="32"/>
          <w14:textFill>
            <w14:solidFill>
              <w14:schemeClr w14:val="tx1"/>
            </w14:solidFill>
          </w14:textFill>
        </w:rPr>
      </w:pPr>
    </w:p>
    <w:p w14:paraId="55298587">
      <w:pPr>
        <w:spacing w:line="360" w:lineRule="exact"/>
        <w:jc w:val="center"/>
        <w:rPr>
          <w:rFonts w:ascii="黑体" w:eastAsia="黑体"/>
          <w:b/>
          <w:color w:val="000000" w:themeColor="text1"/>
          <w:sz w:val="32"/>
          <w:szCs w:val="32"/>
          <w14:textFill>
            <w14:solidFill>
              <w14:schemeClr w14:val="tx1"/>
            </w14:solidFill>
          </w14:textFill>
        </w:rPr>
      </w:pPr>
    </w:p>
    <w:p w14:paraId="732D4F37">
      <w:pPr>
        <w:spacing w:line="360" w:lineRule="exact"/>
        <w:jc w:val="center"/>
        <w:rPr>
          <w:rFonts w:ascii="黑体" w:eastAsia="黑体"/>
          <w:b/>
          <w:color w:val="000000" w:themeColor="text1"/>
          <w:sz w:val="32"/>
          <w:szCs w:val="32"/>
          <w14:textFill>
            <w14:solidFill>
              <w14:schemeClr w14:val="tx1"/>
            </w14:solidFill>
          </w14:textFill>
        </w:rPr>
      </w:pPr>
    </w:p>
    <w:p w14:paraId="6A298879">
      <w:pPr>
        <w:spacing w:line="360" w:lineRule="exact"/>
        <w:jc w:val="center"/>
        <w:rPr>
          <w:rFonts w:ascii="黑体" w:eastAsia="黑体"/>
          <w:b/>
          <w:color w:val="000000" w:themeColor="text1"/>
          <w:sz w:val="32"/>
          <w:szCs w:val="32"/>
          <w14:textFill>
            <w14:solidFill>
              <w14:schemeClr w14:val="tx1"/>
            </w14:solidFill>
          </w14:textFill>
        </w:rPr>
      </w:pPr>
    </w:p>
    <w:p w14:paraId="74D78CA7">
      <w:pPr>
        <w:spacing w:line="360" w:lineRule="exact"/>
        <w:jc w:val="center"/>
        <w:rPr>
          <w:rFonts w:ascii="黑体" w:eastAsia="黑体"/>
          <w:b/>
          <w:color w:val="000000" w:themeColor="text1"/>
          <w:sz w:val="32"/>
          <w:szCs w:val="32"/>
          <w14:textFill>
            <w14:solidFill>
              <w14:schemeClr w14:val="tx1"/>
            </w14:solidFill>
          </w14:textFill>
        </w:rPr>
      </w:pPr>
    </w:p>
    <w:p w14:paraId="7F2F0C56">
      <w:pPr>
        <w:adjustRightInd w:val="0"/>
        <w:snapToGrid w:val="0"/>
        <w:spacing w:line="360" w:lineRule="auto"/>
        <w:jc w:val="center"/>
        <w:rPr>
          <w:rFonts w:ascii="黑体" w:eastAsia="黑体"/>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p>
    <w:p w14:paraId="2391C382">
      <w:pPr>
        <w:adjustRightInd w:val="0"/>
        <w:snapToGrid w:val="0"/>
        <w:spacing w:line="360" w:lineRule="auto"/>
        <w:jc w:val="center"/>
        <w:rPr>
          <w:rFonts w:ascii="黑体" w:eastAsia="黑体"/>
          <w:color w:val="000000" w:themeColor="text1"/>
          <w:sz w:val="32"/>
          <w:szCs w:val="32"/>
          <w14:textFill>
            <w14:solidFill>
              <w14:schemeClr w14:val="tx1"/>
            </w14:solidFill>
          </w14:textFill>
        </w:rPr>
      </w:pPr>
    </w:p>
    <w:p w14:paraId="3065D558">
      <w:pPr>
        <w:adjustRightInd w:val="0"/>
        <w:snapToGrid w:val="0"/>
        <w:spacing w:line="360" w:lineRule="auto"/>
        <w:jc w:val="center"/>
        <w:rPr>
          <w:rFonts w:hint="default" w:ascii="宋体" w:hAnsi="宋体" w:eastAsia="宋体" w:cs="Courier New"/>
          <w:b/>
          <w:bCs/>
          <w:color w:val="000000" w:themeColor="text1"/>
          <w:sz w:val="72"/>
          <w:szCs w:val="72"/>
          <w:lang w:val="en-US" w:eastAsia="zh-CN"/>
          <w14:textFill>
            <w14:solidFill>
              <w14:schemeClr w14:val="tx1"/>
            </w14:solidFill>
          </w14:textFill>
        </w:rPr>
      </w:pPr>
      <w:r>
        <w:rPr>
          <w:rFonts w:hint="eastAsia" w:ascii="宋体" w:hAnsi="宋体" w:cs="Courier New"/>
          <w:b/>
          <w:bCs/>
          <w:color w:val="000000" w:themeColor="text1"/>
          <w:sz w:val="72"/>
          <w:szCs w:val="72"/>
          <w:lang w:val="en-US" w:eastAsia="zh-CN"/>
          <w14:textFill>
            <w14:solidFill>
              <w14:schemeClr w14:val="tx1"/>
            </w14:solidFill>
          </w14:textFill>
        </w:rPr>
        <w:t xml:space="preserve"> 采购</w:t>
      </w:r>
    </w:p>
    <w:p w14:paraId="1FF9E8D4">
      <w:pPr>
        <w:adjustRightInd w:val="0"/>
        <w:snapToGrid w:val="0"/>
        <w:spacing w:line="360" w:lineRule="auto"/>
        <w:jc w:val="center"/>
        <w:rPr>
          <w:rFonts w:ascii="宋体" w:hAnsi="宋体"/>
          <w:b/>
          <w:bCs/>
          <w:color w:val="000000" w:themeColor="text1"/>
          <w:sz w:val="84"/>
          <w:szCs w:val="84"/>
          <w14:textFill>
            <w14:solidFill>
              <w14:schemeClr w14:val="tx1"/>
            </w14:solidFill>
          </w14:textFill>
        </w:rPr>
      </w:pPr>
      <w:r>
        <w:rPr>
          <w:rFonts w:hint="eastAsia" w:ascii="宋体" w:hAnsi="宋体"/>
          <w:b/>
          <w:bCs/>
          <w:color w:val="000000" w:themeColor="text1"/>
          <w:sz w:val="84"/>
          <w:szCs w:val="84"/>
          <w14:textFill>
            <w14:solidFill>
              <w14:schemeClr w14:val="tx1"/>
            </w14:solidFill>
          </w14:textFill>
        </w:rPr>
        <w:t>响 应 文 件</w:t>
      </w:r>
    </w:p>
    <w:p w14:paraId="6F7C9D0A">
      <w:pPr>
        <w:adjustRightInd w:val="0"/>
        <w:snapToGrid w:val="0"/>
        <w:spacing w:line="360" w:lineRule="auto"/>
        <w:rPr>
          <w:rFonts w:ascii="黑体" w:hAnsi="黑体" w:eastAsia="黑体"/>
          <w:b/>
          <w:color w:val="000000" w:themeColor="text1"/>
          <w:sz w:val="32"/>
          <w:szCs w:val="32"/>
          <w14:textFill>
            <w14:solidFill>
              <w14:schemeClr w14:val="tx1"/>
            </w14:solidFill>
          </w14:textFill>
        </w:rPr>
      </w:pPr>
    </w:p>
    <w:p w14:paraId="02A93963">
      <w:pPr>
        <w:adjustRightInd w:val="0"/>
        <w:snapToGrid w:val="0"/>
        <w:spacing w:line="360" w:lineRule="auto"/>
        <w:rPr>
          <w:rFonts w:ascii="宋体" w:hAnsi="宋体"/>
          <w:b/>
          <w:color w:val="000000" w:themeColor="text1"/>
          <w:sz w:val="30"/>
          <w:szCs w:val="30"/>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 xml:space="preserve">                     </w:t>
      </w:r>
    </w:p>
    <w:p w14:paraId="0D197623">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采购项目名称:</w:t>
      </w:r>
      <w:r>
        <w:rPr>
          <w:rFonts w:hint="eastAsia" w:ascii="宋体" w:hAnsi="宋体" w:cs="Courier New"/>
          <w:b/>
          <w:bCs/>
          <w:color w:val="000000" w:themeColor="text1"/>
          <w:sz w:val="30"/>
          <w:szCs w:val="30"/>
          <w:u w:val="single"/>
          <w14:textFill>
            <w14:solidFill>
              <w14:schemeClr w14:val="tx1"/>
            </w14:solidFill>
          </w14:textFill>
        </w:rPr>
        <w:t xml:space="preserve">                       </w:t>
      </w:r>
    </w:p>
    <w:p w14:paraId="0AA0C2AF">
      <w:pPr>
        <w:adjustRightInd w:val="0"/>
        <w:snapToGrid w:val="0"/>
        <w:spacing w:line="360" w:lineRule="auto"/>
        <w:ind w:firstLine="1988" w:firstLineChars="660"/>
        <w:rPr>
          <w:rFonts w:ascii="宋体" w:hAnsi="宋体" w:cs="Courier New"/>
          <w:b/>
          <w:bCs/>
          <w:color w:val="000000" w:themeColor="text1"/>
          <w:sz w:val="30"/>
          <w:szCs w:val="30"/>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采   购   人：</w:t>
      </w:r>
      <w:r>
        <w:rPr>
          <w:rFonts w:hint="eastAsia" w:ascii="宋体" w:hAnsi="宋体" w:cs="Courier New"/>
          <w:b/>
          <w:bCs/>
          <w:color w:val="000000" w:themeColor="text1"/>
          <w:sz w:val="30"/>
          <w:szCs w:val="30"/>
          <w:u w:val="single"/>
          <w14:textFill>
            <w14:solidFill>
              <w14:schemeClr w14:val="tx1"/>
            </w14:solidFill>
          </w14:textFill>
        </w:rPr>
        <w:t xml:space="preserve">                      </w:t>
      </w:r>
    </w:p>
    <w:p w14:paraId="237D8BA8">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采购编号:</w:t>
      </w:r>
      <w:r>
        <w:rPr>
          <w:rFonts w:hint="eastAsia" w:ascii="宋体" w:hAnsi="宋体" w:cs="Courier New"/>
          <w:b/>
          <w:bCs/>
          <w:color w:val="000000" w:themeColor="text1"/>
          <w:sz w:val="30"/>
          <w:szCs w:val="30"/>
          <w:u w:val="single"/>
          <w14:textFill>
            <w14:solidFill>
              <w14:schemeClr w14:val="tx1"/>
            </w14:solidFill>
          </w14:textFill>
        </w:rPr>
        <w:t xml:space="preserve">                   </w:t>
      </w:r>
    </w:p>
    <w:p w14:paraId="4F764655">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委托代理编号:</w:t>
      </w:r>
      <w:r>
        <w:rPr>
          <w:rFonts w:hint="eastAsia" w:ascii="宋体" w:hAnsi="宋体" w:cs="Courier New"/>
          <w:b/>
          <w:bCs/>
          <w:color w:val="000000" w:themeColor="text1"/>
          <w:sz w:val="30"/>
          <w:szCs w:val="30"/>
          <w:u w:val="single"/>
          <w14:textFill>
            <w14:solidFill>
              <w14:schemeClr w14:val="tx1"/>
            </w14:solidFill>
          </w14:textFill>
        </w:rPr>
        <w:t xml:space="preserve">                       </w:t>
      </w:r>
    </w:p>
    <w:p w14:paraId="2C66B278">
      <w:pPr>
        <w:adjustRightInd w:val="0"/>
        <w:snapToGrid w:val="0"/>
        <w:spacing w:line="360" w:lineRule="auto"/>
        <w:ind w:firstLine="1988" w:firstLineChars="660"/>
        <w:rPr>
          <w:rFonts w:ascii="宋体" w:hAnsi="宋体" w:cs="Courier New"/>
          <w:b/>
          <w:bCs/>
          <w:color w:val="000000" w:themeColor="text1"/>
          <w:sz w:val="30"/>
          <w:szCs w:val="30"/>
          <w:u w:val="single"/>
          <w14:textFill>
            <w14:solidFill>
              <w14:schemeClr w14:val="tx1"/>
            </w14:solidFill>
          </w14:textFill>
        </w:rPr>
      </w:pPr>
      <w:r>
        <w:rPr>
          <w:rFonts w:hint="eastAsia" w:ascii="宋体" w:hAnsi="宋体" w:cs="Courier New"/>
          <w:b/>
          <w:bCs/>
          <w:color w:val="000000" w:themeColor="text1"/>
          <w:sz w:val="30"/>
          <w:szCs w:val="30"/>
          <w14:textFill>
            <w14:solidFill>
              <w14:schemeClr w14:val="tx1"/>
            </w14:solidFill>
          </w14:textFill>
        </w:rPr>
        <w:t>采购代理机构：</w:t>
      </w:r>
      <w:r>
        <w:rPr>
          <w:rFonts w:hint="eastAsia" w:ascii="宋体" w:hAnsi="宋体" w:cs="Courier New"/>
          <w:b/>
          <w:bCs/>
          <w:color w:val="000000" w:themeColor="text1"/>
          <w:sz w:val="30"/>
          <w:szCs w:val="30"/>
          <w:u w:val="single"/>
          <w14:textFill>
            <w14:solidFill>
              <w14:schemeClr w14:val="tx1"/>
            </w14:solidFill>
          </w14:textFill>
        </w:rPr>
        <w:t xml:space="preserve">                      </w:t>
      </w:r>
    </w:p>
    <w:p w14:paraId="6E0342B1">
      <w:pPr>
        <w:adjustRightInd w:val="0"/>
        <w:snapToGrid w:val="0"/>
        <w:spacing w:line="360" w:lineRule="auto"/>
        <w:rPr>
          <w:rFonts w:ascii="黑体" w:hAnsi="黑体" w:eastAsia="黑体"/>
          <w:color w:val="000000" w:themeColor="text1"/>
          <w:sz w:val="30"/>
          <w:szCs w:val="30"/>
          <w14:textFill>
            <w14:solidFill>
              <w14:schemeClr w14:val="tx1"/>
            </w14:solidFill>
          </w14:textFill>
        </w:rPr>
      </w:pPr>
    </w:p>
    <w:p w14:paraId="322C66B0">
      <w:pPr>
        <w:adjustRightInd w:val="0"/>
        <w:snapToGrid w:val="0"/>
        <w:rPr>
          <w:rFonts w:ascii="黑体" w:hAnsi="宋体" w:eastAsia="黑体"/>
          <w:color w:val="000000" w:themeColor="text1"/>
          <w:sz w:val="30"/>
          <w:szCs w:val="30"/>
          <w14:textFill>
            <w14:solidFill>
              <w14:schemeClr w14:val="tx1"/>
            </w14:solidFill>
          </w14:textFill>
        </w:rPr>
      </w:pPr>
    </w:p>
    <w:p w14:paraId="668BAE99">
      <w:pPr>
        <w:adjustRightInd w:val="0"/>
        <w:snapToGrid w:val="0"/>
        <w:spacing w:line="360" w:lineRule="auto"/>
        <w:rPr>
          <w:rFonts w:ascii="黑体" w:hAnsi="宋体" w:eastAsia="黑体"/>
          <w:color w:val="000000" w:themeColor="text1"/>
          <w:sz w:val="30"/>
          <w:szCs w:val="30"/>
          <w14:textFill>
            <w14:solidFill>
              <w14:schemeClr w14:val="tx1"/>
            </w14:solidFill>
          </w14:textFill>
        </w:rPr>
      </w:pPr>
    </w:p>
    <w:p w14:paraId="009AE172">
      <w:pPr>
        <w:adjustRightInd w:val="0"/>
        <w:snapToGrid w:val="0"/>
        <w:spacing w:line="360" w:lineRule="auto"/>
        <w:rPr>
          <w:rFonts w:ascii="黑体" w:hAnsi="宋体" w:eastAsia="黑体"/>
          <w:color w:val="000000" w:themeColor="text1"/>
          <w:sz w:val="30"/>
          <w:szCs w:val="30"/>
          <w14:textFill>
            <w14:solidFill>
              <w14:schemeClr w14:val="tx1"/>
            </w14:solidFill>
          </w14:textFill>
        </w:rPr>
      </w:pPr>
    </w:p>
    <w:p w14:paraId="7FBF3E8F">
      <w:pPr>
        <w:adjustRightInd w:val="0"/>
        <w:snapToGrid w:val="0"/>
        <w:spacing w:line="360" w:lineRule="auto"/>
        <w:rPr>
          <w:rFonts w:ascii="黑体" w:hAnsi="宋体" w:eastAsia="黑体"/>
          <w:color w:val="000000" w:themeColor="text1"/>
          <w:sz w:val="30"/>
          <w:szCs w:val="30"/>
          <w14:textFill>
            <w14:solidFill>
              <w14:schemeClr w14:val="tx1"/>
            </w14:solidFill>
          </w14:textFill>
        </w:rPr>
      </w:pPr>
    </w:p>
    <w:p w14:paraId="345DC1EC">
      <w:pPr>
        <w:adjustRightInd w:val="0"/>
        <w:snapToGrid w:val="0"/>
        <w:spacing w:line="360" w:lineRule="auto"/>
        <w:ind w:firstLine="1984" w:firstLineChars="620"/>
        <w:rPr>
          <w:rFonts w:ascii="黑体" w:hAnsi="黑体" w:eastAsia="黑体"/>
          <w:color w:val="000000" w:themeColor="text1"/>
          <w:sz w:val="32"/>
          <w:szCs w:val="32"/>
          <w:u w:val="single"/>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供应商</w:t>
      </w:r>
      <w:r>
        <w:rPr>
          <w:rFonts w:hint="eastAsia" w:ascii="黑体" w:hAnsi="黑体" w:eastAsia="黑体"/>
          <w:color w:val="000000" w:themeColor="text1"/>
          <w:sz w:val="32"/>
          <w:szCs w:val="32"/>
          <w:u w:val="single"/>
          <w14:textFill>
            <w14:solidFill>
              <w14:schemeClr w14:val="tx1"/>
            </w14:solidFill>
          </w14:textFill>
        </w:rPr>
        <w:t xml:space="preserve">                         </w:t>
      </w:r>
    </w:p>
    <w:p w14:paraId="721F9D83">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年  月  日</w:t>
      </w:r>
    </w:p>
    <w:p w14:paraId="68B0D9F5">
      <w:pPr>
        <w:jc w:val="center"/>
        <w:rPr>
          <w:rFonts w:ascii="黑体" w:hAnsi="黑体" w:eastAsia="黑体"/>
          <w:color w:val="000000" w:themeColor="text1"/>
          <w:sz w:val="32"/>
          <w:szCs w:val="32"/>
          <w14:textFill>
            <w14:solidFill>
              <w14:schemeClr w14:val="tx1"/>
            </w14:solidFill>
          </w14:textFill>
        </w:rPr>
        <w:sectPr>
          <w:pgSz w:w="11906" w:h="16838"/>
          <w:pgMar w:top="1474" w:right="1474" w:bottom="1474" w:left="1588" w:header="851" w:footer="992" w:gutter="0"/>
          <w:pgNumType w:fmt="decimal"/>
          <w:cols w:space="720" w:num="1"/>
          <w:docGrid w:type="lines" w:linePitch="312" w:charSpace="0"/>
        </w:sectPr>
      </w:pPr>
    </w:p>
    <w:p w14:paraId="070689C5">
      <w:pPr>
        <w:keepNext/>
        <w:keepLines/>
        <w:spacing w:line="360" w:lineRule="auto"/>
        <w:outlineLvl w:val="1"/>
        <w:rPr>
          <w:rFonts w:ascii="宋体" w:hAnsi="宋体"/>
          <w:b/>
          <w:bCs/>
          <w:color w:val="000000" w:themeColor="text1"/>
          <w:szCs w:val="21"/>
          <w14:textFill>
            <w14:solidFill>
              <w14:schemeClr w14:val="tx1"/>
            </w14:solidFill>
          </w14:textFill>
        </w:rPr>
      </w:pPr>
      <w:bookmarkStart w:id="159" w:name="_Toc18229"/>
      <w:bookmarkStart w:id="160" w:name="_Toc22201151"/>
      <w:r>
        <w:rPr>
          <w:rFonts w:hint="eastAsia" w:ascii="宋体" w:hAnsi="宋体"/>
          <w:b/>
          <w:bCs/>
          <w:color w:val="000000" w:themeColor="text1"/>
          <w:szCs w:val="21"/>
          <w14:textFill>
            <w14:solidFill>
              <w14:schemeClr w14:val="tx1"/>
            </w14:solidFill>
          </w14:textFill>
        </w:rPr>
        <w:t>索引表 符合性审查索引表</w:t>
      </w:r>
      <w:bookmarkEnd w:id="159"/>
      <w:bookmarkEnd w:id="160"/>
    </w:p>
    <w:p w14:paraId="6DF03327">
      <w:pPr>
        <w:adjustRightInd w:val="0"/>
        <w:spacing w:before="156" w:beforeLines="50" w:line="360" w:lineRule="auto"/>
        <w:jc w:val="center"/>
        <w:rPr>
          <w:rFonts w:ascii="黑体" w:hAnsi="黑体" w:eastAsia="黑体"/>
          <w:b/>
          <w:color w:val="000000" w:themeColor="text1"/>
          <w:sz w:val="28"/>
          <w:szCs w:val="28"/>
          <w14:textFill>
            <w14:solidFill>
              <w14:schemeClr w14:val="tx1"/>
            </w14:solidFill>
          </w14:textFill>
        </w:rPr>
      </w:pPr>
      <w:r>
        <w:rPr>
          <w:rFonts w:hint="eastAsia" w:ascii="黑体" w:hAnsi="黑体" w:eastAsia="黑体"/>
          <w:b/>
          <w:color w:val="000000" w:themeColor="text1"/>
          <w:sz w:val="28"/>
          <w:szCs w:val="28"/>
          <w14:textFill>
            <w14:solidFill>
              <w14:schemeClr w14:val="tx1"/>
            </w14:solidFill>
          </w14:textFill>
        </w:rPr>
        <w:t>符合性审查索引表</w:t>
      </w:r>
    </w:p>
    <w:tbl>
      <w:tblPr>
        <w:tblStyle w:val="23"/>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89"/>
        <w:gridCol w:w="1871"/>
        <w:gridCol w:w="2410"/>
        <w:gridCol w:w="2268"/>
        <w:gridCol w:w="1722"/>
      </w:tblGrid>
      <w:tr w14:paraId="31A65C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center"/>
          </w:tcPr>
          <w:p w14:paraId="7EEF2F79">
            <w:pPr>
              <w:adjustRightInd w:val="0"/>
              <w:snapToGrid w:val="0"/>
              <w:spacing w:before="156" w:beforeLines="50" w:line="360" w:lineRule="auto"/>
              <w:jc w:val="center"/>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序号</w:t>
            </w:r>
          </w:p>
        </w:tc>
        <w:tc>
          <w:tcPr>
            <w:tcW w:w="1871" w:type="dxa"/>
            <w:tcBorders>
              <w:right w:val="single" w:color="auto" w:sz="4" w:space="0"/>
            </w:tcBorders>
            <w:noWrap w:val="0"/>
            <w:vAlign w:val="center"/>
          </w:tcPr>
          <w:p w14:paraId="26639B0D">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 w:val="20"/>
                <w:szCs w:val="21"/>
                <w14:textFill>
                  <w14:solidFill>
                    <w14:schemeClr w14:val="tx1"/>
                  </w14:solidFill>
                </w14:textFill>
              </w:rPr>
              <w:t>谈判文件条款号</w:t>
            </w:r>
          </w:p>
        </w:tc>
        <w:tc>
          <w:tcPr>
            <w:tcW w:w="2410" w:type="dxa"/>
            <w:tcBorders>
              <w:left w:val="single" w:color="auto" w:sz="4" w:space="0"/>
            </w:tcBorders>
            <w:noWrap w:val="0"/>
            <w:vAlign w:val="center"/>
          </w:tcPr>
          <w:p w14:paraId="5E6BE84B">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审查内容及标准</w:t>
            </w:r>
          </w:p>
        </w:tc>
        <w:tc>
          <w:tcPr>
            <w:tcW w:w="2268" w:type="dxa"/>
            <w:noWrap w:val="0"/>
            <w:vAlign w:val="center"/>
          </w:tcPr>
          <w:p w14:paraId="3438D8EC">
            <w:pPr>
              <w:adjustRightInd w:val="0"/>
              <w:snapToGrid w:val="0"/>
              <w:spacing w:before="156" w:beforeLines="50" w:line="360" w:lineRule="auto"/>
              <w:jc w:val="center"/>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响应文件及证明材料</w:t>
            </w:r>
          </w:p>
        </w:tc>
        <w:tc>
          <w:tcPr>
            <w:tcW w:w="1722" w:type="dxa"/>
            <w:noWrap w:val="0"/>
            <w:vAlign w:val="center"/>
          </w:tcPr>
          <w:p w14:paraId="305EA30F">
            <w:pPr>
              <w:adjustRightInd w:val="0"/>
              <w:snapToGrid w:val="0"/>
              <w:spacing w:before="156" w:beforeLines="50" w:line="360" w:lineRule="auto"/>
              <w:jc w:val="center"/>
              <w:rPr>
                <w:rFonts w:ascii="宋体" w:hAnsi="宋体"/>
                <w:b/>
                <w:color w:val="000000" w:themeColor="text1"/>
                <w:kern w:val="0"/>
                <w:sz w:val="2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响应文件对应内容的册及页码</w:t>
            </w:r>
          </w:p>
        </w:tc>
      </w:tr>
      <w:tr w14:paraId="2189EE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3A12E4E5">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p>
        </w:tc>
        <w:tc>
          <w:tcPr>
            <w:tcW w:w="1871" w:type="dxa"/>
            <w:tcBorders>
              <w:right w:val="single" w:color="auto" w:sz="4" w:space="0"/>
            </w:tcBorders>
            <w:noWrap w:val="0"/>
            <w:vAlign w:val="top"/>
          </w:tcPr>
          <w:p w14:paraId="1682E5C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noWrap w:val="0"/>
            <w:vAlign w:val="top"/>
          </w:tcPr>
          <w:p w14:paraId="69634F9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noWrap w:val="0"/>
            <w:vAlign w:val="top"/>
          </w:tcPr>
          <w:p w14:paraId="502267F0">
            <w:pPr>
              <w:adjustRightInd w:val="0"/>
              <w:snapToGrid w:val="0"/>
              <w:spacing w:before="156" w:beforeLines="50" w:line="360" w:lineRule="auto"/>
              <w:jc w:val="center"/>
              <w:rPr>
                <w:rFonts w:ascii="宋体" w:hAnsi="宋体"/>
                <w:color w:val="000000" w:themeColor="text1"/>
                <w:kern w:val="0"/>
                <w:szCs w:val="21"/>
                <w14:textFill>
                  <w14:solidFill>
                    <w14:schemeClr w14:val="tx1"/>
                  </w14:solidFill>
                </w14:textFill>
              </w:rPr>
            </w:pPr>
          </w:p>
        </w:tc>
        <w:tc>
          <w:tcPr>
            <w:tcW w:w="1722" w:type="dxa"/>
            <w:noWrap w:val="0"/>
            <w:vAlign w:val="top"/>
          </w:tcPr>
          <w:p w14:paraId="309DABCF">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3F9225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074BF753">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noWrap w:val="0"/>
            <w:vAlign w:val="top"/>
          </w:tcPr>
          <w:p w14:paraId="695B845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noWrap w:val="0"/>
            <w:vAlign w:val="top"/>
          </w:tcPr>
          <w:p w14:paraId="511EFF12">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noWrap w:val="0"/>
            <w:vAlign w:val="top"/>
          </w:tcPr>
          <w:p w14:paraId="4E7F192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noWrap w:val="0"/>
            <w:vAlign w:val="top"/>
          </w:tcPr>
          <w:p w14:paraId="34EBFD0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6B1E5E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463ED966">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noWrap w:val="0"/>
            <w:vAlign w:val="top"/>
          </w:tcPr>
          <w:p w14:paraId="00AF26DC">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noWrap w:val="0"/>
            <w:vAlign w:val="top"/>
          </w:tcPr>
          <w:p w14:paraId="192E9C39">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noWrap w:val="0"/>
            <w:vAlign w:val="top"/>
          </w:tcPr>
          <w:p w14:paraId="1AAF5933">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noWrap w:val="0"/>
            <w:vAlign w:val="top"/>
          </w:tcPr>
          <w:p w14:paraId="74B3445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05A8F0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110B6D8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noWrap w:val="0"/>
            <w:vAlign w:val="top"/>
          </w:tcPr>
          <w:p w14:paraId="7375ACEC">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noWrap w:val="0"/>
            <w:vAlign w:val="top"/>
          </w:tcPr>
          <w:p w14:paraId="7637F2F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noWrap w:val="0"/>
            <w:vAlign w:val="top"/>
          </w:tcPr>
          <w:p w14:paraId="4F8E9C88">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noWrap w:val="0"/>
            <w:vAlign w:val="top"/>
          </w:tcPr>
          <w:p w14:paraId="6E2D49E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0B4569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60CC0B8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noWrap w:val="0"/>
            <w:vAlign w:val="top"/>
          </w:tcPr>
          <w:p w14:paraId="4DB9DC3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noWrap w:val="0"/>
            <w:vAlign w:val="top"/>
          </w:tcPr>
          <w:p w14:paraId="35A68EE6">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noWrap w:val="0"/>
            <w:vAlign w:val="top"/>
          </w:tcPr>
          <w:p w14:paraId="0AF746D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noWrap w:val="0"/>
            <w:vAlign w:val="top"/>
          </w:tcPr>
          <w:p w14:paraId="3ACE9DE0">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6DC40D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7F033248">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noWrap w:val="0"/>
            <w:vAlign w:val="top"/>
          </w:tcPr>
          <w:p w14:paraId="6BFC52F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noWrap w:val="0"/>
            <w:vAlign w:val="top"/>
          </w:tcPr>
          <w:p w14:paraId="6C20252E">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noWrap w:val="0"/>
            <w:vAlign w:val="top"/>
          </w:tcPr>
          <w:p w14:paraId="51F46D6F">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noWrap w:val="0"/>
            <w:vAlign w:val="top"/>
          </w:tcPr>
          <w:p w14:paraId="428DB560">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55B4BD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67F1E8C1">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noWrap w:val="0"/>
            <w:vAlign w:val="top"/>
          </w:tcPr>
          <w:p w14:paraId="0EB84C3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noWrap w:val="0"/>
            <w:vAlign w:val="top"/>
          </w:tcPr>
          <w:p w14:paraId="1FFA27B0">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noWrap w:val="0"/>
            <w:vAlign w:val="top"/>
          </w:tcPr>
          <w:p w14:paraId="6055B28F">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noWrap w:val="0"/>
            <w:vAlign w:val="top"/>
          </w:tcPr>
          <w:p w14:paraId="28AEBB89">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7F504D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2DCCF7A5">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noWrap w:val="0"/>
            <w:vAlign w:val="top"/>
          </w:tcPr>
          <w:p w14:paraId="6BE54123">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noWrap w:val="0"/>
            <w:vAlign w:val="top"/>
          </w:tcPr>
          <w:p w14:paraId="768B39D5">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noWrap w:val="0"/>
            <w:vAlign w:val="top"/>
          </w:tcPr>
          <w:p w14:paraId="7BEB19E6">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noWrap w:val="0"/>
            <w:vAlign w:val="top"/>
          </w:tcPr>
          <w:p w14:paraId="1027C38F">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2680A0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7701060B">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noWrap w:val="0"/>
            <w:vAlign w:val="top"/>
          </w:tcPr>
          <w:p w14:paraId="4A2E253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noWrap w:val="0"/>
            <w:vAlign w:val="top"/>
          </w:tcPr>
          <w:p w14:paraId="1AF40F1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noWrap w:val="0"/>
            <w:vAlign w:val="top"/>
          </w:tcPr>
          <w:p w14:paraId="1C0BB91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noWrap w:val="0"/>
            <w:vAlign w:val="top"/>
          </w:tcPr>
          <w:p w14:paraId="74300E0D">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12220D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noWrap w:val="0"/>
            <w:vAlign w:val="top"/>
          </w:tcPr>
          <w:p w14:paraId="77421F3B">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noWrap w:val="0"/>
            <w:vAlign w:val="top"/>
          </w:tcPr>
          <w:p w14:paraId="02DB819F">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noWrap w:val="0"/>
            <w:vAlign w:val="top"/>
          </w:tcPr>
          <w:p w14:paraId="2AB55537">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noWrap w:val="0"/>
            <w:vAlign w:val="top"/>
          </w:tcPr>
          <w:p w14:paraId="6FCC7C24">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noWrap w:val="0"/>
            <w:vAlign w:val="top"/>
          </w:tcPr>
          <w:p w14:paraId="3B6E7876">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r w14:paraId="05DA6F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789" w:type="dxa"/>
            <w:noWrap w:val="0"/>
            <w:vAlign w:val="top"/>
          </w:tcPr>
          <w:p w14:paraId="02BE565B">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871" w:type="dxa"/>
            <w:tcBorders>
              <w:right w:val="single" w:color="auto" w:sz="4" w:space="0"/>
            </w:tcBorders>
            <w:noWrap w:val="0"/>
            <w:vAlign w:val="top"/>
          </w:tcPr>
          <w:p w14:paraId="5B460619">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410" w:type="dxa"/>
            <w:tcBorders>
              <w:left w:val="single" w:color="auto" w:sz="4" w:space="0"/>
            </w:tcBorders>
            <w:noWrap w:val="0"/>
            <w:vAlign w:val="top"/>
          </w:tcPr>
          <w:p w14:paraId="1347198F">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2268" w:type="dxa"/>
            <w:noWrap w:val="0"/>
            <w:vAlign w:val="top"/>
          </w:tcPr>
          <w:p w14:paraId="6E07386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c>
          <w:tcPr>
            <w:tcW w:w="1722" w:type="dxa"/>
            <w:noWrap w:val="0"/>
            <w:vAlign w:val="top"/>
          </w:tcPr>
          <w:p w14:paraId="6781CEEA">
            <w:pPr>
              <w:adjustRightInd w:val="0"/>
              <w:snapToGrid w:val="0"/>
              <w:spacing w:before="156" w:beforeLines="50" w:line="360" w:lineRule="auto"/>
              <w:jc w:val="center"/>
              <w:rPr>
                <w:rFonts w:ascii="宋体" w:hAnsi="宋体"/>
                <w:color w:val="000000" w:themeColor="text1"/>
                <w:kern w:val="0"/>
                <w:sz w:val="20"/>
                <w:szCs w:val="21"/>
                <w14:textFill>
                  <w14:solidFill>
                    <w14:schemeClr w14:val="tx1"/>
                  </w14:solidFill>
                </w14:textFill>
              </w:rPr>
            </w:pPr>
          </w:p>
        </w:tc>
      </w:tr>
    </w:tbl>
    <w:p w14:paraId="213CD605">
      <w:pPr>
        <w:rPr>
          <w:color w:val="000000" w:themeColor="text1"/>
          <w14:textFill>
            <w14:solidFill>
              <w14:schemeClr w14:val="tx1"/>
            </w14:solidFill>
          </w14:textFill>
        </w:rPr>
        <w:sectPr>
          <w:pgSz w:w="11906" w:h="16838"/>
          <w:pgMar w:top="1474" w:right="1474" w:bottom="1474" w:left="1588" w:header="851" w:footer="992" w:gutter="0"/>
          <w:pgNumType w:fmt="decimal"/>
          <w:cols w:space="720" w:num="1"/>
          <w:docGrid w:type="lines" w:linePitch="312" w:charSpace="0"/>
        </w:sectPr>
      </w:pPr>
    </w:p>
    <w:p w14:paraId="7A7750A0">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61" w:name="_Toc20591"/>
      <w:bookmarkStart w:id="162" w:name="_Toc107998028"/>
      <w:r>
        <w:rPr>
          <w:rFonts w:hint="eastAsia" w:ascii="黑体" w:hAnsi="黑体" w:eastAsia="黑体"/>
          <w:b/>
          <w:bCs/>
          <w:color w:val="000000" w:themeColor="text1"/>
          <w:sz w:val="28"/>
          <w:szCs w:val="28"/>
          <w14:textFill>
            <w14:solidFill>
              <w14:schemeClr w14:val="tx1"/>
            </w14:solidFill>
          </w14:textFill>
        </w:rPr>
        <w:t>一、报价表及报价文件(格式)</w:t>
      </w:r>
      <w:bookmarkEnd w:id="161"/>
      <w:bookmarkEnd w:id="162"/>
    </w:p>
    <w:p w14:paraId="45E2C333">
      <w:pPr>
        <w:keepNext/>
        <w:keepLines/>
        <w:spacing w:before="260" w:after="260" w:line="416" w:lineRule="auto"/>
        <w:outlineLvl w:val="2"/>
        <w:rPr>
          <w:rFonts w:ascii="仿宋_GB2312" w:hAnsi="宋体" w:eastAsia="仿宋_GB2312"/>
          <w:color w:val="000000" w:themeColor="text1"/>
          <w:sz w:val="24"/>
          <w14:textFill>
            <w14:solidFill>
              <w14:schemeClr w14:val="tx1"/>
            </w14:solidFill>
          </w14:textFill>
        </w:rPr>
      </w:pPr>
      <w:bookmarkStart w:id="163" w:name="_Toc107998029"/>
      <w:bookmarkStart w:id="164" w:name="_Toc12770"/>
      <w:r>
        <w:rPr>
          <w:rFonts w:hint="eastAsia" w:ascii="宋体" w:hAnsi="宋体"/>
          <w:b/>
          <w:bCs/>
          <w:color w:val="000000" w:themeColor="text1"/>
          <w:szCs w:val="21"/>
          <w14:textFill>
            <w14:solidFill>
              <w14:schemeClr w14:val="tx1"/>
            </w14:solidFill>
          </w14:textFill>
        </w:rPr>
        <w:t>附件</w:t>
      </w:r>
      <w:r>
        <w:rPr>
          <w:rFonts w:ascii="宋体" w:hAnsi="宋体"/>
          <w:b/>
          <w:bCs/>
          <w:color w:val="000000" w:themeColor="text1"/>
          <w:szCs w:val="21"/>
          <w14:textFill>
            <w14:solidFill>
              <w14:schemeClr w14:val="tx1"/>
            </w14:solidFill>
          </w14:textFill>
        </w:rPr>
        <w:t>1</w:t>
      </w:r>
      <w:r>
        <w:rPr>
          <w:rFonts w:hint="eastAsia" w:ascii="宋体" w:hAnsi="宋体"/>
          <w:b/>
          <w:bCs/>
          <w:color w:val="000000" w:themeColor="text1"/>
          <w:szCs w:val="21"/>
          <w14:textFill>
            <w14:solidFill>
              <w14:schemeClr w14:val="tx1"/>
            </w14:solidFill>
          </w14:textFill>
        </w:rPr>
        <w:t>-1 报价表</w:t>
      </w:r>
      <w:bookmarkEnd w:id="163"/>
      <w:r>
        <w:rPr>
          <w:rFonts w:hint="eastAsia" w:ascii="宋体" w:hAnsi="宋体"/>
          <w:b/>
          <w:bCs/>
          <w:color w:val="000000" w:themeColor="text1"/>
          <w:szCs w:val="21"/>
          <w:lang w:val="en-US" w:eastAsia="zh-CN"/>
          <w14:textFill>
            <w14:solidFill>
              <w14:schemeClr w14:val="tx1"/>
            </w14:solidFill>
          </w14:textFill>
        </w:rPr>
        <w:t xml:space="preserve">                     </w:t>
      </w:r>
      <w:r>
        <w:rPr>
          <w:rFonts w:hint="eastAsia" w:ascii="黑体" w:hAnsi="黑体" w:eastAsia="黑体"/>
          <w:b/>
          <w:color w:val="000000" w:themeColor="text1"/>
          <w:sz w:val="28"/>
          <w:szCs w:val="28"/>
          <w14:textFill>
            <w14:solidFill>
              <w14:schemeClr w14:val="tx1"/>
            </w14:solidFill>
          </w14:textFill>
        </w:rPr>
        <w:t>报价表</w:t>
      </w:r>
      <w:bookmarkEnd w:id="164"/>
    </w:p>
    <w:tbl>
      <w:tblPr>
        <w:tblStyle w:val="23"/>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34"/>
        <w:gridCol w:w="3222"/>
        <w:gridCol w:w="1535"/>
        <w:gridCol w:w="1747"/>
      </w:tblGrid>
      <w:tr w14:paraId="188E95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1934" w:type="dxa"/>
            <w:vMerge w:val="restart"/>
            <w:tcBorders>
              <w:tl2br w:val="nil"/>
              <w:tr2bl w:val="nil"/>
            </w:tcBorders>
            <w:noWrap w:val="0"/>
            <w:vAlign w:val="center"/>
          </w:tcPr>
          <w:p w14:paraId="51BB6C43">
            <w:pPr>
              <w:widowControl/>
              <w:ind w:left="-88" w:leftChars="-42"/>
              <w:jc w:val="center"/>
              <w:rPr>
                <w:rFonts w:hint="eastAsia" w:ascii="宋体" w:hAnsi="宋体" w:eastAsia="宋体" w:cs="宋体"/>
                <w:color w:val="auto"/>
                <w:szCs w:val="21"/>
              </w:rPr>
            </w:pPr>
            <w:r>
              <w:rPr>
                <w:rFonts w:hint="eastAsia" w:ascii="宋体" w:hAnsi="宋体" w:eastAsia="宋体" w:cs="宋体"/>
                <w:i w:val="0"/>
                <w:iCs w:val="0"/>
                <w:caps w:val="0"/>
                <w:color w:val="000000"/>
                <w:spacing w:val="0"/>
                <w:kern w:val="0"/>
                <w:sz w:val="21"/>
                <w:szCs w:val="21"/>
                <w:lang w:val="en-US" w:eastAsia="zh-CN" w:bidi="ar"/>
              </w:rPr>
              <w:t>采购项目名称</w:t>
            </w:r>
          </w:p>
        </w:tc>
        <w:tc>
          <w:tcPr>
            <w:tcW w:w="3222" w:type="dxa"/>
            <w:vMerge w:val="restart"/>
            <w:tcBorders>
              <w:tl2br w:val="nil"/>
              <w:tr2bl w:val="nil"/>
            </w:tcBorders>
            <w:noWrap w:val="0"/>
            <w:vAlign w:val="center"/>
          </w:tcPr>
          <w:p w14:paraId="15E10EB9">
            <w:pPr>
              <w:widowControl/>
              <w:ind w:left="-88" w:leftChars="-42"/>
              <w:jc w:val="center"/>
              <w:rPr>
                <w:rFonts w:hint="eastAsia" w:ascii="宋体" w:hAnsi="宋体" w:eastAsia="宋体" w:cs="宋体"/>
                <w:color w:val="auto"/>
                <w:szCs w:val="21"/>
              </w:rPr>
            </w:pPr>
          </w:p>
        </w:tc>
        <w:tc>
          <w:tcPr>
            <w:tcW w:w="1535" w:type="dxa"/>
            <w:tcBorders>
              <w:tl2br w:val="nil"/>
              <w:tr2bl w:val="nil"/>
            </w:tcBorders>
            <w:noWrap w:val="0"/>
            <w:vAlign w:val="center"/>
          </w:tcPr>
          <w:p w14:paraId="1B53F2E8">
            <w:pPr>
              <w:widowControl/>
              <w:ind w:left="-88" w:leftChars="-42"/>
              <w:jc w:val="center"/>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kern w:val="0"/>
                <w:sz w:val="21"/>
                <w:szCs w:val="21"/>
                <w:lang w:val="en-US" w:eastAsia="zh-CN" w:bidi="ar"/>
              </w:rPr>
              <w:t xml:space="preserve">采购编号 </w:t>
            </w:r>
          </w:p>
        </w:tc>
        <w:tc>
          <w:tcPr>
            <w:tcW w:w="1747" w:type="dxa"/>
            <w:tcBorders>
              <w:tl2br w:val="nil"/>
              <w:tr2bl w:val="nil"/>
            </w:tcBorders>
            <w:noWrap w:val="0"/>
            <w:vAlign w:val="center"/>
          </w:tcPr>
          <w:p w14:paraId="11DA6BEE">
            <w:pPr>
              <w:widowControl/>
              <w:ind w:left="-88" w:leftChars="-42"/>
              <w:jc w:val="center"/>
              <w:rPr>
                <w:rFonts w:hint="eastAsia" w:ascii="宋体" w:hAnsi="宋体" w:eastAsia="宋体" w:cs="宋体"/>
                <w:i w:val="0"/>
                <w:iCs w:val="0"/>
                <w:caps w:val="0"/>
                <w:color w:val="auto"/>
                <w:spacing w:val="0"/>
                <w:kern w:val="0"/>
                <w:sz w:val="21"/>
                <w:szCs w:val="21"/>
                <w:lang w:val="en-US" w:eastAsia="zh-CN" w:bidi="ar"/>
              </w:rPr>
            </w:pPr>
          </w:p>
        </w:tc>
      </w:tr>
      <w:tr w14:paraId="69CBE7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1934" w:type="dxa"/>
            <w:vMerge w:val="continue"/>
            <w:tcBorders>
              <w:tl2br w:val="nil"/>
              <w:tr2bl w:val="nil"/>
            </w:tcBorders>
            <w:noWrap w:val="0"/>
            <w:vAlign w:val="center"/>
          </w:tcPr>
          <w:p w14:paraId="350CA525">
            <w:pPr>
              <w:widowControl/>
              <w:ind w:left="-88" w:leftChars="-42"/>
              <w:jc w:val="center"/>
              <w:rPr>
                <w:rFonts w:hint="eastAsia" w:ascii="宋体" w:hAnsi="宋体" w:eastAsia="宋体" w:cs="宋体"/>
                <w:color w:val="auto"/>
                <w:szCs w:val="21"/>
              </w:rPr>
            </w:pPr>
          </w:p>
        </w:tc>
        <w:tc>
          <w:tcPr>
            <w:tcW w:w="3222" w:type="dxa"/>
            <w:vMerge w:val="continue"/>
            <w:tcBorders>
              <w:tl2br w:val="nil"/>
              <w:tr2bl w:val="nil"/>
            </w:tcBorders>
            <w:noWrap w:val="0"/>
            <w:vAlign w:val="center"/>
          </w:tcPr>
          <w:p w14:paraId="34D73D69">
            <w:pPr>
              <w:widowControl/>
              <w:ind w:left="-88" w:leftChars="-42"/>
              <w:jc w:val="center"/>
              <w:rPr>
                <w:rFonts w:hint="eastAsia" w:ascii="宋体" w:hAnsi="宋体" w:eastAsia="宋体" w:cs="宋体"/>
                <w:color w:val="auto"/>
                <w:szCs w:val="21"/>
              </w:rPr>
            </w:pPr>
          </w:p>
        </w:tc>
        <w:tc>
          <w:tcPr>
            <w:tcW w:w="1535" w:type="dxa"/>
            <w:tcBorders>
              <w:tl2br w:val="nil"/>
              <w:tr2bl w:val="nil"/>
            </w:tcBorders>
            <w:noWrap w:val="0"/>
            <w:vAlign w:val="center"/>
          </w:tcPr>
          <w:p w14:paraId="05C43F6B">
            <w:pPr>
              <w:widowControl/>
              <w:ind w:left="-88" w:leftChars="-42"/>
              <w:jc w:val="center"/>
              <w:rPr>
                <w:rFonts w:hint="eastAsia" w:ascii="宋体" w:hAnsi="宋体" w:eastAsia="宋体" w:cs="宋体"/>
                <w:color w:val="auto"/>
                <w:szCs w:val="21"/>
              </w:rPr>
            </w:pPr>
            <w:r>
              <w:rPr>
                <w:rFonts w:hint="eastAsia" w:ascii="宋体" w:hAnsi="宋体" w:eastAsia="宋体" w:cs="宋体"/>
                <w:i w:val="0"/>
                <w:iCs w:val="0"/>
                <w:caps w:val="0"/>
                <w:color w:val="auto"/>
                <w:spacing w:val="0"/>
                <w:kern w:val="0"/>
                <w:sz w:val="21"/>
                <w:szCs w:val="21"/>
                <w:lang w:val="en-US" w:eastAsia="zh-CN" w:bidi="ar"/>
              </w:rPr>
              <w:t>委托代理编号</w:t>
            </w:r>
          </w:p>
        </w:tc>
        <w:tc>
          <w:tcPr>
            <w:tcW w:w="1747" w:type="dxa"/>
            <w:tcBorders>
              <w:tl2br w:val="nil"/>
              <w:tr2bl w:val="nil"/>
            </w:tcBorders>
            <w:noWrap w:val="0"/>
            <w:vAlign w:val="center"/>
          </w:tcPr>
          <w:p w14:paraId="48347B16">
            <w:pPr>
              <w:widowControl/>
              <w:ind w:left="-88" w:leftChars="-42"/>
              <w:jc w:val="both"/>
              <w:rPr>
                <w:rFonts w:hint="eastAsia" w:ascii="宋体" w:hAnsi="宋体" w:eastAsia="宋体" w:cs="宋体"/>
                <w:color w:val="auto"/>
                <w:szCs w:val="21"/>
              </w:rPr>
            </w:pPr>
          </w:p>
        </w:tc>
      </w:tr>
      <w:tr w14:paraId="492FB5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49" w:hRule="atLeast"/>
        </w:trPr>
        <w:tc>
          <w:tcPr>
            <w:tcW w:w="1934" w:type="dxa"/>
            <w:tcBorders>
              <w:tl2br w:val="nil"/>
              <w:tr2bl w:val="nil"/>
            </w:tcBorders>
            <w:noWrap w:val="0"/>
            <w:vAlign w:val="center"/>
          </w:tcPr>
          <w:p w14:paraId="356265EC">
            <w:pPr>
              <w:adjustRightInd w:val="0"/>
              <w:snapToGrid w:val="0"/>
              <w:ind w:left="-88" w:leftChars="-42"/>
              <w:jc w:val="center"/>
              <w:rPr>
                <w:rFonts w:hint="eastAsia" w:ascii="宋体" w:hAnsi="宋体" w:eastAsia="宋体" w:cs="宋体"/>
                <w:b w:val="0"/>
                <w:bCs/>
                <w:color w:val="auto"/>
                <w:szCs w:val="21"/>
              </w:rPr>
            </w:pPr>
            <w:r>
              <w:rPr>
                <w:rFonts w:hint="eastAsia" w:ascii="宋体" w:hAnsi="宋体" w:eastAsia="宋体" w:cs="宋体"/>
                <w:b w:val="0"/>
                <w:bCs/>
                <w:color w:val="auto"/>
                <w:szCs w:val="21"/>
              </w:rPr>
              <w:t>总报价人民币</w:t>
            </w:r>
          </w:p>
        </w:tc>
        <w:tc>
          <w:tcPr>
            <w:tcW w:w="6504" w:type="dxa"/>
            <w:gridSpan w:val="3"/>
            <w:tcBorders>
              <w:tl2br w:val="nil"/>
              <w:tr2bl w:val="nil"/>
            </w:tcBorders>
            <w:noWrap w:val="0"/>
            <w:vAlign w:val="center"/>
          </w:tcPr>
          <w:p w14:paraId="3C3C1605">
            <w:pPr>
              <w:adjustRightInd w:val="0"/>
              <w:snapToGrid w:val="0"/>
              <w:ind w:left="-88" w:leftChars="-42" w:firstLine="105" w:firstLineChars="50"/>
              <w:rPr>
                <w:rFonts w:hint="eastAsia"/>
                <w:color w:val="auto"/>
              </w:rPr>
            </w:pPr>
            <w:r>
              <w:rPr>
                <w:rFonts w:hint="eastAsia"/>
                <w:color w:val="auto"/>
              </w:rPr>
              <w:t>大写：</w:t>
            </w:r>
            <w:r>
              <w:rPr>
                <w:rFonts w:hint="eastAsia"/>
                <w:color w:val="auto"/>
                <w:u w:val="single"/>
              </w:rPr>
              <w:t xml:space="preserve">                                     </w:t>
            </w:r>
            <w:r>
              <w:rPr>
                <w:rFonts w:hint="eastAsia"/>
                <w:color w:val="auto"/>
              </w:rPr>
              <w:t>元人民币整</w:t>
            </w:r>
          </w:p>
          <w:p w14:paraId="70266E2F">
            <w:pPr>
              <w:adjustRightInd w:val="0"/>
              <w:snapToGrid w:val="0"/>
              <w:ind w:left="-88" w:leftChars="-42" w:firstLine="105" w:firstLineChars="50"/>
              <w:rPr>
                <w:rFonts w:hint="eastAsia"/>
                <w:color w:val="auto"/>
              </w:rPr>
            </w:pPr>
          </w:p>
          <w:p w14:paraId="650E18D9">
            <w:pPr>
              <w:adjustRightInd w:val="0"/>
              <w:snapToGrid w:val="0"/>
              <w:ind w:left="-88" w:leftChars="-42" w:firstLine="105" w:firstLineChars="50"/>
              <w:rPr>
                <w:rFonts w:hint="eastAsia"/>
                <w:color w:val="auto"/>
              </w:rPr>
            </w:pPr>
            <w:r>
              <w:rPr>
                <w:rFonts w:hint="eastAsia"/>
                <w:color w:val="auto"/>
              </w:rPr>
              <w:t>小写：</w:t>
            </w:r>
            <w:r>
              <w:rPr>
                <w:rFonts w:hint="eastAsia"/>
                <w:color w:val="auto"/>
                <w:u w:val="single"/>
              </w:rPr>
              <w:t xml:space="preserve">                                     </w:t>
            </w:r>
            <w:r>
              <w:rPr>
                <w:rFonts w:hint="eastAsia"/>
                <w:color w:val="auto"/>
              </w:rPr>
              <w:t>元人民币整</w:t>
            </w:r>
          </w:p>
          <w:p w14:paraId="1FB5895E">
            <w:pPr>
              <w:pStyle w:val="3"/>
              <w:rPr>
                <w:rFonts w:hint="eastAsia"/>
                <w:color w:val="auto"/>
              </w:rPr>
            </w:pPr>
            <w:r>
              <w:rPr>
                <w:rFonts w:hint="eastAsia" w:ascii="宋体" w:hAnsi="宋体"/>
                <w:color w:val="auto"/>
                <w:kern w:val="0"/>
                <w:szCs w:val="21"/>
              </w:rPr>
              <w:t>（</w:t>
            </w:r>
            <w:r>
              <w:rPr>
                <w:rFonts w:hint="eastAsia" w:ascii="黑体" w:hAnsi="黑体" w:eastAsia="黑体"/>
                <w:color w:val="auto"/>
                <w:kern w:val="0"/>
                <w:sz w:val="24"/>
              </w:rPr>
              <w:t>大写金额与小写金额不一致时，以大写金额为准</w:t>
            </w:r>
            <w:r>
              <w:rPr>
                <w:rFonts w:hint="eastAsia" w:ascii="宋体" w:hAnsi="宋体"/>
                <w:color w:val="auto"/>
                <w:kern w:val="0"/>
                <w:szCs w:val="21"/>
              </w:rPr>
              <w:t>）</w:t>
            </w:r>
          </w:p>
        </w:tc>
      </w:tr>
      <w:tr w14:paraId="22D84A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1934" w:type="dxa"/>
            <w:tcBorders>
              <w:tl2br w:val="nil"/>
              <w:tr2bl w:val="nil"/>
            </w:tcBorders>
            <w:noWrap w:val="0"/>
            <w:vAlign w:val="center"/>
          </w:tcPr>
          <w:p w14:paraId="76901AAD">
            <w:pPr>
              <w:adjustRightInd w:val="0"/>
              <w:snapToGrid w:val="0"/>
              <w:ind w:left="-88" w:leftChars="-42"/>
              <w:jc w:val="center"/>
              <w:rPr>
                <w:rFonts w:hint="default" w:ascii="宋体" w:hAnsi="宋体" w:eastAsia="宋体" w:cs="宋体"/>
                <w:b w:val="0"/>
                <w:bCs/>
                <w:color w:val="auto"/>
                <w:kern w:val="2"/>
                <w:sz w:val="21"/>
                <w:szCs w:val="21"/>
                <w:lang w:val="en-US" w:eastAsia="zh-CN" w:bidi="ar-SA"/>
              </w:rPr>
            </w:pPr>
            <w:r>
              <w:rPr>
                <w:rFonts w:hint="eastAsia" w:ascii="宋体" w:hAnsi="宋体" w:cs="宋体"/>
                <w:b w:val="0"/>
                <w:bCs/>
                <w:color w:val="auto"/>
                <w:kern w:val="2"/>
                <w:sz w:val="21"/>
                <w:szCs w:val="21"/>
                <w:lang w:val="en-US" w:eastAsia="zh-CN" w:bidi="ar-SA"/>
              </w:rPr>
              <w:t>工期</w:t>
            </w:r>
          </w:p>
        </w:tc>
        <w:tc>
          <w:tcPr>
            <w:tcW w:w="6504" w:type="dxa"/>
            <w:gridSpan w:val="3"/>
            <w:tcBorders>
              <w:tl2br w:val="nil"/>
              <w:tr2bl w:val="nil"/>
            </w:tcBorders>
            <w:noWrap w:val="0"/>
            <w:vAlign w:val="center"/>
          </w:tcPr>
          <w:p w14:paraId="204AA4D5">
            <w:pPr>
              <w:pStyle w:val="3"/>
              <w:rPr>
                <w:rFonts w:hint="eastAsia" w:ascii="宋体" w:hAnsi="宋体"/>
                <w:color w:val="auto"/>
                <w:kern w:val="0"/>
                <w:szCs w:val="21"/>
              </w:rPr>
            </w:pPr>
          </w:p>
        </w:tc>
      </w:tr>
      <w:tr w14:paraId="43C4E8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1934" w:type="dxa"/>
            <w:tcBorders>
              <w:tl2br w:val="nil"/>
              <w:tr2bl w:val="nil"/>
            </w:tcBorders>
            <w:noWrap w:val="0"/>
            <w:vAlign w:val="center"/>
          </w:tcPr>
          <w:p w14:paraId="5D6A567E">
            <w:pPr>
              <w:adjustRightInd w:val="0"/>
              <w:snapToGrid w:val="0"/>
              <w:ind w:left="-88" w:leftChars="-42"/>
              <w:jc w:val="center"/>
              <w:rPr>
                <w:rFonts w:hint="eastAsia" w:ascii="宋体" w:hAnsi="宋体" w:eastAsia="宋体" w:cs="宋体"/>
                <w:b w:val="0"/>
                <w:bCs/>
                <w:color w:val="auto"/>
                <w:kern w:val="2"/>
                <w:sz w:val="21"/>
                <w:szCs w:val="21"/>
                <w:lang w:val="en-US" w:eastAsia="zh-CN" w:bidi="ar-SA"/>
              </w:rPr>
            </w:pPr>
            <w:r>
              <w:rPr>
                <w:rFonts w:hint="eastAsia" w:ascii="宋体" w:hAnsi="宋体" w:cs="宋体"/>
                <w:b w:val="0"/>
                <w:bCs/>
                <w:color w:val="auto"/>
                <w:szCs w:val="21"/>
                <w:lang w:eastAsia="zh-CN"/>
              </w:rPr>
              <w:t>项目负责人</w:t>
            </w:r>
          </w:p>
        </w:tc>
        <w:tc>
          <w:tcPr>
            <w:tcW w:w="6504" w:type="dxa"/>
            <w:gridSpan w:val="3"/>
            <w:tcBorders>
              <w:tl2br w:val="nil"/>
              <w:tr2bl w:val="nil"/>
            </w:tcBorders>
            <w:noWrap w:val="0"/>
            <w:vAlign w:val="center"/>
          </w:tcPr>
          <w:p w14:paraId="7A14852F">
            <w:pPr>
              <w:pStyle w:val="3"/>
              <w:rPr>
                <w:rFonts w:hint="eastAsia" w:ascii="宋体" w:hAnsi="宋体"/>
                <w:b w:val="0"/>
                <w:bCs w:val="0"/>
                <w:color w:val="auto"/>
                <w:kern w:val="0"/>
                <w:szCs w:val="21"/>
              </w:rPr>
            </w:pPr>
            <w:r>
              <w:rPr>
                <w:rFonts w:hint="eastAsia" w:ascii="宋体" w:hAnsi="宋体"/>
                <w:b w:val="0"/>
                <w:bCs w:val="0"/>
                <w:color w:val="auto"/>
                <w:kern w:val="0"/>
                <w:szCs w:val="21"/>
              </w:rPr>
              <w:t>姓名：</w:t>
            </w:r>
          </w:p>
          <w:p w14:paraId="53213790">
            <w:pPr>
              <w:pStyle w:val="3"/>
              <w:rPr>
                <w:rFonts w:hint="eastAsia" w:ascii="宋体" w:hAnsi="宋体"/>
                <w:b w:val="0"/>
                <w:bCs w:val="0"/>
                <w:color w:val="auto"/>
                <w:kern w:val="0"/>
                <w:szCs w:val="21"/>
              </w:rPr>
            </w:pPr>
            <w:r>
              <w:rPr>
                <w:rFonts w:hint="eastAsia" w:ascii="宋体" w:hAnsi="宋体"/>
                <w:b w:val="0"/>
                <w:bCs w:val="0"/>
                <w:color w:val="auto"/>
                <w:kern w:val="0"/>
                <w:szCs w:val="21"/>
              </w:rPr>
              <w:t>级别：</w:t>
            </w:r>
          </w:p>
          <w:p w14:paraId="4DDE82E2">
            <w:pPr>
              <w:pStyle w:val="3"/>
              <w:rPr>
                <w:rFonts w:hint="eastAsia" w:ascii="宋体" w:hAnsi="宋体"/>
                <w:b w:val="0"/>
                <w:bCs w:val="0"/>
                <w:color w:val="auto"/>
                <w:kern w:val="0"/>
                <w:szCs w:val="21"/>
              </w:rPr>
            </w:pPr>
            <w:r>
              <w:rPr>
                <w:rFonts w:hint="eastAsia" w:ascii="宋体" w:hAnsi="宋体"/>
                <w:b w:val="0"/>
                <w:bCs w:val="0"/>
                <w:color w:val="auto"/>
                <w:kern w:val="0"/>
                <w:szCs w:val="21"/>
              </w:rPr>
              <w:t>注册证号：</w:t>
            </w:r>
          </w:p>
          <w:p w14:paraId="1A649257">
            <w:pPr>
              <w:pStyle w:val="3"/>
              <w:rPr>
                <w:rFonts w:hint="eastAsia" w:ascii="宋体" w:hAnsi="宋体"/>
                <w:b w:val="0"/>
                <w:bCs w:val="0"/>
                <w:color w:val="auto"/>
                <w:kern w:val="0"/>
                <w:szCs w:val="21"/>
              </w:rPr>
            </w:pPr>
            <w:r>
              <w:rPr>
                <w:rFonts w:hint="eastAsia" w:ascii="宋体" w:hAnsi="宋体"/>
                <w:b w:val="0"/>
                <w:bCs w:val="0"/>
                <w:color w:val="auto"/>
                <w:kern w:val="0"/>
                <w:szCs w:val="21"/>
              </w:rPr>
              <w:t>B类安全生产考核合格证号：</w:t>
            </w:r>
          </w:p>
          <w:p w14:paraId="18EE7ECF">
            <w:pPr>
              <w:pStyle w:val="3"/>
              <w:rPr>
                <w:rFonts w:hint="eastAsia" w:ascii="宋体" w:hAnsi="宋体"/>
                <w:color w:val="auto"/>
                <w:kern w:val="0"/>
                <w:szCs w:val="21"/>
              </w:rPr>
            </w:pPr>
            <w:r>
              <w:rPr>
                <w:rFonts w:hint="eastAsia" w:ascii="宋体" w:hAnsi="宋体"/>
                <w:b w:val="0"/>
                <w:bCs w:val="0"/>
                <w:color w:val="auto"/>
                <w:kern w:val="0"/>
                <w:szCs w:val="21"/>
              </w:rPr>
              <w:t>身份证号：</w:t>
            </w:r>
          </w:p>
        </w:tc>
      </w:tr>
      <w:tr w14:paraId="0B761B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17" w:hRule="atLeast"/>
        </w:trPr>
        <w:tc>
          <w:tcPr>
            <w:tcW w:w="1934" w:type="dxa"/>
            <w:tcBorders>
              <w:tl2br w:val="nil"/>
              <w:tr2bl w:val="nil"/>
            </w:tcBorders>
            <w:noWrap w:val="0"/>
            <w:vAlign w:val="center"/>
          </w:tcPr>
          <w:p w14:paraId="5ACBA52D">
            <w:pPr>
              <w:adjustRightInd w:val="0"/>
              <w:snapToGrid w:val="0"/>
              <w:ind w:left="-88" w:leftChars="-42"/>
              <w:jc w:val="center"/>
              <w:rPr>
                <w:rFonts w:hint="eastAsia" w:ascii="宋体" w:hAnsi="宋体" w:eastAsia="宋体" w:cs="宋体"/>
                <w:b w:val="0"/>
                <w:bCs/>
                <w:color w:val="auto"/>
                <w:szCs w:val="21"/>
              </w:rPr>
            </w:pPr>
            <w:r>
              <w:rPr>
                <w:rFonts w:hint="eastAsia" w:ascii="宋体" w:hAnsi="宋体"/>
                <w:b w:val="0"/>
                <w:bCs/>
                <w:color w:val="auto"/>
                <w:kern w:val="0"/>
                <w:szCs w:val="21"/>
              </w:rPr>
              <w:t>其他内容</w:t>
            </w:r>
          </w:p>
        </w:tc>
        <w:tc>
          <w:tcPr>
            <w:tcW w:w="6504" w:type="dxa"/>
            <w:gridSpan w:val="3"/>
            <w:tcBorders>
              <w:tl2br w:val="nil"/>
              <w:tr2bl w:val="nil"/>
            </w:tcBorders>
            <w:noWrap w:val="0"/>
            <w:vAlign w:val="center"/>
          </w:tcPr>
          <w:p w14:paraId="0FADCEE9">
            <w:pPr>
              <w:pStyle w:val="3"/>
              <w:rPr>
                <w:rFonts w:hint="eastAsia"/>
                <w:color w:val="auto"/>
              </w:rPr>
            </w:pPr>
          </w:p>
        </w:tc>
      </w:tr>
    </w:tbl>
    <w:p w14:paraId="086C49E5">
      <w:pPr>
        <w:adjustRightInd w:val="0"/>
        <w:snapToGrid w:val="0"/>
        <w:spacing w:before="156" w:beforeLines="50" w:line="360" w:lineRule="auto"/>
        <w:rPr>
          <w:rFonts w:hint="default" w:ascii="宋体" w:hAnsi="宋体" w:eastAsia="宋体"/>
          <w:color w:val="FF0000"/>
          <w:szCs w:val="21"/>
          <w:highlight w:val="none"/>
          <w:lang w:val="en-US" w:eastAsia="zh-CN"/>
        </w:rPr>
      </w:pPr>
    </w:p>
    <w:p w14:paraId="04E55472">
      <w:pPr>
        <w:adjustRightInd w:val="0"/>
        <w:snapToGrid w:val="0"/>
        <w:spacing w:before="156" w:beforeLines="50" w:line="360" w:lineRule="auto"/>
        <w:rPr>
          <w:rFonts w:hint="eastAsia" w:ascii="宋体" w:hAnsi="宋体"/>
          <w:color w:val="000000" w:themeColor="text1"/>
          <w:szCs w:val="21"/>
          <w:highlight w:val="none"/>
          <w14:textFill>
            <w14:solidFill>
              <w14:schemeClr w14:val="tx1"/>
            </w14:solidFill>
          </w14:textFill>
        </w:rPr>
      </w:pPr>
    </w:p>
    <w:p w14:paraId="2AE39FD1">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25C97B33">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796BEAB8">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6DD7DA5A">
      <w:pPr>
        <w:adjustRightInd w:val="0"/>
        <w:snapToGrid w:val="0"/>
        <w:jc w:val="center"/>
        <w:rPr>
          <w:rFonts w:ascii="黑体" w:hAnsi="黑体" w:eastAsia="黑体"/>
          <w:bCs/>
          <w:color w:val="000000" w:themeColor="text1"/>
          <w:sz w:val="30"/>
          <w:szCs w:val="30"/>
          <w14:textFill>
            <w14:solidFill>
              <w14:schemeClr w14:val="tx1"/>
            </w14:solidFill>
          </w14:textFill>
        </w:rPr>
      </w:pPr>
    </w:p>
    <w:p w14:paraId="04437A54">
      <w:pPr>
        <w:adjustRightInd w:val="0"/>
        <w:snapToGrid w:val="0"/>
        <w:jc w:val="center"/>
        <w:rPr>
          <w:rFonts w:ascii="黑体" w:hAnsi="黑体" w:eastAsia="黑体"/>
          <w:bCs/>
          <w:color w:val="000000" w:themeColor="text1"/>
          <w:sz w:val="30"/>
          <w:szCs w:val="30"/>
          <w14:textFill>
            <w14:solidFill>
              <w14:schemeClr w14:val="tx1"/>
            </w14:solidFill>
          </w14:textFill>
        </w:rPr>
      </w:pPr>
    </w:p>
    <w:p w14:paraId="736610B2">
      <w:pPr>
        <w:adjustRightInd w:val="0"/>
        <w:snapToGrid w:val="0"/>
        <w:jc w:val="center"/>
        <w:rPr>
          <w:rFonts w:ascii="黑体" w:hAnsi="黑体" w:eastAsia="黑体"/>
          <w:bCs/>
          <w:color w:val="000000" w:themeColor="text1"/>
          <w:sz w:val="30"/>
          <w:szCs w:val="30"/>
          <w14:textFill>
            <w14:solidFill>
              <w14:schemeClr w14:val="tx1"/>
            </w14:solidFill>
          </w14:textFill>
        </w:rPr>
      </w:pPr>
    </w:p>
    <w:p w14:paraId="1DF8C1B1">
      <w:pPr>
        <w:adjustRightInd w:val="0"/>
        <w:snapToGrid w:val="0"/>
        <w:jc w:val="center"/>
        <w:rPr>
          <w:rFonts w:ascii="黑体" w:hAnsi="黑体" w:eastAsia="黑体"/>
          <w:bCs/>
          <w:color w:val="000000" w:themeColor="text1"/>
          <w:sz w:val="30"/>
          <w:szCs w:val="30"/>
          <w14:textFill>
            <w14:solidFill>
              <w14:schemeClr w14:val="tx1"/>
            </w14:solidFill>
          </w14:textFill>
        </w:rPr>
      </w:pPr>
    </w:p>
    <w:p w14:paraId="56A018D6">
      <w:pPr>
        <w:adjustRightInd w:val="0"/>
        <w:snapToGrid w:val="0"/>
        <w:jc w:val="center"/>
        <w:rPr>
          <w:rFonts w:ascii="黑体" w:hAnsi="黑体" w:eastAsia="黑体"/>
          <w:bCs/>
          <w:color w:val="000000" w:themeColor="text1"/>
          <w:sz w:val="30"/>
          <w:szCs w:val="30"/>
          <w14:textFill>
            <w14:solidFill>
              <w14:schemeClr w14:val="tx1"/>
            </w14:solidFill>
          </w14:textFill>
        </w:rPr>
      </w:pPr>
    </w:p>
    <w:p w14:paraId="6C9F2B11">
      <w:pPr>
        <w:adjustRightInd w:val="0"/>
        <w:snapToGrid w:val="0"/>
        <w:jc w:val="center"/>
        <w:rPr>
          <w:rFonts w:ascii="黑体" w:hAnsi="黑体" w:eastAsia="黑体"/>
          <w:bCs/>
          <w:color w:val="000000" w:themeColor="text1"/>
          <w:sz w:val="30"/>
          <w:szCs w:val="30"/>
          <w14:textFill>
            <w14:solidFill>
              <w14:schemeClr w14:val="tx1"/>
            </w14:solidFill>
          </w14:textFill>
        </w:rPr>
      </w:pPr>
    </w:p>
    <w:p w14:paraId="371919E8">
      <w:pPr>
        <w:pStyle w:val="5"/>
        <w:bidi w:val="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附件1-2报价文件</w:t>
      </w:r>
    </w:p>
    <w:p w14:paraId="0997405E">
      <w:pPr>
        <w:pStyle w:val="21"/>
        <w:jc w:val="center"/>
        <w:rPr>
          <w:rFonts w:hint="eastAsia"/>
          <w:lang w:eastAsia="zh-CN"/>
        </w:rPr>
      </w:pPr>
      <w:r>
        <w:rPr>
          <w:rFonts w:hint="eastAsia" w:ascii="黑体" w:hAnsi="宋体" w:eastAsia="黑体"/>
          <w:b/>
          <w:color w:val="000000"/>
          <w:sz w:val="28"/>
          <w:szCs w:val="28"/>
          <w:lang w:val="en-US" w:eastAsia="zh-CN" w:bidi="ar-SA"/>
        </w:rPr>
        <w:t>报价文件</w:t>
      </w:r>
    </w:p>
    <w:p w14:paraId="7E04B7CB">
      <w:pPr>
        <w:pStyle w:val="21"/>
      </w:pPr>
    </w:p>
    <w:p w14:paraId="0DCA565B">
      <w:pPr>
        <w:ind w:firstLine="420" w:firstLineChars="200"/>
        <w:rPr>
          <w:rFonts w:ascii="宋体" w:hAnsi="宋体" w:cs="宋体"/>
          <w:b w:val="0"/>
          <w:bCs w:val="0"/>
          <w:color w:val="auto"/>
          <w:kern w:val="1"/>
          <w:szCs w:val="21"/>
        </w:rPr>
      </w:pPr>
      <w:r>
        <w:rPr>
          <w:rFonts w:hint="eastAsia" w:ascii="宋体" w:hAnsi="宋体" w:cs="宋体"/>
          <w:b w:val="0"/>
          <w:bCs w:val="0"/>
          <w:color w:val="auto"/>
          <w:kern w:val="1"/>
          <w:szCs w:val="21"/>
          <w:lang w:eastAsia="zh-CN"/>
        </w:rPr>
        <w:t>备注：具体格式以本项目提供的工程量清单为准。</w:t>
      </w:r>
    </w:p>
    <w:p w14:paraId="4B68B608">
      <w:pPr>
        <w:adjustRightInd w:val="0"/>
        <w:snapToGrid w:val="0"/>
        <w:jc w:val="center"/>
        <w:rPr>
          <w:rFonts w:ascii="黑体" w:hAnsi="黑体" w:eastAsia="黑体"/>
          <w:bCs/>
          <w:color w:val="000000" w:themeColor="text1"/>
          <w:sz w:val="30"/>
          <w:szCs w:val="30"/>
          <w14:textFill>
            <w14:solidFill>
              <w14:schemeClr w14:val="tx1"/>
            </w14:solidFill>
          </w14:textFill>
        </w:rPr>
        <w:sectPr>
          <w:pgSz w:w="11906" w:h="16838"/>
          <w:pgMar w:top="1418" w:right="1418" w:bottom="1134" w:left="1418" w:header="851" w:footer="992" w:gutter="0"/>
          <w:pgNumType w:fmt="decimal"/>
          <w:cols w:space="720" w:num="1"/>
          <w:docGrid w:type="linesAndChars" w:linePitch="312" w:charSpace="0"/>
        </w:sectPr>
      </w:pPr>
    </w:p>
    <w:p w14:paraId="332B84C6">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65" w:name="_Toc26394"/>
      <w:bookmarkStart w:id="166" w:name="_Toc107998033"/>
      <w:r>
        <w:rPr>
          <w:rFonts w:hint="eastAsia" w:ascii="黑体" w:hAnsi="黑体" w:eastAsia="黑体"/>
          <w:b/>
          <w:bCs/>
          <w:color w:val="000000" w:themeColor="text1"/>
          <w:sz w:val="28"/>
          <w:szCs w:val="28"/>
          <w14:textFill>
            <w14:solidFill>
              <w14:schemeClr w14:val="tx1"/>
            </w14:solidFill>
          </w14:textFill>
        </w:rPr>
        <w:t>二、</w:t>
      </w:r>
      <w:r>
        <w:rPr>
          <w:rFonts w:hint="eastAsia" w:ascii="黑体" w:hAnsi="黑体" w:eastAsia="黑体"/>
          <w:b/>
          <w:bCs/>
          <w:color w:val="000000" w:themeColor="text1"/>
          <w:sz w:val="28"/>
          <w:szCs w:val="28"/>
          <w:lang w:eastAsia="zh-CN"/>
          <w14:textFill>
            <w14:solidFill>
              <w14:schemeClr w14:val="tx1"/>
            </w14:solidFill>
          </w14:textFill>
        </w:rPr>
        <w:t>（</w:t>
      </w:r>
      <w:r>
        <w:rPr>
          <w:rFonts w:hint="eastAsia" w:ascii="黑体" w:hAnsi="黑体" w:eastAsia="黑体"/>
          <w:b/>
          <w:bCs/>
          <w:color w:val="000000" w:themeColor="text1"/>
          <w:sz w:val="28"/>
          <w:szCs w:val="28"/>
          <w:lang w:val="en-US" w:eastAsia="zh-CN"/>
          <w14:textFill>
            <w14:solidFill>
              <w14:schemeClr w14:val="tx1"/>
            </w14:solidFill>
          </w14:textFill>
        </w:rPr>
        <w:t>1</w:t>
      </w:r>
      <w:r>
        <w:rPr>
          <w:rFonts w:hint="eastAsia" w:ascii="黑体" w:hAnsi="黑体" w:eastAsia="黑体"/>
          <w:b/>
          <w:bCs/>
          <w:color w:val="000000" w:themeColor="text1"/>
          <w:sz w:val="28"/>
          <w:szCs w:val="28"/>
          <w:lang w:eastAsia="zh-CN"/>
          <w14:textFill>
            <w14:solidFill>
              <w14:schemeClr w14:val="tx1"/>
            </w14:solidFill>
          </w14:textFill>
        </w:rPr>
        <w:t>）、</w:t>
      </w:r>
      <w:r>
        <w:rPr>
          <w:rFonts w:hint="eastAsia" w:ascii="黑体" w:hAnsi="黑体" w:eastAsia="黑体"/>
          <w:b/>
          <w:bCs/>
          <w:color w:val="000000" w:themeColor="text1"/>
          <w:sz w:val="28"/>
          <w:szCs w:val="28"/>
          <w14:textFill>
            <w14:solidFill>
              <w14:schemeClr w14:val="tx1"/>
            </w14:solidFill>
          </w14:textFill>
        </w:rPr>
        <w:t>谈判响应声明(格式)</w:t>
      </w:r>
      <w:bookmarkEnd w:id="165"/>
      <w:bookmarkEnd w:id="166"/>
    </w:p>
    <w:p w14:paraId="4C92CE1E">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致</w:t>
      </w:r>
      <w:r>
        <w:rPr>
          <w:rFonts w:hint="eastAsia" w:ascii="宋体" w:hAnsi="宋体"/>
          <w:color w:val="000000" w:themeColor="text1"/>
          <w:szCs w:val="21"/>
          <w:u w:val="single"/>
          <w14:textFill>
            <w14:solidFill>
              <w14:schemeClr w14:val="tx1"/>
            </w14:solidFill>
          </w14:textFill>
        </w:rPr>
        <w:t xml:space="preserve"> (采购人、采购代理机构)</w:t>
      </w:r>
      <w:r>
        <w:rPr>
          <w:rFonts w:hint="eastAsia" w:ascii="宋体" w:hAnsi="宋体"/>
          <w:color w:val="000000" w:themeColor="text1"/>
          <w:szCs w:val="21"/>
          <w14:textFill>
            <w14:solidFill>
              <w14:schemeClr w14:val="tx1"/>
            </w14:solidFill>
          </w14:textFill>
        </w:rPr>
        <w:t>：</w:t>
      </w:r>
    </w:p>
    <w:p w14:paraId="218F2398">
      <w:pPr>
        <w:adjustRightInd w:val="0"/>
        <w:snapToGrid w:val="0"/>
        <w:spacing w:before="156" w:beforeLines="50" w:line="360" w:lineRule="auto"/>
        <w:ind w:firstLine="435"/>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根据贵方为</w:t>
      </w:r>
      <w:r>
        <w:rPr>
          <w:rFonts w:hint="eastAsia" w:ascii="宋体" w:hAnsi="宋体"/>
          <w:color w:val="000000" w:themeColor="text1"/>
          <w:szCs w:val="21"/>
          <w:u w:val="single"/>
          <w14:textFill>
            <w14:solidFill>
              <w14:schemeClr w14:val="tx1"/>
            </w14:solidFill>
          </w14:textFill>
        </w:rPr>
        <w:t>（</w:t>
      </w:r>
      <w:r>
        <w:rPr>
          <w:rFonts w:hint="eastAsia" w:ascii="宋体" w:hAnsi="宋体"/>
          <w:color w:val="000000" w:themeColor="text1"/>
          <w:szCs w:val="21"/>
          <w:u w:val="single"/>
          <w:lang w:val="en-US" w:eastAsia="zh-CN"/>
          <w14:textFill>
            <w14:solidFill>
              <w14:schemeClr w14:val="tx1"/>
            </w14:solidFill>
          </w14:textFill>
        </w:rPr>
        <w:t>采购</w:t>
      </w:r>
      <w:r>
        <w:rPr>
          <w:rFonts w:hint="eastAsia" w:ascii="宋体" w:hAnsi="宋体"/>
          <w:color w:val="000000" w:themeColor="text1"/>
          <w:szCs w:val="21"/>
          <w:u w:val="single"/>
          <w14:textFill>
            <w14:solidFill>
              <w14:schemeClr w14:val="tx1"/>
            </w14:solidFill>
          </w14:textFill>
        </w:rPr>
        <w:t>项目名称）</w:t>
      </w:r>
      <w:r>
        <w:rPr>
          <w:rFonts w:hint="eastAsia" w:ascii="宋体" w:hAnsi="宋体"/>
          <w:color w:val="000000" w:themeColor="text1"/>
          <w:szCs w:val="21"/>
          <w14:textFill>
            <w14:solidFill>
              <w14:schemeClr w14:val="tx1"/>
            </w14:solidFill>
          </w14:textFill>
        </w:rPr>
        <w:t>的谈判邀请（</w:t>
      </w:r>
      <w:r>
        <w:rPr>
          <w:rFonts w:hint="eastAsia" w:ascii="宋体" w:hAnsi="宋体"/>
          <w:color w:val="000000" w:themeColor="text1"/>
          <w:lang w:val="en-US" w:eastAsia="zh-CN"/>
          <w14:textFill>
            <w14:solidFill>
              <w14:schemeClr w14:val="tx1"/>
            </w14:solidFill>
          </w14:textFill>
        </w:rPr>
        <w:t>采购编号</w:t>
      </w:r>
      <w:r>
        <w:rPr>
          <w:rFonts w:hint="eastAsia" w:ascii="宋体" w:hAnsi="宋体"/>
          <w:iCs/>
          <w:color w:val="000000" w:themeColor="text1"/>
          <w14:textFill>
            <w14:solidFill>
              <w14:schemeClr w14:val="tx1"/>
            </w14:solidFill>
          </w14:textFill>
        </w:rPr>
        <w:t>：</w:t>
      </w:r>
      <w:r>
        <w:rPr>
          <w:rFonts w:hint="eastAsia" w:ascii="宋体" w:hAnsi="宋体"/>
          <w:iCs/>
          <w:color w:val="000000" w:themeColor="text1"/>
          <w:u w:val="single"/>
          <w14:textFill>
            <w14:solidFill>
              <w14:schemeClr w14:val="tx1"/>
            </w14:solidFill>
          </w14:textFill>
        </w:rPr>
        <w:t xml:space="preserve">           </w:t>
      </w:r>
      <w:r>
        <w:rPr>
          <w:rFonts w:hint="eastAsia" w:ascii="宋体" w:hAnsi="宋体"/>
          <w:iCs/>
          <w:color w:val="000000" w:themeColor="text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委托代理编号：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），签字代表</w:t>
      </w:r>
      <w:r>
        <w:rPr>
          <w:rFonts w:hint="eastAsia" w:ascii="宋体" w:hAnsi="宋体"/>
          <w:color w:val="000000" w:themeColor="text1"/>
          <w:szCs w:val="21"/>
          <w:u w:val="single"/>
          <w14:textFill>
            <w14:solidFill>
              <w14:schemeClr w14:val="tx1"/>
            </w14:solidFill>
          </w14:textFill>
        </w:rPr>
        <w:t xml:space="preserve"> （姓名、职务）</w:t>
      </w:r>
      <w:r>
        <w:rPr>
          <w:rFonts w:hint="eastAsia" w:ascii="宋体" w:hAnsi="宋体"/>
          <w:color w:val="000000" w:themeColor="text1"/>
          <w:szCs w:val="21"/>
          <w14:textFill>
            <w14:solidFill>
              <w14:schemeClr w14:val="tx1"/>
            </w14:solidFill>
          </w14:textFill>
        </w:rPr>
        <w:t>经正式授权并代表供应商</w:t>
      </w:r>
      <w:r>
        <w:rPr>
          <w:rFonts w:hint="eastAsia" w:ascii="宋体" w:hAnsi="宋体"/>
          <w:color w:val="000000" w:themeColor="text1"/>
          <w:szCs w:val="21"/>
          <w:u w:val="single"/>
          <w14:textFill>
            <w14:solidFill>
              <w14:schemeClr w14:val="tx1"/>
            </w14:solidFill>
          </w14:textFill>
        </w:rPr>
        <w:t xml:space="preserve"> （供应商名称）</w:t>
      </w:r>
      <w:r>
        <w:rPr>
          <w:rFonts w:hint="eastAsia" w:ascii="宋体" w:hAnsi="宋体"/>
          <w:color w:val="000000" w:themeColor="text1"/>
          <w:szCs w:val="21"/>
          <w14:textFill>
            <w14:solidFill>
              <w14:schemeClr w14:val="tx1"/>
            </w14:solidFill>
          </w14:textFill>
        </w:rPr>
        <w:t>提交响应文件正本一份,副本</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份；响应文件电子文档：一份，参加采购项目第</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包谈判，并在此声明，所递交的响应文件内容完整、真实。</w:t>
      </w:r>
    </w:p>
    <w:p w14:paraId="4E743360">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一、我方已详细审查谈判文件。我们完全理解并同意放弃对这方面有不明及误解的权力。</w:t>
      </w:r>
    </w:p>
    <w:p w14:paraId="451EF05A">
      <w:pPr>
        <w:adjustRightInd w:val="0"/>
        <w:snapToGrid w:val="0"/>
        <w:spacing w:before="156" w:beforeLines="50" w:line="360" w:lineRule="auto"/>
        <w:ind w:firstLine="420" w:firstLineChars="200"/>
        <w:rPr>
          <w:rFonts w:ascii="宋体" w:hAnsi="宋体" w:cs="Courier New"/>
          <w:bCs/>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二、我方愿意向贵方提供任何与本项采购有关的数据、情况和技术资料。若贵方需要，我方愿意提供我方作出的一切承诺的证明材料。</w:t>
      </w:r>
    </w:p>
    <w:p w14:paraId="0E6E6300">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三、我方愿意按谈判文件规定和谈判小组要求重新提交响应文件和最后报价。</w:t>
      </w:r>
    </w:p>
    <w:p w14:paraId="22CB33B1">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四、我方同意在谈判文件中规定的提交首次响应文件截止时间起</w:t>
      </w:r>
      <w:r>
        <w:rPr>
          <w:rFonts w:hint="eastAsia" w:ascii="宋体" w:hAnsi="宋体" w:cs="Courier New"/>
          <w:color w:val="000000" w:themeColor="text1"/>
          <w:szCs w:val="21"/>
          <w:u w:val="single"/>
          <w:lang w:val="en-US" w:eastAsia="zh-CN"/>
          <w14:textFill>
            <w14:solidFill>
              <w14:schemeClr w14:val="tx1"/>
            </w14:solidFill>
          </w14:textFill>
        </w:rPr>
        <w:t xml:space="preserve">     </w:t>
      </w:r>
      <w:r>
        <w:rPr>
          <w:rFonts w:hint="eastAsia" w:ascii="宋体" w:hAnsi="宋体" w:cs="Courier New"/>
          <w:color w:val="000000" w:themeColor="text1"/>
          <w:szCs w:val="21"/>
          <w14:textFill>
            <w14:solidFill>
              <w14:schemeClr w14:val="tx1"/>
            </w14:solidFill>
          </w14:textFill>
        </w:rPr>
        <w:t>日内(响应文件有效期)遵守本响应文件中的承诺且在此期限期满之前均具有法律约束力。</w:t>
      </w:r>
    </w:p>
    <w:p w14:paraId="497BEF92">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14:paraId="59161644">
      <w:pPr>
        <w:adjustRightInd w:val="0"/>
        <w:snapToGrid w:val="0"/>
        <w:spacing w:before="156" w:beforeLines="50" w:line="360" w:lineRule="auto"/>
        <w:ind w:firstLine="420" w:firstLineChars="200"/>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六、我方承诺在参与竞争性谈判过程中，若出现《政府采购法》第七十七条、《政府采购法实施条例》第七十二条和《政府采购非招标方式管理办法》第五十四条规定之情形，我方同意接受条款规定作出的处罚。</w:t>
      </w:r>
    </w:p>
    <w:p w14:paraId="0E24C270">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七、我方的联系方式：</w:t>
      </w:r>
    </w:p>
    <w:p w14:paraId="155BD780">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地址：</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；邮编：</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；电话：</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；电子邮箱：</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p>
    <w:p w14:paraId="49887CB5">
      <w:pPr>
        <w:adjustRightInd w:val="0"/>
        <w:snapToGrid w:val="0"/>
        <w:spacing w:before="156" w:beforeLines="50" w:line="360" w:lineRule="auto"/>
        <w:rPr>
          <w:rFonts w:ascii="宋体" w:hAnsi="宋体" w:cs="Courier New"/>
          <w:color w:val="000000" w:themeColor="text1"/>
          <w:szCs w:val="21"/>
          <w14:textFill>
            <w14:solidFill>
              <w14:schemeClr w14:val="tx1"/>
            </w14:solidFill>
          </w14:textFill>
        </w:rPr>
      </w:pPr>
    </w:p>
    <w:p w14:paraId="0733BB9A">
      <w:pPr>
        <w:adjustRightInd w:val="0"/>
        <w:snapToGrid w:val="0"/>
        <w:spacing w:before="156" w:beforeLines="50" w:line="360" w:lineRule="auto"/>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供应商名称(盖单位公章)：</w:t>
      </w:r>
    </w:p>
    <w:p w14:paraId="33B46AC0">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5DDAFBBB">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3F993FC7">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182E944F">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286FD54A">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0136F92A">
      <w:pPr>
        <w:keepNext/>
        <w:keepLines/>
        <w:spacing w:line="360" w:lineRule="auto"/>
        <w:jc w:val="center"/>
        <w:outlineLvl w:val="1"/>
        <w:rPr>
          <w:rFonts w:hint="eastAsia" w:ascii="黑体" w:hAnsi="黑体" w:eastAsia="黑体"/>
          <w:b/>
          <w:bCs/>
          <w:color w:val="000000" w:themeColor="text1"/>
          <w:sz w:val="28"/>
          <w:szCs w:val="28"/>
          <w:lang w:eastAsia="zh-CN"/>
          <w14:textFill>
            <w14:solidFill>
              <w14:schemeClr w14:val="tx1"/>
            </w14:solidFill>
          </w14:textFill>
        </w:rPr>
      </w:pPr>
      <w:r>
        <w:rPr>
          <w:rFonts w:hint="eastAsia" w:ascii="黑体" w:hAnsi="黑体" w:eastAsia="黑体"/>
          <w:b/>
          <w:bCs/>
          <w:color w:val="000000" w:themeColor="text1"/>
          <w:sz w:val="28"/>
          <w:szCs w:val="28"/>
          <w:lang w:val="en-US" w:eastAsia="zh-CN"/>
          <w14:textFill>
            <w14:solidFill>
              <w14:schemeClr w14:val="tx1"/>
            </w14:solidFill>
          </w14:textFill>
        </w:rPr>
        <w:t>（2）、供应商资格声明(格式)</w:t>
      </w:r>
    </w:p>
    <w:p w14:paraId="3AB9C4B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242"/>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致</w:t>
      </w:r>
      <w:r>
        <w:rPr>
          <w:rFonts w:hint="eastAsia" w:ascii="宋体" w:hAnsi="宋体" w:eastAsia="宋体" w:cs="宋体"/>
          <w:i w:val="0"/>
          <w:iCs w:val="0"/>
          <w:caps w:val="0"/>
          <w:color w:val="000000"/>
          <w:spacing w:val="0"/>
          <w:kern w:val="0"/>
          <w:sz w:val="21"/>
          <w:szCs w:val="21"/>
          <w:u w:val="single"/>
          <w:lang w:val="en-US" w:eastAsia="zh-CN" w:bidi="ar"/>
        </w:rPr>
        <w:t>            </w:t>
      </w:r>
      <w:r>
        <w:rPr>
          <w:rFonts w:hint="eastAsia" w:ascii="宋体" w:hAnsi="宋体" w:eastAsia="宋体" w:cs="宋体"/>
          <w:i w:val="0"/>
          <w:iCs w:val="0"/>
          <w:caps w:val="0"/>
          <w:color w:val="000000"/>
          <w:spacing w:val="0"/>
          <w:kern w:val="0"/>
          <w:sz w:val="21"/>
          <w:szCs w:val="21"/>
          <w:lang w:val="en-US" w:eastAsia="zh-CN" w:bidi="ar"/>
        </w:rPr>
        <w:t>(采购人、采购代理机构)：</w:t>
      </w:r>
    </w:p>
    <w:p w14:paraId="6D03280E">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按照《中华人民共和国政府采购法》及实施条例和</w:t>
      </w:r>
      <w:r>
        <w:rPr>
          <w:rFonts w:hint="eastAsia" w:ascii="宋体" w:hAnsi="宋体" w:eastAsia="宋体" w:cs="宋体"/>
          <w:i w:val="0"/>
          <w:iCs w:val="0"/>
          <w:caps w:val="0"/>
          <w:color w:val="000000"/>
          <w:spacing w:val="0"/>
          <w:kern w:val="0"/>
          <w:sz w:val="21"/>
          <w:szCs w:val="21"/>
          <w:u w:val="single"/>
          <w:lang w:val="en-US" w:eastAsia="zh-CN" w:bidi="ar"/>
        </w:rPr>
        <w:t>         </w:t>
      </w:r>
      <w:r>
        <w:rPr>
          <w:rFonts w:hint="eastAsia" w:ascii="宋体" w:hAnsi="宋体" w:eastAsia="宋体" w:cs="宋体"/>
          <w:i w:val="0"/>
          <w:iCs w:val="0"/>
          <w:caps w:val="0"/>
          <w:color w:val="000000"/>
          <w:spacing w:val="0"/>
          <w:kern w:val="0"/>
          <w:sz w:val="21"/>
          <w:szCs w:val="21"/>
          <w:lang w:val="en-US" w:eastAsia="zh-CN" w:bidi="ar"/>
        </w:rPr>
        <w:t>(项目名称)邀请公告的规定，我单位郑重声明如下：</w:t>
      </w:r>
    </w:p>
    <w:p w14:paraId="492943BE">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一、我单位是按照中华人民共和国法律规定登记注册的，注册地点为</w:t>
      </w:r>
      <w:r>
        <w:rPr>
          <w:rFonts w:hint="eastAsia" w:ascii="宋体" w:hAnsi="宋体" w:eastAsia="宋体" w:cs="宋体"/>
          <w:i w:val="0"/>
          <w:iCs w:val="0"/>
          <w:caps w:val="0"/>
          <w:color w:val="000000"/>
          <w:spacing w:val="0"/>
          <w:kern w:val="0"/>
          <w:sz w:val="21"/>
          <w:szCs w:val="21"/>
          <w:u w:val="single"/>
          <w:lang w:val="en-US" w:eastAsia="zh-CN" w:bidi="ar"/>
        </w:rPr>
        <w:t>         </w:t>
      </w:r>
      <w:r>
        <w:rPr>
          <w:rFonts w:hint="eastAsia" w:ascii="宋体" w:hAnsi="宋体" w:eastAsia="宋体" w:cs="宋体"/>
          <w:i w:val="0"/>
          <w:iCs w:val="0"/>
          <w:caps w:val="0"/>
          <w:color w:val="000000"/>
          <w:spacing w:val="0"/>
          <w:kern w:val="0"/>
          <w:sz w:val="21"/>
          <w:szCs w:val="21"/>
          <w:lang w:val="en-US" w:eastAsia="zh-CN" w:bidi="ar"/>
        </w:rPr>
        <w:t>，全称为</w:t>
      </w:r>
      <w:r>
        <w:rPr>
          <w:rFonts w:hint="eastAsia" w:ascii="宋体" w:hAnsi="宋体" w:eastAsia="宋体" w:cs="宋体"/>
          <w:i w:val="0"/>
          <w:iCs w:val="0"/>
          <w:caps w:val="0"/>
          <w:color w:val="000000"/>
          <w:spacing w:val="0"/>
          <w:kern w:val="0"/>
          <w:sz w:val="21"/>
          <w:szCs w:val="21"/>
          <w:u w:val="single"/>
          <w:lang w:val="en-US" w:eastAsia="zh-CN" w:bidi="ar"/>
        </w:rPr>
        <w:t>        </w:t>
      </w:r>
      <w:r>
        <w:rPr>
          <w:rFonts w:hint="eastAsia" w:ascii="宋体" w:hAnsi="宋体" w:eastAsia="宋体" w:cs="宋体"/>
          <w:i w:val="0"/>
          <w:iCs w:val="0"/>
          <w:caps w:val="0"/>
          <w:color w:val="000000"/>
          <w:spacing w:val="0"/>
          <w:kern w:val="0"/>
          <w:sz w:val="21"/>
          <w:szCs w:val="21"/>
          <w:lang w:val="en-US" w:eastAsia="zh-CN" w:bidi="ar"/>
        </w:rPr>
        <w:t>，统一社会信用代码为</w:t>
      </w:r>
      <w:r>
        <w:rPr>
          <w:rFonts w:hint="eastAsia" w:ascii="宋体" w:hAnsi="宋体" w:eastAsia="宋体" w:cs="宋体"/>
          <w:i w:val="0"/>
          <w:iCs w:val="0"/>
          <w:caps w:val="0"/>
          <w:color w:val="000000"/>
          <w:spacing w:val="0"/>
          <w:kern w:val="0"/>
          <w:sz w:val="21"/>
          <w:szCs w:val="21"/>
          <w:u w:val="single"/>
          <w:lang w:val="en-US" w:eastAsia="zh-CN" w:bidi="ar"/>
        </w:rPr>
        <w:t>            </w:t>
      </w:r>
      <w:r>
        <w:rPr>
          <w:rFonts w:hint="eastAsia" w:ascii="宋体" w:hAnsi="宋体" w:eastAsia="宋体" w:cs="宋体"/>
          <w:i w:val="0"/>
          <w:iCs w:val="0"/>
          <w:caps w:val="0"/>
          <w:color w:val="000000"/>
          <w:spacing w:val="0"/>
          <w:kern w:val="0"/>
          <w:sz w:val="21"/>
          <w:szCs w:val="21"/>
          <w:lang w:val="en-US" w:eastAsia="zh-CN" w:bidi="ar"/>
        </w:rPr>
        <w:t>，法定代表人（</w:t>
      </w:r>
      <w:r>
        <w:rPr>
          <w:rFonts w:hint="eastAsia" w:ascii="宋体" w:hAnsi="宋体" w:eastAsia="宋体" w:cs="宋体"/>
          <w:i w:val="0"/>
          <w:iCs w:val="0"/>
          <w:caps w:val="0"/>
          <w:color w:val="000000"/>
          <w:spacing w:val="-2"/>
          <w:kern w:val="0"/>
          <w:sz w:val="21"/>
          <w:szCs w:val="21"/>
          <w:lang w:val="en-US" w:eastAsia="zh-CN" w:bidi="ar"/>
        </w:rPr>
        <w:t>单</w:t>
      </w:r>
      <w:r>
        <w:rPr>
          <w:rFonts w:hint="eastAsia" w:ascii="宋体" w:hAnsi="宋体" w:eastAsia="宋体" w:cs="宋体"/>
          <w:i w:val="0"/>
          <w:iCs w:val="0"/>
          <w:caps w:val="0"/>
          <w:color w:val="000000"/>
          <w:spacing w:val="0"/>
          <w:kern w:val="0"/>
          <w:sz w:val="21"/>
          <w:szCs w:val="21"/>
          <w:lang w:val="en-US" w:eastAsia="zh-CN" w:bidi="ar"/>
        </w:rPr>
        <w:t>位</w:t>
      </w:r>
      <w:r>
        <w:rPr>
          <w:rFonts w:hint="eastAsia" w:ascii="宋体" w:hAnsi="宋体" w:eastAsia="宋体" w:cs="宋体"/>
          <w:i w:val="0"/>
          <w:iCs w:val="0"/>
          <w:caps w:val="0"/>
          <w:color w:val="000000"/>
          <w:spacing w:val="-2"/>
          <w:kern w:val="0"/>
          <w:sz w:val="21"/>
          <w:szCs w:val="21"/>
          <w:lang w:val="en-US" w:eastAsia="zh-CN" w:bidi="ar"/>
        </w:rPr>
        <w:t>负</w:t>
      </w:r>
      <w:r>
        <w:rPr>
          <w:rFonts w:hint="eastAsia" w:ascii="宋体" w:hAnsi="宋体" w:eastAsia="宋体" w:cs="宋体"/>
          <w:i w:val="0"/>
          <w:iCs w:val="0"/>
          <w:caps w:val="0"/>
          <w:color w:val="000000"/>
          <w:spacing w:val="0"/>
          <w:kern w:val="0"/>
          <w:sz w:val="21"/>
          <w:szCs w:val="21"/>
          <w:lang w:val="en-US" w:eastAsia="zh-CN" w:bidi="ar"/>
        </w:rPr>
        <w:t>责人</w:t>
      </w:r>
      <w:r>
        <w:rPr>
          <w:rFonts w:hint="eastAsia" w:ascii="宋体" w:hAnsi="宋体" w:eastAsia="宋体" w:cs="宋体"/>
          <w:i w:val="0"/>
          <w:iCs w:val="0"/>
          <w:caps w:val="0"/>
          <w:color w:val="000000"/>
          <w:spacing w:val="-2"/>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为</w:t>
      </w:r>
      <w:r>
        <w:rPr>
          <w:rFonts w:hint="eastAsia" w:ascii="宋体" w:hAnsi="宋体" w:eastAsia="宋体" w:cs="宋体"/>
          <w:i w:val="0"/>
          <w:iCs w:val="0"/>
          <w:caps w:val="0"/>
          <w:color w:val="000000"/>
          <w:spacing w:val="0"/>
          <w:kern w:val="0"/>
          <w:sz w:val="21"/>
          <w:szCs w:val="21"/>
          <w:u w:val="single"/>
          <w:lang w:val="en-US" w:eastAsia="zh-CN" w:bidi="ar"/>
        </w:rPr>
        <w:t>         </w:t>
      </w:r>
      <w:r>
        <w:rPr>
          <w:rFonts w:hint="eastAsia" w:ascii="宋体" w:hAnsi="宋体" w:eastAsia="宋体" w:cs="宋体"/>
          <w:i w:val="0"/>
          <w:iCs w:val="0"/>
          <w:caps w:val="0"/>
          <w:color w:val="000000"/>
          <w:spacing w:val="0"/>
          <w:kern w:val="0"/>
          <w:sz w:val="21"/>
          <w:szCs w:val="21"/>
          <w:lang w:val="en-US" w:eastAsia="zh-CN" w:bidi="ar"/>
        </w:rPr>
        <w:t>，具有独立承担民事责任的能力。</w:t>
      </w:r>
    </w:p>
    <w:p w14:paraId="4B3F0305">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二、我单位具有良好的商业信誉和健全的财务会计制度。</w:t>
      </w:r>
    </w:p>
    <w:p w14:paraId="5260040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三、我单位依法进行纳税和社会保险申报并实际履行了义务。</w:t>
      </w:r>
    </w:p>
    <w:p w14:paraId="2FD10E0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四、我单位具有履行本项目采购合同所必需的设备和专业技术能力，并具有履行合同的良好记录。</w:t>
      </w:r>
    </w:p>
    <w:p w14:paraId="7DA6FA7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w:t>
      </w:r>
    </w:p>
    <w:p w14:paraId="456D9E6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供应商在参加政府采购活动前3年内因违法经营被禁止在一定期限内参加政府采购活动，期限届满的，可以参加政府采购活动。</w:t>
      </w:r>
    </w:p>
    <w:p w14:paraId="062404E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六、我单位具备法律、行政法规规定的其他条件。</w:t>
      </w:r>
    </w:p>
    <w:p w14:paraId="1C21C5E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七、与我单位存在“单位负责人为同一人或者存在直接控股、管理关系”的其他单位信息如下（如无，填写“无”）：</w:t>
      </w:r>
    </w:p>
    <w:p w14:paraId="5AE4F010">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1、与我单位的法定代表人（单位负责人）为同一人的其他单位如下：</w:t>
      </w:r>
      <w:r>
        <w:rPr>
          <w:rFonts w:hint="eastAsia" w:ascii="宋体" w:hAnsi="宋体" w:eastAsia="宋体" w:cs="宋体"/>
          <w:i w:val="0"/>
          <w:iCs w:val="0"/>
          <w:caps w:val="0"/>
          <w:color w:val="000000"/>
          <w:spacing w:val="0"/>
          <w:kern w:val="0"/>
          <w:sz w:val="21"/>
          <w:szCs w:val="21"/>
          <w:u w:val="single"/>
          <w:lang w:val="en-US" w:eastAsia="zh-CN" w:bidi="ar"/>
        </w:rPr>
        <w:t>               </w:t>
      </w:r>
    </w:p>
    <w:p w14:paraId="6687D6B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2、我单位直接控股的其他单位如下：</w:t>
      </w:r>
      <w:r>
        <w:rPr>
          <w:rFonts w:hint="eastAsia" w:ascii="宋体" w:hAnsi="宋体" w:eastAsia="宋体" w:cs="宋体"/>
          <w:i w:val="0"/>
          <w:iCs w:val="0"/>
          <w:caps w:val="0"/>
          <w:color w:val="000000"/>
          <w:spacing w:val="0"/>
          <w:kern w:val="0"/>
          <w:sz w:val="21"/>
          <w:szCs w:val="21"/>
          <w:u w:val="single"/>
          <w:lang w:val="en-US" w:eastAsia="zh-CN" w:bidi="ar"/>
        </w:rPr>
        <w:t>               </w:t>
      </w:r>
    </w:p>
    <w:p w14:paraId="25992B7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3、与我单位存在管理关系的其他单位如下：</w:t>
      </w:r>
      <w:r>
        <w:rPr>
          <w:rFonts w:hint="eastAsia" w:ascii="宋体" w:hAnsi="宋体" w:eastAsia="宋体" w:cs="宋体"/>
          <w:i w:val="0"/>
          <w:iCs w:val="0"/>
          <w:caps w:val="0"/>
          <w:color w:val="000000"/>
          <w:spacing w:val="0"/>
          <w:kern w:val="0"/>
          <w:sz w:val="21"/>
          <w:szCs w:val="21"/>
          <w:u w:val="single"/>
          <w:lang w:val="en-US" w:eastAsia="zh-CN" w:bidi="ar"/>
        </w:rPr>
        <w:t>               </w:t>
      </w:r>
    </w:p>
    <w:p w14:paraId="52C11A4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八、我单位不属于为本项目提供整体设计、规范编制或者项目管理、监理、检测等服务的供应商。</w:t>
      </w:r>
    </w:p>
    <w:p w14:paraId="1A75D70B">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九、我单位无以下不良信用记录情形：</w:t>
      </w:r>
    </w:p>
    <w:p w14:paraId="3305ABA9">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1、在“信用中国”网站被列入失信被执行人和重大税收违法案件当事人名单；</w:t>
      </w:r>
    </w:p>
    <w:p w14:paraId="7DBD8B6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2、在“中国政府采购网”网站被列入政府采购严重违法失信行为记录名单；</w:t>
      </w:r>
    </w:p>
    <w:p w14:paraId="15DFF1D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3、不符合《政府采购法》第二十二条规定的条件。</w:t>
      </w:r>
    </w:p>
    <w:p w14:paraId="31FE734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420"/>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我单位保证上述声明的事项都是真实的，如有虚假，我单位愿意承担相应的法律责任，并承担因此所造成的一切损失。</w:t>
      </w:r>
    </w:p>
    <w:p w14:paraId="0E8AB723">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242"/>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注：第三条“良好的商业信誉”是指供应商经营状况良好，无本承诺函第九条情形。</w:t>
      </w:r>
    </w:p>
    <w:p w14:paraId="736E7BD4">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242"/>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 </w:t>
      </w:r>
    </w:p>
    <w:p w14:paraId="2A31A1CE">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242"/>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供应商名称（盖单位公章）：</w:t>
      </w:r>
    </w:p>
    <w:p w14:paraId="4175D7F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242"/>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2"/>
          <w:kern w:val="0"/>
          <w:sz w:val="21"/>
          <w:szCs w:val="21"/>
          <w:lang w:val="en-US" w:eastAsia="zh-CN" w:bidi="ar"/>
        </w:rPr>
        <w:t>法</w:t>
      </w:r>
      <w:r>
        <w:rPr>
          <w:rFonts w:hint="eastAsia" w:ascii="宋体" w:hAnsi="宋体" w:eastAsia="宋体" w:cs="宋体"/>
          <w:i w:val="0"/>
          <w:iCs w:val="0"/>
          <w:caps w:val="0"/>
          <w:color w:val="000000"/>
          <w:spacing w:val="0"/>
          <w:kern w:val="0"/>
          <w:sz w:val="21"/>
          <w:szCs w:val="21"/>
          <w:lang w:val="en-US" w:eastAsia="zh-CN" w:bidi="ar"/>
        </w:rPr>
        <w:t>定</w:t>
      </w:r>
      <w:r>
        <w:rPr>
          <w:rFonts w:hint="eastAsia" w:ascii="宋体" w:hAnsi="宋体" w:eastAsia="宋体" w:cs="宋体"/>
          <w:i w:val="0"/>
          <w:iCs w:val="0"/>
          <w:caps w:val="0"/>
          <w:color w:val="000000"/>
          <w:spacing w:val="-2"/>
          <w:kern w:val="0"/>
          <w:sz w:val="21"/>
          <w:szCs w:val="21"/>
          <w:lang w:val="en-US" w:eastAsia="zh-CN" w:bidi="ar"/>
        </w:rPr>
        <w:t>代</w:t>
      </w:r>
      <w:r>
        <w:rPr>
          <w:rFonts w:hint="eastAsia" w:ascii="宋体" w:hAnsi="宋体" w:eastAsia="宋体" w:cs="宋体"/>
          <w:i w:val="0"/>
          <w:iCs w:val="0"/>
          <w:caps w:val="0"/>
          <w:color w:val="000000"/>
          <w:spacing w:val="0"/>
          <w:kern w:val="0"/>
          <w:sz w:val="21"/>
          <w:szCs w:val="21"/>
          <w:lang w:val="en-US" w:eastAsia="zh-CN" w:bidi="ar"/>
        </w:rPr>
        <w:t>表</w:t>
      </w:r>
      <w:r>
        <w:rPr>
          <w:rFonts w:hint="eastAsia" w:ascii="宋体" w:hAnsi="宋体" w:eastAsia="宋体" w:cs="宋体"/>
          <w:i w:val="0"/>
          <w:iCs w:val="0"/>
          <w:caps w:val="0"/>
          <w:color w:val="000000"/>
          <w:spacing w:val="-2"/>
          <w:kern w:val="0"/>
          <w:sz w:val="21"/>
          <w:szCs w:val="21"/>
          <w:lang w:val="en-US" w:eastAsia="zh-CN" w:bidi="ar"/>
        </w:rPr>
        <w:t>人</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2"/>
          <w:kern w:val="0"/>
          <w:sz w:val="21"/>
          <w:szCs w:val="21"/>
          <w:lang w:val="en-US" w:eastAsia="zh-CN" w:bidi="ar"/>
        </w:rPr>
        <w:t>单</w:t>
      </w:r>
      <w:r>
        <w:rPr>
          <w:rFonts w:hint="eastAsia" w:ascii="宋体" w:hAnsi="宋体" w:eastAsia="宋体" w:cs="宋体"/>
          <w:i w:val="0"/>
          <w:iCs w:val="0"/>
          <w:caps w:val="0"/>
          <w:color w:val="000000"/>
          <w:spacing w:val="0"/>
          <w:kern w:val="0"/>
          <w:sz w:val="21"/>
          <w:szCs w:val="21"/>
          <w:lang w:val="en-US" w:eastAsia="zh-CN" w:bidi="ar"/>
        </w:rPr>
        <w:t>位</w:t>
      </w:r>
      <w:r>
        <w:rPr>
          <w:rFonts w:hint="eastAsia" w:ascii="宋体" w:hAnsi="宋体" w:eastAsia="宋体" w:cs="宋体"/>
          <w:i w:val="0"/>
          <w:iCs w:val="0"/>
          <w:caps w:val="0"/>
          <w:color w:val="000000"/>
          <w:spacing w:val="-2"/>
          <w:kern w:val="0"/>
          <w:sz w:val="21"/>
          <w:szCs w:val="21"/>
          <w:lang w:val="en-US" w:eastAsia="zh-CN" w:bidi="ar"/>
        </w:rPr>
        <w:t>负</w:t>
      </w:r>
      <w:r>
        <w:rPr>
          <w:rFonts w:hint="eastAsia" w:ascii="宋体" w:hAnsi="宋体" w:eastAsia="宋体" w:cs="宋体"/>
          <w:i w:val="0"/>
          <w:iCs w:val="0"/>
          <w:caps w:val="0"/>
          <w:color w:val="000000"/>
          <w:spacing w:val="0"/>
          <w:kern w:val="0"/>
          <w:sz w:val="21"/>
          <w:szCs w:val="21"/>
          <w:lang w:val="en-US" w:eastAsia="zh-CN" w:bidi="ar"/>
        </w:rPr>
        <w:t>责人</w:t>
      </w:r>
      <w:r>
        <w:rPr>
          <w:rFonts w:hint="eastAsia" w:ascii="宋体" w:hAnsi="宋体" w:eastAsia="宋体" w:cs="宋体"/>
          <w:i w:val="0"/>
          <w:iCs w:val="0"/>
          <w:caps w:val="0"/>
          <w:color w:val="000000"/>
          <w:spacing w:val="-2"/>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或委托代理人：</w:t>
      </w:r>
      <w:r>
        <w:rPr>
          <w:rFonts w:hint="eastAsia" w:ascii="宋体" w:hAnsi="宋体" w:eastAsia="宋体" w:cs="宋体"/>
          <w:i w:val="0"/>
          <w:iCs w:val="0"/>
          <w:caps w:val="0"/>
          <w:color w:val="000000"/>
          <w:spacing w:val="0"/>
          <w:kern w:val="0"/>
          <w:sz w:val="21"/>
          <w:szCs w:val="21"/>
          <w:u w:val="single"/>
          <w:lang w:val="en-US" w:eastAsia="zh-CN" w:bidi="ar"/>
        </w:rPr>
        <w:t>       </w:t>
      </w:r>
      <w:r>
        <w:rPr>
          <w:rFonts w:hint="eastAsia" w:ascii="宋体" w:hAnsi="宋体" w:eastAsia="宋体" w:cs="宋体"/>
          <w:i w:val="0"/>
          <w:iCs w:val="0"/>
          <w:caps w:val="0"/>
          <w:color w:val="000000"/>
          <w:spacing w:val="0"/>
          <w:kern w:val="0"/>
          <w:sz w:val="21"/>
          <w:szCs w:val="21"/>
          <w:lang w:val="en-US" w:eastAsia="zh-CN" w:bidi="ar"/>
        </w:rPr>
        <w:t>（签字或印章）</w:t>
      </w:r>
    </w:p>
    <w:p w14:paraId="6860B98B">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242"/>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日期：</w:t>
      </w:r>
      <w:r>
        <w:rPr>
          <w:rFonts w:hint="eastAsia" w:ascii="宋体" w:hAnsi="宋体" w:eastAsia="宋体" w:cs="宋体"/>
          <w:i w:val="0"/>
          <w:iCs w:val="0"/>
          <w:caps w:val="0"/>
          <w:color w:val="000000"/>
          <w:spacing w:val="0"/>
          <w:kern w:val="0"/>
          <w:sz w:val="21"/>
          <w:szCs w:val="21"/>
          <w:u w:val="single"/>
          <w:lang w:val="en-US" w:eastAsia="zh-CN" w:bidi="ar"/>
        </w:rPr>
        <w:t>       </w:t>
      </w:r>
      <w:r>
        <w:rPr>
          <w:rFonts w:hint="eastAsia" w:ascii="宋体" w:hAnsi="宋体" w:eastAsia="宋体" w:cs="宋体"/>
          <w:i w:val="0"/>
          <w:iCs w:val="0"/>
          <w:caps w:val="0"/>
          <w:color w:val="000000"/>
          <w:spacing w:val="0"/>
          <w:kern w:val="0"/>
          <w:sz w:val="21"/>
          <w:szCs w:val="21"/>
          <w:lang w:val="en-US" w:eastAsia="zh-CN" w:bidi="ar"/>
        </w:rPr>
        <w:t>年</w:t>
      </w:r>
      <w:r>
        <w:rPr>
          <w:rFonts w:hint="eastAsia" w:ascii="宋体" w:hAnsi="宋体" w:eastAsia="宋体" w:cs="宋体"/>
          <w:i w:val="0"/>
          <w:iCs w:val="0"/>
          <w:caps w:val="0"/>
          <w:color w:val="000000"/>
          <w:spacing w:val="0"/>
          <w:kern w:val="0"/>
          <w:sz w:val="21"/>
          <w:szCs w:val="21"/>
          <w:u w:val="single"/>
          <w:lang w:val="en-US" w:eastAsia="zh-CN" w:bidi="ar"/>
        </w:rPr>
        <w:t>  </w:t>
      </w:r>
      <w:r>
        <w:rPr>
          <w:rFonts w:hint="eastAsia" w:ascii="宋体" w:hAnsi="宋体" w:eastAsia="宋体" w:cs="宋体"/>
          <w:i w:val="0"/>
          <w:iCs w:val="0"/>
          <w:caps w:val="0"/>
          <w:color w:val="000000"/>
          <w:spacing w:val="0"/>
          <w:kern w:val="0"/>
          <w:sz w:val="21"/>
          <w:szCs w:val="21"/>
          <w:lang w:val="en-US" w:eastAsia="zh-CN" w:bidi="ar"/>
        </w:rPr>
        <w:t>月</w:t>
      </w:r>
      <w:r>
        <w:rPr>
          <w:rFonts w:hint="eastAsia" w:ascii="宋体" w:hAnsi="宋体" w:eastAsia="宋体" w:cs="宋体"/>
          <w:i w:val="0"/>
          <w:iCs w:val="0"/>
          <w:caps w:val="0"/>
          <w:color w:val="000000"/>
          <w:spacing w:val="0"/>
          <w:kern w:val="0"/>
          <w:sz w:val="21"/>
          <w:szCs w:val="21"/>
          <w:u w:val="single"/>
          <w:lang w:val="en-US" w:eastAsia="zh-CN" w:bidi="ar"/>
        </w:rPr>
        <w:t>  </w:t>
      </w:r>
      <w:r>
        <w:rPr>
          <w:rFonts w:hint="eastAsia" w:ascii="宋体" w:hAnsi="宋体" w:eastAsia="宋体" w:cs="宋体"/>
          <w:i w:val="0"/>
          <w:iCs w:val="0"/>
          <w:caps w:val="0"/>
          <w:color w:val="000000"/>
          <w:spacing w:val="0"/>
          <w:kern w:val="0"/>
          <w:sz w:val="21"/>
          <w:szCs w:val="21"/>
          <w:lang w:val="en-US" w:eastAsia="zh-CN" w:bidi="ar"/>
        </w:rPr>
        <w:t>日</w:t>
      </w:r>
    </w:p>
    <w:p w14:paraId="6039D1BA"/>
    <w:p w14:paraId="5FB7CE74">
      <w:pPr>
        <w:pStyle w:val="20"/>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right="0" w:firstLine="0"/>
        <w:textAlignment w:val="auto"/>
        <w:rPr>
          <w:rFonts w:hint="eastAsia" w:ascii="微软雅黑" w:hAnsi="微软雅黑" w:eastAsia="微软雅黑" w:cs="微软雅黑"/>
          <w:i w:val="0"/>
          <w:iCs w:val="0"/>
          <w:caps w:val="0"/>
          <w:color w:val="000000"/>
          <w:spacing w:val="0"/>
          <w:sz w:val="27"/>
          <w:szCs w:val="27"/>
        </w:rPr>
      </w:pPr>
      <w:r>
        <w:rPr>
          <w:rFonts w:hint="default" w:ascii="Times New Roman" w:hAnsi="Times New Roman" w:eastAsia="微软雅黑" w:cs="Times New Roman"/>
          <w:i w:val="0"/>
          <w:iCs w:val="0"/>
          <w:caps w:val="0"/>
          <w:color w:val="000000"/>
          <w:spacing w:val="0"/>
          <w:sz w:val="21"/>
          <w:szCs w:val="21"/>
        </w:rPr>
        <w:t> </w:t>
      </w:r>
    </w:p>
    <w:p w14:paraId="75028C6E">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00D18F8C">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4CD8EAA0">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079B9F80">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64FC650A">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4720B7C0">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616FA085">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0D753AB8">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253A2284">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53B4E263">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200B85E8">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4270D355">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1F95D1CD">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01326507">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1A3846FD">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7CF17485">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25260DAE">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1D02DF60">
      <w:pPr>
        <w:adjustRightInd w:val="0"/>
        <w:snapToGrid w:val="0"/>
        <w:spacing w:before="156" w:beforeLines="50" w:line="360" w:lineRule="auto"/>
        <w:rPr>
          <w:rFonts w:ascii="宋体" w:hAnsi="宋体"/>
          <w:color w:val="000000" w:themeColor="text1"/>
          <w:szCs w:val="21"/>
          <w14:textFill>
            <w14:solidFill>
              <w14:schemeClr w14:val="tx1"/>
            </w14:solidFill>
          </w14:textFill>
        </w:rPr>
      </w:pPr>
    </w:p>
    <w:p w14:paraId="7D9D1100">
      <w:pPr>
        <w:keepNext/>
        <w:keepLines/>
        <w:spacing w:line="360" w:lineRule="auto"/>
        <w:jc w:val="center"/>
        <w:outlineLvl w:val="1"/>
        <w:rPr>
          <w:rFonts w:hint="eastAsia" w:ascii="黑体" w:hAnsi="黑体" w:eastAsia="黑体"/>
          <w:b/>
          <w:bCs/>
          <w:color w:val="000000" w:themeColor="text1"/>
          <w:sz w:val="28"/>
          <w:szCs w:val="28"/>
          <w:lang w:val="en-US" w:eastAsia="zh-CN"/>
          <w14:textFill>
            <w14:solidFill>
              <w14:schemeClr w14:val="tx1"/>
            </w14:solidFill>
          </w14:textFill>
        </w:rPr>
      </w:pPr>
      <w:r>
        <w:rPr>
          <w:rFonts w:hint="eastAsia" w:ascii="黑体" w:hAnsi="黑体" w:eastAsia="黑体"/>
          <w:b/>
          <w:bCs/>
          <w:color w:val="000000" w:themeColor="text1"/>
          <w:sz w:val="28"/>
          <w:szCs w:val="28"/>
          <w:lang w:val="en-US" w:eastAsia="zh-CN"/>
          <w14:textFill>
            <w14:solidFill>
              <w14:schemeClr w14:val="tx1"/>
            </w14:solidFill>
          </w14:textFill>
        </w:rPr>
        <w:t>（3）、湖南省政府采购供应商资格承诺函（格式）</w:t>
      </w:r>
    </w:p>
    <w:p w14:paraId="18FA5048">
      <w:pPr>
        <w:keepNext w:val="0"/>
        <w:keepLines w:val="0"/>
        <w:widowControl/>
        <w:suppressLineNumbers w:val="0"/>
        <w:spacing w:before="65" w:beforeAutospacing="0" w:after="100" w:afterAutospacing="1" w:line="377" w:lineRule="atLeast"/>
        <w:ind w:left="17" w:right="69" w:firstLine="411"/>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14"/>
          <w:kern w:val="0"/>
          <w:sz w:val="21"/>
          <w:szCs w:val="21"/>
          <w:lang w:val="en-US" w:eastAsia="zh-CN" w:bidi="ar"/>
        </w:rPr>
        <w:t>本公司</w:t>
      </w:r>
      <w:r>
        <w:rPr>
          <w:rFonts w:hint="eastAsia" w:ascii="宋体" w:hAnsi="宋体" w:eastAsia="宋体" w:cs="宋体"/>
          <w:i w:val="0"/>
          <w:iCs w:val="0"/>
          <w:caps w:val="0"/>
          <w:color w:val="000000"/>
          <w:spacing w:val="8"/>
          <w:kern w:val="0"/>
          <w:sz w:val="21"/>
          <w:szCs w:val="21"/>
          <w:lang w:val="en-US" w:eastAsia="zh-CN" w:bidi="ar"/>
        </w:rPr>
        <w:t>独</w:t>
      </w:r>
      <w:r>
        <w:rPr>
          <w:rFonts w:hint="eastAsia" w:ascii="宋体" w:hAnsi="宋体" w:eastAsia="宋体" w:cs="宋体"/>
          <w:i w:val="0"/>
          <w:iCs w:val="0"/>
          <w:caps w:val="0"/>
          <w:color w:val="000000"/>
          <w:spacing w:val="7"/>
          <w:kern w:val="0"/>
          <w:sz w:val="21"/>
          <w:szCs w:val="21"/>
          <w:lang w:val="en-US" w:eastAsia="zh-CN" w:bidi="ar"/>
        </w:rPr>
        <w:t>立承担民事责任、具有良好的商业信誉和健全的财务会计制度、依法缴纳税收和社会保障</w:t>
      </w:r>
      <w:r>
        <w:rPr>
          <w:rFonts w:hint="eastAsia" w:ascii="宋体" w:hAnsi="宋体" w:eastAsia="宋体" w:cs="宋体"/>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14"/>
          <w:kern w:val="0"/>
          <w:sz w:val="21"/>
          <w:szCs w:val="21"/>
          <w:lang w:val="en-US" w:eastAsia="zh-CN" w:bidi="ar"/>
        </w:rPr>
        <w:t>资金</w:t>
      </w:r>
      <w:r>
        <w:rPr>
          <w:rFonts w:hint="eastAsia" w:ascii="宋体" w:hAnsi="宋体" w:eastAsia="宋体" w:cs="宋体"/>
          <w:i w:val="0"/>
          <w:iCs w:val="0"/>
          <w:caps w:val="0"/>
          <w:color w:val="000000"/>
          <w:spacing w:val="11"/>
          <w:kern w:val="0"/>
          <w:sz w:val="21"/>
          <w:szCs w:val="21"/>
          <w:lang w:val="en-US" w:eastAsia="zh-CN" w:bidi="ar"/>
        </w:rPr>
        <w:t>，</w:t>
      </w:r>
      <w:r>
        <w:rPr>
          <w:rFonts w:hint="eastAsia" w:ascii="宋体" w:hAnsi="宋体" w:eastAsia="宋体" w:cs="宋体"/>
          <w:i w:val="0"/>
          <w:iCs w:val="0"/>
          <w:caps w:val="0"/>
          <w:color w:val="000000"/>
          <w:spacing w:val="7"/>
          <w:kern w:val="0"/>
          <w:sz w:val="21"/>
          <w:szCs w:val="21"/>
          <w:lang w:val="en-US" w:eastAsia="zh-CN" w:bidi="ar"/>
        </w:rPr>
        <w:t>在前三年的经营活动中无重大违法记录，未列入严重失信行为名单，符合政府采购供应商的基本</w:t>
      </w:r>
      <w:r>
        <w:rPr>
          <w:rFonts w:hint="eastAsia" w:ascii="宋体" w:hAnsi="宋体" w:eastAsia="宋体" w:cs="宋体"/>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4"/>
          <w:kern w:val="0"/>
          <w:sz w:val="21"/>
          <w:szCs w:val="21"/>
          <w:lang w:val="en-US" w:eastAsia="zh-CN" w:bidi="ar"/>
        </w:rPr>
        <w:t>资格要求。</w:t>
      </w:r>
    </w:p>
    <w:p w14:paraId="3A49E732">
      <w:pPr>
        <w:keepNext w:val="0"/>
        <w:keepLines w:val="0"/>
        <w:widowControl/>
        <w:suppressLineNumbers w:val="0"/>
        <w:spacing w:before="100" w:beforeAutospacing="1" w:after="100" w:afterAutospacing="1"/>
        <w:ind w:left="10" w:right="0" w:firstLine="30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5"/>
          <w:kern w:val="0"/>
          <w:sz w:val="21"/>
          <w:szCs w:val="21"/>
          <w:lang w:val="en-US" w:eastAsia="zh-CN" w:bidi="ar"/>
        </w:rPr>
        <w:t>按照《政府采购促进中小企业发展管理办法》 (财库〔2020]46 号)，本公司企业规模为：大型□   </w:t>
      </w:r>
      <w:r>
        <w:rPr>
          <w:rFonts w:hint="eastAsia" w:ascii="宋体" w:hAnsi="宋体" w:eastAsia="宋体" w:cs="宋体"/>
          <w:i w:val="0"/>
          <w:iCs w:val="0"/>
          <w:caps w:val="0"/>
          <w:color w:val="000000"/>
          <w:spacing w:val="1"/>
          <w:kern w:val="0"/>
          <w:sz w:val="21"/>
          <w:szCs w:val="21"/>
          <w:lang w:val="en-US" w:eastAsia="zh-CN" w:bidi="ar"/>
        </w:rPr>
        <w:t>中</w:t>
      </w:r>
      <w:r>
        <w:rPr>
          <w:rFonts w:hint="eastAsia" w:ascii="宋体" w:hAnsi="宋体" w:eastAsia="宋体" w:cs="宋体"/>
          <w:i w:val="0"/>
          <w:iCs w:val="0"/>
          <w:caps w:val="0"/>
          <w:color w:val="000000"/>
          <w:spacing w:val="12"/>
          <w:kern w:val="0"/>
          <w:sz w:val="21"/>
          <w:szCs w:val="21"/>
          <w:lang w:val="en-US" w:eastAsia="zh-CN" w:bidi="ar"/>
        </w:rPr>
        <w:t>型</w:t>
      </w:r>
      <w:r>
        <w:rPr>
          <w:rFonts w:hint="eastAsia" w:ascii="宋体" w:hAnsi="宋体" w:eastAsia="宋体" w:cs="宋体"/>
          <w:i w:val="0"/>
          <w:iCs w:val="0"/>
          <w:caps w:val="0"/>
          <w:color w:val="000000"/>
          <w:spacing w:val="6"/>
          <w:kern w:val="0"/>
          <w:sz w:val="21"/>
          <w:szCs w:val="21"/>
          <w:lang w:val="en-US" w:eastAsia="zh-CN" w:bidi="ar"/>
        </w:rPr>
        <w:t>□     小型□    微型□</w:t>
      </w:r>
    </w:p>
    <w:p w14:paraId="29E891C5">
      <w:pPr>
        <w:keepNext w:val="0"/>
        <w:keepLines w:val="0"/>
        <w:widowControl/>
        <w:suppressLineNumbers w:val="0"/>
        <w:spacing w:before="100" w:beforeAutospacing="1" w:after="100" w:afterAutospacing="1"/>
        <w:ind w:left="0" w:right="0" w:firstLine="300"/>
        <w:jc w:val="left"/>
        <w:rPr>
          <w:rFonts w:hint="eastAsia" w:ascii="微软雅黑" w:hAnsi="微软雅黑" w:eastAsia="微软雅黑" w:cs="微软雅黑"/>
          <w:i w:val="0"/>
          <w:iCs w:val="0"/>
          <w:caps w:val="0"/>
          <w:color w:val="000000"/>
          <w:spacing w:val="0"/>
          <w:sz w:val="21"/>
          <w:szCs w:val="21"/>
        </w:rPr>
      </w:pPr>
      <w:r>
        <w:rPr>
          <w:rFonts w:hint="default" w:ascii="Arial" w:hAnsi="Arial" w:eastAsia="微软雅黑" w:cs="Arial"/>
          <w:i w:val="0"/>
          <w:iCs w:val="0"/>
          <w:caps w:val="0"/>
          <w:color w:val="000000"/>
          <w:spacing w:val="0"/>
          <w:kern w:val="0"/>
          <w:sz w:val="21"/>
          <w:szCs w:val="21"/>
          <w:lang w:val="en-US" w:eastAsia="zh-CN" w:bidi="ar"/>
        </w:rPr>
        <w:t> </w:t>
      </w:r>
    </w:p>
    <w:p w14:paraId="2CB47CA8">
      <w:pPr>
        <w:keepNext w:val="0"/>
        <w:keepLines w:val="0"/>
        <w:widowControl/>
        <w:suppressLineNumbers w:val="0"/>
        <w:spacing w:before="100" w:beforeAutospacing="1" w:after="100" w:afterAutospacing="1"/>
        <w:ind w:left="0" w:right="0" w:firstLine="300"/>
        <w:jc w:val="left"/>
        <w:rPr>
          <w:rFonts w:hint="eastAsia" w:ascii="微软雅黑" w:hAnsi="微软雅黑" w:eastAsia="微软雅黑" w:cs="微软雅黑"/>
          <w:i w:val="0"/>
          <w:iCs w:val="0"/>
          <w:caps w:val="0"/>
          <w:color w:val="000000"/>
          <w:spacing w:val="0"/>
          <w:sz w:val="21"/>
          <w:szCs w:val="21"/>
        </w:rPr>
      </w:pPr>
      <w:r>
        <w:rPr>
          <w:rFonts w:hint="default" w:ascii="Arial" w:hAnsi="Arial" w:eastAsia="微软雅黑" w:cs="Arial"/>
          <w:i w:val="0"/>
          <w:iCs w:val="0"/>
          <w:caps w:val="0"/>
          <w:color w:val="000000"/>
          <w:spacing w:val="0"/>
          <w:kern w:val="0"/>
          <w:sz w:val="21"/>
          <w:szCs w:val="21"/>
          <w:lang w:val="en-US" w:eastAsia="zh-CN" w:bidi="ar"/>
        </w:rPr>
        <w:t> </w:t>
      </w:r>
    </w:p>
    <w:p w14:paraId="579C6703">
      <w:pPr>
        <w:keepNext w:val="0"/>
        <w:keepLines w:val="0"/>
        <w:widowControl/>
        <w:suppressLineNumbers w:val="0"/>
        <w:spacing w:before="100" w:beforeAutospacing="1" w:after="100" w:afterAutospacing="1" w:line="283" w:lineRule="atLeast"/>
        <w:ind w:left="0" w:right="0" w:firstLine="300"/>
        <w:jc w:val="left"/>
        <w:rPr>
          <w:rFonts w:hint="default" w:ascii="微软雅黑" w:hAnsi="微软雅黑" w:eastAsia="微软雅黑" w:cs="微软雅黑"/>
          <w:i w:val="0"/>
          <w:iCs w:val="0"/>
          <w:caps w:val="0"/>
          <w:color w:val="000000"/>
          <w:spacing w:val="0"/>
          <w:sz w:val="21"/>
          <w:szCs w:val="21"/>
          <w:lang w:val="en-US"/>
        </w:rPr>
      </w:pPr>
      <w:r>
        <w:rPr>
          <w:rFonts w:hint="eastAsia" w:ascii="宋体" w:hAnsi="宋体" w:eastAsia="宋体" w:cs="宋体"/>
          <w:i w:val="0"/>
          <w:iCs w:val="0"/>
          <w:caps w:val="0"/>
          <w:color w:val="000000"/>
          <w:spacing w:val="10"/>
          <w:kern w:val="0"/>
          <w:sz w:val="21"/>
          <w:szCs w:val="21"/>
          <w:lang w:val="en-US" w:eastAsia="zh-CN" w:bidi="ar"/>
        </w:rPr>
        <w:t>公</w:t>
      </w:r>
      <w:r>
        <w:rPr>
          <w:rFonts w:hint="eastAsia" w:ascii="宋体" w:hAnsi="宋体" w:eastAsia="宋体" w:cs="宋体"/>
          <w:i w:val="0"/>
          <w:iCs w:val="0"/>
          <w:caps w:val="0"/>
          <w:color w:val="000000"/>
          <w:spacing w:val="9"/>
          <w:kern w:val="0"/>
          <w:sz w:val="21"/>
          <w:szCs w:val="21"/>
          <w:lang w:val="en-US" w:eastAsia="zh-CN" w:bidi="ar"/>
        </w:rPr>
        <w:t>司</w:t>
      </w:r>
      <w:r>
        <w:rPr>
          <w:rFonts w:hint="eastAsia" w:ascii="宋体" w:hAnsi="宋体" w:eastAsia="宋体" w:cs="宋体"/>
          <w:i w:val="0"/>
          <w:iCs w:val="0"/>
          <w:caps w:val="0"/>
          <w:color w:val="000000"/>
          <w:spacing w:val="5"/>
          <w:kern w:val="0"/>
          <w:sz w:val="21"/>
          <w:szCs w:val="21"/>
          <w:lang w:val="en-US" w:eastAsia="zh-CN" w:bidi="ar"/>
        </w:rPr>
        <w:t> (单位) 名称 (盖章)</w:t>
      </w:r>
      <w:r>
        <w:rPr>
          <w:rFonts w:hint="eastAsia" w:ascii="宋体" w:hAnsi="宋体" w:eastAsia="宋体" w:cs="宋体"/>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9"/>
          <w:kern w:val="0"/>
          <w:sz w:val="21"/>
          <w:szCs w:val="21"/>
          <w:lang w:val="en-US" w:eastAsia="zh-CN" w:bidi="ar"/>
        </w:rPr>
        <w:t>年    月    日</w:t>
      </w:r>
    </w:p>
    <w:p w14:paraId="7C3968BE">
      <w:pPr>
        <w:keepNext w:val="0"/>
        <w:keepLines w:val="0"/>
        <w:widowControl/>
        <w:suppressLineNumbers w:val="0"/>
        <w:spacing w:before="100" w:beforeAutospacing="1" w:after="100" w:afterAutospacing="1" w:line="283" w:lineRule="atLeast"/>
        <w:ind w:left="0" w:right="0" w:firstLine="300"/>
        <w:jc w:val="left"/>
        <w:rPr>
          <w:rFonts w:hint="eastAsia" w:ascii="微软雅黑" w:hAnsi="微软雅黑" w:eastAsia="微软雅黑" w:cs="微软雅黑"/>
          <w:i w:val="0"/>
          <w:iCs w:val="0"/>
          <w:caps w:val="0"/>
          <w:color w:val="000000"/>
          <w:spacing w:val="0"/>
          <w:sz w:val="21"/>
          <w:szCs w:val="21"/>
        </w:rPr>
      </w:pPr>
      <w:r>
        <w:rPr>
          <w:rFonts w:hint="default" w:ascii="Arial" w:hAnsi="Arial" w:eastAsia="微软雅黑" w:cs="Arial"/>
          <w:i w:val="0"/>
          <w:iCs w:val="0"/>
          <w:caps w:val="0"/>
          <w:color w:val="000000"/>
          <w:spacing w:val="0"/>
          <w:kern w:val="0"/>
          <w:sz w:val="21"/>
          <w:szCs w:val="21"/>
          <w:lang w:val="en-US" w:eastAsia="zh-CN" w:bidi="ar"/>
        </w:rPr>
        <w:t> </w:t>
      </w:r>
    </w:p>
    <w:p w14:paraId="274AB726">
      <w:pPr>
        <w:keepNext w:val="0"/>
        <w:keepLines w:val="0"/>
        <w:widowControl/>
        <w:suppressLineNumbers w:val="0"/>
        <w:spacing w:before="65" w:beforeAutospacing="0" w:after="100" w:afterAutospacing="1" w:line="360" w:lineRule="auto"/>
        <w:ind w:right="116"/>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12"/>
          <w:kern w:val="0"/>
          <w:sz w:val="21"/>
          <w:szCs w:val="21"/>
          <w:lang w:val="en-US" w:eastAsia="zh-CN" w:bidi="ar"/>
        </w:rPr>
        <w:t>机构代码</w:t>
      </w:r>
      <w:r>
        <w:rPr>
          <w:rFonts w:hint="eastAsia" w:ascii="宋体" w:hAnsi="宋体" w:eastAsia="宋体" w:cs="宋体"/>
          <w:i w:val="0"/>
          <w:iCs w:val="0"/>
          <w:caps w:val="0"/>
          <w:color w:val="000000"/>
          <w:spacing w:val="10"/>
          <w:kern w:val="0"/>
          <w:sz w:val="21"/>
          <w:szCs w:val="21"/>
          <w:lang w:val="en-US" w:eastAsia="zh-CN" w:bidi="ar"/>
        </w:rPr>
        <w:t>、</w:t>
      </w:r>
      <w:r>
        <w:rPr>
          <w:rFonts w:hint="eastAsia" w:ascii="宋体" w:hAnsi="宋体" w:eastAsia="宋体" w:cs="宋体"/>
          <w:i w:val="0"/>
          <w:iCs w:val="0"/>
          <w:caps w:val="0"/>
          <w:color w:val="000000"/>
          <w:spacing w:val="6"/>
          <w:kern w:val="0"/>
          <w:sz w:val="21"/>
          <w:szCs w:val="21"/>
          <w:lang w:val="en-US" w:eastAsia="zh-CN" w:bidi="ar"/>
        </w:rPr>
        <w:t>注册登记机构、 日期、有效期、注册资本、地址、经济行业、经济性质</w:t>
      </w:r>
      <w:r>
        <w:rPr>
          <w:rFonts w:hint="eastAsia" w:ascii="宋体" w:hAnsi="宋体" w:eastAsia="宋体" w:cs="宋体"/>
          <w:i w:val="0"/>
          <w:iCs w:val="0"/>
          <w:caps w:val="0"/>
          <w:color w:val="000000"/>
          <w:spacing w:val="0"/>
          <w:kern w:val="0"/>
          <w:sz w:val="21"/>
          <w:szCs w:val="21"/>
          <w:lang w:val="en-US" w:eastAsia="zh-CN" w:bidi="ar"/>
        </w:rPr>
        <w:t> </w:t>
      </w:r>
    </w:p>
    <w:p w14:paraId="25B3B8FF">
      <w:pPr>
        <w:keepNext w:val="0"/>
        <w:keepLines w:val="0"/>
        <w:widowControl/>
        <w:suppressLineNumbers w:val="0"/>
        <w:spacing w:before="65" w:beforeAutospacing="0" w:after="100" w:afterAutospacing="1" w:line="360" w:lineRule="auto"/>
        <w:ind w:right="116"/>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8"/>
          <w:kern w:val="0"/>
          <w:sz w:val="21"/>
          <w:szCs w:val="21"/>
          <w:lang w:val="en-US" w:eastAsia="zh-CN" w:bidi="ar"/>
        </w:rPr>
        <w:t>法定代表人 (负责人) 姓名 (签字) 、身份证号、手机号</w:t>
      </w:r>
      <w:r>
        <w:rPr>
          <w:rFonts w:hint="eastAsia" w:ascii="宋体" w:hAnsi="宋体" w:eastAsia="宋体" w:cs="宋体"/>
          <w:i w:val="0"/>
          <w:iCs w:val="0"/>
          <w:caps w:val="0"/>
          <w:color w:val="000000"/>
          <w:spacing w:val="7"/>
          <w:kern w:val="0"/>
          <w:sz w:val="21"/>
          <w:szCs w:val="21"/>
          <w:lang w:val="en-US" w:eastAsia="zh-CN" w:bidi="ar"/>
        </w:rPr>
        <w:t>：</w:t>
      </w:r>
    </w:p>
    <w:p w14:paraId="6CF99755">
      <w:pPr>
        <w:keepNext w:val="0"/>
        <w:keepLines w:val="0"/>
        <w:widowControl/>
        <w:suppressLineNumbers w:val="0"/>
        <w:spacing w:before="100" w:beforeAutospacing="1" w:after="100" w:afterAutospacing="1" w:line="360" w:lineRule="auto"/>
        <w:ind w:right="0"/>
        <w:jc w:val="both"/>
        <w:rPr>
          <w:rFonts w:ascii="宋体" w:hAnsi="宋体"/>
          <w:color w:val="000000" w:themeColor="text1"/>
          <w:szCs w:val="21"/>
          <w14:textFill>
            <w14:solidFill>
              <w14:schemeClr w14:val="tx1"/>
            </w14:solidFill>
          </w14:textFill>
        </w:rPr>
        <w:sectPr>
          <w:pgSz w:w="11906" w:h="16838"/>
          <w:pgMar w:top="1418" w:right="1418" w:bottom="1134" w:left="1418" w:header="851" w:footer="992" w:gutter="0"/>
          <w:pgNumType w:fmt="decimal"/>
          <w:cols w:space="720" w:num="1"/>
          <w:docGrid w:type="linesAndChars" w:linePitch="312" w:charSpace="0"/>
        </w:sectPr>
      </w:pPr>
      <w:r>
        <w:rPr>
          <w:rFonts w:hint="eastAsia" w:ascii="宋体" w:hAnsi="宋体" w:eastAsia="宋体" w:cs="宋体"/>
          <w:i w:val="0"/>
          <w:iCs w:val="0"/>
          <w:caps w:val="0"/>
          <w:color w:val="000000"/>
          <w:spacing w:val="14"/>
          <w:kern w:val="0"/>
          <w:sz w:val="21"/>
          <w:szCs w:val="21"/>
          <w:lang w:val="en-US" w:eastAsia="zh-CN" w:bidi="ar"/>
        </w:rPr>
        <w:t>授</w:t>
      </w:r>
      <w:r>
        <w:rPr>
          <w:rFonts w:hint="eastAsia" w:ascii="宋体" w:hAnsi="宋体" w:eastAsia="宋体" w:cs="宋体"/>
          <w:i w:val="0"/>
          <w:iCs w:val="0"/>
          <w:caps w:val="0"/>
          <w:color w:val="000000"/>
          <w:spacing w:val="8"/>
          <w:kern w:val="0"/>
          <w:sz w:val="21"/>
          <w:szCs w:val="21"/>
          <w:lang w:val="en-US" w:eastAsia="zh-CN" w:bidi="ar"/>
        </w:rPr>
        <w:t>权代表人姓名 (签字) 、身份证号、手机号：</w:t>
      </w:r>
    </w:p>
    <w:p w14:paraId="06F3701D">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67" w:name="_Toc2030"/>
      <w:bookmarkStart w:id="168" w:name="_Toc107998034"/>
      <w:r>
        <w:rPr>
          <w:rFonts w:hint="eastAsia" w:ascii="黑体" w:hAnsi="黑体" w:eastAsia="黑体"/>
          <w:b/>
          <w:bCs/>
          <w:color w:val="000000" w:themeColor="text1"/>
          <w:sz w:val="28"/>
          <w:szCs w:val="28"/>
          <w14:textFill>
            <w14:solidFill>
              <w14:schemeClr w14:val="tx1"/>
            </w14:solidFill>
          </w14:textFill>
        </w:rPr>
        <w:t>三、保证金</w:t>
      </w:r>
      <w:bookmarkEnd w:id="167"/>
      <w:bookmarkEnd w:id="168"/>
    </w:p>
    <w:p w14:paraId="58FE6536">
      <w:pPr>
        <w:autoSpaceDE w:val="0"/>
        <w:autoSpaceDN w:val="0"/>
        <w:adjustRightInd w:val="0"/>
        <w:jc w:val="center"/>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b w:val="0"/>
          <w:bCs/>
          <w:color w:val="000000" w:themeColor="text1"/>
          <w:sz w:val="28"/>
          <w:szCs w:val="28"/>
          <w:lang w:eastAsia="zh-CN"/>
          <w14:textFill>
            <w14:solidFill>
              <w14:schemeClr w14:val="tx1"/>
            </w14:solidFill>
          </w14:textFill>
        </w:rPr>
        <w:t>（本项目不需要提供）</w:t>
      </w:r>
    </w:p>
    <w:p w14:paraId="28E2A523">
      <w:pPr>
        <w:adjustRightInd w:val="0"/>
        <w:snapToGrid w:val="0"/>
        <w:spacing w:before="156" w:beforeLines="50" w:line="360" w:lineRule="auto"/>
        <w:ind w:firstLine="420" w:firstLineChars="200"/>
        <w:jc w:val="left"/>
        <w:rPr>
          <w:rFonts w:ascii="宋体" w:hAnsi="宋体"/>
          <w:color w:val="000000" w:themeColor="text1"/>
          <w14:textFill>
            <w14:solidFill>
              <w14:schemeClr w14:val="tx1"/>
            </w14:solidFill>
          </w14:textFill>
        </w:rPr>
        <w:sectPr>
          <w:pgSz w:w="11906" w:h="16838"/>
          <w:pgMar w:top="1418" w:right="1418" w:bottom="1134" w:left="1418" w:header="851" w:footer="992" w:gutter="0"/>
          <w:pgNumType w:fmt="decimal"/>
          <w:cols w:space="720" w:num="1"/>
          <w:docGrid w:type="linesAndChars" w:linePitch="312" w:charSpace="0"/>
        </w:sectPr>
      </w:pPr>
    </w:p>
    <w:p w14:paraId="57F2170B">
      <w:pPr>
        <w:keepNext/>
        <w:keepLines/>
        <w:spacing w:line="360" w:lineRule="auto"/>
        <w:jc w:val="center"/>
        <w:outlineLvl w:val="1"/>
        <w:rPr>
          <w:rFonts w:ascii="黑体" w:hAnsi="黑体" w:eastAsia="黑体"/>
          <w:color w:val="000000"/>
          <w:sz w:val="28"/>
          <w:szCs w:val="28"/>
        </w:rPr>
      </w:pPr>
      <w:bookmarkStart w:id="169" w:name="_Toc15472"/>
      <w:bookmarkStart w:id="170" w:name="_Toc107998035"/>
      <w:r>
        <w:rPr>
          <w:rFonts w:hint="eastAsia" w:ascii="黑体" w:hAnsi="黑体" w:eastAsia="黑体"/>
          <w:b/>
          <w:bCs/>
          <w:color w:val="000000" w:themeColor="text1"/>
          <w:sz w:val="28"/>
          <w:szCs w:val="28"/>
          <w14:textFill>
            <w14:solidFill>
              <w14:schemeClr w14:val="tx1"/>
            </w14:solidFill>
          </w14:textFill>
        </w:rPr>
        <w:t>四、</w:t>
      </w:r>
      <w:r>
        <w:rPr>
          <w:rFonts w:hint="eastAsia" w:ascii="黑体" w:hAnsi="黑体" w:eastAsia="黑体"/>
          <w:color w:val="000000"/>
          <w:sz w:val="28"/>
          <w:szCs w:val="28"/>
        </w:rPr>
        <w:t>法定代表人（单位负责人）身份证明(格式)</w:t>
      </w:r>
    </w:p>
    <w:p w14:paraId="273963AA">
      <w:pPr>
        <w:tabs>
          <w:tab w:val="left" w:pos="3880"/>
        </w:tabs>
        <w:autoSpaceDE w:val="0"/>
        <w:autoSpaceDN w:val="0"/>
        <w:adjustRightInd w:val="0"/>
        <w:snapToGrid w:val="0"/>
        <w:spacing w:before="156" w:beforeLines="50" w:line="360" w:lineRule="auto"/>
        <w:ind w:left="100" w:right="-20"/>
        <w:jc w:val="left"/>
        <w:rPr>
          <w:rFonts w:ascii="宋体" w:hAnsi="宋体" w:cs="微软雅黑"/>
          <w:color w:val="000000"/>
          <w:kern w:val="0"/>
          <w:position w:val="-4"/>
          <w:szCs w:val="21"/>
        </w:rPr>
      </w:pPr>
    </w:p>
    <w:p w14:paraId="04B728D3">
      <w:pPr>
        <w:tabs>
          <w:tab w:val="left" w:pos="3880"/>
        </w:tabs>
        <w:autoSpaceDE w:val="0"/>
        <w:autoSpaceDN w:val="0"/>
        <w:adjustRightInd w:val="0"/>
        <w:snapToGrid w:val="0"/>
        <w:spacing w:before="156" w:beforeLines="50" w:line="360" w:lineRule="auto"/>
        <w:ind w:left="100" w:right="-20"/>
        <w:jc w:val="left"/>
        <w:rPr>
          <w:rFonts w:ascii="宋体" w:hAnsi="宋体" w:cs="微软雅黑"/>
          <w:color w:val="000000"/>
          <w:kern w:val="0"/>
          <w:szCs w:val="21"/>
        </w:rPr>
      </w:pPr>
      <w:r>
        <w:rPr>
          <w:rFonts w:hint="eastAsia" w:ascii="宋体" w:hAnsi="宋体" w:cs="微软雅黑"/>
          <w:color w:val="000000"/>
          <w:kern w:val="0"/>
          <w:position w:val="-4"/>
          <w:szCs w:val="21"/>
        </w:rPr>
        <w:t>供应商名</w:t>
      </w:r>
      <w:r>
        <w:rPr>
          <w:rFonts w:hint="eastAsia" w:ascii="宋体" w:hAnsi="宋体" w:cs="微软雅黑"/>
          <w:color w:val="000000"/>
          <w:spacing w:val="-2"/>
          <w:kern w:val="0"/>
          <w:position w:val="-4"/>
          <w:szCs w:val="21"/>
        </w:rPr>
        <w:t>称</w:t>
      </w:r>
      <w:r>
        <w:rPr>
          <w:rFonts w:hint="eastAsia" w:ascii="宋体" w:hAnsi="宋体" w:cs="微软雅黑"/>
          <w:color w:val="000000"/>
          <w:kern w:val="0"/>
          <w:position w:val="-4"/>
          <w:szCs w:val="21"/>
        </w:rPr>
        <w:t>：</w:t>
      </w:r>
      <w:r>
        <w:rPr>
          <w:rFonts w:hint="eastAsia" w:ascii="宋体" w:hAnsi="宋体"/>
          <w:color w:val="000000"/>
          <w:szCs w:val="21"/>
          <w:u w:val="single"/>
        </w:rPr>
        <w:t xml:space="preserve">                 </w:t>
      </w:r>
    </w:p>
    <w:p w14:paraId="1F00250D">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000000"/>
          <w:kern w:val="0"/>
          <w:position w:val="-2"/>
          <w:szCs w:val="21"/>
        </w:rPr>
      </w:pPr>
      <w:r>
        <w:rPr>
          <w:rFonts w:hint="eastAsia" w:ascii="宋体" w:hAnsi="宋体" w:cs="微软雅黑"/>
          <w:color w:val="000000"/>
          <w:kern w:val="0"/>
          <w:position w:val="-2"/>
          <w:szCs w:val="21"/>
        </w:rPr>
        <w:t>统一社会信用代码：</w:t>
      </w:r>
      <w:r>
        <w:rPr>
          <w:rFonts w:hint="eastAsia" w:ascii="宋体" w:hAnsi="宋体"/>
          <w:color w:val="000000"/>
          <w:szCs w:val="21"/>
          <w:u w:val="single"/>
        </w:rPr>
        <w:t xml:space="preserve">                 </w:t>
      </w:r>
    </w:p>
    <w:p w14:paraId="7479F84B">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000000"/>
          <w:kern w:val="0"/>
          <w:position w:val="-2"/>
          <w:szCs w:val="21"/>
        </w:rPr>
      </w:pPr>
      <w:r>
        <w:rPr>
          <w:rFonts w:hint="eastAsia" w:ascii="宋体" w:hAnsi="宋体" w:cs="微软雅黑"/>
          <w:color w:val="000000"/>
          <w:kern w:val="0"/>
          <w:position w:val="-2"/>
          <w:szCs w:val="21"/>
        </w:rPr>
        <w:t>注册地址：</w:t>
      </w:r>
      <w:r>
        <w:rPr>
          <w:rFonts w:hint="eastAsia" w:ascii="宋体" w:hAnsi="宋体"/>
          <w:color w:val="000000"/>
          <w:szCs w:val="21"/>
          <w:u w:val="single"/>
        </w:rPr>
        <w:t xml:space="preserve">                 </w:t>
      </w:r>
    </w:p>
    <w:p w14:paraId="412A2F86">
      <w:pPr>
        <w:tabs>
          <w:tab w:val="left" w:pos="2400"/>
          <w:tab w:val="left" w:pos="3880"/>
          <w:tab w:val="left" w:pos="5340"/>
          <w:tab w:val="left" w:pos="6820"/>
        </w:tabs>
        <w:autoSpaceDE w:val="0"/>
        <w:autoSpaceDN w:val="0"/>
        <w:adjustRightInd w:val="0"/>
        <w:snapToGrid w:val="0"/>
        <w:spacing w:before="156" w:beforeLines="50" w:line="360" w:lineRule="auto"/>
        <w:ind w:left="102" w:right="-23" w:firstLine="420" w:firstLineChars="200"/>
        <w:jc w:val="left"/>
        <w:rPr>
          <w:rFonts w:ascii="宋体" w:hAnsi="宋体" w:cs="微软雅黑"/>
          <w:color w:val="000000"/>
          <w:kern w:val="0"/>
          <w:szCs w:val="21"/>
        </w:rPr>
      </w:pPr>
      <w:r>
        <w:rPr>
          <w:rFonts w:hint="eastAsia" w:ascii="宋体" w:hAnsi="宋体" w:cs="微软雅黑"/>
          <w:color w:val="000000"/>
          <w:kern w:val="0"/>
          <w:position w:val="-2"/>
          <w:szCs w:val="21"/>
        </w:rPr>
        <w:t>姓名</w:t>
      </w:r>
      <w:r>
        <w:rPr>
          <w:rFonts w:hint="eastAsia" w:ascii="宋体" w:hAnsi="宋体" w:cs="微软雅黑"/>
          <w:color w:val="000000"/>
          <w:spacing w:val="-2"/>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性别</w:t>
      </w:r>
      <w:r>
        <w:rPr>
          <w:rFonts w:hint="eastAsia" w:ascii="宋体" w:hAnsi="宋体" w:cs="微软雅黑"/>
          <w:color w:val="000000"/>
          <w:spacing w:val="-2"/>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年</w:t>
      </w:r>
      <w:r>
        <w:rPr>
          <w:rFonts w:hint="eastAsia" w:ascii="宋体" w:hAnsi="宋体" w:cs="微软雅黑"/>
          <w:color w:val="000000"/>
          <w:spacing w:val="-2"/>
          <w:kern w:val="0"/>
          <w:position w:val="-2"/>
          <w:szCs w:val="21"/>
        </w:rPr>
        <w:t>龄</w:t>
      </w:r>
      <w:r>
        <w:rPr>
          <w:rFonts w:hint="eastAsia" w:ascii="宋体" w:hAnsi="宋体" w:cs="微软雅黑"/>
          <w:color w:val="000000"/>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职</w:t>
      </w:r>
      <w:r>
        <w:rPr>
          <w:rFonts w:hint="eastAsia" w:ascii="宋体" w:hAnsi="宋体" w:cs="微软雅黑"/>
          <w:color w:val="000000"/>
          <w:spacing w:val="-2"/>
          <w:kern w:val="0"/>
          <w:position w:val="-2"/>
          <w:szCs w:val="21"/>
        </w:rPr>
        <w:t>务</w:t>
      </w:r>
      <w:r>
        <w:rPr>
          <w:rFonts w:hint="eastAsia" w:ascii="宋体" w:hAnsi="宋体" w:cs="微软雅黑"/>
          <w:color w:val="000000"/>
          <w:kern w:val="0"/>
          <w:position w:val="-2"/>
          <w:szCs w:val="21"/>
        </w:rPr>
        <w:t>：</w:t>
      </w:r>
      <w:r>
        <w:rPr>
          <w:rFonts w:hint="eastAsia" w:ascii="宋体" w:hAnsi="宋体"/>
          <w:color w:val="000000"/>
          <w:szCs w:val="21"/>
          <w:u w:val="single"/>
        </w:rPr>
        <w:t xml:space="preserve">         </w:t>
      </w:r>
      <w:r>
        <w:rPr>
          <w:rFonts w:hint="eastAsia" w:ascii="宋体" w:hAnsi="宋体" w:cs="微软雅黑"/>
          <w:color w:val="000000"/>
          <w:kern w:val="0"/>
          <w:position w:val="-2"/>
          <w:szCs w:val="21"/>
        </w:rPr>
        <w:t>系</w:t>
      </w:r>
      <w:r>
        <w:rPr>
          <w:rFonts w:hint="eastAsia" w:ascii="宋体" w:hAnsi="宋体"/>
          <w:color w:val="000000"/>
          <w:szCs w:val="21"/>
          <w:u w:val="single"/>
        </w:rPr>
        <w:t xml:space="preserve">         </w:t>
      </w:r>
      <w:r>
        <w:rPr>
          <w:rFonts w:hint="eastAsia" w:ascii="宋体" w:hAnsi="宋体" w:cs="微软雅黑"/>
          <w:color w:val="000000"/>
          <w:spacing w:val="-2"/>
          <w:kern w:val="0"/>
          <w:position w:val="-2"/>
          <w:szCs w:val="21"/>
        </w:rPr>
        <w:t>（</w:t>
      </w:r>
      <w:r>
        <w:rPr>
          <w:rFonts w:hint="eastAsia" w:ascii="宋体" w:hAnsi="宋体" w:cs="微软雅黑"/>
          <w:color w:val="000000"/>
          <w:kern w:val="0"/>
          <w:position w:val="-2"/>
          <w:szCs w:val="21"/>
        </w:rPr>
        <w:t>供应商</w:t>
      </w:r>
      <w:r>
        <w:rPr>
          <w:rFonts w:hint="eastAsia" w:ascii="宋体" w:hAnsi="宋体" w:cs="微软雅黑"/>
          <w:color w:val="000000"/>
          <w:spacing w:val="-2"/>
          <w:kern w:val="0"/>
          <w:position w:val="-2"/>
          <w:szCs w:val="21"/>
        </w:rPr>
        <w:t>名</w:t>
      </w:r>
      <w:r>
        <w:rPr>
          <w:rFonts w:hint="eastAsia" w:ascii="宋体" w:hAnsi="宋体" w:cs="微软雅黑"/>
          <w:color w:val="000000"/>
          <w:kern w:val="0"/>
          <w:position w:val="-2"/>
          <w:szCs w:val="21"/>
        </w:rPr>
        <w:t>称</w:t>
      </w:r>
      <w:r>
        <w:rPr>
          <w:rFonts w:hint="eastAsia" w:ascii="宋体" w:hAnsi="宋体" w:cs="微软雅黑"/>
          <w:color w:val="000000"/>
          <w:spacing w:val="-2"/>
          <w:kern w:val="0"/>
          <w:position w:val="-2"/>
          <w:szCs w:val="21"/>
        </w:rPr>
        <w:t>）</w:t>
      </w:r>
      <w:r>
        <w:rPr>
          <w:rFonts w:hint="eastAsia" w:ascii="宋体" w:hAnsi="宋体" w:cs="微软雅黑"/>
          <w:color w:val="000000"/>
          <w:kern w:val="0"/>
          <w:position w:val="-2"/>
          <w:szCs w:val="21"/>
        </w:rPr>
        <w:t>的</w:t>
      </w:r>
      <w:r>
        <w:rPr>
          <w:rFonts w:hint="eastAsia" w:ascii="宋体" w:hAnsi="宋体" w:cs="微软雅黑"/>
          <w:color w:val="000000"/>
          <w:spacing w:val="-2"/>
          <w:kern w:val="0"/>
          <w:position w:val="-2"/>
          <w:szCs w:val="21"/>
        </w:rPr>
        <w:t>法定</w:t>
      </w:r>
      <w:r>
        <w:rPr>
          <w:rFonts w:hint="eastAsia" w:ascii="宋体" w:hAnsi="宋体" w:cs="微软雅黑"/>
          <w:color w:val="000000"/>
          <w:kern w:val="0"/>
          <w:position w:val="-2"/>
          <w:szCs w:val="21"/>
        </w:rPr>
        <w:t>代表</w:t>
      </w:r>
      <w:r>
        <w:rPr>
          <w:rFonts w:hint="eastAsia" w:ascii="宋体" w:hAnsi="宋体" w:cs="微软雅黑"/>
          <w:color w:val="000000"/>
          <w:spacing w:val="-2"/>
          <w:kern w:val="0"/>
          <w:position w:val="-2"/>
          <w:szCs w:val="21"/>
        </w:rPr>
        <w:t>人</w:t>
      </w:r>
      <w:r>
        <w:rPr>
          <w:rFonts w:hint="eastAsia" w:ascii="宋体" w:hAnsi="宋体" w:cs="微软雅黑"/>
          <w:color w:val="000000"/>
          <w:kern w:val="0"/>
          <w:position w:val="-2"/>
          <w:szCs w:val="21"/>
        </w:rPr>
        <w:t>（</w:t>
      </w:r>
      <w:r>
        <w:rPr>
          <w:rFonts w:hint="eastAsia" w:ascii="宋体" w:hAnsi="宋体" w:cs="微软雅黑"/>
          <w:color w:val="000000"/>
          <w:spacing w:val="-2"/>
          <w:kern w:val="0"/>
          <w:position w:val="-2"/>
          <w:szCs w:val="21"/>
        </w:rPr>
        <w:t>单</w:t>
      </w:r>
      <w:r>
        <w:rPr>
          <w:rFonts w:hint="eastAsia" w:ascii="宋体" w:hAnsi="宋体" w:cs="微软雅黑"/>
          <w:color w:val="000000"/>
          <w:kern w:val="0"/>
          <w:position w:val="-2"/>
          <w:szCs w:val="21"/>
        </w:rPr>
        <w:t>位</w:t>
      </w:r>
      <w:r>
        <w:rPr>
          <w:rFonts w:hint="eastAsia" w:ascii="宋体" w:hAnsi="宋体" w:cs="微软雅黑"/>
          <w:color w:val="000000"/>
          <w:spacing w:val="-2"/>
          <w:kern w:val="0"/>
          <w:position w:val="-2"/>
          <w:szCs w:val="21"/>
        </w:rPr>
        <w:t>负</w:t>
      </w:r>
      <w:r>
        <w:rPr>
          <w:rFonts w:hint="eastAsia" w:ascii="宋体" w:hAnsi="宋体" w:cs="微软雅黑"/>
          <w:color w:val="000000"/>
          <w:kern w:val="0"/>
          <w:position w:val="-2"/>
          <w:szCs w:val="21"/>
        </w:rPr>
        <w:t>责</w:t>
      </w:r>
      <w:r>
        <w:rPr>
          <w:rFonts w:hint="eastAsia" w:ascii="宋体" w:hAnsi="宋体" w:cs="微软雅黑"/>
          <w:color w:val="000000"/>
          <w:spacing w:val="-2"/>
          <w:kern w:val="0"/>
          <w:position w:val="-2"/>
          <w:szCs w:val="21"/>
        </w:rPr>
        <w:t>人</w:t>
      </w:r>
      <w:r>
        <w:rPr>
          <w:rFonts w:hint="eastAsia" w:ascii="宋体" w:hAnsi="宋体" w:cs="微软雅黑"/>
          <w:color w:val="000000"/>
          <w:spacing w:val="-106"/>
          <w:kern w:val="0"/>
          <w:position w:val="-2"/>
          <w:szCs w:val="21"/>
        </w:rPr>
        <w:t>）</w:t>
      </w:r>
      <w:r>
        <w:rPr>
          <w:rFonts w:hint="eastAsia" w:ascii="宋体" w:hAnsi="宋体" w:cs="微软雅黑"/>
          <w:color w:val="000000"/>
          <w:kern w:val="0"/>
          <w:position w:val="-2"/>
          <w:szCs w:val="21"/>
        </w:rPr>
        <w:t>。</w:t>
      </w:r>
    </w:p>
    <w:p w14:paraId="564C268D">
      <w:pPr>
        <w:autoSpaceDE w:val="0"/>
        <w:autoSpaceDN w:val="0"/>
        <w:adjustRightInd w:val="0"/>
        <w:snapToGrid w:val="0"/>
        <w:spacing w:before="156" w:beforeLines="50" w:line="360" w:lineRule="auto"/>
        <w:ind w:left="520" w:right="-20"/>
        <w:jc w:val="left"/>
        <w:rPr>
          <w:rFonts w:ascii="宋体" w:hAnsi="宋体" w:cs="微软雅黑"/>
          <w:color w:val="000000"/>
          <w:kern w:val="0"/>
          <w:szCs w:val="21"/>
        </w:rPr>
      </w:pPr>
      <w:r>
        <w:rPr>
          <w:rFonts w:hint="eastAsia" w:ascii="宋体" w:hAnsi="宋体" w:cs="微软雅黑"/>
          <w:color w:val="000000"/>
          <w:kern w:val="0"/>
          <w:szCs w:val="21"/>
        </w:rPr>
        <w:t>特此</w:t>
      </w:r>
      <w:r>
        <w:rPr>
          <w:rFonts w:hint="eastAsia" w:ascii="宋体" w:hAnsi="宋体" w:cs="微软雅黑"/>
          <w:color w:val="000000"/>
          <w:spacing w:val="-2"/>
          <w:kern w:val="0"/>
          <w:szCs w:val="21"/>
        </w:rPr>
        <w:t>证</w:t>
      </w:r>
      <w:r>
        <w:rPr>
          <w:rFonts w:hint="eastAsia" w:ascii="宋体" w:hAnsi="宋体" w:cs="微软雅黑"/>
          <w:color w:val="000000"/>
          <w:kern w:val="0"/>
          <w:szCs w:val="21"/>
        </w:rPr>
        <w:t>明。</w:t>
      </w:r>
    </w:p>
    <w:p w14:paraId="53BF1F63">
      <w:pPr>
        <w:autoSpaceDE w:val="0"/>
        <w:autoSpaceDN w:val="0"/>
        <w:adjustRightInd w:val="0"/>
        <w:snapToGrid w:val="0"/>
        <w:spacing w:before="156" w:beforeLines="50" w:line="360" w:lineRule="auto"/>
        <w:ind w:left="100" w:right="4231"/>
        <w:jc w:val="left"/>
        <w:rPr>
          <w:rFonts w:ascii="宋体" w:hAnsi="宋体" w:cs="微软雅黑"/>
          <w:color w:val="000000"/>
          <w:kern w:val="0"/>
          <w:szCs w:val="21"/>
        </w:rPr>
      </w:pPr>
      <w:r>
        <w:rPr>
          <w:rFonts w:hint="eastAsia" w:ascii="宋体" w:hAnsi="宋体" w:cs="微软雅黑"/>
          <w:color w:val="000000"/>
          <w:kern w:val="0"/>
          <w:szCs w:val="21"/>
        </w:rPr>
        <w:t>附：</w:t>
      </w:r>
      <w:r>
        <w:rPr>
          <w:rFonts w:hint="eastAsia" w:ascii="宋体" w:hAnsi="宋体" w:cs="微软雅黑"/>
          <w:color w:val="000000"/>
          <w:spacing w:val="-2"/>
          <w:kern w:val="0"/>
          <w:szCs w:val="21"/>
        </w:rPr>
        <w:t>法</w:t>
      </w:r>
      <w:r>
        <w:rPr>
          <w:rFonts w:hint="eastAsia" w:ascii="宋体" w:hAnsi="宋体" w:cs="微软雅黑"/>
          <w:color w:val="000000"/>
          <w:kern w:val="0"/>
          <w:szCs w:val="21"/>
        </w:rPr>
        <w:t>定</w:t>
      </w:r>
      <w:r>
        <w:rPr>
          <w:rFonts w:hint="eastAsia" w:ascii="宋体" w:hAnsi="宋体" w:cs="微软雅黑"/>
          <w:color w:val="000000"/>
          <w:spacing w:val="-2"/>
          <w:kern w:val="0"/>
          <w:szCs w:val="21"/>
        </w:rPr>
        <w:t>代</w:t>
      </w:r>
      <w:r>
        <w:rPr>
          <w:rFonts w:hint="eastAsia" w:ascii="宋体" w:hAnsi="宋体" w:cs="微软雅黑"/>
          <w:color w:val="000000"/>
          <w:kern w:val="0"/>
          <w:szCs w:val="21"/>
        </w:rPr>
        <w:t>表</w:t>
      </w:r>
      <w:r>
        <w:rPr>
          <w:rFonts w:hint="eastAsia" w:ascii="宋体" w:hAnsi="宋体" w:cs="微软雅黑"/>
          <w:color w:val="000000"/>
          <w:spacing w:val="-2"/>
          <w:kern w:val="0"/>
          <w:szCs w:val="21"/>
        </w:rPr>
        <w:t>人</w:t>
      </w:r>
      <w:r>
        <w:rPr>
          <w:rFonts w:hint="eastAsia" w:ascii="宋体" w:hAnsi="宋体" w:cs="微软雅黑"/>
          <w:color w:val="000000"/>
          <w:kern w:val="0"/>
          <w:szCs w:val="21"/>
        </w:rPr>
        <w:t>（</w:t>
      </w:r>
      <w:r>
        <w:rPr>
          <w:rFonts w:hint="eastAsia" w:ascii="宋体" w:hAnsi="宋体" w:cs="微软雅黑"/>
          <w:color w:val="000000"/>
          <w:spacing w:val="-2"/>
          <w:kern w:val="0"/>
          <w:szCs w:val="21"/>
        </w:rPr>
        <w:t>单</w:t>
      </w:r>
      <w:r>
        <w:rPr>
          <w:rFonts w:hint="eastAsia" w:ascii="宋体" w:hAnsi="宋体" w:cs="微软雅黑"/>
          <w:color w:val="000000"/>
          <w:kern w:val="0"/>
          <w:szCs w:val="21"/>
        </w:rPr>
        <w:t>位</w:t>
      </w:r>
      <w:r>
        <w:rPr>
          <w:rFonts w:hint="eastAsia" w:ascii="宋体" w:hAnsi="宋体" w:cs="微软雅黑"/>
          <w:color w:val="000000"/>
          <w:spacing w:val="-2"/>
          <w:kern w:val="0"/>
          <w:szCs w:val="21"/>
        </w:rPr>
        <w:t>负</w:t>
      </w:r>
      <w:r>
        <w:rPr>
          <w:rFonts w:hint="eastAsia" w:ascii="宋体" w:hAnsi="宋体" w:cs="微软雅黑"/>
          <w:color w:val="000000"/>
          <w:kern w:val="0"/>
          <w:szCs w:val="21"/>
        </w:rPr>
        <w:t>责人</w:t>
      </w:r>
      <w:r>
        <w:rPr>
          <w:rFonts w:hint="eastAsia" w:ascii="宋体" w:hAnsi="宋体" w:cs="微软雅黑"/>
          <w:color w:val="000000"/>
          <w:spacing w:val="-2"/>
          <w:kern w:val="0"/>
          <w:szCs w:val="21"/>
        </w:rPr>
        <w:t>）</w:t>
      </w:r>
      <w:r>
        <w:rPr>
          <w:rFonts w:hint="eastAsia" w:ascii="宋体" w:hAnsi="宋体" w:cs="微软雅黑"/>
          <w:color w:val="000000"/>
          <w:kern w:val="0"/>
          <w:szCs w:val="21"/>
        </w:rPr>
        <w:t>身</w:t>
      </w:r>
      <w:r>
        <w:rPr>
          <w:rFonts w:hint="eastAsia" w:ascii="宋体" w:hAnsi="宋体" w:cs="微软雅黑"/>
          <w:color w:val="000000"/>
          <w:spacing w:val="-2"/>
          <w:kern w:val="0"/>
          <w:szCs w:val="21"/>
        </w:rPr>
        <w:t>份</w:t>
      </w:r>
      <w:r>
        <w:rPr>
          <w:rFonts w:hint="eastAsia" w:ascii="宋体" w:hAnsi="宋体" w:cs="微软雅黑"/>
          <w:color w:val="000000"/>
          <w:kern w:val="0"/>
          <w:szCs w:val="21"/>
        </w:rPr>
        <w:t>证</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r>
        <w:rPr>
          <w:rFonts w:hint="eastAsia" w:ascii="宋体" w:hAnsi="宋体" w:cs="微软雅黑"/>
          <w:color w:val="000000"/>
          <w:kern w:val="0"/>
          <w:szCs w:val="21"/>
        </w:rPr>
        <w:t>。</w:t>
      </w:r>
    </w:p>
    <w:tbl>
      <w:tblPr>
        <w:tblStyle w:val="23"/>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26040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5" w:hRule="atLeast"/>
        </w:trPr>
        <w:tc>
          <w:tcPr>
            <w:tcW w:w="3898" w:type="dxa"/>
            <w:noWrap w:val="0"/>
            <w:vAlign w:val="center"/>
          </w:tcPr>
          <w:p w14:paraId="1F692B33">
            <w:pPr>
              <w:adjustRightInd w:val="0"/>
              <w:snapToGrid w:val="0"/>
              <w:spacing w:before="156" w:beforeLines="50" w:line="360" w:lineRule="auto"/>
              <w:jc w:val="center"/>
              <w:rPr>
                <w:rFonts w:ascii="宋体" w:hAnsi="宋体"/>
                <w:color w:val="000000"/>
                <w:szCs w:val="21"/>
              </w:rPr>
            </w:pPr>
            <w:r>
              <w:rPr>
                <w:rFonts w:hint="eastAsia" w:ascii="宋体" w:hAnsi="宋体"/>
                <w:color w:val="000000"/>
                <w:szCs w:val="21"/>
              </w:rPr>
              <w:t>身份证（正面）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c>
          <w:tcPr>
            <w:tcW w:w="3899" w:type="dxa"/>
            <w:noWrap w:val="0"/>
            <w:vAlign w:val="center"/>
          </w:tcPr>
          <w:p w14:paraId="38EF49BB">
            <w:pPr>
              <w:adjustRightInd w:val="0"/>
              <w:snapToGrid w:val="0"/>
              <w:spacing w:before="156" w:beforeLines="50" w:line="360" w:lineRule="auto"/>
              <w:jc w:val="center"/>
              <w:rPr>
                <w:rFonts w:ascii="宋体" w:hAnsi="宋体"/>
                <w:color w:val="000000"/>
                <w:szCs w:val="21"/>
              </w:rPr>
            </w:pPr>
            <w:r>
              <w:rPr>
                <w:rFonts w:hint="eastAsia" w:ascii="宋体" w:hAnsi="宋体"/>
                <w:color w:val="000000"/>
                <w:szCs w:val="21"/>
              </w:rPr>
              <w:t>身份证（反面）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r>
    </w:tbl>
    <w:p w14:paraId="05763CCD">
      <w:pPr>
        <w:adjustRightInd w:val="0"/>
        <w:snapToGrid w:val="0"/>
        <w:spacing w:before="156" w:beforeLines="50" w:line="360" w:lineRule="auto"/>
        <w:rPr>
          <w:rFonts w:ascii="宋体" w:hAnsi="宋体"/>
          <w:color w:val="000000"/>
          <w:szCs w:val="21"/>
        </w:rPr>
      </w:pPr>
    </w:p>
    <w:p w14:paraId="1AFA4AA1">
      <w:pPr>
        <w:adjustRightInd w:val="0"/>
        <w:snapToGrid w:val="0"/>
        <w:spacing w:before="156" w:beforeLines="50" w:line="360" w:lineRule="auto"/>
        <w:rPr>
          <w:rFonts w:ascii="宋体" w:hAnsi="宋体"/>
          <w:color w:val="000000"/>
          <w:szCs w:val="21"/>
        </w:rPr>
      </w:pPr>
      <w:r>
        <w:rPr>
          <w:rFonts w:hint="eastAsia" w:ascii="宋体" w:hAnsi="宋体"/>
          <w:color w:val="000000"/>
          <w:szCs w:val="21"/>
        </w:rPr>
        <w:t>注：供应商代表为法定代表人（单位负责人）的提供。供应商为自然人的无需提供。</w:t>
      </w:r>
    </w:p>
    <w:p w14:paraId="19F8E169">
      <w:pPr>
        <w:adjustRightInd w:val="0"/>
        <w:snapToGrid w:val="0"/>
        <w:spacing w:before="156" w:beforeLines="50" w:line="360" w:lineRule="auto"/>
        <w:rPr>
          <w:rFonts w:ascii="宋体" w:hAnsi="宋体"/>
          <w:color w:val="000000"/>
          <w:szCs w:val="21"/>
        </w:rPr>
      </w:pPr>
    </w:p>
    <w:p w14:paraId="13AACBF9">
      <w:pPr>
        <w:pStyle w:val="13"/>
        <w:adjustRightInd w:val="0"/>
        <w:snapToGrid w:val="0"/>
        <w:spacing w:before="156" w:beforeLines="50" w:line="360" w:lineRule="auto"/>
        <w:rPr>
          <w:rFonts w:hAnsi="宋体"/>
          <w:color w:val="000000"/>
        </w:rPr>
      </w:pPr>
      <w:r>
        <w:rPr>
          <w:rFonts w:hint="eastAsia" w:hAnsi="宋体"/>
          <w:color w:val="000000"/>
        </w:rPr>
        <w:t>供应商名称(盖单位公章)：</w:t>
      </w:r>
    </w:p>
    <w:p w14:paraId="08C72C26">
      <w:pPr>
        <w:adjustRightInd w:val="0"/>
        <w:snapToGrid w:val="0"/>
        <w:spacing w:before="156" w:beforeLines="50" w:line="360" w:lineRule="auto"/>
        <w:ind w:right="24"/>
        <w:rPr>
          <w:rFonts w:hint="eastAsia" w:ascii="宋体" w:hAnsi="宋体"/>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64CBCD61">
      <w:pPr>
        <w:adjustRightInd w:val="0"/>
        <w:snapToGrid w:val="0"/>
        <w:spacing w:before="156" w:beforeLines="50" w:line="360" w:lineRule="auto"/>
        <w:ind w:right="24"/>
        <w:rPr>
          <w:rFonts w:hint="eastAsia" w:ascii="宋体" w:hAnsi="宋体" w:eastAsia="宋体" w:cs="Times New Roman"/>
          <w:b/>
          <w:bCs/>
          <w:color w:val="000000"/>
          <w:kern w:val="2"/>
          <w:sz w:val="21"/>
          <w:szCs w:val="21"/>
          <w:lang w:val="en-US" w:eastAsia="zh-CN" w:bidi="ar-SA"/>
        </w:rPr>
      </w:pPr>
    </w:p>
    <w:p w14:paraId="561967A5">
      <w:pPr>
        <w:adjustRightInd w:val="0"/>
        <w:snapToGrid w:val="0"/>
        <w:spacing w:before="156" w:beforeLines="50" w:line="360" w:lineRule="auto"/>
        <w:ind w:right="24"/>
        <w:rPr>
          <w:rFonts w:hint="eastAsia" w:ascii="宋体" w:hAnsi="宋体" w:eastAsia="宋体" w:cs="Times New Roman"/>
          <w:b/>
          <w:bCs/>
          <w:color w:val="000000"/>
          <w:kern w:val="2"/>
          <w:sz w:val="21"/>
          <w:szCs w:val="21"/>
          <w:lang w:val="en-US" w:eastAsia="zh-CN" w:bidi="ar-SA"/>
        </w:rPr>
      </w:pPr>
    </w:p>
    <w:p w14:paraId="01698F6B">
      <w:pPr>
        <w:adjustRightInd w:val="0"/>
        <w:snapToGrid w:val="0"/>
        <w:spacing w:before="156" w:beforeLines="50" w:line="360" w:lineRule="auto"/>
        <w:ind w:right="24"/>
        <w:rPr>
          <w:rFonts w:hint="eastAsia" w:ascii="宋体" w:hAnsi="宋体" w:eastAsia="宋体" w:cs="Times New Roman"/>
          <w:b/>
          <w:bCs/>
          <w:color w:val="000000"/>
          <w:kern w:val="2"/>
          <w:sz w:val="21"/>
          <w:szCs w:val="21"/>
          <w:lang w:val="en-US" w:eastAsia="zh-CN" w:bidi="ar-SA"/>
        </w:rPr>
      </w:pPr>
    </w:p>
    <w:p w14:paraId="796DEFC7">
      <w:pPr>
        <w:adjustRightInd w:val="0"/>
        <w:snapToGrid w:val="0"/>
        <w:spacing w:before="156" w:beforeLines="50" w:line="360" w:lineRule="auto"/>
        <w:ind w:right="24"/>
        <w:rPr>
          <w:rFonts w:hint="eastAsia" w:ascii="宋体" w:hAnsi="宋体" w:eastAsia="宋体" w:cs="Times New Roman"/>
          <w:b/>
          <w:bCs/>
          <w:color w:val="000000"/>
          <w:kern w:val="2"/>
          <w:sz w:val="21"/>
          <w:szCs w:val="21"/>
          <w:lang w:val="en-US" w:eastAsia="zh-CN" w:bidi="ar-SA"/>
        </w:rPr>
      </w:pPr>
    </w:p>
    <w:p w14:paraId="6B802346">
      <w:pPr>
        <w:adjustRightInd w:val="0"/>
        <w:snapToGrid w:val="0"/>
        <w:spacing w:before="156" w:beforeLines="50" w:line="360" w:lineRule="auto"/>
        <w:ind w:right="24"/>
        <w:rPr>
          <w:rFonts w:hint="eastAsia" w:ascii="宋体" w:hAnsi="宋体" w:eastAsia="宋体" w:cs="Times New Roman"/>
          <w:b/>
          <w:bCs/>
          <w:color w:val="000000"/>
          <w:kern w:val="2"/>
          <w:sz w:val="21"/>
          <w:szCs w:val="21"/>
          <w:lang w:val="en-US" w:eastAsia="zh-CN" w:bidi="ar-SA"/>
        </w:rPr>
      </w:pPr>
    </w:p>
    <w:p w14:paraId="6594B486">
      <w:pPr>
        <w:adjustRightInd w:val="0"/>
        <w:snapToGrid w:val="0"/>
        <w:spacing w:before="156" w:beforeLines="50" w:line="360" w:lineRule="auto"/>
        <w:ind w:right="24"/>
        <w:rPr>
          <w:rFonts w:hint="eastAsia" w:ascii="宋体" w:hAnsi="宋体" w:eastAsia="宋体" w:cs="Times New Roman"/>
          <w:b/>
          <w:bCs/>
          <w:color w:val="000000"/>
          <w:kern w:val="2"/>
          <w:sz w:val="21"/>
          <w:szCs w:val="21"/>
          <w:lang w:val="en-US" w:eastAsia="zh-CN" w:bidi="ar-SA"/>
        </w:rPr>
      </w:pPr>
      <w:r>
        <w:rPr>
          <w:rFonts w:hint="eastAsia" w:ascii="宋体" w:hAnsi="宋体" w:eastAsia="宋体" w:cs="Times New Roman"/>
          <w:b/>
          <w:bCs/>
          <w:color w:val="000000"/>
          <w:kern w:val="2"/>
          <w:sz w:val="21"/>
          <w:szCs w:val="21"/>
          <w:lang w:val="en-US" w:eastAsia="zh-CN" w:bidi="ar-SA"/>
        </w:rPr>
        <w:t>说明：由法定代表人参加开标会议的，请按第二章谈判须知的规定另行准备法定代表人身份证明原件一份，在参加谈判时单独提交。</w:t>
      </w:r>
    </w:p>
    <w:p w14:paraId="4D4F4AE8">
      <w:pPr>
        <w:adjustRightInd w:val="0"/>
        <w:snapToGrid w:val="0"/>
        <w:spacing w:before="156" w:beforeLines="50" w:line="360" w:lineRule="auto"/>
        <w:ind w:right="24"/>
        <w:rPr>
          <w:rFonts w:hint="eastAsia" w:ascii="宋体" w:hAnsi="宋体" w:eastAsia="宋体" w:cs="Times New Roman"/>
          <w:b/>
          <w:bCs/>
          <w:color w:val="000000"/>
          <w:kern w:val="2"/>
          <w:sz w:val="21"/>
          <w:szCs w:val="21"/>
          <w:lang w:val="en-US" w:eastAsia="zh-CN" w:bidi="ar-SA"/>
        </w:rPr>
      </w:pPr>
    </w:p>
    <w:p w14:paraId="7583B798">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r>
        <w:rPr>
          <w:rFonts w:hint="eastAsia" w:ascii="黑体" w:hAnsi="黑体" w:eastAsia="黑体"/>
          <w:b/>
          <w:bCs/>
          <w:color w:val="000000" w:themeColor="text1"/>
          <w:sz w:val="28"/>
          <w:szCs w:val="28"/>
          <w14:textFill>
            <w14:solidFill>
              <w14:schemeClr w14:val="tx1"/>
            </w14:solidFill>
          </w14:textFill>
        </w:rPr>
        <w:t>授权委托书(格式)</w:t>
      </w:r>
      <w:bookmarkEnd w:id="169"/>
      <w:bookmarkEnd w:id="170"/>
    </w:p>
    <w:p w14:paraId="26908D05">
      <w:pPr>
        <w:autoSpaceDE w:val="0"/>
        <w:autoSpaceDN w:val="0"/>
        <w:adjustRightInd w:val="0"/>
        <w:snapToGrid w:val="0"/>
        <w:spacing w:before="156" w:beforeLines="50" w:line="360" w:lineRule="auto"/>
        <w:ind w:firstLine="420" w:firstLineChars="200"/>
        <w:jc w:val="left"/>
        <w:rPr>
          <w:rFonts w:ascii="宋体" w:hAnsi="宋体" w:cs="宋体"/>
          <w:color w:val="000000" w:themeColor="text1"/>
          <w:kern w:val="0"/>
          <w:szCs w:val="21"/>
          <w14:textFill>
            <w14:solidFill>
              <w14:schemeClr w14:val="tx1"/>
            </w14:solidFill>
          </w14:textFill>
        </w:rPr>
      </w:pPr>
    </w:p>
    <w:p w14:paraId="37B5A645">
      <w:pPr>
        <w:autoSpaceDE w:val="0"/>
        <w:autoSpaceDN w:val="0"/>
        <w:adjustRightInd w:val="0"/>
        <w:snapToGrid w:val="0"/>
        <w:spacing w:before="156" w:beforeLines="50"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本人</w:t>
      </w:r>
      <w:r>
        <w:rPr>
          <w:rFonts w:hint="eastAsia" w:ascii="宋体" w:hAnsi="宋体" w:cs="宋体"/>
          <w:color w:val="000000" w:themeColor="text1"/>
          <w:kern w:val="0"/>
          <w:szCs w:val="21"/>
          <w:u w:val="single"/>
          <w14:textFill>
            <w14:solidFill>
              <w14:schemeClr w14:val="tx1"/>
            </w14:solidFill>
          </w14:textFill>
        </w:rPr>
        <w:t>（姓名、职务）</w:t>
      </w:r>
      <w:r>
        <w:rPr>
          <w:rFonts w:hint="eastAsia" w:ascii="宋体" w:hAnsi="宋体" w:cs="宋体"/>
          <w:color w:val="000000" w:themeColor="text1"/>
          <w:kern w:val="0"/>
          <w:szCs w:val="21"/>
          <w14:textFill>
            <w14:solidFill>
              <w14:schemeClr w14:val="tx1"/>
            </w14:solidFill>
          </w14:textFill>
        </w:rPr>
        <w:t xml:space="preserve">系 </w:t>
      </w:r>
      <w:r>
        <w:rPr>
          <w:rFonts w:hint="eastAsia" w:ascii="宋体" w:hAnsi="宋体" w:cs="宋体"/>
          <w:color w:val="000000" w:themeColor="text1"/>
          <w:kern w:val="0"/>
          <w:szCs w:val="21"/>
          <w:u w:val="single"/>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供应商</w:t>
      </w:r>
      <w:r>
        <w:rPr>
          <w:rFonts w:hint="eastAsia" w:ascii="宋体" w:hAnsi="宋体" w:cs="宋体"/>
          <w:color w:val="000000" w:themeColor="text1"/>
          <w:kern w:val="0"/>
          <w:szCs w:val="21"/>
          <w:u w:val="single"/>
          <w14:textFill>
            <w14:solidFill>
              <w14:schemeClr w14:val="tx1"/>
            </w14:solidFill>
          </w14:textFill>
        </w:rPr>
        <w:t>名称）</w:t>
      </w:r>
      <w:r>
        <w:rPr>
          <w:rFonts w:hint="eastAsia" w:ascii="宋体" w:hAnsi="宋体" w:cs="宋体"/>
          <w:color w:val="000000" w:themeColor="text1"/>
          <w:kern w:val="0"/>
          <w:szCs w:val="21"/>
          <w14:textFill>
            <w14:solidFill>
              <w14:schemeClr w14:val="tx1"/>
            </w14:solidFill>
          </w14:textFill>
        </w:rPr>
        <w:t>的法定代表人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，现授权</w:t>
      </w:r>
      <w:r>
        <w:rPr>
          <w:rFonts w:hint="eastAsia" w:ascii="宋体" w:hAnsi="宋体" w:cs="宋体"/>
          <w:color w:val="000000" w:themeColor="text1"/>
          <w:kern w:val="0"/>
          <w:szCs w:val="21"/>
          <w:u w:val="single"/>
          <w14:textFill>
            <w14:solidFill>
              <w14:schemeClr w14:val="tx1"/>
            </w14:solidFill>
          </w14:textFill>
        </w:rPr>
        <w:t>（姓名、职务）</w:t>
      </w:r>
      <w:r>
        <w:rPr>
          <w:rFonts w:hint="eastAsia" w:ascii="宋体" w:hAnsi="宋体" w:cs="宋体"/>
          <w:color w:val="000000" w:themeColor="text1"/>
          <w:kern w:val="0"/>
          <w:szCs w:val="21"/>
          <w14:textFill>
            <w14:solidFill>
              <w14:schemeClr w14:val="tx1"/>
            </w14:solidFill>
          </w14:textFill>
        </w:rPr>
        <w:t>为我方代理人。代理人根据授权，以我方名义：(1)签署、澄清、补正、修改、撤回、提交</w:t>
      </w:r>
      <w:r>
        <w:rPr>
          <w:rFonts w:hint="eastAsia" w:ascii="宋体" w:hAnsi="宋体" w:cs="宋体"/>
          <w:color w:val="000000" w:themeColor="text1"/>
          <w:kern w:val="0"/>
          <w:szCs w:val="21"/>
          <w:u w:val="single"/>
          <w14:textFill>
            <w14:solidFill>
              <w14:schemeClr w14:val="tx1"/>
            </w14:solidFill>
          </w14:textFill>
        </w:rPr>
        <w:t>（</w:t>
      </w:r>
      <w:r>
        <w:rPr>
          <w:rFonts w:hint="eastAsia" w:ascii="宋体" w:hAnsi="宋体" w:cs="宋体"/>
          <w:color w:val="000000" w:themeColor="text1"/>
          <w:kern w:val="0"/>
          <w:szCs w:val="21"/>
          <w:u w:val="single"/>
          <w:lang w:val="en-US" w:eastAsia="zh-CN"/>
          <w14:textFill>
            <w14:solidFill>
              <w14:schemeClr w14:val="tx1"/>
            </w14:solidFill>
          </w14:textFill>
        </w:rPr>
        <w:t>采购</w:t>
      </w:r>
      <w:r>
        <w:rPr>
          <w:rFonts w:hint="eastAsia" w:ascii="宋体" w:hAnsi="宋体" w:cs="宋体"/>
          <w:color w:val="000000" w:themeColor="text1"/>
          <w:kern w:val="0"/>
          <w:szCs w:val="21"/>
          <w:u w:val="single"/>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采购编号</w:t>
      </w:r>
      <w:r>
        <w:rPr>
          <w:rFonts w:hint="eastAsia" w:ascii="宋体" w:hAnsi="宋体" w:cs="宋体"/>
          <w:color w:val="000000" w:themeColor="text1"/>
          <w:kern w:val="0"/>
          <w:szCs w:val="21"/>
          <w:u w:val="single"/>
          <w14:textFill>
            <w14:solidFill>
              <w14:schemeClr w14:val="tx1"/>
            </w14:solidFill>
          </w14:textFill>
        </w:rPr>
        <w:t>、委托代理编号）</w:t>
      </w:r>
      <w:r>
        <w:rPr>
          <w:rFonts w:hint="eastAsia" w:ascii="宋体" w:hAnsi="宋体" w:cs="宋体"/>
          <w:color w:val="000000" w:themeColor="text1"/>
          <w:kern w:val="0"/>
          <w:szCs w:val="21"/>
          <w14:textFill>
            <w14:solidFill>
              <w14:schemeClr w14:val="tx1"/>
            </w14:solidFill>
          </w14:textFill>
        </w:rPr>
        <w:t>响应文件；(2)签署并重新提交响应文件及最后报价；(3)退出谈判（如可能）；(4)签订合同和处理有关事宜，其法律后果由我方承担。</w:t>
      </w:r>
    </w:p>
    <w:p w14:paraId="4E36CF35">
      <w:pPr>
        <w:autoSpaceDE w:val="0"/>
        <w:autoSpaceDN w:val="0"/>
        <w:adjustRightInd w:val="0"/>
        <w:snapToGrid w:val="0"/>
        <w:spacing w:before="156" w:beforeLines="50"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委托期限：</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w:t>
      </w:r>
    </w:p>
    <w:p w14:paraId="74A7F7E1">
      <w:pPr>
        <w:adjustRightInd w:val="0"/>
        <w:snapToGrid w:val="0"/>
        <w:spacing w:before="156" w:beforeLines="50" w:line="360" w:lineRule="auto"/>
        <w:ind w:firstLine="435"/>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代理人无转委托权。</w:t>
      </w:r>
    </w:p>
    <w:p w14:paraId="4306C3C9">
      <w:pPr>
        <w:adjustRightInd w:val="0"/>
        <w:snapToGrid w:val="0"/>
        <w:spacing w:before="156" w:beforeLines="50" w:line="360" w:lineRule="auto"/>
        <w:ind w:firstLine="435"/>
        <w:rPr>
          <w:rFonts w:ascii="宋体" w:hAnsi="宋体" w:cs="微软雅黑"/>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本授权书于</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日签字生效，特此声明。</w:t>
      </w:r>
    </w:p>
    <w:tbl>
      <w:tblPr>
        <w:tblStyle w:val="23"/>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5DEC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63DDFF68">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委托代理人身份证（正面）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c>
          <w:tcPr>
            <w:tcW w:w="3899" w:type="dxa"/>
            <w:noWrap w:val="0"/>
            <w:vAlign w:val="center"/>
          </w:tcPr>
          <w:p w14:paraId="73DBDDE8">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委托代理人身份证（反面）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r>
      <w:tr w14:paraId="6E382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035BCA2F">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法定代表人身份证（正面）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c>
          <w:tcPr>
            <w:tcW w:w="3899" w:type="dxa"/>
            <w:noWrap w:val="0"/>
            <w:vAlign w:val="center"/>
          </w:tcPr>
          <w:p w14:paraId="00A1E43C">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法定代表人身份证（反面）</w:t>
            </w:r>
            <w:r>
              <w:rPr>
                <w:rFonts w:hint="eastAsia" w:ascii="宋体" w:hAnsi="宋体" w:eastAsia="宋体" w:cs="微软雅黑"/>
                <w:color w:val="000000" w:themeColor="text1"/>
                <w:spacing w:val="-2"/>
                <w:kern w:val="0"/>
                <w:szCs w:val="21"/>
                <w14:textFill>
                  <w14:solidFill>
                    <w14:schemeClr w14:val="tx1"/>
                  </w14:solidFill>
                </w14:textFill>
              </w:rPr>
              <w:t>复</w:t>
            </w:r>
            <w:r>
              <w:rPr>
                <w:rFonts w:hint="eastAsia" w:ascii="宋体" w:hAnsi="宋体" w:eastAsia="宋体" w:cs="微软雅黑"/>
                <w:color w:val="000000" w:themeColor="text1"/>
                <w:kern w:val="0"/>
                <w:szCs w:val="21"/>
                <w14:textFill>
                  <w14:solidFill>
                    <w14:schemeClr w14:val="tx1"/>
                  </w14:solidFill>
                </w14:textFill>
              </w:rPr>
              <w:t>印</w:t>
            </w:r>
            <w:r>
              <w:rPr>
                <w:rFonts w:hint="eastAsia" w:ascii="宋体" w:hAnsi="宋体" w:eastAsia="宋体" w:cs="微软雅黑"/>
                <w:color w:val="000000" w:themeColor="text1"/>
                <w:spacing w:val="-2"/>
                <w:kern w:val="0"/>
                <w:szCs w:val="21"/>
                <w14:textFill>
                  <w14:solidFill>
                    <w14:schemeClr w14:val="tx1"/>
                  </w14:solidFill>
                </w14:textFill>
              </w:rPr>
              <w:t>件</w:t>
            </w:r>
          </w:p>
        </w:tc>
      </w:tr>
    </w:tbl>
    <w:p w14:paraId="6E07B624">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618DEF6C">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5160C193">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注：供应商代表不是供应商的法定代表人（单位负责人）的提供。</w:t>
      </w:r>
    </w:p>
    <w:p w14:paraId="0CF47F31">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3FD23E9F">
      <w:pPr>
        <w:adjustRightInd w:val="0"/>
        <w:snapToGrid w:val="0"/>
        <w:spacing w:before="156" w:beforeLines="50" w:line="360" w:lineRule="auto"/>
        <w:ind w:firstLine="420" w:firstLineChars="200"/>
        <w:rPr>
          <w:rFonts w:ascii="宋体" w:hAnsi="宋体"/>
          <w:color w:val="000000" w:themeColor="text1"/>
          <w:szCs w:val="21"/>
          <w14:textFill>
            <w14:solidFill>
              <w14:schemeClr w14:val="tx1"/>
            </w14:solidFill>
          </w14:textFill>
        </w:rPr>
      </w:pPr>
    </w:p>
    <w:p w14:paraId="4D28A166">
      <w:pPr>
        <w:adjustRightInd w:val="0"/>
        <w:snapToGrid w:val="0"/>
        <w:spacing w:before="156" w:beforeLines="50" w:line="360" w:lineRule="auto"/>
        <w:rPr>
          <w:rFonts w:ascii="宋体" w:hAns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供应商名称(盖单位公章)：</w:t>
      </w:r>
    </w:p>
    <w:p w14:paraId="4CB27AB7">
      <w:pPr>
        <w:adjustRightInd w:val="0"/>
        <w:snapToGrid w:val="0"/>
        <w:spacing w:before="156" w:beforeLines="50" w:line="360" w:lineRule="auto"/>
        <w:rPr>
          <w:rFonts w:ascii="宋体" w:hAnsi="宋体" w:cs="微软雅黑"/>
          <w:color w:val="000000" w:themeColor="text1"/>
          <w:spacing w:val="-2"/>
          <w:kern w:val="0"/>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（签字或印章）：</w:t>
      </w:r>
    </w:p>
    <w:p w14:paraId="466CF172">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委托代理人（签字或印章）：</w:t>
      </w:r>
    </w:p>
    <w:p w14:paraId="034DBC44">
      <w:pPr>
        <w:adjustRightInd w:val="0"/>
        <w:snapToGrid w:val="0"/>
        <w:spacing w:before="156" w:beforeLines="50"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日期： </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日</w:t>
      </w:r>
    </w:p>
    <w:p w14:paraId="56D830ED">
      <w:pPr>
        <w:adjustRightInd w:val="0"/>
        <w:snapToGrid w:val="0"/>
        <w:spacing w:before="156" w:beforeLines="50" w:line="360" w:lineRule="auto"/>
        <w:rPr>
          <w:rFonts w:hint="eastAsia" w:ascii="黑体" w:hAnsi="黑体" w:eastAsia="黑体"/>
          <w:b/>
          <w:bCs/>
          <w:color w:val="000000" w:themeColor="text1"/>
          <w:sz w:val="28"/>
          <w:szCs w:val="28"/>
          <w14:textFill>
            <w14:solidFill>
              <w14:schemeClr w14:val="tx1"/>
            </w14:solidFill>
          </w14:textFill>
        </w:rPr>
      </w:pPr>
      <w:r>
        <w:rPr>
          <w:rFonts w:hint="eastAsia" w:ascii="宋体" w:hAnsi="宋体" w:eastAsia="宋体" w:cs="Times New Roman"/>
          <w:b/>
          <w:bCs/>
          <w:color w:val="000000"/>
          <w:kern w:val="2"/>
          <w:sz w:val="21"/>
          <w:szCs w:val="21"/>
          <w:lang w:val="en-US" w:eastAsia="zh-CN" w:bidi="ar-SA"/>
        </w:rPr>
        <w:t>说明：由授权委托代理人参加开标会议的，请按第二章谈判须知的规定另行准备授权委托书、法定代表人身份证明原件一份，在参加谈判时单独提交</w:t>
      </w:r>
      <w:bookmarkStart w:id="171" w:name="_Toc107998036"/>
      <w:bookmarkStart w:id="172" w:name="_Toc22201157"/>
      <w:r>
        <w:rPr>
          <w:rFonts w:hint="eastAsia" w:ascii="宋体" w:hAnsi="宋体" w:cs="Times New Roman"/>
          <w:b/>
          <w:bCs/>
          <w:color w:val="000000"/>
          <w:kern w:val="2"/>
          <w:sz w:val="21"/>
          <w:szCs w:val="21"/>
          <w:lang w:val="en-US" w:eastAsia="zh-CN" w:bidi="ar-SA"/>
        </w:rPr>
        <w:t>。</w:t>
      </w:r>
      <w:r>
        <w:rPr>
          <w:rFonts w:hint="eastAsia" w:ascii="黑体" w:hAnsi="黑体" w:eastAsia="黑体"/>
          <w:b/>
          <w:bCs/>
          <w:color w:val="000000" w:themeColor="text1"/>
          <w:sz w:val="28"/>
          <w:szCs w:val="28"/>
          <w14:textFill>
            <w14:solidFill>
              <w14:schemeClr w14:val="tx1"/>
            </w14:solidFill>
          </w14:textFill>
        </w:rPr>
        <w:br w:type="page"/>
      </w:r>
    </w:p>
    <w:p w14:paraId="3CE362D6">
      <w:pPr>
        <w:keepNext/>
        <w:keepLines/>
        <w:adjustRightInd w:val="0"/>
        <w:snapToGrid w:val="0"/>
        <w:spacing w:before="156" w:beforeLines="50"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73" w:name="_Toc23261"/>
      <w:r>
        <w:rPr>
          <w:rFonts w:hint="eastAsia" w:ascii="黑体" w:hAnsi="黑体" w:eastAsia="黑体"/>
          <w:b/>
          <w:bCs/>
          <w:color w:val="000000" w:themeColor="text1"/>
          <w:sz w:val="28"/>
          <w:szCs w:val="28"/>
          <w14:textFill>
            <w14:solidFill>
              <w14:schemeClr w14:val="tx1"/>
            </w14:solidFill>
          </w14:textFill>
        </w:rPr>
        <w:t>五、供应商资格审查材料</w:t>
      </w:r>
      <w:bookmarkEnd w:id="171"/>
      <w:bookmarkEnd w:id="173"/>
    </w:p>
    <w:p w14:paraId="144748B9">
      <w:pPr>
        <w:keepNext/>
        <w:keepLines/>
        <w:adjustRightInd w:val="0"/>
        <w:snapToGrid w:val="0"/>
        <w:spacing w:before="156" w:beforeLines="50" w:line="360" w:lineRule="auto"/>
        <w:outlineLvl w:val="2"/>
        <w:rPr>
          <w:rFonts w:ascii="宋体" w:hAnsi="宋体" w:eastAsia="宋体"/>
          <w:b/>
          <w:bCs/>
          <w:color w:val="000000" w:themeColor="text1"/>
          <w:szCs w:val="21"/>
          <w14:textFill>
            <w14:solidFill>
              <w14:schemeClr w14:val="tx1"/>
            </w14:solidFill>
          </w14:textFill>
        </w:rPr>
      </w:pPr>
      <w:bookmarkStart w:id="174" w:name="_Toc107998044"/>
      <w:bookmarkStart w:id="175" w:name="_Toc62225545"/>
      <w:bookmarkStart w:id="176" w:name="_Toc5100"/>
      <w:r>
        <w:rPr>
          <w:rFonts w:hint="eastAsia" w:ascii="宋体" w:hAnsi="宋体" w:eastAsia="宋体"/>
          <w:b/>
          <w:bCs/>
          <w:color w:val="000000" w:themeColor="text1"/>
          <w:szCs w:val="21"/>
          <w14:textFill>
            <w14:solidFill>
              <w14:schemeClr w14:val="tx1"/>
            </w14:solidFill>
          </w14:textFill>
        </w:rPr>
        <w:t>附件</w:t>
      </w:r>
      <w:r>
        <w:rPr>
          <w:rFonts w:ascii="宋体" w:hAnsi="宋体" w:eastAsia="宋体"/>
          <w:b/>
          <w:bCs/>
          <w:color w:val="000000" w:themeColor="text1"/>
          <w:szCs w:val="21"/>
          <w14:textFill>
            <w14:solidFill>
              <w14:schemeClr w14:val="tx1"/>
            </w14:solidFill>
          </w14:textFill>
        </w:rPr>
        <w:t>5</w:t>
      </w:r>
      <w:r>
        <w:rPr>
          <w:rFonts w:hint="eastAsia" w:ascii="宋体" w:hAnsi="宋体" w:eastAsia="宋体"/>
          <w:b/>
          <w:bCs/>
          <w:color w:val="000000" w:themeColor="text1"/>
          <w:szCs w:val="21"/>
          <w14:textFill>
            <w14:solidFill>
              <w14:schemeClr w14:val="tx1"/>
            </w14:solidFill>
          </w14:textFill>
        </w:rPr>
        <w:t>-</w:t>
      </w:r>
      <w:r>
        <w:rPr>
          <w:rFonts w:ascii="宋体" w:hAnsi="宋体" w:eastAsia="宋体"/>
          <w:b/>
          <w:bCs/>
          <w:color w:val="000000" w:themeColor="text1"/>
          <w:szCs w:val="21"/>
          <w14:textFill>
            <w14:solidFill>
              <w14:schemeClr w14:val="tx1"/>
            </w14:solidFill>
          </w14:textFill>
        </w:rPr>
        <w:t>1</w:t>
      </w:r>
      <w:r>
        <w:rPr>
          <w:rFonts w:hint="eastAsia" w:ascii="宋体" w:hAnsi="宋体" w:eastAsia="宋体"/>
          <w:b/>
          <w:bCs/>
          <w:color w:val="000000" w:themeColor="text1"/>
          <w:szCs w:val="21"/>
          <w14:textFill>
            <w14:solidFill>
              <w14:schemeClr w14:val="tx1"/>
            </w14:solidFill>
          </w14:textFill>
        </w:rPr>
        <w:t xml:space="preserve"> 资格证明材料</w:t>
      </w:r>
      <w:bookmarkEnd w:id="174"/>
      <w:bookmarkEnd w:id="175"/>
      <w:bookmarkEnd w:id="176"/>
    </w:p>
    <w:p w14:paraId="0DE55557">
      <w:pPr>
        <w:adjustRightInd w:val="0"/>
        <w:snapToGrid w:val="0"/>
        <w:spacing w:before="156" w:beforeLines="50" w:line="360" w:lineRule="auto"/>
        <w:jc w:val="center"/>
        <w:rPr>
          <w:rFonts w:ascii="仿宋_GB2312" w:hAnsi="宋体" w:eastAsia="仿宋_GB2312"/>
          <w:b/>
          <w:color w:val="000000" w:themeColor="text1"/>
          <w:sz w:val="28"/>
          <w:szCs w:val="28"/>
          <w14:textFill>
            <w14:solidFill>
              <w14:schemeClr w14:val="tx1"/>
            </w14:solidFill>
          </w14:textFill>
        </w:rPr>
      </w:pPr>
      <w:r>
        <w:rPr>
          <w:rFonts w:hint="eastAsia" w:ascii="黑体" w:hAnsi="宋体" w:eastAsia="黑体"/>
          <w:b/>
          <w:color w:val="000000" w:themeColor="text1"/>
          <w:sz w:val="28"/>
          <w:szCs w:val="28"/>
          <w14:textFill>
            <w14:solidFill>
              <w14:schemeClr w14:val="tx1"/>
            </w14:solidFill>
          </w14:textFill>
        </w:rPr>
        <w:t>供应商的资格证明材料</w:t>
      </w:r>
    </w:p>
    <w:p w14:paraId="2F2B1478">
      <w:pPr>
        <w:adjustRightInd w:val="0"/>
        <w:snapToGrid w:val="0"/>
        <w:spacing w:before="156" w:beforeLines="50" w:line="360" w:lineRule="auto"/>
        <w:rPr>
          <w:rFonts w:ascii="宋体" w:hAnsi="宋体"/>
          <w:color w:val="000000" w:themeColor="text1"/>
          <w:szCs w:val="21"/>
          <w14:textFill>
            <w14:solidFill>
              <w14:schemeClr w14:val="tx1"/>
            </w14:solidFill>
          </w14:textFill>
        </w:rPr>
      </w:pPr>
      <w:r>
        <w:rPr>
          <w:rFonts w:hint="eastAsia" w:ascii="宋体" w:hAnsi="宋体" w:eastAsia="宋体"/>
          <w:b w:val="0"/>
          <w:bCs/>
          <w:color w:val="000000" w:themeColor="text1"/>
          <w:szCs w:val="21"/>
          <w14:textFill>
            <w14:solidFill>
              <w14:schemeClr w14:val="tx1"/>
            </w14:solidFill>
          </w14:textFill>
        </w:rPr>
        <w:t>注</w:t>
      </w:r>
      <w:r>
        <w:rPr>
          <w:rFonts w:hint="eastAsia" w:ascii="宋体" w:hAnsi="宋体"/>
          <w:b w:val="0"/>
          <w:bCs/>
          <w:color w:val="000000" w:themeColor="text1"/>
          <w14:textFill>
            <w14:solidFill>
              <w14:schemeClr w14:val="tx1"/>
            </w14:solidFill>
          </w14:textFill>
        </w:rPr>
        <w:t>：</w:t>
      </w:r>
      <w:r>
        <w:rPr>
          <w:rFonts w:hint="eastAsia" w:ascii="宋体" w:hAnsi="宋体" w:cs="宋体"/>
          <w:b w:val="0"/>
          <w:bCs/>
          <w:color w:val="000000" w:themeColor="text1"/>
          <w:kern w:val="0"/>
          <w:szCs w:val="21"/>
          <w:lang w:val="zh-CN"/>
          <w14:textFill>
            <w14:solidFill>
              <w14:schemeClr w14:val="tx1"/>
            </w14:solidFill>
          </w14:textFill>
        </w:rPr>
        <w:t>根据</w:t>
      </w:r>
      <w:r>
        <w:rPr>
          <w:rFonts w:hint="eastAsia" w:ascii="宋体" w:hAnsi="宋体" w:cs="宋体"/>
          <w:b w:val="0"/>
          <w:bCs/>
          <w:color w:val="000000" w:themeColor="text1"/>
          <w:kern w:val="0"/>
          <w:szCs w:val="21"/>
          <w:lang w:val="en-US" w:eastAsia="zh-CN"/>
          <w14:textFill>
            <w14:solidFill>
              <w14:schemeClr w14:val="tx1"/>
            </w14:solidFill>
          </w14:textFill>
        </w:rPr>
        <w:t>谈判公告及</w:t>
      </w:r>
      <w:r>
        <w:rPr>
          <w:rFonts w:hint="eastAsia" w:ascii="宋体" w:hAnsi="宋体" w:cs="宋体"/>
          <w:color w:val="000000" w:themeColor="text1"/>
          <w:kern w:val="0"/>
          <w:szCs w:val="21"/>
          <w:lang w:val="zh-CN"/>
          <w14:textFill>
            <w14:solidFill>
              <w14:schemeClr w14:val="tx1"/>
            </w14:solidFill>
          </w14:textFill>
        </w:rPr>
        <w:t>谈判文件</w:t>
      </w:r>
      <w:r>
        <w:rPr>
          <w:rFonts w:hint="eastAsia" w:ascii="宋体" w:hAnsi="宋体" w:cs="宋体"/>
          <w:color w:val="000000" w:themeColor="text1"/>
          <w:kern w:val="0"/>
          <w:szCs w:val="21"/>
          <w:lang w:val="en-US" w:eastAsia="zh-CN"/>
          <w14:textFill>
            <w14:solidFill>
              <w14:schemeClr w14:val="tx1"/>
            </w14:solidFill>
          </w14:textFill>
        </w:rPr>
        <w:t>前附表规定附所有</w:t>
      </w:r>
      <w:r>
        <w:rPr>
          <w:rFonts w:hint="eastAsia" w:ascii="宋体" w:hAnsi="宋体"/>
          <w:color w:val="000000" w:themeColor="text1"/>
          <w:szCs w:val="21"/>
          <w14:textFill>
            <w14:solidFill>
              <w14:schemeClr w14:val="tx1"/>
            </w14:solidFill>
          </w14:textFill>
        </w:rPr>
        <w:t>资格证明材料。</w:t>
      </w:r>
    </w:p>
    <w:p w14:paraId="28931096">
      <w:pPr>
        <w:adjustRightInd w:val="0"/>
        <w:snapToGrid w:val="0"/>
        <w:spacing w:before="156" w:beforeLines="50" w:line="360" w:lineRule="auto"/>
        <w:rPr>
          <w:rFonts w:ascii="宋体" w:hAnsi="宋体"/>
          <w:color w:val="000000" w:themeColor="text1"/>
          <w:szCs w:val="21"/>
          <w14:textFill>
            <w14:solidFill>
              <w14:schemeClr w14:val="tx1"/>
            </w14:solidFill>
          </w14:textFill>
        </w:rPr>
        <w:sectPr>
          <w:footerReference r:id="rId9" w:type="even"/>
          <w:pgSz w:w="11906" w:h="16838"/>
          <w:pgMar w:top="1418" w:right="1418" w:bottom="1134" w:left="1418" w:header="851" w:footer="992" w:gutter="0"/>
          <w:pgNumType w:fmt="decimal"/>
          <w:cols w:space="720" w:num="1"/>
          <w:docGrid w:type="linesAndChars" w:linePitch="312" w:charSpace="0"/>
        </w:sectPr>
      </w:pPr>
    </w:p>
    <w:p w14:paraId="1A4A2FE4">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77" w:name="_Toc107998045"/>
      <w:bookmarkStart w:id="178" w:name="_Toc7383"/>
      <w:r>
        <w:rPr>
          <w:rFonts w:hint="eastAsia" w:ascii="黑体" w:hAnsi="黑体" w:eastAsia="黑体"/>
          <w:b/>
          <w:bCs/>
          <w:color w:val="000000" w:themeColor="text1"/>
          <w:sz w:val="28"/>
          <w:szCs w:val="28"/>
          <w14:textFill>
            <w14:solidFill>
              <w14:schemeClr w14:val="tx1"/>
            </w14:solidFill>
          </w14:textFill>
        </w:rPr>
        <w:t>六、采购需求的响应</w:t>
      </w:r>
      <w:bookmarkEnd w:id="172"/>
      <w:bookmarkEnd w:id="177"/>
      <w:bookmarkEnd w:id="178"/>
    </w:p>
    <w:p w14:paraId="1AA27B84">
      <w:pPr>
        <w:adjustRightInd w:val="0"/>
        <w:snapToGrid w:val="0"/>
        <w:spacing w:line="360" w:lineRule="auto"/>
        <w:rPr>
          <w:rFonts w:ascii="宋体" w:hAnsi="宋体"/>
          <w:b/>
          <w:color w:val="000000" w:themeColor="text1"/>
          <w:szCs w:val="21"/>
          <w14:textFill>
            <w14:solidFill>
              <w14:schemeClr w14:val="tx1"/>
            </w14:solidFill>
          </w14:textFill>
        </w:rPr>
      </w:pPr>
    </w:p>
    <w:p w14:paraId="2C4C548C">
      <w:pPr>
        <w:adjustRightInd w:val="0"/>
        <w:snapToGrid w:val="0"/>
        <w:spacing w:line="360" w:lineRule="auto"/>
        <w:rPr>
          <w:b/>
          <w:color w:val="000000" w:themeColor="text1"/>
          <w14:textFill>
            <w14:solidFill>
              <w14:schemeClr w14:val="tx1"/>
            </w14:solidFill>
          </w14:textFill>
        </w:rPr>
      </w:pPr>
      <w:r>
        <w:rPr>
          <w:rFonts w:hint="eastAsia" w:ascii="宋体" w:hAnsi="宋体"/>
          <w:b/>
          <w:color w:val="000000" w:themeColor="text1"/>
          <w:szCs w:val="21"/>
          <w14:textFill>
            <w14:solidFill>
              <w14:schemeClr w14:val="tx1"/>
            </w14:solidFill>
          </w14:textFill>
        </w:rPr>
        <w:t>编制说明</w:t>
      </w:r>
      <w:r>
        <w:rPr>
          <w:rFonts w:hint="eastAsia" w:ascii="宋体" w:hAnsi="宋体"/>
          <w:bCs/>
          <w:color w:val="000000" w:themeColor="text1"/>
          <w:szCs w:val="21"/>
          <w14:textFill>
            <w14:solidFill>
              <w14:schemeClr w14:val="tx1"/>
            </w14:solidFill>
          </w14:textFill>
        </w:rPr>
        <w:t>：</w:t>
      </w:r>
      <w:r>
        <w:rPr>
          <w:rFonts w:hint="eastAsia"/>
          <w:b/>
          <w:color w:val="000000" w:themeColor="text1"/>
          <w14:textFill>
            <w14:solidFill>
              <w14:schemeClr w14:val="tx1"/>
            </w14:solidFill>
          </w14:textFill>
        </w:rPr>
        <w:t>供应商应按谈判文件第三章采购需求自行编写采购需求响应文件（其内容可包括，且不限于详细的技术指标和性能、售后服务和技术服务的组织及保证措施等，格式自拟）。</w:t>
      </w:r>
    </w:p>
    <w:p w14:paraId="2271BCEF">
      <w:pPr>
        <w:rPr>
          <w:color w:val="000000" w:themeColor="text1"/>
          <w14:textFill>
            <w14:solidFill>
              <w14:schemeClr w14:val="tx1"/>
            </w14:solidFill>
          </w14:textFill>
        </w:rPr>
      </w:pPr>
    </w:p>
    <w:p w14:paraId="2AE3BEE7">
      <w:pPr>
        <w:tabs>
          <w:tab w:val="left" w:pos="6208"/>
        </w:tabs>
        <w:adjustRightInd w:val="0"/>
        <w:snapToGrid w:val="0"/>
        <w:spacing w:line="360" w:lineRule="auto"/>
        <w:ind w:left="-88" w:leftChars="-42"/>
        <w:rPr>
          <w:rFonts w:ascii="宋体" w:hAnsi="宋体"/>
          <w:bCs/>
          <w:color w:val="000000" w:themeColor="text1"/>
          <w:szCs w:val="21"/>
          <w14:textFill>
            <w14:solidFill>
              <w14:schemeClr w14:val="tx1"/>
            </w14:solidFill>
          </w14:textFill>
        </w:rPr>
      </w:pPr>
    </w:p>
    <w:p w14:paraId="5FBD05DE">
      <w:pPr>
        <w:adjustRightInd w:val="0"/>
        <w:snapToGrid w:val="0"/>
        <w:spacing w:line="360" w:lineRule="auto"/>
        <w:rPr>
          <w:rFonts w:ascii="宋体" w:hAnsi="宋体"/>
          <w:color w:val="000000" w:themeColor="text1"/>
          <w:szCs w:val="21"/>
          <w14:textFill>
            <w14:solidFill>
              <w14:schemeClr w14:val="tx1"/>
            </w14:solidFill>
          </w14:textFill>
        </w:rPr>
      </w:pPr>
    </w:p>
    <w:p w14:paraId="46F03F88">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7E96A12A">
      <w:pPr>
        <w:adjustRightInd w:val="0"/>
        <w:snapToGrid w:val="0"/>
        <w:spacing w:line="360" w:lineRule="auto"/>
        <w:rPr>
          <w:rFonts w:ascii="宋体" w:hAnsi="宋体"/>
          <w:color w:val="000000" w:themeColor="text1"/>
          <w:szCs w:val="21"/>
          <w:u w:val="single"/>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08D45CF1">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7D5AE482">
      <w:pPr>
        <w:rPr>
          <w:color w:val="000000" w:themeColor="text1"/>
          <w14:textFill>
            <w14:solidFill>
              <w14:schemeClr w14:val="tx1"/>
            </w14:solidFill>
          </w14:textFill>
        </w:rPr>
      </w:pPr>
    </w:p>
    <w:p w14:paraId="59BF4F63">
      <w:pPr>
        <w:rPr>
          <w:color w:val="000000" w:themeColor="text1"/>
          <w14:textFill>
            <w14:solidFill>
              <w14:schemeClr w14:val="tx1"/>
            </w14:solidFill>
          </w14:textFill>
        </w:rPr>
      </w:pPr>
    </w:p>
    <w:p w14:paraId="376FDEA0">
      <w:pPr>
        <w:keepNext/>
        <w:keepLines/>
        <w:spacing w:before="260" w:after="260" w:line="416" w:lineRule="auto"/>
        <w:outlineLvl w:val="2"/>
        <w:rPr>
          <w:rFonts w:ascii="宋体" w:hAnsi="宋体"/>
          <w:b/>
          <w:bCs/>
          <w:color w:val="000000" w:themeColor="text1"/>
          <w:szCs w:val="21"/>
          <w14:textFill>
            <w14:solidFill>
              <w14:schemeClr w14:val="tx1"/>
            </w14:solidFill>
          </w14:textFill>
        </w:rPr>
      </w:pPr>
      <w:bookmarkStart w:id="179" w:name="_Toc107998046"/>
      <w:bookmarkStart w:id="180" w:name="_Toc13183"/>
      <w:bookmarkStart w:id="181" w:name="_Toc22201158"/>
      <w:r>
        <w:rPr>
          <w:rFonts w:hint="eastAsia" w:ascii="宋体" w:hAnsi="宋体"/>
          <w:b/>
          <w:bCs/>
          <w:color w:val="000000" w:themeColor="text1"/>
          <w:szCs w:val="21"/>
          <w14:textFill>
            <w14:solidFill>
              <w14:schemeClr w14:val="tx1"/>
            </w14:solidFill>
          </w14:textFill>
        </w:rPr>
        <w:t>附件</w:t>
      </w:r>
      <w:r>
        <w:rPr>
          <w:rFonts w:ascii="宋体" w:hAnsi="宋体"/>
          <w:b/>
          <w:bCs/>
          <w:color w:val="000000" w:themeColor="text1"/>
          <w:szCs w:val="21"/>
          <w14:textFill>
            <w14:solidFill>
              <w14:schemeClr w14:val="tx1"/>
            </w14:solidFill>
          </w14:textFill>
        </w:rPr>
        <w:t>6</w:t>
      </w:r>
      <w:r>
        <w:rPr>
          <w:rFonts w:hint="eastAsia" w:ascii="宋体" w:hAnsi="宋体"/>
          <w:b/>
          <w:bCs/>
          <w:color w:val="000000" w:themeColor="text1"/>
          <w:szCs w:val="21"/>
          <w14:textFill>
            <w14:solidFill>
              <w14:schemeClr w14:val="tx1"/>
            </w14:solidFill>
          </w14:textFill>
        </w:rPr>
        <w:t>-1 响应一览表</w:t>
      </w:r>
      <w:bookmarkEnd w:id="179"/>
      <w:bookmarkEnd w:id="180"/>
      <w:bookmarkEnd w:id="181"/>
    </w:p>
    <w:p w14:paraId="0CF228E2">
      <w:pPr>
        <w:adjustRightInd w:val="0"/>
        <w:snapToGrid w:val="0"/>
        <w:spacing w:before="156" w:beforeLines="50" w:line="360" w:lineRule="auto"/>
        <w:jc w:val="center"/>
        <w:rPr>
          <w:rFonts w:ascii="黑体" w:hAnsi="黑体" w:eastAsia="黑体"/>
          <w:b/>
          <w:bCs/>
          <w:color w:val="000000" w:themeColor="text1"/>
          <w:sz w:val="28"/>
          <w:szCs w:val="28"/>
          <w14:textFill>
            <w14:solidFill>
              <w14:schemeClr w14:val="tx1"/>
            </w14:solidFill>
          </w14:textFill>
        </w:rPr>
      </w:pPr>
      <w:r>
        <w:rPr>
          <w:rFonts w:hint="eastAsia" w:ascii="黑体" w:hAnsi="黑体" w:eastAsia="黑体"/>
          <w:b/>
          <w:bCs/>
          <w:color w:val="000000" w:themeColor="text1"/>
          <w:sz w:val="28"/>
          <w:szCs w:val="28"/>
          <w14:textFill>
            <w14:solidFill>
              <w14:schemeClr w14:val="tx1"/>
            </w14:solidFill>
          </w14:textFill>
        </w:rPr>
        <w:t>响应一览表</w:t>
      </w:r>
    </w:p>
    <w:p w14:paraId="2C6D26CB">
      <w:pPr>
        <w:adjustRightInd w:val="0"/>
        <w:snapToGrid w:val="0"/>
        <w:spacing w:before="50" w:line="360" w:lineRule="auto"/>
        <w:rPr>
          <w:rFonts w:ascii="宋体" w:hAnsi="宋体"/>
          <w:color w:val="000000" w:themeColor="text1"/>
          <w:szCs w:val="21"/>
          <w:u w:val="single"/>
          <w14:textFill>
            <w14:solidFill>
              <w14:schemeClr w14:val="tx1"/>
            </w14:solidFill>
          </w14:textFill>
        </w:rPr>
      </w:pPr>
    </w:p>
    <w:tbl>
      <w:tblPr>
        <w:tblStyle w:val="23"/>
        <w:tblW w:w="894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15"/>
        <w:gridCol w:w="1183"/>
        <w:gridCol w:w="2200"/>
        <w:gridCol w:w="2271"/>
        <w:gridCol w:w="1027"/>
        <w:gridCol w:w="844"/>
        <w:gridCol w:w="800"/>
      </w:tblGrid>
      <w:tr w14:paraId="5DDCAC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27" w:hRule="atLeast"/>
        </w:trPr>
        <w:tc>
          <w:tcPr>
            <w:tcW w:w="615" w:type="dxa"/>
            <w:noWrap w:val="0"/>
            <w:vAlign w:val="center"/>
          </w:tcPr>
          <w:p w14:paraId="723CEFD3">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包号 </w:t>
            </w:r>
          </w:p>
        </w:tc>
        <w:tc>
          <w:tcPr>
            <w:tcW w:w="1183" w:type="dxa"/>
            <w:noWrap w:val="0"/>
            <w:vAlign w:val="center"/>
          </w:tcPr>
          <w:p w14:paraId="024FC5C1">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包名称</w:t>
            </w:r>
          </w:p>
        </w:tc>
        <w:tc>
          <w:tcPr>
            <w:tcW w:w="2200" w:type="dxa"/>
            <w:noWrap w:val="0"/>
            <w:vAlign w:val="center"/>
          </w:tcPr>
          <w:p w14:paraId="0598023E">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标的名称</w:t>
            </w:r>
          </w:p>
        </w:tc>
        <w:tc>
          <w:tcPr>
            <w:tcW w:w="2271" w:type="dxa"/>
            <w:tcBorders>
              <w:left w:val="single" w:color="auto" w:sz="4" w:space="0"/>
            </w:tcBorders>
            <w:noWrap w:val="0"/>
            <w:vAlign w:val="center"/>
          </w:tcPr>
          <w:p w14:paraId="6412E30A">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简要技术要求</w:t>
            </w:r>
          </w:p>
        </w:tc>
        <w:tc>
          <w:tcPr>
            <w:tcW w:w="1027" w:type="dxa"/>
            <w:tcBorders>
              <w:left w:val="single" w:color="auto" w:sz="4" w:space="0"/>
            </w:tcBorders>
            <w:noWrap w:val="0"/>
            <w:vAlign w:val="center"/>
          </w:tcPr>
          <w:p w14:paraId="1A58A249">
            <w:pPr>
              <w:adjustRightInd w:val="0"/>
              <w:snapToGrid w:val="0"/>
              <w:jc w:val="center"/>
              <w:rPr>
                <w:rFonts w:ascii="宋体" w:hAnsi="宋体" w:cs="宋体"/>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844" w:type="dxa"/>
            <w:noWrap w:val="0"/>
            <w:vAlign w:val="center"/>
          </w:tcPr>
          <w:p w14:paraId="293FB5E5">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节能产品</w:t>
            </w:r>
          </w:p>
        </w:tc>
        <w:tc>
          <w:tcPr>
            <w:tcW w:w="800" w:type="dxa"/>
            <w:noWrap w:val="0"/>
            <w:vAlign w:val="center"/>
          </w:tcPr>
          <w:p w14:paraId="05E5D3DC">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进口产品</w:t>
            </w:r>
          </w:p>
        </w:tc>
      </w:tr>
      <w:tr w14:paraId="746138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17" w:hRule="atLeast"/>
        </w:trPr>
        <w:tc>
          <w:tcPr>
            <w:tcW w:w="615" w:type="dxa"/>
            <w:vMerge w:val="restart"/>
            <w:noWrap w:val="0"/>
            <w:vAlign w:val="top"/>
          </w:tcPr>
          <w:p w14:paraId="5646C1B3">
            <w:pPr>
              <w:adjustRightInd w:val="0"/>
              <w:snapToGrid w:val="0"/>
              <w:spacing w:before="156" w:beforeLines="50" w:line="360" w:lineRule="auto"/>
              <w:rPr>
                <w:color w:val="000000" w:themeColor="text1"/>
                <w:szCs w:val="21"/>
                <w14:textFill>
                  <w14:solidFill>
                    <w14:schemeClr w14:val="tx1"/>
                  </w14:solidFill>
                </w14:textFill>
              </w:rPr>
            </w:pPr>
          </w:p>
        </w:tc>
        <w:tc>
          <w:tcPr>
            <w:tcW w:w="1183" w:type="dxa"/>
            <w:vMerge w:val="restart"/>
            <w:noWrap w:val="0"/>
            <w:vAlign w:val="top"/>
          </w:tcPr>
          <w:p w14:paraId="7B62152C">
            <w:pPr>
              <w:adjustRightInd w:val="0"/>
              <w:snapToGrid w:val="0"/>
              <w:spacing w:before="156" w:beforeLines="50" w:line="360" w:lineRule="auto"/>
              <w:rPr>
                <w:color w:val="000000" w:themeColor="text1"/>
                <w:szCs w:val="21"/>
                <w14:textFill>
                  <w14:solidFill>
                    <w14:schemeClr w14:val="tx1"/>
                  </w14:solidFill>
                </w14:textFill>
              </w:rPr>
            </w:pPr>
          </w:p>
        </w:tc>
        <w:tc>
          <w:tcPr>
            <w:tcW w:w="2200" w:type="dxa"/>
            <w:noWrap w:val="0"/>
            <w:vAlign w:val="top"/>
          </w:tcPr>
          <w:p w14:paraId="07E94A2E">
            <w:pPr>
              <w:adjustRightInd w:val="0"/>
              <w:snapToGrid w:val="0"/>
              <w:spacing w:before="156" w:beforeLines="50" w:line="360" w:lineRule="auto"/>
              <w:rPr>
                <w:color w:val="000000" w:themeColor="text1"/>
                <w:szCs w:val="21"/>
                <w14:textFill>
                  <w14:solidFill>
                    <w14:schemeClr w14:val="tx1"/>
                  </w14:solidFill>
                </w14:textFill>
              </w:rPr>
            </w:pPr>
          </w:p>
        </w:tc>
        <w:tc>
          <w:tcPr>
            <w:tcW w:w="2271" w:type="dxa"/>
            <w:tcBorders>
              <w:left w:val="single" w:color="auto" w:sz="4" w:space="0"/>
            </w:tcBorders>
            <w:noWrap w:val="0"/>
            <w:vAlign w:val="top"/>
          </w:tcPr>
          <w:p w14:paraId="3EEA23E7">
            <w:pPr>
              <w:adjustRightInd w:val="0"/>
              <w:snapToGrid w:val="0"/>
              <w:spacing w:before="156" w:beforeLines="50" w:line="360" w:lineRule="auto"/>
              <w:rPr>
                <w:color w:val="000000" w:themeColor="text1"/>
                <w:szCs w:val="21"/>
                <w14:textFill>
                  <w14:solidFill>
                    <w14:schemeClr w14:val="tx1"/>
                  </w14:solidFill>
                </w14:textFill>
              </w:rPr>
            </w:pPr>
          </w:p>
        </w:tc>
        <w:tc>
          <w:tcPr>
            <w:tcW w:w="1027" w:type="dxa"/>
            <w:tcBorders>
              <w:left w:val="single" w:color="auto" w:sz="4" w:space="0"/>
            </w:tcBorders>
            <w:noWrap w:val="0"/>
            <w:vAlign w:val="top"/>
          </w:tcPr>
          <w:p w14:paraId="7C371846">
            <w:pPr>
              <w:adjustRightInd w:val="0"/>
              <w:snapToGrid w:val="0"/>
              <w:spacing w:before="156" w:beforeLines="50" w:line="360" w:lineRule="auto"/>
              <w:rPr>
                <w:color w:val="000000" w:themeColor="text1"/>
                <w:szCs w:val="21"/>
                <w14:textFill>
                  <w14:solidFill>
                    <w14:schemeClr w14:val="tx1"/>
                  </w14:solidFill>
                </w14:textFill>
              </w:rPr>
            </w:pPr>
          </w:p>
        </w:tc>
        <w:tc>
          <w:tcPr>
            <w:tcW w:w="844" w:type="dxa"/>
            <w:noWrap w:val="0"/>
            <w:vAlign w:val="top"/>
          </w:tcPr>
          <w:p w14:paraId="03636C67">
            <w:pPr>
              <w:adjustRightInd w:val="0"/>
              <w:snapToGrid w:val="0"/>
              <w:spacing w:before="156" w:beforeLines="50" w:line="360" w:lineRule="auto"/>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c>
          <w:tcPr>
            <w:tcW w:w="800" w:type="dxa"/>
            <w:noWrap w:val="0"/>
            <w:vAlign w:val="top"/>
          </w:tcPr>
          <w:p w14:paraId="0E1CD655">
            <w:pPr>
              <w:adjustRightInd w:val="0"/>
              <w:snapToGrid w:val="0"/>
              <w:spacing w:before="156" w:beforeLines="50" w:line="360" w:lineRule="auto"/>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r>
      <w:tr w14:paraId="60150B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17" w:hRule="atLeast"/>
        </w:trPr>
        <w:tc>
          <w:tcPr>
            <w:tcW w:w="615" w:type="dxa"/>
            <w:vMerge w:val="continue"/>
            <w:noWrap w:val="0"/>
            <w:vAlign w:val="top"/>
          </w:tcPr>
          <w:p w14:paraId="2E689F8E">
            <w:pPr>
              <w:adjustRightInd w:val="0"/>
              <w:snapToGrid w:val="0"/>
              <w:spacing w:before="156" w:beforeLines="50" w:line="360" w:lineRule="auto"/>
              <w:rPr>
                <w:color w:val="000000" w:themeColor="text1"/>
                <w:szCs w:val="21"/>
                <w14:textFill>
                  <w14:solidFill>
                    <w14:schemeClr w14:val="tx1"/>
                  </w14:solidFill>
                </w14:textFill>
              </w:rPr>
            </w:pPr>
          </w:p>
        </w:tc>
        <w:tc>
          <w:tcPr>
            <w:tcW w:w="1183" w:type="dxa"/>
            <w:vMerge w:val="continue"/>
            <w:noWrap w:val="0"/>
            <w:vAlign w:val="top"/>
          </w:tcPr>
          <w:p w14:paraId="3B1B2ED2">
            <w:pPr>
              <w:adjustRightInd w:val="0"/>
              <w:snapToGrid w:val="0"/>
              <w:spacing w:before="156" w:beforeLines="50" w:line="360" w:lineRule="auto"/>
              <w:rPr>
                <w:color w:val="000000" w:themeColor="text1"/>
                <w:szCs w:val="21"/>
                <w14:textFill>
                  <w14:solidFill>
                    <w14:schemeClr w14:val="tx1"/>
                  </w14:solidFill>
                </w14:textFill>
              </w:rPr>
            </w:pPr>
          </w:p>
        </w:tc>
        <w:tc>
          <w:tcPr>
            <w:tcW w:w="2200" w:type="dxa"/>
            <w:noWrap w:val="0"/>
            <w:vAlign w:val="top"/>
          </w:tcPr>
          <w:p w14:paraId="65D90EC4">
            <w:pPr>
              <w:adjustRightInd w:val="0"/>
              <w:snapToGrid w:val="0"/>
              <w:spacing w:before="156" w:beforeLines="50" w:line="360" w:lineRule="auto"/>
              <w:rPr>
                <w:color w:val="000000" w:themeColor="text1"/>
                <w:szCs w:val="21"/>
                <w14:textFill>
                  <w14:solidFill>
                    <w14:schemeClr w14:val="tx1"/>
                  </w14:solidFill>
                </w14:textFill>
              </w:rPr>
            </w:pPr>
          </w:p>
        </w:tc>
        <w:tc>
          <w:tcPr>
            <w:tcW w:w="2271" w:type="dxa"/>
            <w:tcBorders>
              <w:left w:val="single" w:color="auto" w:sz="4" w:space="0"/>
            </w:tcBorders>
            <w:noWrap w:val="0"/>
            <w:vAlign w:val="top"/>
          </w:tcPr>
          <w:p w14:paraId="1AA45A04">
            <w:pPr>
              <w:adjustRightInd w:val="0"/>
              <w:snapToGrid w:val="0"/>
              <w:spacing w:before="156" w:beforeLines="50" w:line="360" w:lineRule="auto"/>
              <w:rPr>
                <w:color w:val="000000" w:themeColor="text1"/>
                <w:szCs w:val="21"/>
                <w14:textFill>
                  <w14:solidFill>
                    <w14:schemeClr w14:val="tx1"/>
                  </w14:solidFill>
                </w14:textFill>
              </w:rPr>
            </w:pPr>
          </w:p>
        </w:tc>
        <w:tc>
          <w:tcPr>
            <w:tcW w:w="1027" w:type="dxa"/>
            <w:tcBorders>
              <w:left w:val="single" w:color="auto" w:sz="4" w:space="0"/>
            </w:tcBorders>
            <w:noWrap w:val="0"/>
            <w:vAlign w:val="top"/>
          </w:tcPr>
          <w:p w14:paraId="70C7B437">
            <w:pPr>
              <w:adjustRightInd w:val="0"/>
              <w:snapToGrid w:val="0"/>
              <w:spacing w:before="156" w:beforeLines="50" w:line="360" w:lineRule="auto"/>
              <w:rPr>
                <w:color w:val="000000" w:themeColor="text1"/>
                <w:szCs w:val="21"/>
                <w14:textFill>
                  <w14:solidFill>
                    <w14:schemeClr w14:val="tx1"/>
                  </w14:solidFill>
                </w14:textFill>
              </w:rPr>
            </w:pPr>
          </w:p>
        </w:tc>
        <w:tc>
          <w:tcPr>
            <w:tcW w:w="844" w:type="dxa"/>
            <w:shd w:val="clear" w:color="auto" w:fill="auto"/>
            <w:noWrap w:val="0"/>
            <w:vAlign w:val="top"/>
          </w:tcPr>
          <w:p w14:paraId="109A1EB0">
            <w:pPr>
              <w:adjustRightInd w:val="0"/>
              <w:snapToGrid w:val="0"/>
              <w:spacing w:before="156" w:beforeLines="50" w:line="360" w:lineRule="auto"/>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c>
          <w:tcPr>
            <w:tcW w:w="800" w:type="dxa"/>
            <w:shd w:val="clear" w:color="auto" w:fill="auto"/>
            <w:noWrap w:val="0"/>
            <w:vAlign w:val="top"/>
          </w:tcPr>
          <w:p w14:paraId="407C4B30">
            <w:pPr>
              <w:adjustRightInd w:val="0"/>
              <w:snapToGrid w:val="0"/>
              <w:spacing w:before="156" w:beforeLines="50" w:line="360" w:lineRule="auto"/>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r>
      <w:tr w14:paraId="5A9FD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17" w:hRule="atLeast"/>
        </w:trPr>
        <w:tc>
          <w:tcPr>
            <w:tcW w:w="615" w:type="dxa"/>
            <w:vMerge w:val="restart"/>
            <w:noWrap w:val="0"/>
            <w:vAlign w:val="top"/>
          </w:tcPr>
          <w:p w14:paraId="0A6EBBD8">
            <w:pPr>
              <w:adjustRightInd w:val="0"/>
              <w:snapToGrid w:val="0"/>
              <w:spacing w:before="156" w:beforeLines="50" w:line="360" w:lineRule="auto"/>
              <w:rPr>
                <w:color w:val="000000" w:themeColor="text1"/>
                <w:szCs w:val="21"/>
                <w14:textFill>
                  <w14:solidFill>
                    <w14:schemeClr w14:val="tx1"/>
                  </w14:solidFill>
                </w14:textFill>
              </w:rPr>
            </w:pPr>
          </w:p>
        </w:tc>
        <w:tc>
          <w:tcPr>
            <w:tcW w:w="1183" w:type="dxa"/>
            <w:vMerge w:val="restart"/>
            <w:noWrap w:val="0"/>
            <w:vAlign w:val="top"/>
          </w:tcPr>
          <w:p w14:paraId="1069020A">
            <w:pPr>
              <w:adjustRightInd w:val="0"/>
              <w:snapToGrid w:val="0"/>
              <w:spacing w:before="156" w:beforeLines="50" w:line="360" w:lineRule="auto"/>
              <w:rPr>
                <w:color w:val="000000" w:themeColor="text1"/>
                <w:szCs w:val="21"/>
                <w14:textFill>
                  <w14:solidFill>
                    <w14:schemeClr w14:val="tx1"/>
                  </w14:solidFill>
                </w14:textFill>
              </w:rPr>
            </w:pPr>
          </w:p>
        </w:tc>
        <w:tc>
          <w:tcPr>
            <w:tcW w:w="2200" w:type="dxa"/>
            <w:noWrap w:val="0"/>
            <w:vAlign w:val="top"/>
          </w:tcPr>
          <w:p w14:paraId="28962D1A">
            <w:pPr>
              <w:adjustRightInd w:val="0"/>
              <w:snapToGrid w:val="0"/>
              <w:spacing w:before="156" w:beforeLines="50" w:line="360" w:lineRule="auto"/>
              <w:rPr>
                <w:color w:val="000000" w:themeColor="text1"/>
                <w:szCs w:val="21"/>
                <w14:textFill>
                  <w14:solidFill>
                    <w14:schemeClr w14:val="tx1"/>
                  </w14:solidFill>
                </w14:textFill>
              </w:rPr>
            </w:pPr>
          </w:p>
        </w:tc>
        <w:tc>
          <w:tcPr>
            <w:tcW w:w="2271" w:type="dxa"/>
            <w:tcBorders>
              <w:left w:val="single" w:color="auto" w:sz="4" w:space="0"/>
            </w:tcBorders>
            <w:noWrap w:val="0"/>
            <w:vAlign w:val="top"/>
          </w:tcPr>
          <w:p w14:paraId="32B6E77B">
            <w:pPr>
              <w:adjustRightInd w:val="0"/>
              <w:snapToGrid w:val="0"/>
              <w:spacing w:before="156" w:beforeLines="50" w:line="360" w:lineRule="auto"/>
              <w:rPr>
                <w:color w:val="000000" w:themeColor="text1"/>
                <w:szCs w:val="21"/>
                <w14:textFill>
                  <w14:solidFill>
                    <w14:schemeClr w14:val="tx1"/>
                  </w14:solidFill>
                </w14:textFill>
              </w:rPr>
            </w:pPr>
          </w:p>
        </w:tc>
        <w:tc>
          <w:tcPr>
            <w:tcW w:w="1027" w:type="dxa"/>
            <w:tcBorders>
              <w:left w:val="single" w:color="auto" w:sz="4" w:space="0"/>
            </w:tcBorders>
            <w:noWrap w:val="0"/>
            <w:vAlign w:val="top"/>
          </w:tcPr>
          <w:p w14:paraId="58411A33">
            <w:pPr>
              <w:adjustRightInd w:val="0"/>
              <w:snapToGrid w:val="0"/>
              <w:spacing w:before="156" w:beforeLines="50" w:line="360" w:lineRule="auto"/>
              <w:rPr>
                <w:color w:val="000000" w:themeColor="text1"/>
                <w:szCs w:val="21"/>
                <w14:textFill>
                  <w14:solidFill>
                    <w14:schemeClr w14:val="tx1"/>
                  </w14:solidFill>
                </w14:textFill>
              </w:rPr>
            </w:pPr>
          </w:p>
        </w:tc>
        <w:tc>
          <w:tcPr>
            <w:tcW w:w="844" w:type="dxa"/>
            <w:shd w:val="clear" w:color="auto" w:fill="auto"/>
            <w:noWrap w:val="0"/>
            <w:vAlign w:val="top"/>
          </w:tcPr>
          <w:p w14:paraId="03933E4C">
            <w:pPr>
              <w:adjustRightInd w:val="0"/>
              <w:snapToGrid w:val="0"/>
              <w:spacing w:before="156" w:beforeLines="50" w:line="360" w:lineRule="auto"/>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c>
          <w:tcPr>
            <w:tcW w:w="800" w:type="dxa"/>
            <w:shd w:val="clear" w:color="auto" w:fill="auto"/>
            <w:noWrap w:val="0"/>
            <w:vAlign w:val="top"/>
          </w:tcPr>
          <w:p w14:paraId="2E05481A">
            <w:pPr>
              <w:adjustRightInd w:val="0"/>
              <w:snapToGrid w:val="0"/>
              <w:spacing w:before="156" w:beforeLines="50" w:line="360" w:lineRule="auto"/>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r>
      <w:tr w14:paraId="7BC233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75" w:hRule="atLeast"/>
        </w:trPr>
        <w:tc>
          <w:tcPr>
            <w:tcW w:w="615" w:type="dxa"/>
            <w:vMerge w:val="continue"/>
            <w:noWrap w:val="0"/>
            <w:vAlign w:val="top"/>
          </w:tcPr>
          <w:p w14:paraId="7DFB92D7">
            <w:pPr>
              <w:adjustRightInd w:val="0"/>
              <w:snapToGrid w:val="0"/>
              <w:spacing w:before="156" w:beforeLines="50" w:line="360" w:lineRule="auto"/>
              <w:rPr>
                <w:color w:val="000000" w:themeColor="text1"/>
                <w:szCs w:val="21"/>
                <w14:textFill>
                  <w14:solidFill>
                    <w14:schemeClr w14:val="tx1"/>
                  </w14:solidFill>
                </w14:textFill>
              </w:rPr>
            </w:pPr>
          </w:p>
        </w:tc>
        <w:tc>
          <w:tcPr>
            <w:tcW w:w="1183" w:type="dxa"/>
            <w:vMerge w:val="continue"/>
            <w:noWrap w:val="0"/>
            <w:vAlign w:val="top"/>
          </w:tcPr>
          <w:p w14:paraId="39320A29">
            <w:pPr>
              <w:adjustRightInd w:val="0"/>
              <w:snapToGrid w:val="0"/>
              <w:spacing w:before="156" w:beforeLines="50" w:line="360" w:lineRule="auto"/>
              <w:rPr>
                <w:color w:val="000000" w:themeColor="text1"/>
                <w:szCs w:val="21"/>
                <w14:textFill>
                  <w14:solidFill>
                    <w14:schemeClr w14:val="tx1"/>
                  </w14:solidFill>
                </w14:textFill>
              </w:rPr>
            </w:pPr>
          </w:p>
        </w:tc>
        <w:tc>
          <w:tcPr>
            <w:tcW w:w="2200" w:type="dxa"/>
            <w:noWrap w:val="0"/>
            <w:vAlign w:val="top"/>
          </w:tcPr>
          <w:p w14:paraId="0AA49F80">
            <w:pPr>
              <w:adjustRightInd w:val="0"/>
              <w:snapToGrid w:val="0"/>
              <w:spacing w:before="156" w:beforeLines="50" w:line="360" w:lineRule="auto"/>
              <w:rPr>
                <w:color w:val="000000" w:themeColor="text1"/>
                <w:szCs w:val="21"/>
                <w14:textFill>
                  <w14:solidFill>
                    <w14:schemeClr w14:val="tx1"/>
                  </w14:solidFill>
                </w14:textFill>
              </w:rPr>
            </w:pPr>
          </w:p>
        </w:tc>
        <w:tc>
          <w:tcPr>
            <w:tcW w:w="2271" w:type="dxa"/>
            <w:tcBorders>
              <w:left w:val="single" w:color="auto" w:sz="4" w:space="0"/>
            </w:tcBorders>
            <w:noWrap w:val="0"/>
            <w:vAlign w:val="top"/>
          </w:tcPr>
          <w:p w14:paraId="347FDFBE">
            <w:pPr>
              <w:adjustRightInd w:val="0"/>
              <w:snapToGrid w:val="0"/>
              <w:spacing w:before="156" w:beforeLines="50" w:line="360" w:lineRule="auto"/>
              <w:rPr>
                <w:color w:val="000000" w:themeColor="text1"/>
                <w:szCs w:val="21"/>
                <w14:textFill>
                  <w14:solidFill>
                    <w14:schemeClr w14:val="tx1"/>
                  </w14:solidFill>
                </w14:textFill>
              </w:rPr>
            </w:pPr>
          </w:p>
        </w:tc>
        <w:tc>
          <w:tcPr>
            <w:tcW w:w="1027" w:type="dxa"/>
            <w:tcBorders>
              <w:left w:val="single" w:color="auto" w:sz="4" w:space="0"/>
            </w:tcBorders>
            <w:noWrap w:val="0"/>
            <w:vAlign w:val="top"/>
          </w:tcPr>
          <w:p w14:paraId="47511F50">
            <w:pPr>
              <w:adjustRightInd w:val="0"/>
              <w:snapToGrid w:val="0"/>
              <w:spacing w:before="156" w:beforeLines="50" w:line="360" w:lineRule="auto"/>
              <w:rPr>
                <w:color w:val="000000" w:themeColor="text1"/>
                <w:szCs w:val="21"/>
                <w14:textFill>
                  <w14:solidFill>
                    <w14:schemeClr w14:val="tx1"/>
                  </w14:solidFill>
                </w14:textFill>
              </w:rPr>
            </w:pPr>
          </w:p>
        </w:tc>
        <w:tc>
          <w:tcPr>
            <w:tcW w:w="844" w:type="dxa"/>
            <w:shd w:val="clear" w:color="auto" w:fill="auto"/>
            <w:noWrap w:val="0"/>
            <w:vAlign w:val="top"/>
          </w:tcPr>
          <w:p w14:paraId="5550E5C3">
            <w:pPr>
              <w:adjustRightInd w:val="0"/>
              <w:snapToGrid w:val="0"/>
              <w:spacing w:before="156" w:beforeLines="50" w:line="360" w:lineRule="auto"/>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c>
          <w:tcPr>
            <w:tcW w:w="800" w:type="dxa"/>
            <w:shd w:val="clear" w:color="auto" w:fill="auto"/>
            <w:noWrap w:val="0"/>
            <w:vAlign w:val="top"/>
          </w:tcPr>
          <w:p w14:paraId="503D79AF">
            <w:pPr>
              <w:adjustRightInd w:val="0"/>
              <w:snapToGrid w:val="0"/>
              <w:spacing w:before="156" w:beforeLines="50" w:line="360" w:lineRule="auto"/>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r>
    </w:tbl>
    <w:p w14:paraId="591726B7">
      <w:pPr>
        <w:adjustRightInd w:val="0"/>
        <w:snapToGrid w:val="0"/>
        <w:spacing w:line="360" w:lineRule="auto"/>
        <w:rPr>
          <w:color w:val="000000" w:themeColor="text1"/>
          <w14:textFill>
            <w14:solidFill>
              <w14:schemeClr w14:val="tx1"/>
            </w14:solidFill>
          </w14:textFill>
        </w:rPr>
      </w:pPr>
    </w:p>
    <w:p w14:paraId="698C7FED">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69837BF7">
      <w:pPr>
        <w:adjustRightInd w:val="0"/>
        <w:snapToGrid w:val="0"/>
        <w:spacing w:line="360" w:lineRule="auto"/>
        <w:rPr>
          <w:rFonts w:ascii="宋体" w:hAnsi="宋体"/>
          <w:color w:val="000000" w:themeColor="text1"/>
          <w:szCs w:val="21"/>
          <w:u w:val="single"/>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04E7DA95">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509028DB">
      <w:pPr>
        <w:adjustRightInd w:val="0"/>
        <w:snapToGrid w:val="0"/>
        <w:spacing w:line="360" w:lineRule="auto"/>
        <w:rPr>
          <w:rFonts w:ascii="宋体" w:hAnsi="宋体"/>
          <w:color w:val="000000" w:themeColor="text1"/>
          <w:szCs w:val="21"/>
          <w14:textFill>
            <w14:solidFill>
              <w14:schemeClr w14:val="tx1"/>
            </w14:solidFill>
          </w14:textFill>
        </w:rPr>
      </w:pPr>
    </w:p>
    <w:p w14:paraId="3A1C406C">
      <w:pPr>
        <w:adjustRightInd w:val="0"/>
        <w:snapToGrid w:val="0"/>
        <w:spacing w:line="360" w:lineRule="auto"/>
        <w:rPr>
          <w:rFonts w:ascii="宋体" w:hAnsi="宋体"/>
          <w:color w:val="000000" w:themeColor="text1"/>
          <w:szCs w:val="21"/>
          <w14:textFill>
            <w14:solidFill>
              <w14:schemeClr w14:val="tx1"/>
            </w14:solidFill>
          </w14:textFill>
        </w:rPr>
      </w:pPr>
    </w:p>
    <w:p w14:paraId="6319D798">
      <w:pPr>
        <w:adjustRightInd w:val="0"/>
        <w:snapToGrid w:val="0"/>
        <w:spacing w:line="360" w:lineRule="auto"/>
        <w:rPr>
          <w:rFonts w:ascii="黑体" w:hAnsi="宋体" w:eastAsia="黑体"/>
          <w:color w:val="000000" w:themeColor="text1"/>
          <w:sz w:val="28"/>
          <w:szCs w:val="28"/>
          <w14:textFill>
            <w14:solidFill>
              <w14:schemeClr w14:val="tx1"/>
            </w14:solidFill>
          </w14:textFill>
        </w:rPr>
        <w:sectPr>
          <w:pgSz w:w="11906" w:h="16838"/>
          <w:pgMar w:top="1418" w:right="1418" w:bottom="1134" w:left="1418" w:header="851" w:footer="992" w:gutter="0"/>
          <w:pgNumType w:fmt="decimal"/>
          <w:cols w:space="720" w:num="1"/>
          <w:docGrid w:type="linesAndChars" w:linePitch="312" w:charSpace="0"/>
        </w:sectPr>
      </w:pPr>
    </w:p>
    <w:p w14:paraId="53852FB3">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82" w:name="_Toc12860"/>
      <w:bookmarkStart w:id="183" w:name="_Toc22201159"/>
      <w:bookmarkStart w:id="184" w:name="_Toc107998047"/>
      <w:r>
        <w:rPr>
          <w:rFonts w:hint="eastAsia" w:ascii="黑体" w:hAnsi="黑体" w:eastAsia="黑体"/>
          <w:b/>
          <w:bCs/>
          <w:color w:val="000000" w:themeColor="text1"/>
          <w:sz w:val="28"/>
          <w:szCs w:val="28"/>
          <w14:textFill>
            <w14:solidFill>
              <w14:schemeClr w14:val="tx1"/>
            </w14:solidFill>
          </w14:textFill>
        </w:rPr>
        <w:t>七、合同条款偏离表</w:t>
      </w:r>
      <w:bookmarkEnd w:id="182"/>
      <w:bookmarkEnd w:id="183"/>
      <w:bookmarkEnd w:id="184"/>
    </w:p>
    <w:p w14:paraId="659B5D98">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政府编号: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采购</w:t>
      </w: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p>
    <w:p w14:paraId="57E157DF">
      <w:pPr>
        <w:adjustRightInd w:val="0"/>
        <w:snapToGrid w:val="0"/>
        <w:spacing w:before="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包名称：</w:t>
      </w:r>
      <w:r>
        <w:rPr>
          <w:rFonts w:hint="eastAsia" w:ascii="宋体" w:hAnsi="宋体"/>
          <w:color w:val="000000" w:themeColor="text1"/>
          <w:szCs w:val="21"/>
          <w:u w:val="single"/>
          <w14:textFill>
            <w14:solidFill>
              <w14:schemeClr w14:val="tx1"/>
            </w14:solidFill>
          </w14:textFill>
        </w:rPr>
        <w:t xml:space="preserve">                   </w:t>
      </w:r>
    </w:p>
    <w:tbl>
      <w:tblPr>
        <w:tblStyle w:val="23"/>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453C60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noWrap w:val="0"/>
            <w:vAlign w:val="center"/>
          </w:tcPr>
          <w:p w14:paraId="6D36D5A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序</w:t>
            </w:r>
            <w:r>
              <w:rPr>
                <w:rFonts w:hint="eastAsia" w:ascii="宋体" w:hAnsi="宋体"/>
                <w:color w:val="000000" w:themeColor="text1"/>
                <w:szCs w:val="21"/>
                <w14:textFill>
                  <w14:solidFill>
                    <w14:schemeClr w14:val="tx1"/>
                  </w14:solidFill>
                </w14:textFill>
              </w:rPr>
              <w:t>号</w:t>
            </w:r>
          </w:p>
        </w:tc>
        <w:tc>
          <w:tcPr>
            <w:tcW w:w="2410" w:type="dxa"/>
            <w:noWrap w:val="0"/>
            <w:vAlign w:val="center"/>
          </w:tcPr>
          <w:p w14:paraId="3538B46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谈判文件章节</w:t>
            </w:r>
            <w:r>
              <w:rPr>
                <w:rFonts w:hint="eastAsia" w:ascii="宋体" w:hAnsi="宋体"/>
                <w:bCs/>
                <w:color w:val="000000" w:themeColor="text1"/>
                <w:szCs w:val="21"/>
                <w14:textFill>
                  <w14:solidFill>
                    <w14:schemeClr w14:val="tx1"/>
                  </w14:solidFill>
                </w14:textFill>
              </w:rPr>
              <w:t>条</w:t>
            </w:r>
            <w:r>
              <w:rPr>
                <w:rFonts w:hint="eastAsia" w:ascii="宋体" w:hAnsi="宋体"/>
                <w:color w:val="000000" w:themeColor="text1"/>
                <w:szCs w:val="21"/>
                <w14:textFill>
                  <w14:solidFill>
                    <w14:schemeClr w14:val="tx1"/>
                  </w14:solidFill>
                </w14:textFill>
              </w:rPr>
              <w:t>款号</w:t>
            </w:r>
          </w:p>
        </w:tc>
        <w:tc>
          <w:tcPr>
            <w:tcW w:w="1985" w:type="dxa"/>
            <w:noWrap w:val="0"/>
            <w:vAlign w:val="center"/>
          </w:tcPr>
          <w:p w14:paraId="690724A1">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谈判</w:t>
            </w:r>
            <w:r>
              <w:rPr>
                <w:rFonts w:hint="eastAsia"/>
                <w:color w:val="000000" w:themeColor="text1"/>
                <w14:textFill>
                  <w14:solidFill>
                    <w14:schemeClr w14:val="tx1"/>
                  </w14:solidFill>
                </w14:textFill>
              </w:rPr>
              <w:t>文件要求</w:t>
            </w:r>
          </w:p>
        </w:tc>
        <w:tc>
          <w:tcPr>
            <w:tcW w:w="2082" w:type="dxa"/>
            <w:tcBorders>
              <w:right w:val="single" w:color="auto" w:sz="4" w:space="0"/>
            </w:tcBorders>
            <w:noWrap w:val="0"/>
            <w:vAlign w:val="center"/>
          </w:tcPr>
          <w:p w14:paraId="642B3D31">
            <w:pPr>
              <w:adjustRightInd w:val="0"/>
              <w:snapToGrid w:val="0"/>
              <w:spacing w:before="50" w:line="360" w:lineRule="auto"/>
              <w:jc w:val="center"/>
              <w:rPr>
                <w:rFonts w:ascii="宋体" w:hAnsi="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响应文件的应答</w:t>
            </w:r>
          </w:p>
        </w:tc>
        <w:tc>
          <w:tcPr>
            <w:tcW w:w="1942" w:type="dxa"/>
            <w:tcBorders>
              <w:left w:val="single" w:color="auto" w:sz="4" w:space="0"/>
            </w:tcBorders>
            <w:noWrap w:val="0"/>
            <w:vAlign w:val="center"/>
          </w:tcPr>
          <w:p w14:paraId="64FA86E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偏离说明</w:t>
            </w:r>
          </w:p>
        </w:tc>
      </w:tr>
      <w:tr w14:paraId="107B01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2FCFFAAE">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1C787F2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noWrap w:val="0"/>
            <w:vAlign w:val="top"/>
          </w:tcPr>
          <w:p w14:paraId="6C7C25E2">
            <w:pPr>
              <w:adjustRightInd w:val="0"/>
              <w:snapToGrid w:val="0"/>
              <w:spacing w:before="50" w:line="360" w:lineRule="auto"/>
              <w:rPr>
                <w:color w:val="000000" w:themeColor="text1"/>
                <w14:textFill>
                  <w14:solidFill>
                    <w14:schemeClr w14:val="tx1"/>
                  </w14:solidFill>
                </w14:textFill>
              </w:rPr>
            </w:pPr>
          </w:p>
        </w:tc>
        <w:tc>
          <w:tcPr>
            <w:tcW w:w="2082" w:type="dxa"/>
            <w:tcBorders>
              <w:right w:val="single" w:color="auto" w:sz="4" w:space="0"/>
            </w:tcBorders>
            <w:noWrap w:val="0"/>
            <w:vAlign w:val="top"/>
          </w:tcPr>
          <w:p w14:paraId="4884CE73">
            <w:pPr>
              <w:adjustRightInd w:val="0"/>
              <w:snapToGrid w:val="0"/>
              <w:spacing w:before="50" w:line="360" w:lineRule="auto"/>
              <w:rPr>
                <w:color w:val="000000" w:themeColor="text1"/>
                <w14:textFill>
                  <w14:solidFill>
                    <w14:schemeClr w14:val="tx1"/>
                  </w14:solidFill>
                </w14:textFill>
              </w:rPr>
            </w:pPr>
          </w:p>
        </w:tc>
        <w:tc>
          <w:tcPr>
            <w:tcW w:w="1942" w:type="dxa"/>
            <w:tcBorders>
              <w:left w:val="single" w:color="auto" w:sz="4" w:space="0"/>
            </w:tcBorders>
            <w:noWrap w:val="0"/>
            <w:vAlign w:val="top"/>
          </w:tcPr>
          <w:p w14:paraId="0C10D28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3A1078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4CD4FBA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69B67412">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noWrap w:val="0"/>
            <w:vAlign w:val="center"/>
          </w:tcPr>
          <w:p w14:paraId="33D9671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noWrap w:val="0"/>
            <w:vAlign w:val="center"/>
          </w:tcPr>
          <w:p w14:paraId="24DFD8D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noWrap w:val="0"/>
            <w:vAlign w:val="center"/>
          </w:tcPr>
          <w:p w14:paraId="349D890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2E7C7C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1083181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101716F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noWrap w:val="0"/>
            <w:vAlign w:val="center"/>
          </w:tcPr>
          <w:p w14:paraId="711916C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noWrap w:val="0"/>
            <w:vAlign w:val="center"/>
          </w:tcPr>
          <w:p w14:paraId="3D567B2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noWrap w:val="0"/>
            <w:vAlign w:val="center"/>
          </w:tcPr>
          <w:p w14:paraId="7862224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76FFBC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448BE49F">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19269F5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noWrap w:val="0"/>
            <w:vAlign w:val="center"/>
          </w:tcPr>
          <w:p w14:paraId="17320F6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noWrap w:val="0"/>
            <w:vAlign w:val="center"/>
          </w:tcPr>
          <w:p w14:paraId="276F015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noWrap w:val="0"/>
            <w:vAlign w:val="center"/>
          </w:tcPr>
          <w:p w14:paraId="16480C0E">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645CE1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25F3542D">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7A68552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noWrap w:val="0"/>
            <w:vAlign w:val="center"/>
          </w:tcPr>
          <w:p w14:paraId="2B46479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noWrap w:val="0"/>
            <w:vAlign w:val="center"/>
          </w:tcPr>
          <w:p w14:paraId="6EB47471">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noWrap w:val="0"/>
            <w:vAlign w:val="center"/>
          </w:tcPr>
          <w:p w14:paraId="59E19E4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7176B3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40787BB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6063965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noWrap w:val="0"/>
            <w:vAlign w:val="center"/>
          </w:tcPr>
          <w:p w14:paraId="1963B5C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082" w:type="dxa"/>
            <w:tcBorders>
              <w:right w:val="single" w:color="auto" w:sz="4" w:space="0"/>
            </w:tcBorders>
            <w:noWrap w:val="0"/>
            <w:vAlign w:val="center"/>
          </w:tcPr>
          <w:p w14:paraId="398867FB">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42" w:type="dxa"/>
            <w:tcBorders>
              <w:left w:val="single" w:color="auto" w:sz="4" w:space="0"/>
            </w:tcBorders>
            <w:noWrap w:val="0"/>
            <w:vAlign w:val="center"/>
          </w:tcPr>
          <w:p w14:paraId="1D91464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5B821B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6330174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299042D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noWrap w:val="0"/>
            <w:vAlign w:val="center"/>
          </w:tcPr>
          <w:p w14:paraId="13ECE578">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4024" w:type="dxa"/>
            <w:gridSpan w:val="2"/>
            <w:noWrap w:val="0"/>
            <w:vAlign w:val="center"/>
          </w:tcPr>
          <w:p w14:paraId="7A726DE7">
            <w:pPr>
              <w:adjustRightInd w:val="0"/>
              <w:snapToGrid w:val="0"/>
              <w:spacing w:before="50" w:line="360" w:lineRule="auto"/>
              <w:ind w:firstLine="420" w:firstLineChars="200"/>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供应商保证：除本合同条款偏离表列出的偏离外，我单位对谈判文件的其他商务、合同条款完全响应，无偏离。</w:t>
            </w:r>
          </w:p>
        </w:tc>
      </w:tr>
    </w:tbl>
    <w:p w14:paraId="622D49A2">
      <w:pPr>
        <w:adjustRightInd w:val="0"/>
        <w:snapToGrid w:val="0"/>
        <w:spacing w:before="50" w:line="360" w:lineRule="auto"/>
        <w:ind w:left="-88" w:leftChars="-42"/>
        <w:rPr>
          <w:rFonts w:ascii="宋体" w:hAnsi="宋体"/>
          <w:color w:val="000000" w:themeColor="text1"/>
          <w:szCs w:val="21"/>
          <w14:textFill>
            <w14:solidFill>
              <w14:schemeClr w14:val="tx1"/>
            </w14:solidFill>
          </w14:textFill>
        </w:rPr>
      </w:pPr>
      <w:r>
        <w:rPr>
          <w:rFonts w:hint="eastAsia" w:ascii="宋体" w:hAnsi="宋体"/>
          <w:b w:val="0"/>
          <w:bCs/>
          <w:color w:val="000000" w:themeColor="text1"/>
          <w:szCs w:val="21"/>
          <w14:textFill>
            <w14:solidFill>
              <w14:schemeClr w14:val="tx1"/>
            </w14:solidFill>
          </w14:textFill>
        </w:rPr>
        <w:t>注：</w:t>
      </w:r>
      <w:r>
        <w:rPr>
          <w:rFonts w:hint="eastAsia" w:ascii="宋体" w:hAnsi="宋体"/>
          <w:b w:val="0"/>
          <w:bCs/>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供应商应根据谈判文件第四章</w:t>
      </w:r>
      <w:r>
        <w:rPr>
          <w:rFonts w:hint="eastAsia" w:ascii="华文宋体" w:hAnsi="华文宋体" w:eastAsia="华文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合同草案条款</w:t>
      </w:r>
      <w:r>
        <w:rPr>
          <w:rFonts w:hint="eastAsia" w:ascii="华文宋体" w:hAnsi="华文宋体" w:eastAsia="华文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填写本表；</w:t>
      </w:r>
    </w:p>
    <w:p w14:paraId="351245D3">
      <w:pPr>
        <w:adjustRightInd w:val="0"/>
        <w:snapToGrid w:val="0"/>
        <w:spacing w:before="50" w:line="360" w:lineRule="auto"/>
        <w:ind w:left="-88" w:leftChars="-42"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hint="eastAsia" w:ascii="宋体" w:hAnsi="宋体"/>
          <w:b/>
          <w:color w:val="000000" w:themeColor="text1"/>
          <w:szCs w:val="21"/>
          <w14:textFill>
            <w14:solidFill>
              <w14:schemeClr w14:val="tx1"/>
            </w14:solidFill>
          </w14:textFill>
        </w:rPr>
        <w:t>供应商如果对谈判文件第四章“合同草案条款”的响应有偏离，应将偏离条款逐条如实应答，并作出说明；</w:t>
      </w:r>
    </w:p>
    <w:p w14:paraId="781013B3">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如不提供此表，则视为供应商不满足谈判文件第四章的所有条款要求，其</w:t>
      </w:r>
      <w:r>
        <w:rPr>
          <w:rFonts w:hint="eastAsia" w:ascii="宋体" w:hAnsi="宋体"/>
          <w:b/>
          <w:color w:val="000000" w:themeColor="text1"/>
          <w:szCs w:val="21"/>
          <w14:textFill>
            <w14:solidFill>
              <w14:schemeClr w14:val="tx1"/>
            </w14:solidFill>
          </w14:textFill>
        </w:rPr>
        <w:t>响应无效</w:t>
      </w:r>
      <w:r>
        <w:rPr>
          <w:rFonts w:hint="eastAsia" w:ascii="宋体" w:hAnsi="宋体"/>
          <w:color w:val="000000" w:themeColor="text1"/>
          <w:szCs w:val="21"/>
          <w14:textFill>
            <w14:solidFill>
              <w14:schemeClr w14:val="tx1"/>
            </w14:solidFill>
          </w14:textFill>
        </w:rPr>
        <w:t>。</w:t>
      </w:r>
    </w:p>
    <w:p w14:paraId="0C419076">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在采购人与成交供应商签订合同时，如成交供应商未在响应文件“合同条款偏离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4BE03666">
      <w:pPr>
        <w:adjustRightInd w:val="0"/>
        <w:snapToGrid w:val="0"/>
        <w:spacing w:before="50" w:line="360" w:lineRule="auto"/>
        <w:rPr>
          <w:rFonts w:ascii="宋体" w:hAnsi="宋体"/>
          <w:color w:val="000000" w:themeColor="text1"/>
          <w:szCs w:val="21"/>
          <w14:textFill>
            <w14:solidFill>
              <w14:schemeClr w14:val="tx1"/>
            </w14:solidFill>
          </w14:textFill>
        </w:rPr>
      </w:pPr>
    </w:p>
    <w:p w14:paraId="78ED474C">
      <w:pPr>
        <w:adjustRightInd w:val="0"/>
        <w:snapToGrid w:val="0"/>
        <w:spacing w:before="50" w:line="360" w:lineRule="auto"/>
        <w:rPr>
          <w:rFonts w:ascii="宋体" w:hAnsi="宋体"/>
          <w:color w:val="000000" w:themeColor="text1"/>
          <w:szCs w:val="21"/>
          <w14:textFill>
            <w14:solidFill>
              <w14:schemeClr w14:val="tx1"/>
            </w14:solidFill>
          </w14:textFill>
        </w:rPr>
      </w:pPr>
    </w:p>
    <w:p w14:paraId="7BBEEF92">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2C53218E">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2BB1ABDB">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日期：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月</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日</w:t>
      </w:r>
    </w:p>
    <w:p w14:paraId="65E168A5">
      <w:pPr>
        <w:keepNext/>
        <w:keepLines/>
        <w:spacing w:line="360" w:lineRule="auto"/>
        <w:jc w:val="center"/>
        <w:outlineLvl w:val="1"/>
        <w:rPr>
          <w:rFonts w:ascii="黑体" w:hAnsi="Arial" w:eastAsia="黑体"/>
          <w:b/>
          <w:bCs/>
          <w:color w:val="000000" w:themeColor="text1"/>
          <w:sz w:val="28"/>
          <w:szCs w:val="28"/>
          <w14:textFill>
            <w14:solidFill>
              <w14:schemeClr w14:val="tx1"/>
            </w14:solidFill>
          </w14:textFill>
        </w:rPr>
      </w:pPr>
      <w:r>
        <w:rPr>
          <w:rFonts w:ascii="黑体" w:hAnsi="Arial" w:eastAsia="黑体"/>
          <w:b/>
          <w:bCs/>
          <w:color w:val="000000" w:themeColor="text1"/>
          <w:sz w:val="28"/>
          <w:szCs w:val="28"/>
          <w14:textFill>
            <w14:solidFill>
              <w14:schemeClr w14:val="tx1"/>
            </w14:solidFill>
          </w14:textFill>
        </w:rPr>
        <w:br w:type="page"/>
      </w:r>
      <w:bookmarkStart w:id="185" w:name="_Toc10519"/>
      <w:bookmarkStart w:id="186" w:name="_Toc22201160"/>
      <w:bookmarkStart w:id="187" w:name="_Toc107998048"/>
      <w:r>
        <w:rPr>
          <w:rFonts w:hint="eastAsia" w:ascii="黑体" w:hAnsi="Arial" w:eastAsia="黑体"/>
          <w:b/>
          <w:bCs/>
          <w:color w:val="000000" w:themeColor="text1"/>
          <w:sz w:val="28"/>
          <w:szCs w:val="28"/>
          <w14:textFill>
            <w14:solidFill>
              <w14:schemeClr w14:val="tx1"/>
            </w14:solidFill>
          </w14:textFill>
        </w:rPr>
        <w:t>八、采购需求偏离表</w:t>
      </w:r>
      <w:bookmarkEnd w:id="185"/>
      <w:bookmarkEnd w:id="186"/>
      <w:bookmarkEnd w:id="187"/>
    </w:p>
    <w:p w14:paraId="4DD704D6">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政府编号: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采购</w:t>
      </w: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p>
    <w:p w14:paraId="104F84C5">
      <w:pPr>
        <w:adjustRightInd w:val="0"/>
        <w:snapToGrid w:val="0"/>
        <w:spacing w:before="156" w:beforeLines="50" w:line="360" w:lineRule="auto"/>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包号：</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包名称：</w:t>
      </w:r>
      <w:r>
        <w:rPr>
          <w:rFonts w:hint="eastAsia" w:ascii="宋体" w:hAnsi="宋体"/>
          <w:color w:val="000000" w:themeColor="text1"/>
          <w:szCs w:val="21"/>
          <w:u w:val="single"/>
          <w14:textFill>
            <w14:solidFill>
              <w14:schemeClr w14:val="tx1"/>
            </w14:solidFill>
          </w14:textFill>
        </w:rPr>
        <w:t xml:space="preserve">                   </w:t>
      </w:r>
    </w:p>
    <w:tbl>
      <w:tblPr>
        <w:tblStyle w:val="23"/>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45D44C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noWrap w:val="0"/>
            <w:vAlign w:val="center"/>
          </w:tcPr>
          <w:p w14:paraId="431ECC5A">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序</w:t>
            </w:r>
            <w:r>
              <w:rPr>
                <w:rFonts w:hint="eastAsia" w:ascii="宋体" w:hAnsi="宋体"/>
                <w:color w:val="000000" w:themeColor="text1"/>
                <w:szCs w:val="21"/>
                <w14:textFill>
                  <w14:solidFill>
                    <w14:schemeClr w14:val="tx1"/>
                  </w14:solidFill>
                </w14:textFill>
              </w:rPr>
              <w:t>号</w:t>
            </w:r>
          </w:p>
        </w:tc>
        <w:tc>
          <w:tcPr>
            <w:tcW w:w="2410" w:type="dxa"/>
            <w:noWrap w:val="0"/>
            <w:vAlign w:val="center"/>
          </w:tcPr>
          <w:p w14:paraId="692924C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谈判文件章节</w:t>
            </w:r>
            <w:r>
              <w:rPr>
                <w:rFonts w:hint="eastAsia" w:ascii="宋体" w:hAnsi="宋体"/>
                <w:bCs/>
                <w:color w:val="000000" w:themeColor="text1"/>
                <w:szCs w:val="21"/>
                <w14:textFill>
                  <w14:solidFill>
                    <w14:schemeClr w14:val="tx1"/>
                  </w14:solidFill>
                </w14:textFill>
              </w:rPr>
              <w:t>条</w:t>
            </w:r>
            <w:r>
              <w:rPr>
                <w:rFonts w:hint="eastAsia" w:ascii="宋体" w:hAnsi="宋体"/>
                <w:color w:val="000000" w:themeColor="text1"/>
                <w:szCs w:val="21"/>
                <w14:textFill>
                  <w14:solidFill>
                    <w14:schemeClr w14:val="tx1"/>
                  </w14:solidFill>
                </w14:textFill>
              </w:rPr>
              <w:t>款号</w:t>
            </w:r>
          </w:p>
        </w:tc>
        <w:tc>
          <w:tcPr>
            <w:tcW w:w="1985" w:type="dxa"/>
            <w:tcBorders>
              <w:right w:val="single" w:color="auto" w:sz="4" w:space="0"/>
            </w:tcBorders>
            <w:noWrap w:val="0"/>
            <w:vAlign w:val="top"/>
          </w:tcPr>
          <w:p w14:paraId="4EF31259">
            <w:pPr>
              <w:adjustRightInd w:val="0"/>
              <w:snapToGrid w:val="0"/>
              <w:spacing w:before="50" w:line="360" w:lineRule="auto"/>
              <w:jc w:val="center"/>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谈判</w:t>
            </w:r>
            <w:r>
              <w:rPr>
                <w:rFonts w:hint="eastAsia"/>
                <w:color w:val="000000" w:themeColor="text1"/>
                <w14:textFill>
                  <w14:solidFill>
                    <w14:schemeClr w14:val="tx1"/>
                  </w14:solidFill>
                </w14:textFill>
              </w:rPr>
              <w:t>文件要求</w:t>
            </w:r>
          </w:p>
        </w:tc>
        <w:tc>
          <w:tcPr>
            <w:tcW w:w="2126" w:type="dxa"/>
            <w:tcBorders>
              <w:left w:val="single" w:color="auto" w:sz="4" w:space="0"/>
            </w:tcBorders>
            <w:noWrap w:val="0"/>
            <w:vAlign w:val="top"/>
          </w:tcPr>
          <w:p w14:paraId="0E7F157E">
            <w:pPr>
              <w:adjustRightInd w:val="0"/>
              <w:snapToGrid w:val="0"/>
              <w:spacing w:before="50" w:line="360" w:lineRule="auto"/>
              <w:jc w:val="center"/>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响应</w:t>
            </w:r>
            <w:r>
              <w:rPr>
                <w:rFonts w:hint="eastAsia"/>
                <w:color w:val="000000" w:themeColor="text1"/>
                <w14:textFill>
                  <w14:solidFill>
                    <w14:schemeClr w14:val="tx1"/>
                  </w14:solidFill>
                </w14:textFill>
              </w:rPr>
              <w:t>文件应答</w:t>
            </w:r>
          </w:p>
        </w:tc>
        <w:tc>
          <w:tcPr>
            <w:tcW w:w="1756" w:type="dxa"/>
            <w:noWrap w:val="0"/>
            <w:vAlign w:val="center"/>
          </w:tcPr>
          <w:p w14:paraId="7D7BB24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偏离说明</w:t>
            </w:r>
          </w:p>
        </w:tc>
      </w:tr>
      <w:tr w14:paraId="1138C5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796147B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7263322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noWrap w:val="0"/>
            <w:vAlign w:val="center"/>
          </w:tcPr>
          <w:p w14:paraId="600E7B17">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noWrap w:val="0"/>
            <w:vAlign w:val="center"/>
          </w:tcPr>
          <w:p w14:paraId="45F5197D">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noWrap w:val="0"/>
            <w:vAlign w:val="center"/>
          </w:tcPr>
          <w:p w14:paraId="2853A6D2">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2733FC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1A26FBC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4BE1D23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noWrap w:val="0"/>
            <w:vAlign w:val="center"/>
          </w:tcPr>
          <w:p w14:paraId="56B30B8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noWrap w:val="0"/>
            <w:vAlign w:val="center"/>
          </w:tcPr>
          <w:p w14:paraId="248DF1F0">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noWrap w:val="0"/>
            <w:vAlign w:val="center"/>
          </w:tcPr>
          <w:p w14:paraId="371625B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3907C4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65A3700D">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1250927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noWrap w:val="0"/>
            <w:vAlign w:val="center"/>
          </w:tcPr>
          <w:p w14:paraId="46B6706E">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noWrap w:val="0"/>
            <w:vAlign w:val="center"/>
          </w:tcPr>
          <w:p w14:paraId="350E2A4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noWrap w:val="0"/>
            <w:vAlign w:val="center"/>
          </w:tcPr>
          <w:p w14:paraId="6DBC521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513340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3D6D1D8D">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3C3C5EC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noWrap w:val="0"/>
            <w:vAlign w:val="center"/>
          </w:tcPr>
          <w:p w14:paraId="4BF277AC">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noWrap w:val="0"/>
            <w:vAlign w:val="center"/>
          </w:tcPr>
          <w:p w14:paraId="4A383626">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noWrap w:val="0"/>
            <w:vAlign w:val="center"/>
          </w:tcPr>
          <w:p w14:paraId="6A25B964">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7329F5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4CF111F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7AB01FC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noWrap w:val="0"/>
            <w:vAlign w:val="center"/>
          </w:tcPr>
          <w:p w14:paraId="08850801">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126" w:type="dxa"/>
            <w:tcBorders>
              <w:left w:val="single" w:color="auto" w:sz="4" w:space="0"/>
            </w:tcBorders>
            <w:noWrap w:val="0"/>
            <w:vAlign w:val="center"/>
          </w:tcPr>
          <w:p w14:paraId="2E4AB5A9">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756" w:type="dxa"/>
            <w:noWrap w:val="0"/>
            <w:vAlign w:val="center"/>
          </w:tcPr>
          <w:p w14:paraId="3ACD464E">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r>
      <w:tr w14:paraId="33F638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5ACEEC15">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2410" w:type="dxa"/>
            <w:noWrap w:val="0"/>
            <w:vAlign w:val="center"/>
          </w:tcPr>
          <w:p w14:paraId="212EEF5E">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1985" w:type="dxa"/>
            <w:tcBorders>
              <w:right w:val="single" w:color="auto" w:sz="4" w:space="0"/>
            </w:tcBorders>
            <w:noWrap w:val="0"/>
            <w:vAlign w:val="center"/>
          </w:tcPr>
          <w:p w14:paraId="62612713">
            <w:pPr>
              <w:adjustRightInd w:val="0"/>
              <w:snapToGrid w:val="0"/>
              <w:spacing w:before="50" w:line="360" w:lineRule="auto"/>
              <w:ind w:left="-88" w:leftChars="-42"/>
              <w:jc w:val="center"/>
              <w:rPr>
                <w:rFonts w:ascii="宋体" w:hAnsi="宋体"/>
                <w:color w:val="000000" w:themeColor="text1"/>
                <w:szCs w:val="21"/>
                <w14:textFill>
                  <w14:solidFill>
                    <w14:schemeClr w14:val="tx1"/>
                  </w14:solidFill>
                </w14:textFill>
              </w:rPr>
            </w:pPr>
          </w:p>
        </w:tc>
        <w:tc>
          <w:tcPr>
            <w:tcW w:w="3882" w:type="dxa"/>
            <w:gridSpan w:val="2"/>
            <w:tcBorders>
              <w:left w:val="single" w:color="auto" w:sz="4" w:space="0"/>
            </w:tcBorders>
            <w:noWrap w:val="0"/>
            <w:vAlign w:val="center"/>
          </w:tcPr>
          <w:p w14:paraId="0BB3FAC4">
            <w:pPr>
              <w:adjustRightInd w:val="0"/>
              <w:snapToGrid w:val="0"/>
              <w:spacing w:before="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供应商保证：除本采购需求偏离表列出的偏离外，我单位对谈判文件的其他采购需求条款完全响应，无偏离。</w:t>
            </w:r>
          </w:p>
        </w:tc>
      </w:tr>
    </w:tbl>
    <w:p w14:paraId="63E37933">
      <w:pPr>
        <w:adjustRightInd w:val="0"/>
        <w:snapToGrid w:val="0"/>
        <w:spacing w:before="50" w:line="360" w:lineRule="auto"/>
        <w:ind w:left="-88" w:leftChars="-42"/>
        <w:rPr>
          <w:rFonts w:ascii="宋体" w:hAnsi="宋体"/>
          <w:color w:val="000000" w:themeColor="text1"/>
          <w:szCs w:val="21"/>
          <w14:textFill>
            <w14:solidFill>
              <w14:schemeClr w14:val="tx1"/>
            </w14:solidFill>
          </w14:textFill>
        </w:rPr>
      </w:pPr>
      <w:r>
        <w:rPr>
          <w:rFonts w:hint="eastAsia" w:ascii="宋体" w:hAnsi="宋体"/>
          <w:b w:val="0"/>
          <w:bCs/>
          <w:color w:val="000000" w:themeColor="text1"/>
          <w:szCs w:val="21"/>
          <w14:textFill>
            <w14:solidFill>
              <w14:schemeClr w14:val="tx1"/>
            </w14:solidFill>
          </w14:textFill>
        </w:rPr>
        <w:t>注：</w:t>
      </w:r>
      <w:r>
        <w:rPr>
          <w:rFonts w:hint="eastAsia" w:ascii="宋体" w:hAnsi="宋体"/>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供应商应根据谈判文件第三章“采购需求”填写本表；</w:t>
      </w:r>
    </w:p>
    <w:p w14:paraId="61AC269B">
      <w:pPr>
        <w:adjustRightInd w:val="0"/>
        <w:snapToGrid w:val="0"/>
        <w:spacing w:before="50" w:line="360" w:lineRule="auto"/>
        <w:ind w:left="-88" w:leftChars="-42"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hint="eastAsia" w:ascii="宋体" w:hAnsi="宋体"/>
          <w:b/>
          <w:color w:val="000000" w:themeColor="text1"/>
          <w:szCs w:val="21"/>
          <w14:textFill>
            <w14:solidFill>
              <w14:schemeClr w14:val="tx1"/>
            </w14:solidFill>
          </w14:textFill>
        </w:rPr>
        <w:t>供应商如果对谈判文件第三章“采购需求”的响应有偏离，应将偏离条款逐条如实应答，并作出说明；</w:t>
      </w:r>
    </w:p>
    <w:p w14:paraId="2F9F460F">
      <w:pPr>
        <w:adjustRightInd w:val="0"/>
        <w:snapToGrid w:val="0"/>
        <w:spacing w:before="50" w:line="360" w:lineRule="auto"/>
        <w:ind w:left="-88" w:leftChars="-42" w:firstLine="420"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lang w:val="en-US" w:eastAsia="zh-CN"/>
          <w14:textFill>
            <w14:solidFill>
              <w14:schemeClr w14:val="tx1"/>
            </w14:solidFill>
          </w14:textFill>
        </w:rPr>
        <w:t>3.</w:t>
      </w:r>
      <w:r>
        <w:rPr>
          <w:rFonts w:hint="eastAsia" w:ascii="宋体" w:hAnsi="宋体"/>
          <w:b/>
          <w:color w:val="000000" w:themeColor="text1"/>
          <w:szCs w:val="21"/>
          <w14:textFill>
            <w14:solidFill>
              <w14:schemeClr w14:val="tx1"/>
            </w14:solidFill>
          </w14:textFill>
        </w:rPr>
        <w:t>如不提供此表，则视为供应商不满足谈判文件第三章的所有条款要求，其响应无效。</w:t>
      </w:r>
    </w:p>
    <w:p w14:paraId="336D2011">
      <w:pPr>
        <w:adjustRightInd w:val="0"/>
        <w:snapToGrid w:val="0"/>
        <w:spacing w:before="50" w:line="360" w:lineRule="auto"/>
        <w:ind w:left="-88" w:leftChars="-42" w:firstLine="420" w:firstLineChars="200"/>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在采购人与成交供应商签订合同时，如成交供应商未在响应文件“采购需求偏离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0A8161AE">
      <w:pPr>
        <w:adjustRightInd w:val="0"/>
        <w:snapToGrid w:val="0"/>
        <w:spacing w:before="50" w:line="360" w:lineRule="auto"/>
        <w:ind w:left="-88" w:leftChars="-42" w:firstLine="420" w:firstLineChars="200"/>
        <w:rPr>
          <w:rFonts w:ascii="宋体" w:hAnsi="宋体" w:eastAsia="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5.</w:t>
      </w:r>
      <w:r>
        <w:rPr>
          <w:rFonts w:hint="eastAsia" w:ascii="宋体" w:hAnsi="宋体" w:eastAsia="宋体"/>
          <w:color w:val="000000" w:themeColor="text1"/>
          <w:szCs w:val="21"/>
          <w14:textFill>
            <w14:solidFill>
              <w14:schemeClr w14:val="tx1"/>
            </w14:solidFill>
          </w14:textFill>
        </w:rPr>
        <w:t>本表偏离表与本章第六节“采购需求响应”不一致时，以“采购需求响应”为准。</w:t>
      </w:r>
    </w:p>
    <w:p w14:paraId="687515B4">
      <w:pPr>
        <w:adjustRightInd w:val="0"/>
        <w:snapToGrid w:val="0"/>
        <w:spacing w:before="50" w:line="360" w:lineRule="auto"/>
        <w:rPr>
          <w:rFonts w:ascii="宋体" w:hAnsi="宋体"/>
          <w:color w:val="000000" w:themeColor="text1"/>
          <w:szCs w:val="21"/>
          <w14:textFill>
            <w14:solidFill>
              <w14:schemeClr w14:val="tx1"/>
            </w14:solidFill>
          </w14:textFill>
        </w:rPr>
      </w:pPr>
    </w:p>
    <w:p w14:paraId="39F74DAC">
      <w:pPr>
        <w:adjustRightInd w:val="0"/>
        <w:snapToGrid w:val="0"/>
        <w:spacing w:before="50" w:line="360" w:lineRule="auto"/>
        <w:rPr>
          <w:rFonts w:ascii="宋体" w:hAnsi="宋体"/>
          <w:color w:val="000000" w:themeColor="text1"/>
          <w:szCs w:val="21"/>
          <w14:textFill>
            <w14:solidFill>
              <w14:schemeClr w14:val="tx1"/>
            </w14:solidFill>
          </w14:textFill>
        </w:rPr>
      </w:pPr>
    </w:p>
    <w:p w14:paraId="0CD5B307">
      <w:pPr>
        <w:adjustRightInd w:val="0"/>
        <w:snapToGrid w:val="0"/>
        <w:spacing w:before="50" w:line="360" w:lineRule="auto"/>
        <w:rPr>
          <w:rFonts w:ascii="宋体" w:hAnsi="宋体"/>
          <w:color w:val="000000" w:themeColor="text1"/>
          <w:szCs w:val="21"/>
          <w14:textFill>
            <w14:solidFill>
              <w14:schemeClr w14:val="tx1"/>
            </w14:solidFill>
          </w14:textFill>
        </w:rPr>
      </w:pPr>
    </w:p>
    <w:p w14:paraId="5648434A">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645C0771">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4A0429C1">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      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5831DA81">
      <w:pPr>
        <w:rPr>
          <w:color w:val="000000" w:themeColor="text1"/>
          <w14:textFill>
            <w14:solidFill>
              <w14:schemeClr w14:val="tx1"/>
            </w14:solidFill>
          </w14:textFill>
        </w:rPr>
      </w:pPr>
    </w:p>
    <w:p w14:paraId="26D45B65">
      <w:pPr>
        <w:rPr>
          <w:color w:val="000000" w:themeColor="text1"/>
          <w14:textFill>
            <w14:solidFill>
              <w14:schemeClr w14:val="tx1"/>
            </w14:solidFill>
          </w14:textFill>
        </w:rPr>
        <w:sectPr>
          <w:footerReference r:id="rId10" w:type="even"/>
          <w:pgSz w:w="11906" w:h="16838"/>
          <w:pgMar w:top="1418" w:right="1418" w:bottom="1134" w:left="1418" w:header="851" w:footer="992" w:gutter="0"/>
          <w:pgNumType w:fmt="decimal"/>
          <w:cols w:space="720" w:num="1"/>
          <w:docGrid w:type="linesAndChars" w:linePitch="312" w:charSpace="0"/>
        </w:sectPr>
      </w:pPr>
    </w:p>
    <w:p w14:paraId="735695F9">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88" w:name="_Toc31170"/>
      <w:bookmarkStart w:id="189" w:name="_Toc107998049"/>
      <w:bookmarkStart w:id="190" w:name="_Toc22201161"/>
      <w:r>
        <w:rPr>
          <w:rFonts w:ascii="Arial" w:hAnsi="Arial"/>
          <w:b/>
          <w:bCs/>
          <w:color w:val="000000" w:themeColor="text1"/>
          <w:sz w:val="24"/>
          <w:szCs w:val="32"/>
          <w14:textFill>
            <w14:solidFill>
              <w14:schemeClr w14:val="tx1"/>
            </w14:solidFill>
          </w14:textFill>
        </w:rPr>
        <w:t>九</w:t>
      </w:r>
      <w:r>
        <w:rPr>
          <w:rFonts w:hint="eastAsia" w:ascii="黑体" w:hAnsi="黑体" w:eastAsia="黑体"/>
          <w:b/>
          <w:bCs/>
          <w:color w:val="000000" w:themeColor="text1"/>
          <w:sz w:val="28"/>
          <w:szCs w:val="28"/>
          <w14:textFill>
            <w14:solidFill>
              <w14:schemeClr w14:val="tx1"/>
            </w14:solidFill>
          </w14:textFill>
        </w:rPr>
        <w:t>、享受政府采购政策优惠的证明资料</w:t>
      </w:r>
      <w:bookmarkEnd w:id="188"/>
      <w:bookmarkEnd w:id="189"/>
      <w:bookmarkEnd w:id="190"/>
    </w:p>
    <w:p w14:paraId="78997F3A">
      <w:pPr>
        <w:adjustRightInd w:val="0"/>
        <w:snapToGrid w:val="0"/>
        <w:spacing w:line="360" w:lineRule="auto"/>
        <w:rPr>
          <w:rFonts w:ascii="黑体" w:hAnsi="华文中宋" w:eastAsia="黑体" w:cs="宋体"/>
          <w:bCs/>
          <w:color w:val="000000" w:themeColor="text1"/>
          <w:spacing w:val="6"/>
          <w:kern w:val="0"/>
          <w:szCs w:val="21"/>
          <w14:textFill>
            <w14:solidFill>
              <w14:schemeClr w14:val="tx1"/>
            </w14:solidFill>
          </w14:textFill>
        </w:rPr>
      </w:pPr>
    </w:p>
    <w:p w14:paraId="11D29BCC">
      <w:pPr>
        <w:adjustRightInd w:val="0"/>
        <w:snapToGrid w:val="0"/>
        <w:spacing w:line="360" w:lineRule="auto"/>
        <w:ind w:firstLine="444" w:firstLineChars="200"/>
        <w:rPr>
          <w:rFonts w:ascii="宋体" w:hAnsi="宋体" w:cs="宋体"/>
          <w:bCs/>
          <w:color w:val="000000" w:themeColor="text1"/>
          <w:spacing w:val="6"/>
          <w:kern w:val="0"/>
          <w:szCs w:val="21"/>
          <w14:textFill>
            <w14:solidFill>
              <w14:schemeClr w14:val="tx1"/>
            </w14:solidFill>
          </w14:textFill>
        </w:rPr>
      </w:pPr>
      <w:r>
        <w:rPr>
          <w:rFonts w:hint="eastAsia" w:ascii="宋体" w:hAnsi="宋体" w:cs="宋体"/>
          <w:bCs/>
          <w:color w:val="000000" w:themeColor="text1"/>
          <w:spacing w:val="6"/>
          <w:kern w:val="0"/>
          <w:szCs w:val="21"/>
          <w14:textFill>
            <w14:solidFill>
              <w14:schemeClr w14:val="tx1"/>
            </w14:solidFill>
          </w14:textFill>
        </w:rPr>
        <w:t>供应商符合第二章第38条、第39条、第40条、第41条要求的，应提供下列证明资料，并填写相关数据。</w:t>
      </w:r>
    </w:p>
    <w:p w14:paraId="103593D1">
      <w:pPr>
        <w:adjustRightInd w:val="0"/>
        <w:snapToGrid w:val="0"/>
        <w:spacing w:line="360" w:lineRule="auto"/>
        <w:rPr>
          <w:rFonts w:ascii="黑体" w:hAnsi="华文中宋" w:eastAsia="黑体" w:cs="宋体"/>
          <w:bCs/>
          <w:color w:val="000000" w:themeColor="text1"/>
          <w:spacing w:val="6"/>
          <w:kern w:val="0"/>
          <w:szCs w:val="21"/>
          <w14:textFill>
            <w14:solidFill>
              <w14:schemeClr w14:val="tx1"/>
            </w14:solidFill>
          </w14:textFill>
        </w:rPr>
      </w:pPr>
    </w:p>
    <w:p w14:paraId="68F121E1">
      <w:pPr>
        <w:keepNext/>
        <w:keepLines/>
        <w:spacing w:before="260" w:after="260" w:line="416" w:lineRule="auto"/>
        <w:outlineLvl w:val="2"/>
        <w:rPr>
          <w:rFonts w:ascii="宋体" w:hAnsi="宋体"/>
          <w:b/>
          <w:bCs/>
          <w:color w:val="000000" w:themeColor="text1"/>
          <w:szCs w:val="21"/>
          <w14:textFill>
            <w14:solidFill>
              <w14:schemeClr w14:val="tx1"/>
            </w14:solidFill>
          </w14:textFill>
        </w:rPr>
      </w:pPr>
      <w:bookmarkStart w:id="191" w:name="_Toc31929"/>
      <w:r>
        <w:rPr>
          <w:rFonts w:hint="eastAsia" w:ascii="宋体" w:hAnsi="宋体"/>
          <w:b/>
          <w:bCs/>
          <w:color w:val="000000" w:themeColor="text1"/>
          <w:szCs w:val="21"/>
          <w14:textFill>
            <w14:solidFill>
              <w14:schemeClr w14:val="tx1"/>
            </w14:solidFill>
          </w14:textFill>
        </w:rPr>
        <w:t>附件9-1中小企业声明函(</w:t>
      </w:r>
      <w:r>
        <w:rPr>
          <w:rFonts w:hint="eastAsia" w:ascii="宋体" w:hAnsi="宋体"/>
          <w:b/>
          <w:bCs/>
          <w:color w:val="000000" w:themeColor="text1"/>
          <w:szCs w:val="21"/>
          <w:lang w:val="en-US" w:eastAsia="zh-CN"/>
          <w14:textFill>
            <w14:solidFill>
              <w14:schemeClr w14:val="tx1"/>
            </w14:solidFill>
          </w14:textFill>
        </w:rPr>
        <w:t>服务</w:t>
      </w:r>
      <w:r>
        <w:rPr>
          <w:rFonts w:hint="eastAsia" w:ascii="宋体" w:hAnsi="宋体"/>
          <w:b/>
          <w:bCs/>
          <w:color w:val="000000" w:themeColor="text1"/>
          <w:szCs w:val="21"/>
          <w14:textFill>
            <w14:solidFill>
              <w14:schemeClr w14:val="tx1"/>
            </w14:solidFill>
          </w14:textFill>
        </w:rPr>
        <w:t>)</w:t>
      </w:r>
      <w:bookmarkEnd w:id="191"/>
    </w:p>
    <w:p w14:paraId="0AC28BD7">
      <w:pPr>
        <w:adjustRightInd w:val="0"/>
        <w:snapToGrid w:val="0"/>
        <w:spacing w:before="50" w:line="360" w:lineRule="auto"/>
        <w:jc w:val="center"/>
        <w:outlineLvl w:val="2"/>
        <w:rPr>
          <w:rFonts w:hint="eastAsia" w:ascii="黑体" w:hAnsi="宋体" w:eastAsia="黑体"/>
          <w:b/>
          <w:bCs/>
          <w:sz w:val="28"/>
          <w:szCs w:val="28"/>
        </w:rPr>
      </w:pPr>
      <w:r>
        <w:rPr>
          <w:rFonts w:hint="eastAsia" w:ascii="黑体" w:hAnsi="宋体" w:eastAsia="黑体"/>
          <w:b/>
          <w:bCs/>
          <w:sz w:val="28"/>
          <w:szCs w:val="28"/>
          <w:lang w:eastAsia="zh-CN"/>
        </w:rPr>
        <w:t>中小</w:t>
      </w:r>
      <w:r>
        <w:rPr>
          <w:rFonts w:hint="eastAsia" w:ascii="黑体" w:hAnsi="宋体" w:eastAsia="黑体"/>
          <w:b/>
          <w:bCs/>
          <w:sz w:val="28"/>
          <w:szCs w:val="28"/>
        </w:rPr>
        <w:t>企业声明函(工程、服务)</w:t>
      </w:r>
    </w:p>
    <w:p w14:paraId="15799285">
      <w:pPr>
        <w:adjustRightInd w:val="0"/>
        <w:snapToGrid w:val="0"/>
        <w:spacing w:before="50" w:line="360" w:lineRule="auto"/>
        <w:jc w:val="center"/>
        <w:outlineLvl w:val="2"/>
        <w:rPr>
          <w:rFonts w:hint="eastAsia" w:ascii="黑体" w:hAnsi="宋体" w:eastAsia="黑体"/>
          <w:b/>
          <w:bCs/>
          <w:sz w:val="28"/>
          <w:szCs w:val="28"/>
        </w:rPr>
      </w:pPr>
    </w:p>
    <w:p w14:paraId="360B227E">
      <w:pPr>
        <w:widowControl/>
        <w:adjustRightInd w:val="0"/>
        <w:snapToGrid w:val="0"/>
        <w:spacing w:before="156" w:beforeLines="50" w:line="360" w:lineRule="auto"/>
        <w:ind w:firstLine="444" w:firstLineChars="200"/>
        <w:jc w:val="left"/>
        <w:rPr>
          <w:rFonts w:hint="eastAsia" w:ascii="宋体" w:hAnsi="宋体" w:cs="宋体"/>
          <w:spacing w:val="6"/>
          <w:kern w:val="0"/>
          <w:szCs w:val="21"/>
        </w:rPr>
      </w:pPr>
    </w:p>
    <w:p w14:paraId="6126E0D0">
      <w:pPr>
        <w:widowControl/>
        <w:adjustRightInd w:val="0"/>
        <w:snapToGrid w:val="0"/>
        <w:spacing w:line="360" w:lineRule="auto"/>
        <w:ind w:firstLine="444" w:firstLineChars="200"/>
        <w:jc w:val="left"/>
        <w:rPr>
          <w:rFonts w:ascii="宋体" w:hAnsi="宋体" w:cs="宋体"/>
          <w:kern w:val="0"/>
          <w:szCs w:val="21"/>
        </w:rPr>
      </w:pPr>
      <w:r>
        <w:rPr>
          <w:rFonts w:hint="eastAsia" w:ascii="宋体" w:hAnsi="宋体" w:cs="宋体"/>
          <w:spacing w:val="6"/>
          <w:kern w:val="0"/>
          <w:szCs w:val="21"/>
        </w:rPr>
        <w:t>公司(联合体)郑重声明，根据《政府采购促进中小企业发展管理办法》（财库[2020]46号）的规定，本公司（联合体）参加</w:t>
      </w:r>
      <w:r>
        <w:rPr>
          <w:rFonts w:hint="eastAsia" w:ascii="宋体" w:hAnsi="宋体" w:cs="宋体"/>
          <w:spacing w:val="6"/>
          <w:kern w:val="0"/>
          <w:szCs w:val="21"/>
          <w:u w:val="single"/>
        </w:rPr>
        <w:t xml:space="preserve">  </w:t>
      </w:r>
      <w:r>
        <w:rPr>
          <w:rFonts w:hint="eastAsia" w:ascii="宋体" w:hAnsi="宋体" w:cs="宋体"/>
          <w:spacing w:val="6"/>
          <w:kern w:val="0"/>
          <w:szCs w:val="21"/>
          <w:u w:val="single"/>
          <w:lang w:val="en-US" w:eastAsia="zh-CN"/>
        </w:rPr>
        <w:t xml:space="preserve">     </w:t>
      </w:r>
      <w:r>
        <w:rPr>
          <w:rFonts w:hint="eastAsia" w:ascii="宋体" w:hAnsi="宋体" w:cs="宋体"/>
          <w:spacing w:val="6"/>
          <w:kern w:val="0"/>
          <w:szCs w:val="21"/>
          <w:u w:val="single"/>
        </w:rPr>
        <w:t xml:space="preserve">  </w:t>
      </w:r>
      <w:r>
        <w:rPr>
          <w:rFonts w:hint="eastAsia" w:ascii="宋体" w:hAnsi="宋体" w:cs="宋体"/>
          <w:spacing w:val="6"/>
          <w:kern w:val="0"/>
          <w:szCs w:val="21"/>
        </w:rPr>
        <w:t>（单位名称）的</w:t>
      </w:r>
      <w:r>
        <w:rPr>
          <w:rFonts w:hint="eastAsia" w:ascii="宋体" w:hAnsi="宋体" w:cs="宋体"/>
          <w:spacing w:val="6"/>
          <w:kern w:val="0"/>
          <w:szCs w:val="21"/>
          <w:u w:val="single"/>
        </w:rPr>
        <w:t xml:space="preserve">      </w:t>
      </w:r>
      <w:r>
        <w:rPr>
          <w:rFonts w:hint="eastAsia" w:ascii="宋体" w:hAnsi="宋体" w:cs="宋体"/>
          <w:spacing w:val="6"/>
          <w:kern w:val="0"/>
          <w:szCs w:val="21"/>
        </w:rPr>
        <w:t>（项目名称）采购活动。工程的施工单位全部为符合政策要求的中小企业（或者：服务全部由符合政策要求的中小企业承接）。相关企业（含联合体中的中小企业、签订分包意向协议的中小企业） 的具体情况如下：</w:t>
      </w:r>
    </w:p>
    <w:p w14:paraId="77C76C2E">
      <w:pPr>
        <w:widowControl/>
        <w:adjustRightInd w:val="0"/>
        <w:snapToGrid w:val="0"/>
        <w:spacing w:line="360" w:lineRule="auto"/>
        <w:ind w:firstLine="444" w:firstLineChars="200"/>
        <w:jc w:val="left"/>
        <w:rPr>
          <w:rFonts w:hint="eastAsia" w:ascii="宋体" w:hAnsi="宋体" w:cs="宋体"/>
          <w:kern w:val="0"/>
          <w:szCs w:val="21"/>
        </w:rPr>
      </w:pPr>
      <w:r>
        <w:rPr>
          <w:rFonts w:hint="eastAsia" w:ascii="宋体" w:hAnsi="宋体" w:cs="宋体"/>
          <w:spacing w:val="6"/>
          <w:kern w:val="0"/>
          <w:szCs w:val="21"/>
        </w:rPr>
        <w:t>1.</w:t>
      </w:r>
      <w:r>
        <w:rPr>
          <w:rFonts w:hint="eastAsia" w:ascii="宋体" w:hAnsi="宋体" w:cs="宋体"/>
          <w:spacing w:val="6"/>
          <w:kern w:val="0"/>
          <w:szCs w:val="21"/>
          <w:u w:val="single"/>
        </w:rPr>
        <w:t xml:space="preserve"> </w:t>
      </w:r>
      <w:r>
        <w:rPr>
          <w:rFonts w:hint="eastAsia" w:ascii="宋体" w:hAnsi="宋体" w:cs="宋体"/>
          <w:spacing w:val="6"/>
          <w:kern w:val="0"/>
          <w:szCs w:val="21"/>
          <w:u w:val="single"/>
          <w:lang w:val="en-US" w:eastAsia="zh-CN"/>
        </w:rPr>
        <w:t xml:space="preserve">  </w:t>
      </w:r>
      <w:r>
        <w:rPr>
          <w:rFonts w:hint="eastAsia" w:ascii="宋体" w:hAnsi="宋体" w:cs="宋体"/>
          <w:spacing w:val="6"/>
          <w:kern w:val="0"/>
          <w:szCs w:val="21"/>
          <w:u w:val="single"/>
        </w:rPr>
        <w:t>（标的名称）</w:t>
      </w:r>
      <w:r>
        <w:rPr>
          <w:rFonts w:hint="eastAsia" w:ascii="宋体" w:hAnsi="宋体" w:cs="宋体"/>
          <w:spacing w:val="6"/>
          <w:kern w:val="0"/>
          <w:szCs w:val="21"/>
        </w:rPr>
        <w:t xml:space="preserve"> 属于</w:t>
      </w:r>
      <w:r>
        <w:rPr>
          <w:rFonts w:hint="eastAsia" w:ascii="宋体" w:hAnsi="宋体" w:cs="宋体"/>
          <w:spacing w:val="6"/>
          <w:kern w:val="0"/>
          <w:szCs w:val="21"/>
          <w:u w:val="single"/>
        </w:rPr>
        <w:t xml:space="preserve"> </w:t>
      </w:r>
      <w:r>
        <w:rPr>
          <w:rFonts w:hint="eastAsia" w:ascii="宋体" w:hAnsi="宋体" w:cs="宋体"/>
          <w:spacing w:val="6"/>
          <w:kern w:val="0"/>
          <w:szCs w:val="21"/>
          <w:u w:val="single"/>
          <w:lang w:val="en-US" w:eastAsia="zh-CN"/>
        </w:rPr>
        <w:t xml:space="preserve"> </w:t>
      </w:r>
      <w:r>
        <w:rPr>
          <w:rFonts w:hint="eastAsia" w:ascii="宋体" w:hAnsi="宋体" w:cs="宋体"/>
          <w:spacing w:val="6"/>
          <w:kern w:val="0"/>
          <w:szCs w:val="21"/>
          <w:u w:val="single"/>
        </w:rPr>
        <w:t xml:space="preserve"> （采购文件中明确的所属行业）</w:t>
      </w:r>
      <w:r>
        <w:rPr>
          <w:rFonts w:hint="eastAsia" w:ascii="宋体" w:hAnsi="宋体" w:cs="宋体"/>
          <w:spacing w:val="6"/>
          <w:kern w:val="0"/>
          <w:szCs w:val="21"/>
        </w:rPr>
        <w:t>；承接企业为</w:t>
      </w:r>
      <w:r>
        <w:rPr>
          <w:rFonts w:hint="eastAsia" w:ascii="宋体" w:hAnsi="宋体" w:cs="宋体"/>
          <w:spacing w:val="6"/>
          <w:kern w:val="0"/>
          <w:szCs w:val="21"/>
          <w:u w:val="single"/>
        </w:rPr>
        <w:t xml:space="preserve"> </w:t>
      </w:r>
      <w:r>
        <w:rPr>
          <w:rFonts w:hint="eastAsia" w:ascii="宋体" w:hAnsi="宋体" w:cs="宋体"/>
          <w:spacing w:val="6"/>
          <w:kern w:val="0"/>
          <w:szCs w:val="21"/>
          <w:u w:val="single"/>
          <w:lang w:val="en-US" w:eastAsia="zh-CN"/>
        </w:rPr>
        <w:t xml:space="preserve">   </w:t>
      </w:r>
      <w:r>
        <w:rPr>
          <w:rFonts w:hint="eastAsia" w:ascii="宋体" w:hAnsi="宋体" w:cs="宋体"/>
          <w:spacing w:val="6"/>
          <w:kern w:val="0"/>
          <w:szCs w:val="21"/>
          <w:u w:val="single"/>
        </w:rPr>
        <w:t>（企业名称）</w:t>
      </w:r>
      <w:r>
        <w:rPr>
          <w:rFonts w:hint="eastAsia" w:ascii="宋体" w:hAnsi="宋体" w:cs="宋体"/>
          <w:spacing w:val="6"/>
          <w:kern w:val="0"/>
          <w:szCs w:val="21"/>
        </w:rPr>
        <w:t xml:space="preserve"> ，从业人员</w:t>
      </w:r>
      <w:r>
        <w:rPr>
          <w:rFonts w:hint="eastAsia" w:ascii="宋体" w:hAnsi="宋体" w:cs="宋体"/>
          <w:spacing w:val="6"/>
          <w:kern w:val="0"/>
          <w:szCs w:val="21"/>
          <w:u w:val="single"/>
        </w:rPr>
        <w:t xml:space="preserve">     </w:t>
      </w:r>
      <w:r>
        <w:rPr>
          <w:rFonts w:hint="eastAsia" w:ascii="宋体" w:hAnsi="宋体" w:cs="宋体"/>
          <w:spacing w:val="6"/>
          <w:kern w:val="0"/>
          <w:szCs w:val="21"/>
        </w:rPr>
        <w:t>人，营业收入为</w:t>
      </w:r>
      <w:r>
        <w:rPr>
          <w:rFonts w:hint="eastAsia" w:ascii="宋体" w:hAnsi="宋体" w:cs="宋体"/>
          <w:spacing w:val="6"/>
          <w:kern w:val="0"/>
          <w:szCs w:val="21"/>
          <w:u w:val="single"/>
        </w:rPr>
        <w:t xml:space="preserve">   </w:t>
      </w:r>
      <w:r>
        <w:rPr>
          <w:rFonts w:hint="eastAsia" w:ascii="宋体" w:hAnsi="宋体" w:cs="宋体"/>
          <w:spacing w:val="6"/>
          <w:kern w:val="0"/>
          <w:szCs w:val="21"/>
        </w:rPr>
        <w:t>万元，资产总额</w:t>
      </w:r>
      <w:r>
        <w:rPr>
          <w:rFonts w:hint="eastAsia" w:ascii="宋体" w:hAnsi="宋体" w:cs="宋体"/>
          <w:spacing w:val="6"/>
          <w:kern w:val="0"/>
          <w:szCs w:val="21"/>
          <w:u w:val="single"/>
        </w:rPr>
        <w:t xml:space="preserve">    </w:t>
      </w:r>
      <w:r>
        <w:rPr>
          <w:rFonts w:hint="eastAsia" w:ascii="宋体" w:hAnsi="宋体" w:cs="宋体"/>
          <w:spacing w:val="6"/>
          <w:kern w:val="0"/>
          <w:szCs w:val="21"/>
        </w:rPr>
        <w:t>万元，属</w:t>
      </w:r>
      <w:r>
        <w:rPr>
          <w:rFonts w:hint="eastAsia" w:ascii="宋体" w:hAnsi="宋体" w:cs="宋体"/>
          <w:spacing w:val="6"/>
          <w:kern w:val="0"/>
          <w:szCs w:val="21"/>
          <w:u w:val="single"/>
        </w:rPr>
        <w:t>于</w:t>
      </w:r>
      <w:r>
        <w:rPr>
          <w:rFonts w:hint="eastAsia" w:ascii="宋体" w:hAnsi="宋体" w:cs="宋体"/>
          <w:spacing w:val="6"/>
          <w:kern w:val="0"/>
          <w:szCs w:val="21"/>
          <w:u w:val="single"/>
          <w:lang w:val="en-US" w:eastAsia="zh-CN"/>
        </w:rPr>
        <w:t xml:space="preserve">    </w:t>
      </w:r>
      <w:r>
        <w:rPr>
          <w:rFonts w:hint="eastAsia" w:ascii="宋体" w:hAnsi="宋体" w:cs="宋体"/>
          <w:spacing w:val="6"/>
          <w:kern w:val="0"/>
          <w:szCs w:val="21"/>
          <w:u w:val="single"/>
        </w:rPr>
        <w:t>（中型企业、小型企业、微型企业）</w:t>
      </w:r>
      <w:r>
        <w:rPr>
          <w:rFonts w:hint="eastAsia" w:ascii="宋体" w:hAnsi="宋体" w:cs="宋体"/>
          <w:spacing w:val="6"/>
          <w:kern w:val="0"/>
          <w:szCs w:val="21"/>
        </w:rPr>
        <w:t>；</w:t>
      </w:r>
    </w:p>
    <w:p w14:paraId="3BE16038">
      <w:pPr>
        <w:widowControl/>
        <w:adjustRightInd w:val="0"/>
        <w:snapToGrid w:val="0"/>
        <w:spacing w:line="360" w:lineRule="auto"/>
        <w:ind w:firstLine="444" w:firstLineChars="200"/>
        <w:jc w:val="left"/>
        <w:rPr>
          <w:rFonts w:hint="eastAsia" w:ascii="宋体" w:hAnsi="宋体" w:cs="宋体"/>
          <w:spacing w:val="6"/>
          <w:kern w:val="0"/>
          <w:szCs w:val="21"/>
        </w:rPr>
      </w:pPr>
      <w:r>
        <w:rPr>
          <w:rFonts w:hint="eastAsia" w:ascii="宋体" w:hAnsi="宋体" w:cs="宋体"/>
          <w:spacing w:val="6"/>
          <w:kern w:val="0"/>
          <w:szCs w:val="21"/>
        </w:rPr>
        <w:t>2.</w:t>
      </w:r>
      <w:r>
        <w:rPr>
          <w:rFonts w:hint="eastAsia" w:ascii="宋体" w:hAnsi="宋体" w:cs="宋体"/>
          <w:spacing w:val="6"/>
          <w:kern w:val="0"/>
          <w:szCs w:val="21"/>
          <w:u w:val="single"/>
        </w:rPr>
        <w:t xml:space="preserve">  （标的名称）</w:t>
      </w:r>
      <w:r>
        <w:rPr>
          <w:rFonts w:hint="eastAsia" w:ascii="宋体" w:hAnsi="宋体" w:cs="宋体"/>
          <w:spacing w:val="6"/>
          <w:kern w:val="0"/>
          <w:szCs w:val="21"/>
        </w:rPr>
        <w:t>属于</w:t>
      </w:r>
      <w:r>
        <w:rPr>
          <w:rFonts w:hint="eastAsia" w:ascii="宋体" w:hAnsi="宋体" w:cs="宋体"/>
          <w:spacing w:val="6"/>
          <w:kern w:val="0"/>
          <w:szCs w:val="21"/>
          <w:u w:val="single"/>
        </w:rPr>
        <w:t xml:space="preserve">  （采购文件中明确的所属行业）</w:t>
      </w:r>
      <w:r>
        <w:rPr>
          <w:rFonts w:hint="eastAsia" w:ascii="宋体" w:hAnsi="宋体" w:cs="宋体"/>
          <w:spacing w:val="6"/>
          <w:kern w:val="0"/>
          <w:szCs w:val="21"/>
        </w:rPr>
        <w:t>；承接企业为</w:t>
      </w:r>
      <w:r>
        <w:rPr>
          <w:rFonts w:hint="eastAsia" w:ascii="宋体" w:hAnsi="宋体" w:cs="宋体"/>
          <w:spacing w:val="6"/>
          <w:kern w:val="0"/>
          <w:szCs w:val="21"/>
          <w:u w:val="single"/>
        </w:rPr>
        <w:t>（企业名称）</w:t>
      </w:r>
      <w:r>
        <w:rPr>
          <w:rFonts w:hint="eastAsia" w:ascii="宋体" w:hAnsi="宋体" w:cs="宋体"/>
          <w:spacing w:val="6"/>
          <w:kern w:val="0"/>
          <w:szCs w:val="21"/>
        </w:rPr>
        <w:t xml:space="preserve"> ，从业人员</w:t>
      </w:r>
      <w:r>
        <w:rPr>
          <w:rFonts w:hint="eastAsia" w:ascii="宋体" w:hAnsi="宋体" w:cs="宋体"/>
          <w:spacing w:val="6"/>
          <w:kern w:val="0"/>
          <w:szCs w:val="21"/>
          <w:u w:val="single"/>
        </w:rPr>
        <w:t xml:space="preserve">     </w:t>
      </w:r>
      <w:r>
        <w:rPr>
          <w:rFonts w:hint="eastAsia" w:ascii="宋体" w:hAnsi="宋体" w:cs="宋体"/>
          <w:spacing w:val="6"/>
          <w:kern w:val="0"/>
          <w:szCs w:val="21"/>
        </w:rPr>
        <w:t>人，营业收入为</w:t>
      </w:r>
      <w:r>
        <w:rPr>
          <w:rFonts w:hint="eastAsia" w:ascii="宋体" w:hAnsi="宋体" w:cs="宋体"/>
          <w:spacing w:val="6"/>
          <w:kern w:val="0"/>
          <w:szCs w:val="21"/>
          <w:u w:val="single"/>
        </w:rPr>
        <w:t xml:space="preserve">   </w:t>
      </w:r>
      <w:r>
        <w:rPr>
          <w:rFonts w:hint="eastAsia" w:ascii="宋体" w:hAnsi="宋体" w:cs="宋体"/>
          <w:spacing w:val="6"/>
          <w:kern w:val="0"/>
          <w:szCs w:val="21"/>
        </w:rPr>
        <w:t>万元，资产总额</w:t>
      </w:r>
      <w:r>
        <w:rPr>
          <w:rFonts w:hint="eastAsia" w:ascii="宋体" w:hAnsi="宋体" w:cs="宋体"/>
          <w:spacing w:val="6"/>
          <w:kern w:val="0"/>
          <w:szCs w:val="21"/>
          <w:u w:val="single"/>
        </w:rPr>
        <w:t xml:space="preserve">    </w:t>
      </w:r>
      <w:r>
        <w:rPr>
          <w:rFonts w:hint="eastAsia" w:ascii="宋体" w:hAnsi="宋体" w:cs="宋体"/>
          <w:spacing w:val="6"/>
          <w:kern w:val="0"/>
          <w:szCs w:val="21"/>
        </w:rPr>
        <w:t>万元，属于</w:t>
      </w:r>
      <w:r>
        <w:rPr>
          <w:rFonts w:hint="eastAsia" w:ascii="宋体" w:hAnsi="宋体" w:cs="宋体"/>
          <w:spacing w:val="6"/>
          <w:kern w:val="0"/>
          <w:szCs w:val="21"/>
          <w:u w:val="single"/>
        </w:rPr>
        <w:t>（中型企业、小型企业、微型企业）</w:t>
      </w:r>
      <w:r>
        <w:rPr>
          <w:rFonts w:hint="eastAsia" w:ascii="宋体" w:hAnsi="宋体" w:cs="宋体"/>
          <w:spacing w:val="6"/>
          <w:kern w:val="0"/>
          <w:szCs w:val="21"/>
        </w:rPr>
        <w:t>；</w:t>
      </w:r>
    </w:p>
    <w:p w14:paraId="452A3B7D">
      <w:pPr>
        <w:pStyle w:val="10"/>
        <w:ind w:firstLine="666" w:firstLineChars="300"/>
      </w:pPr>
      <w:r>
        <w:rPr>
          <w:rFonts w:hint="eastAsia" w:ascii="宋体" w:hAnsi="宋体" w:cs="宋体"/>
          <w:spacing w:val="6"/>
          <w:kern w:val="0"/>
          <w:szCs w:val="21"/>
        </w:rPr>
        <w:t>以上企业，不属于大企业的分支机构，不存在控股股东为大企业的情形，也不存在与大企业的负责人为同一人的情形。</w:t>
      </w:r>
    </w:p>
    <w:p w14:paraId="2BFD6E54">
      <w:pPr>
        <w:widowControl/>
        <w:adjustRightInd w:val="0"/>
        <w:snapToGrid w:val="0"/>
        <w:spacing w:line="360" w:lineRule="auto"/>
        <w:ind w:firstLine="444" w:firstLineChars="200"/>
        <w:jc w:val="left"/>
        <w:rPr>
          <w:rFonts w:ascii="宋体" w:hAnsi="宋体" w:cs="宋体"/>
          <w:kern w:val="0"/>
          <w:szCs w:val="21"/>
        </w:rPr>
      </w:pPr>
      <w:r>
        <w:rPr>
          <w:rFonts w:hint="eastAsia" w:ascii="宋体" w:hAnsi="宋体" w:cs="宋体"/>
          <w:spacing w:val="6"/>
          <w:kern w:val="0"/>
          <w:szCs w:val="21"/>
        </w:rPr>
        <w:t>本企业对上述声明内容的真实性负责。如有虚假，将依法承担相应责任。</w:t>
      </w:r>
    </w:p>
    <w:p w14:paraId="6848D51C">
      <w:pPr>
        <w:widowControl/>
        <w:adjustRightInd w:val="0"/>
        <w:snapToGrid w:val="0"/>
        <w:spacing w:line="360" w:lineRule="auto"/>
        <w:ind w:firstLine="420" w:firstLineChars="200"/>
        <w:jc w:val="center"/>
        <w:rPr>
          <w:rFonts w:ascii="宋体" w:hAnsi="宋体" w:cs="宋体"/>
          <w:kern w:val="0"/>
          <w:szCs w:val="21"/>
        </w:rPr>
      </w:pPr>
    </w:p>
    <w:p w14:paraId="2D077BF9">
      <w:pPr>
        <w:widowControl/>
        <w:adjustRightInd w:val="0"/>
        <w:snapToGrid w:val="0"/>
        <w:spacing w:line="360" w:lineRule="auto"/>
        <w:ind w:firstLine="444" w:firstLineChars="200"/>
        <w:jc w:val="center"/>
        <w:rPr>
          <w:rFonts w:ascii="宋体" w:hAnsi="宋体" w:cs="宋体"/>
          <w:spacing w:val="6"/>
          <w:kern w:val="0"/>
          <w:szCs w:val="21"/>
          <w:u w:val="single"/>
        </w:rPr>
      </w:pPr>
      <w:r>
        <w:rPr>
          <w:rFonts w:hint="eastAsia" w:ascii="宋体" w:hAnsi="宋体" w:cs="宋体"/>
          <w:spacing w:val="6"/>
          <w:kern w:val="0"/>
          <w:szCs w:val="21"/>
        </w:rPr>
        <w:t xml:space="preserve">             企业名称（盖单位公章）：</w:t>
      </w:r>
      <w:r>
        <w:rPr>
          <w:rFonts w:hint="eastAsia" w:ascii="宋体" w:hAnsi="宋体" w:cs="宋体"/>
          <w:spacing w:val="6"/>
          <w:kern w:val="0"/>
          <w:szCs w:val="21"/>
          <w:u w:val="single"/>
        </w:rPr>
        <w:t xml:space="preserve">           </w:t>
      </w:r>
    </w:p>
    <w:p w14:paraId="78A7CD98">
      <w:pPr>
        <w:widowControl/>
        <w:adjustRightInd w:val="0"/>
        <w:snapToGrid w:val="0"/>
        <w:spacing w:line="360" w:lineRule="auto"/>
        <w:ind w:firstLine="444" w:firstLineChars="200"/>
        <w:jc w:val="center"/>
        <w:rPr>
          <w:rFonts w:ascii="宋体" w:hAnsi="宋体" w:cs="宋体"/>
          <w:spacing w:val="6"/>
          <w:kern w:val="0"/>
          <w:szCs w:val="21"/>
          <w:u w:val="single"/>
        </w:rPr>
      </w:pPr>
      <w:r>
        <w:rPr>
          <w:rFonts w:hint="eastAsia" w:ascii="宋体" w:hAnsi="宋体" w:cs="宋体"/>
          <w:spacing w:val="6"/>
          <w:kern w:val="0"/>
          <w:szCs w:val="21"/>
        </w:rPr>
        <w:t xml:space="preserve">                   日 期：</w:t>
      </w:r>
      <w:r>
        <w:rPr>
          <w:rFonts w:hint="eastAsia" w:ascii="宋体" w:hAnsi="宋体" w:cs="宋体"/>
          <w:spacing w:val="6"/>
          <w:kern w:val="0"/>
          <w:szCs w:val="21"/>
          <w:u w:val="single"/>
        </w:rPr>
        <w:t xml:space="preserve">              </w:t>
      </w:r>
    </w:p>
    <w:p w14:paraId="50D7ECE5">
      <w:pPr>
        <w:widowControl/>
        <w:adjustRightInd w:val="0"/>
        <w:snapToGrid w:val="0"/>
        <w:spacing w:line="360" w:lineRule="auto"/>
        <w:ind w:firstLine="444" w:firstLineChars="200"/>
        <w:jc w:val="center"/>
        <w:rPr>
          <w:rFonts w:ascii="宋体" w:hAnsi="宋体" w:cs="宋体"/>
          <w:b/>
          <w:spacing w:val="6"/>
          <w:kern w:val="0"/>
          <w:szCs w:val="21"/>
          <w:u w:val="single"/>
        </w:rPr>
      </w:pPr>
    </w:p>
    <w:p w14:paraId="0D713A53">
      <w:pPr>
        <w:widowControl/>
        <w:adjustRightInd w:val="0"/>
        <w:snapToGrid w:val="0"/>
        <w:spacing w:line="360" w:lineRule="auto"/>
        <w:ind w:firstLine="444" w:firstLineChars="200"/>
        <w:jc w:val="left"/>
        <w:rPr>
          <w:rFonts w:hint="eastAsia" w:ascii="宋体" w:hAnsi="宋体" w:eastAsia="宋体" w:cs="宋体"/>
          <w:sz w:val="24"/>
          <w:szCs w:val="24"/>
          <w:lang w:val="en-US" w:eastAsia="zh-CN"/>
        </w:rPr>
      </w:pPr>
      <w:r>
        <w:rPr>
          <w:rFonts w:hint="eastAsia" w:ascii="宋体" w:hAnsi="宋体" w:cs="宋体"/>
          <w:spacing w:val="6"/>
          <w:kern w:val="0"/>
          <w:szCs w:val="21"/>
        </w:rPr>
        <w:t>从业人员、营业收入、资产总额填报上一年度数据，无上一年度数据的新成立企业可不填报。</w:t>
      </w:r>
    </w:p>
    <w:p w14:paraId="35F8EA44">
      <w:pPr>
        <w:adjustRightInd w:val="0"/>
        <w:snapToGrid w:val="0"/>
        <w:spacing w:line="360" w:lineRule="auto"/>
        <w:ind w:firstLine="5670" w:firstLineChars="27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p w14:paraId="3885C1E2">
      <w:pPr>
        <w:keepNext/>
        <w:keepLines/>
        <w:adjustRightInd w:val="0"/>
        <w:snapToGrid w:val="0"/>
        <w:spacing w:line="360" w:lineRule="auto"/>
        <w:outlineLvl w:val="2"/>
        <w:rPr>
          <w:rFonts w:ascii="宋体" w:hAnsi="宋体"/>
          <w:b/>
          <w:bCs/>
          <w:color w:val="000000" w:themeColor="text1"/>
          <w:spacing w:val="6"/>
          <w:szCs w:val="32"/>
          <w14:textFill>
            <w14:solidFill>
              <w14:schemeClr w14:val="tx1"/>
            </w14:solidFill>
          </w14:textFill>
        </w:rPr>
      </w:pPr>
      <w:bookmarkStart w:id="192" w:name="_Toc5854"/>
      <w:r>
        <w:rPr>
          <w:rFonts w:hint="eastAsia" w:ascii="宋体" w:hAnsi="宋体" w:cs="宋体"/>
          <w:b/>
          <w:bCs/>
          <w:color w:val="000000" w:themeColor="text1"/>
          <w:spacing w:val="6"/>
          <w:kern w:val="0"/>
          <w:szCs w:val="32"/>
          <w14:textFill>
            <w14:solidFill>
              <w14:schemeClr w14:val="tx1"/>
            </w14:solidFill>
          </w14:textFill>
        </w:rPr>
        <w:t>附件9-2</w:t>
      </w:r>
      <w:r>
        <w:rPr>
          <w:rFonts w:hint="eastAsia" w:ascii="宋体" w:hAnsi="宋体"/>
          <w:b/>
          <w:bCs/>
          <w:color w:val="000000" w:themeColor="text1"/>
          <w:spacing w:val="6"/>
          <w:szCs w:val="32"/>
          <w14:textFill>
            <w14:solidFill>
              <w14:schemeClr w14:val="tx1"/>
            </w14:solidFill>
          </w14:textFill>
        </w:rPr>
        <w:t>残疾人福利性单位声明函</w:t>
      </w:r>
      <w:bookmarkEnd w:id="192"/>
    </w:p>
    <w:p w14:paraId="46F56572">
      <w:pPr>
        <w:adjustRightInd w:val="0"/>
        <w:snapToGrid w:val="0"/>
        <w:spacing w:line="360" w:lineRule="auto"/>
        <w:jc w:val="center"/>
        <w:rPr>
          <w:rFonts w:ascii="黑体" w:hAnsi="黑体" w:eastAsia="黑体"/>
          <w:b/>
          <w:color w:val="000000" w:themeColor="text1"/>
          <w:spacing w:val="6"/>
          <w:sz w:val="28"/>
          <w:szCs w:val="28"/>
          <w14:textFill>
            <w14:solidFill>
              <w14:schemeClr w14:val="tx1"/>
            </w14:solidFill>
          </w14:textFill>
        </w:rPr>
      </w:pPr>
      <w:r>
        <w:rPr>
          <w:rFonts w:hint="eastAsia" w:ascii="黑体" w:hAnsi="黑体" w:eastAsia="黑体"/>
          <w:b/>
          <w:color w:val="000000" w:themeColor="text1"/>
          <w:spacing w:val="6"/>
          <w:sz w:val="28"/>
          <w:szCs w:val="28"/>
          <w14:textFill>
            <w14:solidFill>
              <w14:schemeClr w14:val="tx1"/>
            </w14:solidFill>
          </w14:textFill>
        </w:rPr>
        <w:t>残疾人福利性单位声明函</w:t>
      </w:r>
    </w:p>
    <w:p w14:paraId="435FEACB">
      <w:pPr>
        <w:adjustRightInd w:val="0"/>
        <w:snapToGrid w:val="0"/>
        <w:spacing w:line="360" w:lineRule="auto"/>
        <w:jc w:val="center"/>
        <w:rPr>
          <w:rFonts w:ascii="宋体" w:hAnsi="宋体"/>
          <w:b/>
          <w:color w:val="000000" w:themeColor="text1"/>
          <w:spacing w:val="6"/>
          <w:szCs w:val="21"/>
          <w14:textFill>
            <w14:solidFill>
              <w14:schemeClr w14:val="tx1"/>
            </w14:solidFill>
          </w14:textFill>
        </w:rPr>
      </w:pPr>
      <w:r>
        <w:rPr>
          <w:rFonts w:hint="eastAsia" w:ascii="宋体" w:hAnsi="宋体"/>
          <w:b/>
          <w:color w:val="000000" w:themeColor="text1"/>
          <w:spacing w:val="6"/>
          <w:szCs w:val="21"/>
          <w14:textFill>
            <w14:solidFill>
              <w14:schemeClr w14:val="tx1"/>
            </w14:solidFill>
          </w14:textFill>
        </w:rPr>
        <w:t>(不符合政策要求的无需提供)</w:t>
      </w:r>
    </w:p>
    <w:p w14:paraId="38E7C86D">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24FAF082">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本单位郑重声明，根据《财政部 民政部 中国残疾人联合会关于促进残疾人就业政府采购政策的通知》（财库</w:t>
      </w:r>
      <w:r>
        <w:rPr>
          <w:rFonts w:hint="eastAsia" w:ascii="宋体" w:hAnsi="宋体"/>
          <w:color w:val="000000" w:themeColor="text1"/>
          <w:szCs w:val="21"/>
          <w14:textFill>
            <w14:solidFill>
              <w14:schemeClr w14:val="tx1"/>
            </w14:solidFill>
          </w14:textFill>
        </w:rPr>
        <w:t>〔2017〕141</w:t>
      </w:r>
      <w:r>
        <w:rPr>
          <w:rFonts w:hint="eastAsia" w:ascii="宋体" w:hAnsi="宋体"/>
          <w:color w:val="000000" w:themeColor="text1"/>
          <w:spacing w:val="6"/>
          <w:szCs w:val="21"/>
          <w14:textFill>
            <w14:solidFill>
              <w14:schemeClr w14:val="tx1"/>
            </w14:solidFill>
          </w14:textFill>
        </w:rPr>
        <w:t>号）的规定，本单位为符合条件的残疾人福利性单位，且本单位参加</w:t>
      </w:r>
      <w:r>
        <w:rPr>
          <w:rFonts w:hint="eastAsia" w:ascii="宋体" w:hAnsi="宋体"/>
          <w:color w:val="000000" w:themeColor="text1"/>
          <w:spacing w:val="6"/>
          <w:szCs w:val="21"/>
          <w:u w:val="single"/>
          <w14:textFill>
            <w14:solidFill>
              <w14:schemeClr w14:val="tx1"/>
            </w14:solidFill>
          </w14:textFill>
        </w:rPr>
        <w:t xml:space="preserve">             </w:t>
      </w:r>
      <w:r>
        <w:rPr>
          <w:rFonts w:hint="eastAsia" w:ascii="宋体" w:hAnsi="宋体"/>
          <w:color w:val="000000" w:themeColor="text1"/>
          <w:spacing w:val="6"/>
          <w:szCs w:val="21"/>
          <w14:textFill>
            <w14:solidFill>
              <w14:schemeClr w14:val="tx1"/>
            </w14:solidFill>
          </w14:textFill>
        </w:rPr>
        <w:t>单位的</w:t>
      </w:r>
      <w:r>
        <w:rPr>
          <w:rFonts w:hint="eastAsia" w:ascii="宋体" w:hAnsi="宋体"/>
          <w:color w:val="000000" w:themeColor="text1"/>
          <w:spacing w:val="6"/>
          <w:szCs w:val="21"/>
          <w:u w:val="single"/>
          <w14:textFill>
            <w14:solidFill>
              <w14:schemeClr w14:val="tx1"/>
            </w14:solidFill>
          </w14:textFill>
        </w:rPr>
        <w:t xml:space="preserve">               </w:t>
      </w:r>
      <w:r>
        <w:rPr>
          <w:rFonts w:hint="eastAsia" w:ascii="宋体" w:hAnsi="宋体"/>
          <w:color w:val="000000" w:themeColor="text1"/>
          <w:spacing w:val="6"/>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28B2ABDC">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本单位对上述声明的真实性负责。如有虚假，将依法承担相应责任。</w:t>
      </w:r>
    </w:p>
    <w:p w14:paraId="6960A90C">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36C47143">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17B3B9EF">
      <w:pPr>
        <w:tabs>
          <w:tab w:val="left" w:pos="4860"/>
        </w:tabs>
        <w:adjustRightInd w:val="0"/>
        <w:snapToGrid w:val="0"/>
        <w:spacing w:line="360" w:lineRule="auto"/>
        <w:ind w:right="1560" w:firstLine="444" w:firstLineChars="200"/>
        <w:jc w:val="center"/>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 xml:space="preserve">               单位名称（盖章）：</w:t>
      </w:r>
    </w:p>
    <w:p w14:paraId="623FD5DC">
      <w:pPr>
        <w:tabs>
          <w:tab w:val="left" w:pos="4860"/>
        </w:tabs>
        <w:adjustRightInd w:val="0"/>
        <w:snapToGrid w:val="0"/>
        <w:spacing w:line="360" w:lineRule="auto"/>
        <w:ind w:right="1560" w:firstLine="444" w:firstLineChars="200"/>
        <w:jc w:val="center"/>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 xml:space="preserve">       日  期：</w:t>
      </w:r>
    </w:p>
    <w:p w14:paraId="0D0F9BCA">
      <w:pPr>
        <w:widowControl/>
        <w:adjustRightInd w:val="0"/>
        <w:snapToGrid w:val="0"/>
        <w:spacing w:line="360" w:lineRule="auto"/>
        <w:jc w:val="left"/>
        <w:rPr>
          <w:rFonts w:ascii="宋体" w:hAnsi="宋体" w:cs="宋体"/>
          <w:color w:val="000000" w:themeColor="text1"/>
          <w:kern w:val="0"/>
          <w:szCs w:val="21"/>
          <w14:textFill>
            <w14:solidFill>
              <w14:schemeClr w14:val="tx1"/>
            </w14:solidFill>
          </w14:textFill>
        </w:rPr>
        <w:sectPr>
          <w:pgSz w:w="11906" w:h="16838"/>
          <w:pgMar w:top="1418" w:right="1418" w:bottom="1134" w:left="1418" w:header="851" w:footer="992" w:gutter="0"/>
          <w:pgNumType w:fmt="decimal"/>
          <w:cols w:space="720" w:num="1"/>
          <w:docGrid w:type="linesAndChars" w:linePitch="312" w:charSpace="0"/>
        </w:sectPr>
      </w:pPr>
    </w:p>
    <w:p w14:paraId="156A5045">
      <w:pPr>
        <w:keepNext/>
        <w:keepLines/>
        <w:adjustRightInd w:val="0"/>
        <w:snapToGrid w:val="0"/>
        <w:spacing w:line="360" w:lineRule="auto"/>
        <w:outlineLvl w:val="2"/>
        <w:rPr>
          <w:rFonts w:ascii="宋体" w:hAnsi="宋体"/>
          <w:b/>
          <w:bCs/>
          <w:color w:val="000000" w:themeColor="text1"/>
          <w:szCs w:val="21"/>
          <w14:textFill>
            <w14:solidFill>
              <w14:schemeClr w14:val="tx1"/>
            </w14:solidFill>
          </w14:textFill>
        </w:rPr>
      </w:pPr>
      <w:bookmarkStart w:id="193" w:name="_Toc6533"/>
      <w:r>
        <w:rPr>
          <w:rFonts w:hint="eastAsia" w:ascii="宋体" w:hAnsi="宋体" w:cs="宋体"/>
          <w:b/>
          <w:bCs/>
          <w:color w:val="000000" w:themeColor="text1"/>
          <w:kern w:val="0"/>
          <w:szCs w:val="21"/>
          <w14:textFill>
            <w14:solidFill>
              <w14:schemeClr w14:val="tx1"/>
            </w14:solidFill>
          </w14:textFill>
        </w:rPr>
        <w:t>附件9-3</w:t>
      </w:r>
      <w:r>
        <w:rPr>
          <w:rFonts w:hint="eastAsia" w:ascii="宋体" w:hAnsi="宋体"/>
          <w:b/>
          <w:bCs/>
          <w:color w:val="000000" w:themeColor="text1"/>
          <w:szCs w:val="21"/>
          <w14:textFill>
            <w14:solidFill>
              <w14:schemeClr w14:val="tx1"/>
            </w14:solidFill>
          </w14:textFill>
        </w:rPr>
        <w:t>监狱企业证明资料</w:t>
      </w:r>
      <w:bookmarkEnd w:id="193"/>
    </w:p>
    <w:p w14:paraId="30B199B9">
      <w:pPr>
        <w:adjustRightInd w:val="0"/>
        <w:snapToGrid w:val="0"/>
        <w:spacing w:line="360" w:lineRule="auto"/>
        <w:jc w:val="center"/>
        <w:rPr>
          <w:rFonts w:ascii="黑体" w:hAnsi="宋体"/>
          <w:b/>
          <w:color w:val="000000" w:themeColor="text1"/>
          <w:sz w:val="28"/>
          <w:szCs w:val="28"/>
          <w14:textFill>
            <w14:solidFill>
              <w14:schemeClr w14:val="tx1"/>
            </w14:solidFill>
          </w14:textFill>
        </w:rPr>
      </w:pPr>
      <w:r>
        <w:rPr>
          <w:rFonts w:hint="eastAsia" w:ascii="黑体" w:hAnsi="宋体"/>
          <w:b/>
          <w:color w:val="000000" w:themeColor="text1"/>
          <w:sz w:val="28"/>
          <w:szCs w:val="28"/>
          <w14:textFill>
            <w14:solidFill>
              <w14:schemeClr w14:val="tx1"/>
            </w14:solidFill>
          </w14:textFill>
        </w:rPr>
        <w:t>监狱企业证明资料</w:t>
      </w:r>
    </w:p>
    <w:p w14:paraId="470F8927">
      <w:pPr>
        <w:adjustRightInd w:val="0"/>
        <w:snapToGrid w:val="0"/>
        <w:spacing w:line="360" w:lineRule="auto"/>
        <w:jc w:val="center"/>
        <w:rPr>
          <w:rFonts w:ascii="宋体" w:hAnsi="宋体"/>
          <w:b/>
          <w:color w:val="000000" w:themeColor="text1"/>
          <w:spacing w:val="6"/>
          <w:szCs w:val="21"/>
          <w14:textFill>
            <w14:solidFill>
              <w14:schemeClr w14:val="tx1"/>
            </w14:solidFill>
          </w14:textFill>
        </w:rPr>
      </w:pPr>
      <w:r>
        <w:rPr>
          <w:rFonts w:hint="eastAsia" w:ascii="宋体" w:hAnsi="宋体"/>
          <w:b/>
          <w:color w:val="000000" w:themeColor="text1"/>
          <w:spacing w:val="6"/>
          <w:szCs w:val="21"/>
          <w14:textFill>
            <w14:solidFill>
              <w14:schemeClr w14:val="tx1"/>
            </w14:solidFill>
          </w14:textFill>
        </w:rPr>
        <w:t>(不符合政策要求的无需提供)</w:t>
      </w:r>
    </w:p>
    <w:p w14:paraId="507A83B4">
      <w:pPr>
        <w:adjustRightInd w:val="0"/>
        <w:snapToGrid w:val="0"/>
        <w:spacing w:line="360" w:lineRule="auto"/>
        <w:rPr>
          <w:rFonts w:ascii="宋体" w:hAnsi="宋体"/>
          <w:color w:val="000000" w:themeColor="text1"/>
          <w:szCs w:val="21"/>
          <w14:textFill>
            <w14:solidFill>
              <w14:schemeClr w14:val="tx1"/>
            </w14:solidFill>
          </w14:textFill>
        </w:rPr>
      </w:pPr>
    </w:p>
    <w:p w14:paraId="73BA84EB">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eastAsia="宋体"/>
          <w:b w:val="0"/>
          <w:bCs/>
          <w:color w:val="000000" w:themeColor="text1"/>
          <w:szCs w:val="21"/>
          <w14:textFill>
            <w14:solidFill>
              <w14:schemeClr w14:val="tx1"/>
            </w14:solidFill>
          </w14:textFill>
        </w:rPr>
        <w:t>注</w:t>
      </w:r>
      <w:r>
        <w:rPr>
          <w:rFonts w:hint="eastAsia" w:ascii="宋体" w:hAnsi="宋体" w:cs="宋体"/>
          <w:b w:val="0"/>
          <w:bCs/>
          <w:color w:val="000000" w:themeColor="text1"/>
          <w:spacing w:val="6"/>
          <w:kern w:val="0"/>
          <w:szCs w:val="21"/>
          <w14:textFill>
            <w14:solidFill>
              <w14:schemeClr w14:val="tx1"/>
            </w14:solidFill>
          </w14:textFill>
        </w:rPr>
        <w:t>：</w:t>
      </w:r>
      <w:r>
        <w:rPr>
          <w:rFonts w:hint="eastAsia" w:ascii="宋体" w:hAnsi="宋体"/>
          <w:b w:val="0"/>
          <w:bCs/>
          <w:color w:val="000000" w:themeColor="text1"/>
          <w:szCs w:val="21"/>
          <w14:textFill>
            <w14:solidFill>
              <w14:schemeClr w14:val="tx1"/>
            </w14:solidFill>
          </w14:textFill>
        </w:rPr>
        <w:t>按</w:t>
      </w:r>
      <w:r>
        <w:rPr>
          <w:rFonts w:hint="eastAsia" w:ascii="宋体" w:hAnsi="宋体"/>
          <w:b w:val="0"/>
          <w:bCs/>
          <w:color w:val="000000" w:themeColor="text1"/>
          <w:spacing w:val="6"/>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财政部 司法部关于政府采购支持监狱企业发展有关问题的通知</w:t>
      </w:r>
      <w:r>
        <w:rPr>
          <w:rFonts w:hint="eastAsia" w:ascii="宋体" w:hAnsi="宋体"/>
          <w:color w:val="000000" w:themeColor="text1"/>
          <w:spacing w:val="6"/>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(财库〔2014〕68号)文件规定提供证明文件（复印件）。</w:t>
      </w:r>
    </w:p>
    <w:p w14:paraId="3454CE6E">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44ECBF7A">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10D29B2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04258E8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334DCFE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6A186269">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47934D52">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4364CD8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4BE89D4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41DEE537">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56E74FEA">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06E3A4F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24E6DAD7">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231D8CD7">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5A925AE7">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5ACA8842">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0A2FA57C">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1FA2F78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3B7EA597">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5F8F41D1">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6509D293">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1AD26E5C">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6DE437EB">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56F4DD6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7F4F5514">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24CCD5B8">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5D52FA56">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14E5EA3C">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3852178F">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p>
    <w:p w14:paraId="33AAFBB4">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94" w:name="_Toc107998055"/>
      <w:bookmarkStart w:id="195" w:name="_Toc7735"/>
      <w:r>
        <w:rPr>
          <w:rFonts w:hint="eastAsia" w:ascii="黑体" w:hAnsi="黑体" w:eastAsia="黑体"/>
          <w:b/>
          <w:bCs/>
          <w:color w:val="000000" w:themeColor="text1"/>
          <w:sz w:val="28"/>
          <w:szCs w:val="28"/>
          <w14:textFill>
            <w14:solidFill>
              <w14:schemeClr w14:val="tx1"/>
            </w14:solidFill>
          </w14:textFill>
        </w:rPr>
        <w:t>十、响应标的符合谈判文件规定的证明文件</w:t>
      </w:r>
      <w:bookmarkEnd w:id="194"/>
      <w:bookmarkEnd w:id="195"/>
    </w:p>
    <w:p w14:paraId="7333453E">
      <w:pPr>
        <w:adjustRightInd w:val="0"/>
        <w:snapToGrid w:val="0"/>
        <w:spacing w:line="360" w:lineRule="auto"/>
        <w:rPr>
          <w:rFonts w:ascii="宋体" w:hAnsi="宋体"/>
          <w:color w:val="000000" w:themeColor="text1"/>
          <w:szCs w:val="21"/>
          <w14:textFill>
            <w14:solidFill>
              <w14:schemeClr w14:val="tx1"/>
            </w14:solidFill>
          </w14:textFill>
        </w:rPr>
      </w:pPr>
    </w:p>
    <w:p w14:paraId="4A8A0FEE">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注：提供第三章规定的证明材料复印件。</w:t>
      </w:r>
    </w:p>
    <w:p w14:paraId="5C142170">
      <w:pPr>
        <w:adjustRightInd w:val="0"/>
        <w:snapToGrid w:val="0"/>
        <w:spacing w:line="360" w:lineRule="auto"/>
        <w:rPr>
          <w:rFonts w:ascii="宋体" w:hAnsi="宋体"/>
          <w:color w:val="000000" w:themeColor="text1"/>
          <w14:textFill>
            <w14:solidFill>
              <w14:schemeClr w14:val="tx1"/>
            </w14:solidFill>
          </w14:textFill>
        </w:rPr>
        <w:sectPr>
          <w:pgSz w:w="11906" w:h="16838"/>
          <w:pgMar w:top="1418" w:right="1418" w:bottom="1134" w:left="1418" w:header="851" w:footer="992" w:gutter="0"/>
          <w:pgNumType w:fmt="decimal"/>
          <w:cols w:space="720" w:num="1"/>
          <w:docGrid w:type="linesAndChars" w:linePitch="312" w:charSpace="0"/>
        </w:sectPr>
      </w:pPr>
    </w:p>
    <w:p w14:paraId="2200856F">
      <w:pPr>
        <w:keepNext/>
        <w:keepLines/>
        <w:spacing w:line="360" w:lineRule="auto"/>
        <w:jc w:val="center"/>
        <w:outlineLvl w:val="1"/>
        <w:rPr>
          <w:rFonts w:ascii="黑体" w:hAnsi="黑体" w:eastAsia="黑体"/>
          <w:b/>
          <w:bCs/>
          <w:color w:val="000000" w:themeColor="text1"/>
          <w:sz w:val="28"/>
          <w:szCs w:val="28"/>
          <w14:textFill>
            <w14:solidFill>
              <w14:schemeClr w14:val="tx1"/>
            </w14:solidFill>
          </w14:textFill>
        </w:rPr>
      </w:pPr>
      <w:bookmarkStart w:id="196" w:name="_Toc107998056"/>
      <w:bookmarkStart w:id="197" w:name="_Toc23637"/>
      <w:r>
        <w:rPr>
          <w:rFonts w:hint="eastAsia" w:ascii="黑体" w:hAnsi="黑体" w:eastAsia="黑体"/>
          <w:b/>
          <w:bCs/>
          <w:color w:val="000000" w:themeColor="text1"/>
          <w:sz w:val="28"/>
          <w:szCs w:val="28"/>
          <w14:textFill>
            <w14:solidFill>
              <w14:schemeClr w14:val="tx1"/>
            </w14:solidFill>
          </w14:textFill>
        </w:rPr>
        <w:t>十一、供应商认为需提供的其他资料</w:t>
      </w:r>
      <w:bookmarkEnd w:id="196"/>
      <w:bookmarkEnd w:id="197"/>
    </w:p>
    <w:p w14:paraId="176A199D">
      <w:pPr>
        <w:adjustRightInd w:val="0"/>
        <w:snapToGrid w:val="0"/>
        <w:spacing w:before="156" w:beforeLines="50" w:line="360" w:lineRule="auto"/>
        <w:rPr>
          <w:rFonts w:ascii="宋体" w:hAnsi="宋体"/>
          <w:color w:val="000000" w:themeColor="text1"/>
          <w14:textFill>
            <w14:solidFill>
              <w14:schemeClr w14:val="tx1"/>
            </w14:solidFill>
          </w14:textFill>
        </w:rPr>
      </w:pPr>
    </w:p>
    <w:p w14:paraId="2CAC7B96">
      <w:pPr>
        <w:adjustRightInd w:val="0"/>
        <w:snapToGrid w:val="0"/>
        <w:spacing w:before="156" w:beforeLines="50" w:line="36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注：供应商认为需提供的其他资料包括：</w:t>
      </w:r>
    </w:p>
    <w:p w14:paraId="187B9992">
      <w:pPr>
        <w:adjustRightInd w:val="0"/>
        <w:snapToGrid w:val="0"/>
        <w:spacing w:before="156" w:beforeLines="50"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谈判文件第三章采购需求要求的其他资料；</w:t>
      </w:r>
    </w:p>
    <w:p w14:paraId="7208EDA2">
      <w:pPr>
        <w:adjustRightInd w:val="0"/>
        <w:snapToGrid w:val="0"/>
        <w:spacing w:before="156" w:beforeLines="50"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2.</w:t>
      </w:r>
      <w:r>
        <w:rPr>
          <w:rFonts w:hint="eastAsia" w:ascii="宋体" w:hAnsi="宋体"/>
          <w:color w:val="000000" w:themeColor="text1"/>
          <w14:textFill>
            <w14:solidFill>
              <w14:schemeClr w14:val="tx1"/>
            </w14:solidFill>
          </w14:textFill>
        </w:rPr>
        <w:t>谈判文件要求的其他相关资料。</w:t>
      </w:r>
    </w:p>
    <w:p w14:paraId="0314D491">
      <w:pPr>
        <w:adjustRightInd w:val="0"/>
        <w:snapToGrid w:val="0"/>
        <w:spacing w:before="156" w:beforeLines="50" w:line="360" w:lineRule="auto"/>
        <w:rPr>
          <w:rFonts w:ascii="宋体" w:hAnsi="宋体"/>
          <w:color w:val="000000" w:themeColor="text1"/>
          <w14:textFill>
            <w14:solidFill>
              <w14:schemeClr w14:val="tx1"/>
            </w14:solidFill>
          </w14:textFill>
        </w:rPr>
        <w:sectPr>
          <w:pgSz w:w="11906" w:h="16838"/>
          <w:pgMar w:top="1418" w:right="1418" w:bottom="1134" w:left="1418" w:header="851" w:footer="992" w:gutter="0"/>
          <w:pgNumType w:fmt="decimal"/>
          <w:cols w:space="720" w:num="1"/>
          <w:docGrid w:type="linesAndChars" w:linePitch="312" w:charSpace="0"/>
        </w:sectPr>
      </w:pPr>
    </w:p>
    <w:p w14:paraId="475B79E8">
      <w:pPr>
        <w:keepNext/>
        <w:keepLines/>
        <w:spacing w:line="360" w:lineRule="auto"/>
        <w:jc w:val="center"/>
        <w:outlineLvl w:val="1"/>
        <w:rPr>
          <w:rFonts w:ascii="宋体" w:hAnsi="宋体"/>
          <w:color w:val="000000" w:themeColor="text1"/>
          <w:szCs w:val="21"/>
          <w14:textFill>
            <w14:solidFill>
              <w14:schemeClr w14:val="tx1"/>
            </w14:solidFill>
          </w14:textFill>
        </w:rPr>
      </w:pPr>
      <w:bookmarkStart w:id="198" w:name="_Toc107998057"/>
      <w:bookmarkStart w:id="199" w:name="_Toc28305"/>
      <w:r>
        <w:rPr>
          <w:rFonts w:hint="eastAsia" w:ascii="Arial" w:hAnsi="Arial"/>
          <w:b/>
          <w:bCs/>
          <w:color w:val="000000" w:themeColor="text1"/>
          <w:sz w:val="32"/>
          <w:szCs w:val="32"/>
          <w14:textFill>
            <w14:solidFill>
              <w14:schemeClr w14:val="tx1"/>
            </w14:solidFill>
          </w14:textFill>
        </w:rPr>
        <w:t>十二、最后报价</w:t>
      </w:r>
      <w:bookmarkEnd w:id="198"/>
      <w:bookmarkEnd w:id="199"/>
    </w:p>
    <w:p w14:paraId="0AC70B9B">
      <w:pPr>
        <w:keepNext/>
        <w:keepLines/>
        <w:adjustRightInd w:val="0"/>
        <w:snapToGrid w:val="0"/>
        <w:spacing w:before="156" w:beforeLines="50" w:line="360" w:lineRule="auto"/>
        <w:outlineLvl w:val="2"/>
        <w:rPr>
          <w:rFonts w:ascii="宋体" w:hAnsi="宋体" w:cs="宋体"/>
          <w:b/>
          <w:color w:val="000000" w:themeColor="text1"/>
          <w:sz w:val="30"/>
          <w:szCs w:val="30"/>
          <w14:textFill>
            <w14:solidFill>
              <w14:schemeClr w14:val="tx1"/>
            </w14:solidFill>
          </w14:textFill>
        </w:rPr>
      </w:pPr>
      <w:bookmarkStart w:id="200" w:name="_Toc107998058"/>
      <w:bookmarkStart w:id="201" w:name="_Toc108015410"/>
      <w:bookmarkStart w:id="202" w:name="_Toc22153"/>
      <w:r>
        <w:rPr>
          <w:rFonts w:hint="eastAsia" w:ascii="宋体" w:hAnsi="宋体"/>
          <w:b/>
          <w:bCs/>
          <w:color w:val="000000" w:themeColor="text1"/>
          <w:szCs w:val="21"/>
          <w14:textFill>
            <w14:solidFill>
              <w14:schemeClr w14:val="tx1"/>
            </w14:solidFill>
          </w14:textFill>
        </w:rPr>
        <w:t>附件</w:t>
      </w:r>
      <w:r>
        <w:rPr>
          <w:rFonts w:ascii="宋体" w:hAnsi="宋体"/>
          <w:b/>
          <w:bCs/>
          <w:color w:val="000000" w:themeColor="text1"/>
          <w:szCs w:val="21"/>
          <w14:textFill>
            <w14:solidFill>
              <w14:schemeClr w14:val="tx1"/>
            </w14:solidFill>
          </w14:textFill>
        </w:rPr>
        <w:t>12</w:t>
      </w:r>
      <w:r>
        <w:rPr>
          <w:rFonts w:hint="eastAsia" w:ascii="宋体" w:hAnsi="宋体"/>
          <w:b/>
          <w:bCs/>
          <w:color w:val="000000" w:themeColor="text1"/>
          <w:szCs w:val="21"/>
          <w14:textFill>
            <w14:solidFill>
              <w14:schemeClr w14:val="tx1"/>
            </w14:solidFill>
          </w14:textFill>
        </w:rPr>
        <w:t>-1 报价表</w:t>
      </w:r>
      <w:bookmarkEnd w:id="200"/>
      <w:bookmarkEnd w:id="201"/>
      <w:r>
        <w:rPr>
          <w:rFonts w:hint="eastAsia" w:ascii="宋体" w:hAnsi="宋体"/>
          <w:b/>
          <w:bCs/>
          <w:color w:val="000000" w:themeColor="text1"/>
          <w:szCs w:val="21"/>
          <w:lang w:val="en-US" w:eastAsia="zh-CN"/>
          <w14:textFill>
            <w14:solidFill>
              <w14:schemeClr w14:val="tx1"/>
            </w14:solidFill>
          </w14:textFill>
        </w:rPr>
        <w:t xml:space="preserve">               </w:t>
      </w:r>
      <w:r>
        <w:rPr>
          <w:rFonts w:hint="eastAsia" w:ascii="宋体" w:hAnsi="宋体" w:cs="宋体"/>
          <w:b/>
          <w:color w:val="000000" w:themeColor="text1"/>
          <w:sz w:val="30"/>
          <w:szCs w:val="30"/>
          <w14:textFill>
            <w14:solidFill>
              <w14:schemeClr w14:val="tx1"/>
            </w14:solidFill>
          </w14:textFill>
        </w:rPr>
        <w:t>报价表（最后报价）</w:t>
      </w:r>
      <w:bookmarkEnd w:id="202"/>
    </w:p>
    <w:p w14:paraId="4842DECE">
      <w:pPr>
        <w:keepNext/>
        <w:keepLines/>
        <w:spacing w:before="260" w:after="260" w:line="416" w:lineRule="auto"/>
        <w:outlineLvl w:val="2"/>
        <w:rPr>
          <w:rFonts w:ascii="仿宋_GB2312" w:hAnsi="宋体" w:eastAsia="仿宋_GB2312"/>
          <w:color w:val="000000" w:themeColor="text1"/>
          <w:sz w:val="24"/>
          <w14:textFill>
            <w14:solidFill>
              <w14:schemeClr w14:val="tx1"/>
            </w14:solidFill>
          </w14:textFill>
        </w:rPr>
      </w:pPr>
      <w:r>
        <w:rPr>
          <w:rFonts w:hint="eastAsia" w:ascii="宋体" w:hAnsi="宋体"/>
          <w:b/>
          <w:bCs/>
          <w:color w:val="000000" w:themeColor="text1"/>
          <w:szCs w:val="21"/>
          <w:lang w:val="en-US" w:eastAsia="zh-CN"/>
          <w14:textFill>
            <w14:solidFill>
              <w14:schemeClr w14:val="tx1"/>
            </w14:solidFill>
          </w14:textFill>
        </w:rPr>
        <w:t xml:space="preserve">   </w:t>
      </w:r>
      <w:r>
        <w:rPr>
          <w:rFonts w:hint="eastAsia" w:ascii="黑体" w:hAnsi="黑体" w:eastAsia="黑体"/>
          <w:b/>
          <w:color w:val="000000" w:themeColor="text1"/>
          <w:sz w:val="28"/>
          <w:szCs w:val="28"/>
          <w14:textFill>
            <w14:solidFill>
              <w14:schemeClr w14:val="tx1"/>
            </w14:solidFill>
          </w14:textFill>
        </w:rPr>
        <w:t>报价表</w:t>
      </w:r>
    </w:p>
    <w:tbl>
      <w:tblPr>
        <w:tblStyle w:val="23"/>
        <w:tblW w:w="843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34"/>
        <w:gridCol w:w="3222"/>
        <w:gridCol w:w="1535"/>
        <w:gridCol w:w="1747"/>
      </w:tblGrid>
      <w:tr w14:paraId="04F5AE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27" w:hRule="atLeast"/>
        </w:trPr>
        <w:tc>
          <w:tcPr>
            <w:tcW w:w="1934" w:type="dxa"/>
            <w:vMerge w:val="restart"/>
            <w:tcBorders>
              <w:tl2br w:val="nil"/>
              <w:tr2bl w:val="nil"/>
            </w:tcBorders>
            <w:noWrap w:val="0"/>
            <w:vAlign w:val="center"/>
          </w:tcPr>
          <w:p w14:paraId="2D974699">
            <w:pPr>
              <w:widowControl/>
              <w:ind w:left="-88" w:leftChars="-42"/>
              <w:jc w:val="center"/>
              <w:rPr>
                <w:rFonts w:hint="eastAsia" w:asciiTheme="minorEastAsia" w:hAnsiTheme="minorEastAsia" w:eastAsiaTheme="minorEastAsia" w:cstheme="minorEastAsia"/>
                <w:color w:val="auto"/>
                <w:sz w:val="21"/>
                <w:szCs w:val="21"/>
              </w:rPr>
            </w:pPr>
            <w:r>
              <w:rPr>
                <w:rFonts w:hint="eastAsia" w:ascii="宋体" w:hAnsi="宋体" w:eastAsia="宋体" w:cs="宋体"/>
                <w:i w:val="0"/>
                <w:iCs w:val="0"/>
                <w:caps w:val="0"/>
                <w:color w:val="000000"/>
                <w:spacing w:val="0"/>
                <w:kern w:val="0"/>
                <w:sz w:val="21"/>
                <w:szCs w:val="21"/>
                <w:lang w:val="en-US" w:eastAsia="zh-CN" w:bidi="ar"/>
              </w:rPr>
              <w:t>采购项目名称</w:t>
            </w:r>
          </w:p>
        </w:tc>
        <w:tc>
          <w:tcPr>
            <w:tcW w:w="3222" w:type="dxa"/>
            <w:vMerge w:val="restart"/>
            <w:tcBorders>
              <w:tl2br w:val="nil"/>
              <w:tr2bl w:val="nil"/>
            </w:tcBorders>
            <w:noWrap w:val="0"/>
            <w:vAlign w:val="center"/>
          </w:tcPr>
          <w:p w14:paraId="603FCE65">
            <w:pPr>
              <w:widowControl/>
              <w:ind w:left="-88" w:leftChars="-42"/>
              <w:jc w:val="center"/>
              <w:rPr>
                <w:rFonts w:hint="eastAsia" w:asciiTheme="minorEastAsia" w:hAnsiTheme="minorEastAsia" w:eastAsiaTheme="minorEastAsia" w:cstheme="minorEastAsia"/>
                <w:color w:val="auto"/>
                <w:sz w:val="21"/>
                <w:szCs w:val="21"/>
              </w:rPr>
            </w:pPr>
          </w:p>
        </w:tc>
        <w:tc>
          <w:tcPr>
            <w:tcW w:w="1535" w:type="dxa"/>
            <w:tcBorders>
              <w:tl2br w:val="nil"/>
              <w:tr2bl w:val="nil"/>
            </w:tcBorders>
            <w:noWrap w:val="0"/>
            <w:vAlign w:val="center"/>
          </w:tcPr>
          <w:p w14:paraId="563EE2CD">
            <w:pPr>
              <w:widowControl/>
              <w:ind w:left="-88" w:leftChars="-42"/>
              <w:jc w:val="center"/>
              <w:rPr>
                <w:rFonts w:hint="eastAsia" w:asciiTheme="minorEastAsia" w:hAnsiTheme="minorEastAsia" w:eastAsiaTheme="minorEastAsia" w:cstheme="minorEastAsia"/>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kern w:val="0"/>
                <w:sz w:val="21"/>
                <w:szCs w:val="21"/>
                <w:lang w:val="en-US" w:eastAsia="zh-CN" w:bidi="ar"/>
              </w:rPr>
              <w:t xml:space="preserve">采购编号 </w:t>
            </w:r>
          </w:p>
        </w:tc>
        <w:tc>
          <w:tcPr>
            <w:tcW w:w="1747" w:type="dxa"/>
            <w:tcBorders>
              <w:tl2br w:val="nil"/>
              <w:tr2bl w:val="nil"/>
            </w:tcBorders>
            <w:noWrap w:val="0"/>
            <w:vAlign w:val="center"/>
          </w:tcPr>
          <w:p w14:paraId="56A8D201">
            <w:pPr>
              <w:widowControl/>
              <w:ind w:left="-88" w:leftChars="-42"/>
              <w:jc w:val="both"/>
              <w:rPr>
                <w:rFonts w:hint="eastAsia" w:asciiTheme="minorEastAsia" w:hAnsiTheme="minorEastAsia" w:eastAsiaTheme="minorEastAsia" w:cstheme="minorEastAsia"/>
                <w:color w:val="auto"/>
                <w:sz w:val="21"/>
                <w:szCs w:val="21"/>
              </w:rPr>
            </w:pPr>
          </w:p>
        </w:tc>
      </w:tr>
      <w:tr w14:paraId="3DC1E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27" w:hRule="atLeast"/>
        </w:trPr>
        <w:tc>
          <w:tcPr>
            <w:tcW w:w="1934" w:type="dxa"/>
            <w:vMerge w:val="continue"/>
            <w:tcBorders>
              <w:tl2br w:val="nil"/>
              <w:tr2bl w:val="nil"/>
            </w:tcBorders>
            <w:noWrap w:val="0"/>
            <w:vAlign w:val="center"/>
          </w:tcPr>
          <w:p w14:paraId="21B31135">
            <w:pPr>
              <w:widowControl/>
              <w:ind w:left="-88" w:leftChars="-42"/>
              <w:jc w:val="center"/>
              <w:rPr>
                <w:rFonts w:hint="eastAsia" w:asciiTheme="minorEastAsia" w:hAnsiTheme="minorEastAsia" w:eastAsiaTheme="minorEastAsia" w:cstheme="minorEastAsia"/>
                <w:color w:val="auto"/>
                <w:sz w:val="21"/>
                <w:szCs w:val="21"/>
              </w:rPr>
            </w:pPr>
          </w:p>
        </w:tc>
        <w:tc>
          <w:tcPr>
            <w:tcW w:w="3222" w:type="dxa"/>
            <w:vMerge w:val="continue"/>
            <w:tcBorders>
              <w:tl2br w:val="nil"/>
              <w:tr2bl w:val="nil"/>
            </w:tcBorders>
            <w:noWrap w:val="0"/>
            <w:vAlign w:val="center"/>
          </w:tcPr>
          <w:p w14:paraId="4C9232DC">
            <w:pPr>
              <w:widowControl/>
              <w:ind w:left="-88" w:leftChars="-42"/>
              <w:jc w:val="center"/>
              <w:rPr>
                <w:rFonts w:hint="eastAsia" w:asciiTheme="minorEastAsia" w:hAnsiTheme="minorEastAsia" w:eastAsiaTheme="minorEastAsia" w:cstheme="minorEastAsia"/>
                <w:color w:val="auto"/>
                <w:sz w:val="21"/>
                <w:szCs w:val="21"/>
              </w:rPr>
            </w:pPr>
          </w:p>
        </w:tc>
        <w:tc>
          <w:tcPr>
            <w:tcW w:w="1535" w:type="dxa"/>
            <w:tcBorders>
              <w:tl2br w:val="nil"/>
              <w:tr2bl w:val="nil"/>
            </w:tcBorders>
            <w:noWrap w:val="0"/>
            <w:vAlign w:val="center"/>
          </w:tcPr>
          <w:p w14:paraId="1573848B">
            <w:pPr>
              <w:widowControl/>
              <w:ind w:left="-88" w:leftChars="-42"/>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i w:val="0"/>
                <w:iCs w:val="0"/>
                <w:caps w:val="0"/>
                <w:color w:val="auto"/>
                <w:spacing w:val="0"/>
                <w:kern w:val="0"/>
                <w:sz w:val="21"/>
                <w:szCs w:val="21"/>
                <w:lang w:val="en-US" w:eastAsia="zh-CN" w:bidi="ar"/>
              </w:rPr>
              <w:t>委托代理编号</w:t>
            </w:r>
          </w:p>
        </w:tc>
        <w:tc>
          <w:tcPr>
            <w:tcW w:w="1747" w:type="dxa"/>
            <w:tcBorders>
              <w:tl2br w:val="nil"/>
              <w:tr2bl w:val="nil"/>
            </w:tcBorders>
            <w:noWrap w:val="0"/>
            <w:vAlign w:val="center"/>
          </w:tcPr>
          <w:p w14:paraId="7C0ED829">
            <w:pPr>
              <w:widowControl/>
              <w:ind w:left="-88" w:leftChars="-42"/>
              <w:jc w:val="both"/>
              <w:rPr>
                <w:rFonts w:hint="eastAsia" w:asciiTheme="minorEastAsia" w:hAnsiTheme="minorEastAsia" w:eastAsiaTheme="minorEastAsia" w:cstheme="minorEastAsia"/>
                <w:color w:val="auto"/>
                <w:sz w:val="21"/>
                <w:szCs w:val="21"/>
              </w:rPr>
            </w:pPr>
          </w:p>
        </w:tc>
      </w:tr>
      <w:tr w14:paraId="40B985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49" w:hRule="atLeast"/>
        </w:trPr>
        <w:tc>
          <w:tcPr>
            <w:tcW w:w="1934" w:type="dxa"/>
            <w:tcBorders>
              <w:tl2br w:val="nil"/>
              <w:tr2bl w:val="nil"/>
            </w:tcBorders>
            <w:noWrap w:val="0"/>
            <w:vAlign w:val="center"/>
          </w:tcPr>
          <w:p w14:paraId="2C6C9445">
            <w:pPr>
              <w:adjustRightInd w:val="0"/>
              <w:snapToGrid w:val="0"/>
              <w:ind w:left="-88" w:leftChars="-42"/>
              <w:jc w:val="center"/>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总报价人民币</w:t>
            </w:r>
          </w:p>
        </w:tc>
        <w:tc>
          <w:tcPr>
            <w:tcW w:w="6504" w:type="dxa"/>
            <w:gridSpan w:val="3"/>
            <w:tcBorders>
              <w:tl2br w:val="nil"/>
              <w:tr2bl w:val="nil"/>
            </w:tcBorders>
            <w:noWrap w:val="0"/>
            <w:vAlign w:val="center"/>
          </w:tcPr>
          <w:p w14:paraId="6A71AD68">
            <w:pPr>
              <w:adjustRightInd w:val="0"/>
              <w:snapToGrid w:val="0"/>
              <w:ind w:left="-88" w:leftChars="-42"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大写：</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元人民币整</w:t>
            </w:r>
          </w:p>
          <w:p w14:paraId="7E55FD89">
            <w:pPr>
              <w:adjustRightInd w:val="0"/>
              <w:snapToGrid w:val="0"/>
              <w:ind w:left="-88" w:leftChars="-42" w:firstLine="105" w:firstLineChars="50"/>
              <w:rPr>
                <w:rFonts w:hint="eastAsia" w:asciiTheme="minorEastAsia" w:hAnsiTheme="minorEastAsia" w:eastAsiaTheme="minorEastAsia" w:cstheme="minorEastAsia"/>
                <w:color w:val="auto"/>
                <w:sz w:val="21"/>
                <w:szCs w:val="21"/>
              </w:rPr>
            </w:pPr>
          </w:p>
          <w:p w14:paraId="1F6C0E46">
            <w:pPr>
              <w:adjustRightInd w:val="0"/>
              <w:snapToGrid w:val="0"/>
              <w:ind w:left="-88" w:leftChars="-42"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小写：</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元人民币整</w:t>
            </w:r>
          </w:p>
          <w:p w14:paraId="13CF245B">
            <w:pPr>
              <w:pStyle w:val="3"/>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（大写金额与小写金额不一致时，以大写金额为准）</w:t>
            </w:r>
          </w:p>
        </w:tc>
      </w:tr>
      <w:tr w14:paraId="16D4E3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934" w:type="dxa"/>
            <w:tcBorders>
              <w:tl2br w:val="nil"/>
              <w:tr2bl w:val="nil"/>
            </w:tcBorders>
            <w:noWrap w:val="0"/>
            <w:vAlign w:val="center"/>
          </w:tcPr>
          <w:p w14:paraId="07D42C32">
            <w:pPr>
              <w:adjustRightInd w:val="0"/>
              <w:snapToGrid w:val="0"/>
              <w:ind w:left="-88" w:leftChars="-42"/>
              <w:jc w:val="center"/>
              <w:rPr>
                <w:rFonts w:hint="eastAsia" w:asciiTheme="minorEastAsia" w:hAnsiTheme="minorEastAsia" w:eastAsiaTheme="minorEastAsia" w:cstheme="minorEastAsia"/>
                <w:b w:val="0"/>
                <w:bCs/>
                <w:color w:val="auto"/>
                <w:kern w:val="2"/>
                <w:sz w:val="21"/>
                <w:szCs w:val="21"/>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工期</w:t>
            </w:r>
          </w:p>
        </w:tc>
        <w:tc>
          <w:tcPr>
            <w:tcW w:w="6504" w:type="dxa"/>
            <w:gridSpan w:val="3"/>
            <w:tcBorders>
              <w:tl2br w:val="nil"/>
              <w:tr2bl w:val="nil"/>
            </w:tcBorders>
            <w:noWrap w:val="0"/>
            <w:vAlign w:val="center"/>
          </w:tcPr>
          <w:p w14:paraId="0461EAD4">
            <w:pPr>
              <w:pStyle w:val="3"/>
              <w:rPr>
                <w:rFonts w:hint="eastAsia" w:asciiTheme="minorEastAsia" w:hAnsiTheme="minorEastAsia" w:eastAsiaTheme="minorEastAsia" w:cstheme="minorEastAsia"/>
                <w:color w:val="auto"/>
                <w:kern w:val="0"/>
                <w:sz w:val="21"/>
                <w:szCs w:val="21"/>
              </w:rPr>
            </w:pPr>
          </w:p>
        </w:tc>
      </w:tr>
      <w:tr w14:paraId="46FFAC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1934" w:type="dxa"/>
            <w:tcBorders>
              <w:tl2br w:val="nil"/>
              <w:tr2bl w:val="nil"/>
            </w:tcBorders>
            <w:noWrap w:val="0"/>
            <w:vAlign w:val="center"/>
          </w:tcPr>
          <w:p w14:paraId="412DF2AD">
            <w:pPr>
              <w:adjustRightInd w:val="0"/>
              <w:snapToGrid w:val="0"/>
              <w:ind w:left="-88" w:leftChars="-42"/>
              <w:jc w:val="center"/>
              <w:rPr>
                <w:rFonts w:hint="eastAsia" w:asciiTheme="minorEastAsia" w:hAnsiTheme="minorEastAsia" w:eastAsiaTheme="minorEastAsia" w:cstheme="minorEastAsia"/>
                <w:b w:val="0"/>
                <w:bCs/>
                <w:color w:val="auto"/>
                <w:kern w:val="2"/>
                <w:sz w:val="21"/>
                <w:szCs w:val="21"/>
                <w:lang w:val="en-US" w:eastAsia="zh-CN" w:bidi="ar-SA"/>
              </w:rPr>
            </w:pPr>
            <w:r>
              <w:rPr>
                <w:rFonts w:hint="eastAsia" w:asciiTheme="minorEastAsia" w:hAnsiTheme="minorEastAsia" w:eastAsiaTheme="minorEastAsia" w:cstheme="minorEastAsia"/>
                <w:b w:val="0"/>
                <w:bCs/>
                <w:color w:val="auto"/>
                <w:sz w:val="21"/>
                <w:szCs w:val="21"/>
                <w:lang w:eastAsia="zh-CN"/>
              </w:rPr>
              <w:t>项目负责人</w:t>
            </w:r>
          </w:p>
        </w:tc>
        <w:tc>
          <w:tcPr>
            <w:tcW w:w="6504" w:type="dxa"/>
            <w:gridSpan w:val="3"/>
            <w:tcBorders>
              <w:tl2br w:val="nil"/>
              <w:tr2bl w:val="nil"/>
            </w:tcBorders>
            <w:noWrap w:val="0"/>
            <w:vAlign w:val="center"/>
          </w:tcPr>
          <w:p w14:paraId="7FAE3F5F">
            <w:pPr>
              <w:pStyle w:val="3"/>
              <w:rPr>
                <w:rFonts w:hint="eastAsia" w:asciiTheme="minorEastAsia" w:hAnsiTheme="minorEastAsia" w:eastAsiaTheme="minorEastAsia" w:cstheme="minorEastAsia"/>
                <w:b w:val="0"/>
                <w:bCs w:val="0"/>
                <w:color w:val="auto"/>
                <w:kern w:val="0"/>
                <w:sz w:val="21"/>
                <w:szCs w:val="21"/>
              </w:rPr>
            </w:pPr>
            <w:r>
              <w:rPr>
                <w:rFonts w:hint="eastAsia" w:asciiTheme="minorEastAsia" w:hAnsiTheme="minorEastAsia" w:eastAsiaTheme="minorEastAsia" w:cstheme="minorEastAsia"/>
                <w:b w:val="0"/>
                <w:bCs w:val="0"/>
                <w:color w:val="auto"/>
                <w:kern w:val="0"/>
                <w:sz w:val="21"/>
                <w:szCs w:val="21"/>
              </w:rPr>
              <w:t>姓名：</w:t>
            </w:r>
          </w:p>
          <w:p w14:paraId="7AA8F370">
            <w:pPr>
              <w:pStyle w:val="3"/>
              <w:rPr>
                <w:rFonts w:hint="eastAsia" w:asciiTheme="minorEastAsia" w:hAnsiTheme="minorEastAsia" w:eastAsiaTheme="minorEastAsia" w:cstheme="minorEastAsia"/>
                <w:b w:val="0"/>
                <w:bCs w:val="0"/>
                <w:color w:val="auto"/>
                <w:kern w:val="0"/>
                <w:sz w:val="21"/>
                <w:szCs w:val="21"/>
              </w:rPr>
            </w:pPr>
            <w:r>
              <w:rPr>
                <w:rFonts w:hint="eastAsia" w:asciiTheme="minorEastAsia" w:hAnsiTheme="minorEastAsia" w:eastAsiaTheme="minorEastAsia" w:cstheme="minorEastAsia"/>
                <w:b w:val="0"/>
                <w:bCs w:val="0"/>
                <w:color w:val="auto"/>
                <w:kern w:val="0"/>
                <w:sz w:val="21"/>
                <w:szCs w:val="21"/>
              </w:rPr>
              <w:t>级别：</w:t>
            </w:r>
          </w:p>
          <w:p w14:paraId="30D96AB7">
            <w:pPr>
              <w:pStyle w:val="3"/>
              <w:rPr>
                <w:rFonts w:hint="eastAsia" w:asciiTheme="minorEastAsia" w:hAnsiTheme="minorEastAsia" w:eastAsiaTheme="minorEastAsia" w:cstheme="minorEastAsia"/>
                <w:b w:val="0"/>
                <w:bCs w:val="0"/>
                <w:color w:val="auto"/>
                <w:kern w:val="0"/>
                <w:sz w:val="21"/>
                <w:szCs w:val="21"/>
              </w:rPr>
            </w:pPr>
            <w:r>
              <w:rPr>
                <w:rFonts w:hint="eastAsia" w:asciiTheme="minorEastAsia" w:hAnsiTheme="minorEastAsia" w:eastAsiaTheme="minorEastAsia" w:cstheme="minorEastAsia"/>
                <w:b w:val="0"/>
                <w:bCs w:val="0"/>
                <w:color w:val="auto"/>
                <w:kern w:val="0"/>
                <w:sz w:val="21"/>
                <w:szCs w:val="21"/>
              </w:rPr>
              <w:t>注册证号：</w:t>
            </w:r>
          </w:p>
          <w:p w14:paraId="5759EC63">
            <w:pPr>
              <w:pStyle w:val="3"/>
              <w:rPr>
                <w:rFonts w:hint="eastAsia" w:asciiTheme="minorEastAsia" w:hAnsiTheme="minorEastAsia" w:eastAsiaTheme="minorEastAsia" w:cstheme="minorEastAsia"/>
                <w:b w:val="0"/>
                <w:bCs w:val="0"/>
                <w:color w:val="auto"/>
                <w:kern w:val="0"/>
                <w:sz w:val="21"/>
                <w:szCs w:val="21"/>
              </w:rPr>
            </w:pPr>
            <w:r>
              <w:rPr>
                <w:rFonts w:hint="eastAsia" w:asciiTheme="minorEastAsia" w:hAnsiTheme="minorEastAsia" w:eastAsiaTheme="minorEastAsia" w:cstheme="minorEastAsia"/>
                <w:b w:val="0"/>
                <w:bCs w:val="0"/>
                <w:color w:val="auto"/>
                <w:kern w:val="0"/>
                <w:sz w:val="21"/>
                <w:szCs w:val="21"/>
              </w:rPr>
              <w:t>B类安全生产考核合格证号：</w:t>
            </w:r>
          </w:p>
          <w:p w14:paraId="11E5BB39">
            <w:pPr>
              <w:pStyle w:val="3"/>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b w:val="0"/>
                <w:bCs w:val="0"/>
                <w:color w:val="auto"/>
                <w:kern w:val="0"/>
                <w:sz w:val="21"/>
                <w:szCs w:val="21"/>
              </w:rPr>
              <w:t>身份证号：</w:t>
            </w:r>
          </w:p>
        </w:tc>
      </w:tr>
      <w:tr w14:paraId="76835A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34" w:type="dxa"/>
            <w:tcBorders>
              <w:tl2br w:val="nil"/>
              <w:tr2bl w:val="nil"/>
            </w:tcBorders>
            <w:noWrap w:val="0"/>
            <w:vAlign w:val="center"/>
          </w:tcPr>
          <w:p w14:paraId="3A319520">
            <w:pPr>
              <w:adjustRightInd w:val="0"/>
              <w:snapToGrid w:val="0"/>
              <w:ind w:left="-88" w:leftChars="-42"/>
              <w:jc w:val="center"/>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kern w:val="0"/>
                <w:sz w:val="21"/>
                <w:szCs w:val="21"/>
              </w:rPr>
              <w:t>其他内容</w:t>
            </w:r>
          </w:p>
        </w:tc>
        <w:tc>
          <w:tcPr>
            <w:tcW w:w="6504" w:type="dxa"/>
            <w:gridSpan w:val="3"/>
            <w:tcBorders>
              <w:tl2br w:val="nil"/>
              <w:tr2bl w:val="nil"/>
            </w:tcBorders>
            <w:noWrap w:val="0"/>
            <w:vAlign w:val="center"/>
          </w:tcPr>
          <w:p w14:paraId="7D1E6EA5">
            <w:pPr>
              <w:pStyle w:val="3"/>
              <w:rPr>
                <w:rFonts w:hint="eastAsia" w:asciiTheme="minorEastAsia" w:hAnsiTheme="minorEastAsia" w:eastAsiaTheme="minorEastAsia" w:cstheme="minorEastAsia"/>
                <w:color w:val="auto"/>
                <w:sz w:val="21"/>
                <w:szCs w:val="21"/>
              </w:rPr>
            </w:pPr>
          </w:p>
        </w:tc>
      </w:tr>
    </w:tbl>
    <w:p w14:paraId="0344CC11">
      <w:pPr>
        <w:adjustRightInd w:val="0"/>
        <w:snapToGrid w:val="0"/>
        <w:spacing w:before="156" w:beforeLines="50" w:line="360" w:lineRule="auto"/>
        <w:rPr>
          <w:rFonts w:hint="default" w:ascii="宋体" w:hAnsi="宋体" w:eastAsia="宋体"/>
          <w:color w:val="FF0000"/>
          <w:szCs w:val="21"/>
          <w:highlight w:val="none"/>
          <w:lang w:val="en-US" w:eastAsia="zh-CN"/>
        </w:rPr>
      </w:pPr>
    </w:p>
    <w:p w14:paraId="3991EFF7">
      <w:pPr>
        <w:adjustRightInd w:val="0"/>
        <w:snapToGrid w:val="0"/>
        <w:spacing w:before="156" w:beforeLines="50" w:line="360" w:lineRule="auto"/>
        <w:rPr>
          <w:rFonts w:hint="eastAsia" w:ascii="宋体" w:hAnsi="宋体"/>
          <w:color w:val="000000" w:themeColor="text1"/>
          <w:szCs w:val="21"/>
          <w:highlight w:val="none"/>
          <w14:textFill>
            <w14:solidFill>
              <w14:schemeClr w14:val="tx1"/>
            </w14:solidFill>
          </w14:textFill>
        </w:rPr>
      </w:pPr>
    </w:p>
    <w:p w14:paraId="2A075748">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14:paraId="342AB67A">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p>
    <w:p w14:paraId="2C9729B9">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11F53D67">
      <w:pPr>
        <w:adjustRightInd w:val="0"/>
        <w:snapToGrid w:val="0"/>
        <w:spacing w:line="360" w:lineRule="auto"/>
        <w:ind w:left="-88" w:leftChars="-42" w:firstLine="525" w:firstLineChars="25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p>
    <w:p w14:paraId="77053FF8">
      <w:pPr>
        <w:adjustRightInd w:val="0"/>
        <w:snapToGrid w:val="0"/>
        <w:spacing w:line="360" w:lineRule="auto"/>
        <w:ind w:left="-88" w:leftChars="-42" w:firstLine="527" w:firstLineChars="250"/>
        <w:rPr>
          <w:rFonts w:hint="eastAsia" w:ascii="宋体" w:hAnsi="宋体" w:eastAsia="宋体"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宋体" w:cs="Times New Roman"/>
          <w:b/>
          <w:bCs/>
          <w:color w:val="000000" w:themeColor="text1"/>
          <w:kern w:val="2"/>
          <w:sz w:val="21"/>
          <w:szCs w:val="21"/>
          <w:lang w:val="en-US" w:eastAsia="zh-CN" w:bidi="ar-SA"/>
          <w14:textFill>
            <w14:solidFill>
              <w14:schemeClr w14:val="tx1"/>
            </w14:solidFill>
          </w14:textFill>
        </w:rPr>
        <w:t>最后报价相关内容和表格不得装订在响应文件中，供应商需单独准备，谈判现场进行最后报价。</w:t>
      </w:r>
    </w:p>
    <w:sectPr>
      <w:footerReference r:id="rId11"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131581A-C91B-49EE-BF58-5F9F3676F714}"/>
  </w:font>
  <w:font w:name="Arial">
    <w:panose1 w:val="020B0604020202020204"/>
    <w:charset w:val="01"/>
    <w:family w:val="swiss"/>
    <w:pitch w:val="default"/>
    <w:sig w:usb0="E0002EFF" w:usb1="C000785B" w:usb2="00000009" w:usb3="00000000" w:csb0="400001FF" w:csb1="FFFF0000"/>
    <w:embedRegular r:id="rId2" w:fontKey="{4E5C4C68-3AC8-4917-BE87-9BCCC4B435FE}"/>
  </w:font>
  <w:font w:name="黑体">
    <w:panose1 w:val="02010609060101010101"/>
    <w:charset w:val="86"/>
    <w:family w:val="auto"/>
    <w:pitch w:val="default"/>
    <w:sig w:usb0="800002BF" w:usb1="38CF7CFA" w:usb2="00000016" w:usb3="00000000" w:csb0="00040001" w:csb1="00000000"/>
    <w:embedRegular r:id="rId3" w:fontKey="{4349474B-7499-4EE7-899E-C7B8D5FC84BB}"/>
  </w:font>
  <w:font w:name="Courier New">
    <w:panose1 w:val="02070309020205020404"/>
    <w:charset w:val="01"/>
    <w:family w:val="modern"/>
    <w:pitch w:val="default"/>
    <w:sig w:usb0="E0002EFF" w:usb1="C0007843" w:usb2="00000009" w:usb3="00000000" w:csb0="400001FF" w:csb1="FFFF0000"/>
    <w:embedRegular r:id="rId4" w:fontKey="{7537F356-8E26-43C9-853E-ADE1E159CE3A}"/>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5" w:fontKey="{F1BAC962-1E7C-45B0-9729-1603E87B0E06}"/>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长城仿宋">
    <w:altName w:val="仿宋"/>
    <w:panose1 w:val="00000000000000000000"/>
    <w:charset w:val="86"/>
    <w:family w:val="modern"/>
    <w:pitch w:val="default"/>
    <w:sig w:usb0="00000000" w:usb1="00000000" w:usb2="00000010" w:usb3="00000000" w:csb0="00040000" w:csb1="00000000"/>
  </w:font>
  <w:font w:name="Microsoft JhengHei UI">
    <w:panose1 w:val="020B0604030504040204"/>
    <w:charset w:val="88"/>
    <w:family w:val="swiss"/>
    <w:pitch w:val="default"/>
    <w:sig w:usb0="000002A7" w:usb1="28CF4400" w:usb2="00000016" w:usb3="00000000" w:csb0="00100009" w:csb1="00000000"/>
  </w:font>
  <w:font w:name="PingFang SC">
    <w:altName w:val="宋体"/>
    <w:panose1 w:val="020B0400000000000000"/>
    <w:charset w:val="86"/>
    <w:family w:val="auto"/>
    <w:pitch w:val="default"/>
    <w:sig w:usb0="00000000" w:usb1="00000000" w:usb2="00000017" w:usb3="00000000" w:csb0="00040001" w:csb1="00000000"/>
  </w:font>
  <w:font w:name="楷体_GB2312">
    <w:panose1 w:val="02010609030101010101"/>
    <w:charset w:val="86"/>
    <w:family w:val="modern"/>
    <w:pitch w:val="default"/>
    <w:sig w:usb0="00000001" w:usb1="080E0000" w:usb2="00000000" w:usb3="00000000" w:csb0="00040000" w:csb1="00000000"/>
    <w:embedRegular r:id="rId6" w:fontKey="{8A44F0CC-197F-42F2-AF06-6D0DAAD3C3B8}"/>
  </w:font>
  <w:font w:name="华文中宋">
    <w:panose1 w:val="02010600040101010101"/>
    <w:charset w:val="86"/>
    <w:family w:val="auto"/>
    <w:pitch w:val="default"/>
    <w:sig w:usb0="00000287" w:usb1="080F0000" w:usb2="00000000" w:usb3="00000000" w:csb0="0004009F" w:csb1="DFD70000"/>
    <w:embedRegular r:id="rId7" w:fontKey="{48E60C0F-96B1-4F58-AED3-60F97BFFA3FA}"/>
  </w:font>
  <w:font w:name="微软雅黑">
    <w:panose1 w:val="020B0503020204020204"/>
    <w:charset w:val="86"/>
    <w:family w:val="auto"/>
    <w:pitch w:val="default"/>
    <w:sig w:usb0="80000287" w:usb1="2ACF3C50" w:usb2="00000016" w:usb3="00000000" w:csb0="0004001F" w:csb1="00000000"/>
    <w:embedRegular r:id="rId8" w:fontKey="{5551EF2A-BB48-4422-9957-1FF6C090B210}"/>
  </w:font>
  <w:font w:name="仿宋_GB2312">
    <w:panose1 w:val="02010609030101010101"/>
    <w:charset w:val="86"/>
    <w:family w:val="modern"/>
    <w:pitch w:val="default"/>
    <w:sig w:usb0="00000001" w:usb1="080E0000" w:usb2="00000000" w:usb3="00000000" w:csb0="00040000" w:csb1="00000000"/>
    <w:embedRegular r:id="rId9" w:fontKey="{085D621F-0279-490C-9806-BF9283DA5DD3}"/>
  </w:font>
  <w:font w:name="华文宋体">
    <w:panose1 w:val="02010600040101010101"/>
    <w:charset w:val="86"/>
    <w:family w:val="auto"/>
    <w:pitch w:val="default"/>
    <w:sig w:usb0="00000287" w:usb1="080F0000" w:usb2="00000000" w:usb3="00000000" w:csb0="0004009F" w:csb1="DFD70000"/>
    <w:embedRegular r:id="rId10" w:fontKey="{27484529-3336-40BE-9118-D9B311E93B0C}"/>
  </w:font>
  <w:font w:name="WPSEMBED2">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2A555">
    <w:pPr>
      <w:pStyle w:val="15"/>
      <w:ind w:left="180" w:right="359" w:rightChars="171" w:hanging="180" w:hangingChars="100"/>
      <w:jc w:val="right"/>
      <w:rPr>
        <w:rFonts w:eastAsia="楷体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34536">
    <w:pPr>
      <w:pStyle w:val="15"/>
      <w:ind w:left="180" w:right="359" w:rightChars="171" w:hanging="180" w:hangingChars="100"/>
      <w:jc w:val="right"/>
      <w:rPr>
        <w:rFonts w:eastAsia="楷体_GB2312"/>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B3AC08">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0B3AC08">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95E7C">
    <w:pPr>
      <w:pStyle w:val="15"/>
      <w:ind w:left="240" w:right="359" w:rightChars="171" w:hanging="240" w:hangingChars="100"/>
      <w:jc w:val="center"/>
      <w:rPr>
        <w:rFonts w:eastAsia="楷体_GB2312"/>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8DD197">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38DD197">
                    <w:pPr>
                      <w:pStyle w:val="15"/>
                    </w:pPr>
                    <w:r>
                      <w:fldChar w:fldCharType="begin"/>
                    </w:r>
                    <w:r>
                      <w:instrText xml:space="preserve"> PAGE  \* MERGEFORMAT </w:instrText>
                    </w:r>
                    <w:r>
                      <w:fldChar w:fldCharType="separate"/>
                    </w:r>
                    <w:r>
                      <w:t>1</w:t>
                    </w:r>
                    <w:r>
                      <w:fldChar w:fldCharType="end"/>
                    </w:r>
                  </w:p>
                </w:txbxContent>
              </v:textbox>
            </v:shape>
          </w:pict>
        </mc:Fallback>
      </mc:AlternateContent>
    </w:r>
  </w:p>
  <w:p w14:paraId="1A823676">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0623D">
    <w:pPr>
      <w:widowControl w:val="0"/>
      <w:snapToGrid w:val="0"/>
      <w:ind w:right="360"/>
      <w:jc w:val="left"/>
      <w:rPr>
        <w:rFonts w:hint="eastAsia"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C73B42">
                          <w:pPr>
                            <w:pStyle w:val="15"/>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1C73B42">
                    <w:pPr>
                      <w:pStyle w:val="15"/>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7F18B">
    <w:pPr>
      <w:framePr w:wrap="around" w:vAnchor="text" w:hAnchor="margin" w:xAlign="center" w:y="1"/>
      <w:widowControl w:val="0"/>
      <w:snapToGrid w:val="0"/>
      <w:jc w:val="left"/>
      <w:rPr>
        <w:rStyle w:val="27"/>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Style w:val="27"/>
        <w:rFonts w:ascii="Calibri" w:hAnsi="Calibri" w:eastAsia="宋体" w:cs="Times New Roman"/>
        <w:kern w:val="2"/>
        <w:sz w:val="21"/>
        <w:szCs w:val="24"/>
        <w:lang w:val="en-US" w:eastAsia="zh-CN" w:bidi="ar-SA"/>
      </w:rPr>
      <w:instrText xml:space="preserve">PAGE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fldChar w:fldCharType="end"/>
    </w:r>
  </w:p>
  <w:p w14:paraId="27BB857D">
    <w:pPr>
      <w:widowControl w:val="0"/>
      <w:snapToGrid w:val="0"/>
      <w:ind w:right="360"/>
      <w:jc w:val="left"/>
      <w:rPr>
        <w:rFonts w:ascii="Calibri" w:hAnsi="Calibri" w:eastAsia="宋体" w:cs="Times New Roman"/>
        <w:kern w:val="2"/>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AD9B8">
    <w:pPr>
      <w:pStyle w:val="15"/>
      <w:framePr w:wrap="around" w:vAnchor="text" w:hAnchor="margin" w:xAlign="right" w:y="1"/>
      <w:rPr>
        <w:rStyle w:val="27"/>
      </w:rPr>
    </w:pPr>
    <w:r>
      <w:fldChar w:fldCharType="begin"/>
    </w:r>
    <w:r>
      <w:rPr>
        <w:rStyle w:val="27"/>
      </w:rPr>
      <w:instrText xml:space="preserve">PAGE  </w:instrText>
    </w:r>
    <w:r>
      <w:fldChar w:fldCharType="end"/>
    </w:r>
  </w:p>
  <w:p w14:paraId="1EAFBEF4">
    <w:pPr>
      <w:pStyle w:val="15"/>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612B7">
    <w:pPr>
      <w:pStyle w:val="15"/>
      <w:framePr w:wrap="around" w:vAnchor="text" w:hAnchor="margin" w:xAlign="right" w:y="1"/>
      <w:rPr>
        <w:rStyle w:val="27"/>
      </w:rPr>
    </w:pPr>
    <w:r>
      <w:fldChar w:fldCharType="begin"/>
    </w:r>
    <w:r>
      <w:rPr>
        <w:rStyle w:val="27"/>
      </w:rPr>
      <w:instrText xml:space="preserve">PAGE  </w:instrText>
    </w:r>
    <w:r>
      <w:fldChar w:fldCharType="end"/>
    </w:r>
  </w:p>
  <w:p w14:paraId="03A33255">
    <w:pPr>
      <w:pStyle w:val="15"/>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A6F8B">
    <w:pPr>
      <w:pStyle w:val="15"/>
      <w:ind w:right="36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A91EC1">
                          <w:pPr>
                            <w:pStyle w:val="15"/>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AA91EC1">
                    <w:pPr>
                      <w:pStyle w:val="15"/>
                    </w:pPr>
                    <w:r>
                      <w:fldChar w:fldCharType="begin"/>
                    </w:r>
                    <w:r>
                      <w:instrText xml:space="preserve"> PAGE  \* MERGEFORMAT </w:instrText>
                    </w:r>
                    <w:r>
                      <w:fldChar w:fldCharType="separate"/>
                    </w:r>
                    <w:r>
                      <w:t>70</w:t>
                    </w:r>
                    <w:r>
                      <w:fldChar w:fldCharType="end"/>
                    </w:r>
                  </w:p>
                </w:txbxContent>
              </v:textbox>
            </v:shape>
          </w:pict>
        </mc:Fallback>
      </mc:AlternateContent>
    </w:r>
  </w:p>
  <w:p w14:paraId="1EB129C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BEDF6">
    <w:pPr>
      <w:spacing w:line="480" w:lineRule="exact"/>
      <w:rPr>
        <w:rFonts w:hint="eastAsia" w:ascii="仿宋_GB2312" w:hAnsi="华文中宋" w:eastAsia="仿宋_GB2312" w:cs="Times New Roman"/>
        <w:szCs w:val="21"/>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3C66F6"/>
    <w:multiLevelType w:val="singleLevel"/>
    <w:tmpl w:val="9F3C66F6"/>
    <w:lvl w:ilvl="0" w:tentative="0">
      <w:start w:val="4"/>
      <w:numFmt w:val="chineseCounting"/>
      <w:suff w:val="nothing"/>
      <w:lvlText w:val="%1、"/>
      <w:lvlJc w:val="left"/>
      <w:rPr>
        <w:rFonts w:hint="eastAsia"/>
      </w:rPr>
    </w:lvl>
  </w:abstractNum>
  <w:abstractNum w:abstractNumId="1">
    <w:nsid w:val="00859670"/>
    <w:multiLevelType w:val="singleLevel"/>
    <w:tmpl w:val="00859670"/>
    <w:lvl w:ilvl="0" w:tentative="0">
      <w:start w:val="2"/>
      <w:numFmt w:val="chineseCounting"/>
      <w:suff w:val="space"/>
      <w:lvlText w:val="第%1节"/>
      <w:lvlJc w:val="left"/>
      <w:rPr>
        <w:rFonts w:hint="eastAsia"/>
      </w:rPr>
    </w:lvl>
  </w:abstractNum>
  <w:abstractNum w:abstractNumId="2">
    <w:nsid w:val="2C26D082"/>
    <w:multiLevelType w:val="singleLevel"/>
    <w:tmpl w:val="2C26D082"/>
    <w:lvl w:ilvl="0" w:tentative="0">
      <w:start w:val="2"/>
      <w:numFmt w:val="chineseCounting"/>
      <w:suff w:val="nothing"/>
      <w:lvlText w:val="%1、"/>
      <w:lvlJc w:val="left"/>
      <w:rPr>
        <w:rFonts w:hint="eastAsia"/>
      </w:rPr>
    </w:lvl>
  </w:abstractNum>
  <w:abstractNum w:abstractNumId="3">
    <w:nsid w:val="4CDAE9B9"/>
    <w:multiLevelType w:val="singleLevel"/>
    <w:tmpl w:val="4CDAE9B9"/>
    <w:lvl w:ilvl="0" w:tentative="0">
      <w:start w:val="3"/>
      <w:numFmt w:val="chineseCounting"/>
      <w:suff w:val="space"/>
      <w:lvlText w:val="第%1章"/>
      <w:lvlJc w:val="left"/>
      <w:rPr>
        <w:rFonts w:hint="eastAsia"/>
      </w:rPr>
    </w:lvl>
  </w:abstractNum>
  <w:abstractNum w:abstractNumId="4">
    <w:nsid w:val="61E7FD30"/>
    <w:multiLevelType w:val="singleLevel"/>
    <w:tmpl w:val="61E7FD30"/>
    <w:lvl w:ilvl="0" w:tentative="0">
      <w:start w:val="3"/>
      <w:numFmt w:val="decimal"/>
      <w:suff w:val="nothing"/>
      <w:lvlText w:val="%1、"/>
      <w:lvlJc w:val="left"/>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1MjY1ZmRmNDIxZTMzYjRlMzQwNDViY2Y1MzAyZDYifQ=="/>
  </w:docVars>
  <w:rsids>
    <w:rsidRoot w:val="00000000"/>
    <w:rsid w:val="00005402"/>
    <w:rsid w:val="00501EE6"/>
    <w:rsid w:val="006911F9"/>
    <w:rsid w:val="011078C7"/>
    <w:rsid w:val="012802B5"/>
    <w:rsid w:val="0150124F"/>
    <w:rsid w:val="015E0632"/>
    <w:rsid w:val="01AA1AC9"/>
    <w:rsid w:val="01B813C1"/>
    <w:rsid w:val="01ED5371"/>
    <w:rsid w:val="01F33470"/>
    <w:rsid w:val="02105DD0"/>
    <w:rsid w:val="02112EE9"/>
    <w:rsid w:val="02C72207"/>
    <w:rsid w:val="02EA1636"/>
    <w:rsid w:val="02EE60F6"/>
    <w:rsid w:val="02F81D58"/>
    <w:rsid w:val="03046ADC"/>
    <w:rsid w:val="031D1544"/>
    <w:rsid w:val="03C60D11"/>
    <w:rsid w:val="03C74BB5"/>
    <w:rsid w:val="03EF323C"/>
    <w:rsid w:val="041F054D"/>
    <w:rsid w:val="04255165"/>
    <w:rsid w:val="04267B2D"/>
    <w:rsid w:val="046C750A"/>
    <w:rsid w:val="04704C25"/>
    <w:rsid w:val="04706FFA"/>
    <w:rsid w:val="04B073F7"/>
    <w:rsid w:val="056F1060"/>
    <w:rsid w:val="05AC6AAF"/>
    <w:rsid w:val="05D250F6"/>
    <w:rsid w:val="060956AD"/>
    <w:rsid w:val="06304C93"/>
    <w:rsid w:val="063D40F2"/>
    <w:rsid w:val="06500E91"/>
    <w:rsid w:val="06DE1532"/>
    <w:rsid w:val="06F87908"/>
    <w:rsid w:val="06FD269B"/>
    <w:rsid w:val="07341E6B"/>
    <w:rsid w:val="074402CA"/>
    <w:rsid w:val="074E2EF7"/>
    <w:rsid w:val="07520C39"/>
    <w:rsid w:val="07591FC8"/>
    <w:rsid w:val="07865BBD"/>
    <w:rsid w:val="07AF3D02"/>
    <w:rsid w:val="07E94EFA"/>
    <w:rsid w:val="0823710F"/>
    <w:rsid w:val="08624EAC"/>
    <w:rsid w:val="08730E67"/>
    <w:rsid w:val="089D62B1"/>
    <w:rsid w:val="08A74378"/>
    <w:rsid w:val="08C86647"/>
    <w:rsid w:val="08E1770A"/>
    <w:rsid w:val="090E293E"/>
    <w:rsid w:val="091D7D2C"/>
    <w:rsid w:val="09976DD7"/>
    <w:rsid w:val="099D68D3"/>
    <w:rsid w:val="09C903E4"/>
    <w:rsid w:val="09EC3500"/>
    <w:rsid w:val="0A083831"/>
    <w:rsid w:val="0A256191"/>
    <w:rsid w:val="0A8D0746"/>
    <w:rsid w:val="0ABE4797"/>
    <w:rsid w:val="0AE40B42"/>
    <w:rsid w:val="0B492353"/>
    <w:rsid w:val="0B8C3FEE"/>
    <w:rsid w:val="0B901D30"/>
    <w:rsid w:val="0BA31A63"/>
    <w:rsid w:val="0BB9775D"/>
    <w:rsid w:val="0BE1369A"/>
    <w:rsid w:val="0C0E12CC"/>
    <w:rsid w:val="0C4973E4"/>
    <w:rsid w:val="0C4A01D3"/>
    <w:rsid w:val="0C8D7457"/>
    <w:rsid w:val="0CC42372"/>
    <w:rsid w:val="0CEB5528"/>
    <w:rsid w:val="0CF14A50"/>
    <w:rsid w:val="0CF66F4D"/>
    <w:rsid w:val="0D613984"/>
    <w:rsid w:val="0D6448B0"/>
    <w:rsid w:val="0D8723F7"/>
    <w:rsid w:val="0D9F4266"/>
    <w:rsid w:val="0DB8556E"/>
    <w:rsid w:val="0DC01D87"/>
    <w:rsid w:val="0DF43D70"/>
    <w:rsid w:val="0EAC6E81"/>
    <w:rsid w:val="0EB977F0"/>
    <w:rsid w:val="0ED91C40"/>
    <w:rsid w:val="0EEA1757"/>
    <w:rsid w:val="0F0317A8"/>
    <w:rsid w:val="0FB51518"/>
    <w:rsid w:val="0FE20680"/>
    <w:rsid w:val="10170AA2"/>
    <w:rsid w:val="10403A9F"/>
    <w:rsid w:val="107F4121"/>
    <w:rsid w:val="10C85AC8"/>
    <w:rsid w:val="10F7228C"/>
    <w:rsid w:val="10FF5394"/>
    <w:rsid w:val="110D797F"/>
    <w:rsid w:val="11317B11"/>
    <w:rsid w:val="11692E07"/>
    <w:rsid w:val="1178129C"/>
    <w:rsid w:val="11A31325"/>
    <w:rsid w:val="11AC5D7A"/>
    <w:rsid w:val="11E037E0"/>
    <w:rsid w:val="123B3DF1"/>
    <w:rsid w:val="12495754"/>
    <w:rsid w:val="1255782F"/>
    <w:rsid w:val="12816876"/>
    <w:rsid w:val="128A4A54"/>
    <w:rsid w:val="129440AD"/>
    <w:rsid w:val="12BE3627"/>
    <w:rsid w:val="13217712"/>
    <w:rsid w:val="13653AA2"/>
    <w:rsid w:val="1386216F"/>
    <w:rsid w:val="13DC1FB6"/>
    <w:rsid w:val="14264EBC"/>
    <w:rsid w:val="149503B7"/>
    <w:rsid w:val="14C447F8"/>
    <w:rsid w:val="14D837E6"/>
    <w:rsid w:val="15233C15"/>
    <w:rsid w:val="153320AA"/>
    <w:rsid w:val="156320AC"/>
    <w:rsid w:val="158538B9"/>
    <w:rsid w:val="158D4278"/>
    <w:rsid w:val="15A2439A"/>
    <w:rsid w:val="15A5287C"/>
    <w:rsid w:val="15C76A65"/>
    <w:rsid w:val="1681017B"/>
    <w:rsid w:val="16A21E81"/>
    <w:rsid w:val="16E3365C"/>
    <w:rsid w:val="171001C9"/>
    <w:rsid w:val="171A6B2D"/>
    <w:rsid w:val="17354FF8"/>
    <w:rsid w:val="17855B92"/>
    <w:rsid w:val="17A70B2D"/>
    <w:rsid w:val="17AE2E2B"/>
    <w:rsid w:val="17DC457F"/>
    <w:rsid w:val="18072098"/>
    <w:rsid w:val="1812688E"/>
    <w:rsid w:val="18956BD8"/>
    <w:rsid w:val="18E22F98"/>
    <w:rsid w:val="190B50EC"/>
    <w:rsid w:val="19121FD6"/>
    <w:rsid w:val="19AA6FE3"/>
    <w:rsid w:val="19C07C84"/>
    <w:rsid w:val="1A041EBA"/>
    <w:rsid w:val="1A2F161F"/>
    <w:rsid w:val="1A3B730B"/>
    <w:rsid w:val="1B0033A7"/>
    <w:rsid w:val="1B067919"/>
    <w:rsid w:val="1B261B23"/>
    <w:rsid w:val="1B4C3C3D"/>
    <w:rsid w:val="1BA82A10"/>
    <w:rsid w:val="1BB450C0"/>
    <w:rsid w:val="1BB60F3D"/>
    <w:rsid w:val="1BD87507"/>
    <w:rsid w:val="1C0932B1"/>
    <w:rsid w:val="1CA67828"/>
    <w:rsid w:val="1CE343B6"/>
    <w:rsid w:val="1CF52B8C"/>
    <w:rsid w:val="1D1D71D8"/>
    <w:rsid w:val="1D2910AA"/>
    <w:rsid w:val="1D452102"/>
    <w:rsid w:val="1D5603D9"/>
    <w:rsid w:val="1D655CE4"/>
    <w:rsid w:val="1DDB06DA"/>
    <w:rsid w:val="1E002D45"/>
    <w:rsid w:val="1E961E21"/>
    <w:rsid w:val="1E990AA4"/>
    <w:rsid w:val="1F8E5386"/>
    <w:rsid w:val="1FA90197"/>
    <w:rsid w:val="20450EE3"/>
    <w:rsid w:val="20827A42"/>
    <w:rsid w:val="20857532"/>
    <w:rsid w:val="2089606E"/>
    <w:rsid w:val="20D44015"/>
    <w:rsid w:val="20E44854"/>
    <w:rsid w:val="20EE157B"/>
    <w:rsid w:val="210C169F"/>
    <w:rsid w:val="212E1225"/>
    <w:rsid w:val="214A4B62"/>
    <w:rsid w:val="21662263"/>
    <w:rsid w:val="21933ED0"/>
    <w:rsid w:val="221C0C67"/>
    <w:rsid w:val="222334A6"/>
    <w:rsid w:val="22411646"/>
    <w:rsid w:val="22616928"/>
    <w:rsid w:val="2309269C"/>
    <w:rsid w:val="231C27EC"/>
    <w:rsid w:val="23E95C3F"/>
    <w:rsid w:val="249E6E14"/>
    <w:rsid w:val="24A60655"/>
    <w:rsid w:val="25C12DBA"/>
    <w:rsid w:val="25C24D84"/>
    <w:rsid w:val="25FA2770"/>
    <w:rsid w:val="260521E0"/>
    <w:rsid w:val="26B66697"/>
    <w:rsid w:val="26D74138"/>
    <w:rsid w:val="26E543C0"/>
    <w:rsid w:val="2729330D"/>
    <w:rsid w:val="277D5AD5"/>
    <w:rsid w:val="278422F1"/>
    <w:rsid w:val="280C22E7"/>
    <w:rsid w:val="28C7297B"/>
    <w:rsid w:val="28D8729E"/>
    <w:rsid w:val="28E3573D"/>
    <w:rsid w:val="29695056"/>
    <w:rsid w:val="298962E5"/>
    <w:rsid w:val="29FF484E"/>
    <w:rsid w:val="2A0B4F4C"/>
    <w:rsid w:val="2A495A74"/>
    <w:rsid w:val="2A6C1389"/>
    <w:rsid w:val="2A783D3B"/>
    <w:rsid w:val="2B0A10AB"/>
    <w:rsid w:val="2BB313F7"/>
    <w:rsid w:val="2BB37649"/>
    <w:rsid w:val="2C25495E"/>
    <w:rsid w:val="2C444A61"/>
    <w:rsid w:val="2C8A2821"/>
    <w:rsid w:val="2CA23219"/>
    <w:rsid w:val="2CA4269B"/>
    <w:rsid w:val="2CC573FB"/>
    <w:rsid w:val="2D0F08AF"/>
    <w:rsid w:val="2D2A393B"/>
    <w:rsid w:val="2D6A759C"/>
    <w:rsid w:val="2D855015"/>
    <w:rsid w:val="2D8E54E4"/>
    <w:rsid w:val="2E053A60"/>
    <w:rsid w:val="2E2F0CC0"/>
    <w:rsid w:val="2E56250D"/>
    <w:rsid w:val="2E5D5EBC"/>
    <w:rsid w:val="2E8E7F59"/>
    <w:rsid w:val="2E905A1F"/>
    <w:rsid w:val="2E9D5ECD"/>
    <w:rsid w:val="2EBD433B"/>
    <w:rsid w:val="2ECF7E9C"/>
    <w:rsid w:val="2EED6936"/>
    <w:rsid w:val="2EF52DE8"/>
    <w:rsid w:val="2EFA733D"/>
    <w:rsid w:val="2FA774C5"/>
    <w:rsid w:val="30006BD5"/>
    <w:rsid w:val="302503E9"/>
    <w:rsid w:val="30964D84"/>
    <w:rsid w:val="30A734F4"/>
    <w:rsid w:val="30C10112"/>
    <w:rsid w:val="30D00FE7"/>
    <w:rsid w:val="313D33E3"/>
    <w:rsid w:val="315F64EE"/>
    <w:rsid w:val="31D36B80"/>
    <w:rsid w:val="31D9148B"/>
    <w:rsid w:val="31DF50A9"/>
    <w:rsid w:val="31E3055C"/>
    <w:rsid w:val="322272D6"/>
    <w:rsid w:val="324F5F47"/>
    <w:rsid w:val="32582CF8"/>
    <w:rsid w:val="325925CC"/>
    <w:rsid w:val="328C29A2"/>
    <w:rsid w:val="32AA2E28"/>
    <w:rsid w:val="339C12A4"/>
    <w:rsid w:val="33A1247D"/>
    <w:rsid w:val="33A3433E"/>
    <w:rsid w:val="33CB12A8"/>
    <w:rsid w:val="33E67E90"/>
    <w:rsid w:val="34012F1B"/>
    <w:rsid w:val="340D3458"/>
    <w:rsid w:val="35040F15"/>
    <w:rsid w:val="350C1B78"/>
    <w:rsid w:val="35267CBE"/>
    <w:rsid w:val="35727C2D"/>
    <w:rsid w:val="3647730B"/>
    <w:rsid w:val="36794FEB"/>
    <w:rsid w:val="36AF19C0"/>
    <w:rsid w:val="36F856D7"/>
    <w:rsid w:val="37500442"/>
    <w:rsid w:val="376D0FF4"/>
    <w:rsid w:val="379A753A"/>
    <w:rsid w:val="37A442EA"/>
    <w:rsid w:val="38213BBA"/>
    <w:rsid w:val="38453A52"/>
    <w:rsid w:val="384C229E"/>
    <w:rsid w:val="38F81BBA"/>
    <w:rsid w:val="395F4A2E"/>
    <w:rsid w:val="39B43358"/>
    <w:rsid w:val="39CF7831"/>
    <w:rsid w:val="3A49130D"/>
    <w:rsid w:val="3A4D4046"/>
    <w:rsid w:val="3A673152"/>
    <w:rsid w:val="3A850402"/>
    <w:rsid w:val="3A8F7C6A"/>
    <w:rsid w:val="3B3E1747"/>
    <w:rsid w:val="3B4C7172"/>
    <w:rsid w:val="3B5A3220"/>
    <w:rsid w:val="3B662159"/>
    <w:rsid w:val="3BC1190E"/>
    <w:rsid w:val="3BCF1EB8"/>
    <w:rsid w:val="3BD86C58"/>
    <w:rsid w:val="3C076941"/>
    <w:rsid w:val="3C090BBF"/>
    <w:rsid w:val="3C233B4F"/>
    <w:rsid w:val="3C434787"/>
    <w:rsid w:val="3CA70DF8"/>
    <w:rsid w:val="3CE34271"/>
    <w:rsid w:val="3DB50FFF"/>
    <w:rsid w:val="3DB71719"/>
    <w:rsid w:val="3E0E4BB3"/>
    <w:rsid w:val="3E3D2437"/>
    <w:rsid w:val="3E4F2DCA"/>
    <w:rsid w:val="3E6D08C9"/>
    <w:rsid w:val="3E8C6BFF"/>
    <w:rsid w:val="3E9055C8"/>
    <w:rsid w:val="3EB73453"/>
    <w:rsid w:val="3F3441A5"/>
    <w:rsid w:val="3F590F6A"/>
    <w:rsid w:val="3F632CDC"/>
    <w:rsid w:val="3F925144"/>
    <w:rsid w:val="3FFD2485"/>
    <w:rsid w:val="40752CC7"/>
    <w:rsid w:val="40F167F2"/>
    <w:rsid w:val="412344D1"/>
    <w:rsid w:val="417B2CA3"/>
    <w:rsid w:val="41961147"/>
    <w:rsid w:val="41D224DB"/>
    <w:rsid w:val="42601328"/>
    <w:rsid w:val="4262727B"/>
    <w:rsid w:val="426A3421"/>
    <w:rsid w:val="42710093"/>
    <w:rsid w:val="429B2C49"/>
    <w:rsid w:val="431C126D"/>
    <w:rsid w:val="43B458B4"/>
    <w:rsid w:val="447D65EE"/>
    <w:rsid w:val="45034D45"/>
    <w:rsid w:val="45636939"/>
    <w:rsid w:val="45AD2F03"/>
    <w:rsid w:val="45F91CA4"/>
    <w:rsid w:val="467A78CB"/>
    <w:rsid w:val="46955E71"/>
    <w:rsid w:val="46A0180D"/>
    <w:rsid w:val="46DB13AA"/>
    <w:rsid w:val="46EB3CE3"/>
    <w:rsid w:val="47093532"/>
    <w:rsid w:val="470E36B2"/>
    <w:rsid w:val="4710374A"/>
    <w:rsid w:val="474D674C"/>
    <w:rsid w:val="47725883"/>
    <w:rsid w:val="4797628E"/>
    <w:rsid w:val="47B0575E"/>
    <w:rsid w:val="47BC567F"/>
    <w:rsid w:val="48391715"/>
    <w:rsid w:val="48965F2D"/>
    <w:rsid w:val="489D725F"/>
    <w:rsid w:val="49843D89"/>
    <w:rsid w:val="499D0990"/>
    <w:rsid w:val="4A45195C"/>
    <w:rsid w:val="4A5E6259"/>
    <w:rsid w:val="4ABC4EF1"/>
    <w:rsid w:val="4AC05487"/>
    <w:rsid w:val="4B1530DD"/>
    <w:rsid w:val="4B527A7B"/>
    <w:rsid w:val="4B68369B"/>
    <w:rsid w:val="4B69585C"/>
    <w:rsid w:val="4B83273C"/>
    <w:rsid w:val="4B904E59"/>
    <w:rsid w:val="4BF70A34"/>
    <w:rsid w:val="4C0669B0"/>
    <w:rsid w:val="4C211F55"/>
    <w:rsid w:val="4C303F46"/>
    <w:rsid w:val="4C5639AD"/>
    <w:rsid w:val="4C5B0FC3"/>
    <w:rsid w:val="4C7E1178"/>
    <w:rsid w:val="4CC0176E"/>
    <w:rsid w:val="4CC21042"/>
    <w:rsid w:val="4D2D1F0F"/>
    <w:rsid w:val="4DB73C40"/>
    <w:rsid w:val="4DBA1D1D"/>
    <w:rsid w:val="4DE4419E"/>
    <w:rsid w:val="4E025A20"/>
    <w:rsid w:val="4E060405"/>
    <w:rsid w:val="4E4A5793"/>
    <w:rsid w:val="4E8D57A6"/>
    <w:rsid w:val="4E9C3838"/>
    <w:rsid w:val="4EC76DE4"/>
    <w:rsid w:val="4EF474AD"/>
    <w:rsid w:val="4F24140A"/>
    <w:rsid w:val="4F9B5C9E"/>
    <w:rsid w:val="4FA113E3"/>
    <w:rsid w:val="4FB07878"/>
    <w:rsid w:val="4FB44EF3"/>
    <w:rsid w:val="4FD94E3D"/>
    <w:rsid w:val="4FE37C4D"/>
    <w:rsid w:val="50083210"/>
    <w:rsid w:val="502B4D4B"/>
    <w:rsid w:val="504948A0"/>
    <w:rsid w:val="505A492D"/>
    <w:rsid w:val="512C73D2"/>
    <w:rsid w:val="51616C6F"/>
    <w:rsid w:val="517D7C2E"/>
    <w:rsid w:val="51B00003"/>
    <w:rsid w:val="51F24178"/>
    <w:rsid w:val="520178AB"/>
    <w:rsid w:val="523D116B"/>
    <w:rsid w:val="524B1ADA"/>
    <w:rsid w:val="5252412C"/>
    <w:rsid w:val="52526F52"/>
    <w:rsid w:val="5258562F"/>
    <w:rsid w:val="52B07B8F"/>
    <w:rsid w:val="52EA7E66"/>
    <w:rsid w:val="52F97788"/>
    <w:rsid w:val="53373E0C"/>
    <w:rsid w:val="537A2677"/>
    <w:rsid w:val="5387204E"/>
    <w:rsid w:val="538F119C"/>
    <w:rsid w:val="539A4AC7"/>
    <w:rsid w:val="54483758"/>
    <w:rsid w:val="547A66A6"/>
    <w:rsid w:val="55415E92"/>
    <w:rsid w:val="55555BA8"/>
    <w:rsid w:val="55733821"/>
    <w:rsid w:val="557A42D3"/>
    <w:rsid w:val="55833339"/>
    <w:rsid w:val="55AF1CE0"/>
    <w:rsid w:val="55DB024F"/>
    <w:rsid w:val="5632548A"/>
    <w:rsid w:val="568B4B9B"/>
    <w:rsid w:val="56A874FB"/>
    <w:rsid w:val="56EB7205"/>
    <w:rsid w:val="57064221"/>
    <w:rsid w:val="570A1B9B"/>
    <w:rsid w:val="57743881"/>
    <w:rsid w:val="578E2949"/>
    <w:rsid w:val="57B6543C"/>
    <w:rsid w:val="59367040"/>
    <w:rsid w:val="594554D5"/>
    <w:rsid w:val="599B624C"/>
    <w:rsid w:val="59A85A64"/>
    <w:rsid w:val="59B241EC"/>
    <w:rsid w:val="5A022821"/>
    <w:rsid w:val="5A040EEC"/>
    <w:rsid w:val="5A3322B3"/>
    <w:rsid w:val="5A840A01"/>
    <w:rsid w:val="5A940A52"/>
    <w:rsid w:val="5BDF5346"/>
    <w:rsid w:val="5C4750C0"/>
    <w:rsid w:val="5C6229E9"/>
    <w:rsid w:val="5C677510"/>
    <w:rsid w:val="5C6B20CC"/>
    <w:rsid w:val="5C797243"/>
    <w:rsid w:val="5C7D51C8"/>
    <w:rsid w:val="5C7F0A60"/>
    <w:rsid w:val="5CC76201"/>
    <w:rsid w:val="5D0336DD"/>
    <w:rsid w:val="5D35328A"/>
    <w:rsid w:val="5D4D0BCD"/>
    <w:rsid w:val="5DD46E27"/>
    <w:rsid w:val="5DF94AE0"/>
    <w:rsid w:val="5E1D07CE"/>
    <w:rsid w:val="5E3B5EA7"/>
    <w:rsid w:val="5E562F02"/>
    <w:rsid w:val="5E6C3504"/>
    <w:rsid w:val="5E747306"/>
    <w:rsid w:val="5E8E6FD6"/>
    <w:rsid w:val="5E9F31EA"/>
    <w:rsid w:val="5EBD3D5F"/>
    <w:rsid w:val="5F305402"/>
    <w:rsid w:val="5F3550CE"/>
    <w:rsid w:val="5FA40A7B"/>
    <w:rsid w:val="5FBF1F88"/>
    <w:rsid w:val="5FC66C44"/>
    <w:rsid w:val="5FF5758A"/>
    <w:rsid w:val="60137DF0"/>
    <w:rsid w:val="60172113"/>
    <w:rsid w:val="6017749F"/>
    <w:rsid w:val="60463551"/>
    <w:rsid w:val="605C4EB2"/>
    <w:rsid w:val="60B57714"/>
    <w:rsid w:val="60C211B9"/>
    <w:rsid w:val="60F73851"/>
    <w:rsid w:val="611A09F7"/>
    <w:rsid w:val="61243C22"/>
    <w:rsid w:val="616E7593"/>
    <w:rsid w:val="61AB4343"/>
    <w:rsid w:val="61B2351C"/>
    <w:rsid w:val="622F287E"/>
    <w:rsid w:val="626E6ADA"/>
    <w:rsid w:val="62A82630"/>
    <w:rsid w:val="62B9697D"/>
    <w:rsid w:val="62E4562E"/>
    <w:rsid w:val="62EC4C13"/>
    <w:rsid w:val="636B34B8"/>
    <w:rsid w:val="63702F31"/>
    <w:rsid w:val="637E354B"/>
    <w:rsid w:val="639F37C1"/>
    <w:rsid w:val="63B53257"/>
    <w:rsid w:val="63DE64E0"/>
    <w:rsid w:val="64C37BF6"/>
    <w:rsid w:val="64DB6CED"/>
    <w:rsid w:val="651641C9"/>
    <w:rsid w:val="65580531"/>
    <w:rsid w:val="655C4BBC"/>
    <w:rsid w:val="66836399"/>
    <w:rsid w:val="669532A9"/>
    <w:rsid w:val="66B27F22"/>
    <w:rsid w:val="66F039D9"/>
    <w:rsid w:val="66FE37F6"/>
    <w:rsid w:val="676C2A97"/>
    <w:rsid w:val="679D028A"/>
    <w:rsid w:val="67F23EEC"/>
    <w:rsid w:val="67FF0F45"/>
    <w:rsid w:val="681749D6"/>
    <w:rsid w:val="6832131A"/>
    <w:rsid w:val="684B5F38"/>
    <w:rsid w:val="6850354E"/>
    <w:rsid w:val="68AF3006"/>
    <w:rsid w:val="68D667FD"/>
    <w:rsid w:val="69382960"/>
    <w:rsid w:val="69922F69"/>
    <w:rsid w:val="69F148BD"/>
    <w:rsid w:val="6A3B3D8A"/>
    <w:rsid w:val="6A425B2F"/>
    <w:rsid w:val="6A5F216E"/>
    <w:rsid w:val="6A5F61F1"/>
    <w:rsid w:val="6AAE5A52"/>
    <w:rsid w:val="6AC560F6"/>
    <w:rsid w:val="6AD62431"/>
    <w:rsid w:val="6AF64881"/>
    <w:rsid w:val="6B673089"/>
    <w:rsid w:val="6BDF41D6"/>
    <w:rsid w:val="6C6E0704"/>
    <w:rsid w:val="6C8758C5"/>
    <w:rsid w:val="6CA34594"/>
    <w:rsid w:val="6CE505BA"/>
    <w:rsid w:val="6D2356D5"/>
    <w:rsid w:val="6D765805"/>
    <w:rsid w:val="6DCE5A93"/>
    <w:rsid w:val="6E054DDB"/>
    <w:rsid w:val="6E146DCC"/>
    <w:rsid w:val="6E1E2716"/>
    <w:rsid w:val="6E8951DE"/>
    <w:rsid w:val="6EF07839"/>
    <w:rsid w:val="6F2B0871"/>
    <w:rsid w:val="6F653D83"/>
    <w:rsid w:val="6F9B1553"/>
    <w:rsid w:val="70626515"/>
    <w:rsid w:val="706E4EB9"/>
    <w:rsid w:val="70B76860"/>
    <w:rsid w:val="70C53322"/>
    <w:rsid w:val="70D877B2"/>
    <w:rsid w:val="70DE41EA"/>
    <w:rsid w:val="71184E25"/>
    <w:rsid w:val="711A0B9D"/>
    <w:rsid w:val="71290DE0"/>
    <w:rsid w:val="715A71EC"/>
    <w:rsid w:val="71834994"/>
    <w:rsid w:val="71E0366F"/>
    <w:rsid w:val="720158B9"/>
    <w:rsid w:val="720A1F09"/>
    <w:rsid w:val="7212069A"/>
    <w:rsid w:val="723D07DC"/>
    <w:rsid w:val="72541E8D"/>
    <w:rsid w:val="72936E59"/>
    <w:rsid w:val="72A9188A"/>
    <w:rsid w:val="72C214EC"/>
    <w:rsid w:val="731978D3"/>
    <w:rsid w:val="7355410F"/>
    <w:rsid w:val="73B67E04"/>
    <w:rsid w:val="73D171B2"/>
    <w:rsid w:val="74366D94"/>
    <w:rsid w:val="74474063"/>
    <w:rsid w:val="74924B86"/>
    <w:rsid w:val="74AE1D28"/>
    <w:rsid w:val="75091655"/>
    <w:rsid w:val="75483F2B"/>
    <w:rsid w:val="7578733F"/>
    <w:rsid w:val="758E5BD6"/>
    <w:rsid w:val="75E51219"/>
    <w:rsid w:val="76206EFF"/>
    <w:rsid w:val="76E71522"/>
    <w:rsid w:val="7718792D"/>
    <w:rsid w:val="776823B2"/>
    <w:rsid w:val="77C00624"/>
    <w:rsid w:val="77E81747"/>
    <w:rsid w:val="77EA7C71"/>
    <w:rsid w:val="77FB5DFC"/>
    <w:rsid w:val="78DE0702"/>
    <w:rsid w:val="78EF7575"/>
    <w:rsid w:val="79342270"/>
    <w:rsid w:val="79794D90"/>
    <w:rsid w:val="799D7FA2"/>
    <w:rsid w:val="79A731EA"/>
    <w:rsid w:val="79E9735F"/>
    <w:rsid w:val="7A0D5743"/>
    <w:rsid w:val="7A1C14E2"/>
    <w:rsid w:val="7A2B5BC9"/>
    <w:rsid w:val="7A48390F"/>
    <w:rsid w:val="7A6510DB"/>
    <w:rsid w:val="7AC704D3"/>
    <w:rsid w:val="7B650447"/>
    <w:rsid w:val="7BB46A6D"/>
    <w:rsid w:val="7BDE1658"/>
    <w:rsid w:val="7BFF15B7"/>
    <w:rsid w:val="7CC25F85"/>
    <w:rsid w:val="7CDB7433"/>
    <w:rsid w:val="7CE12540"/>
    <w:rsid w:val="7D1560FC"/>
    <w:rsid w:val="7D2012E9"/>
    <w:rsid w:val="7D561931"/>
    <w:rsid w:val="7DA57391"/>
    <w:rsid w:val="7E464E95"/>
    <w:rsid w:val="7E4963B9"/>
    <w:rsid w:val="7E4F632A"/>
    <w:rsid w:val="7EC068A2"/>
    <w:rsid w:val="7EC64112"/>
    <w:rsid w:val="7F111831"/>
    <w:rsid w:val="7F511C2E"/>
    <w:rsid w:val="7F6000C3"/>
    <w:rsid w:val="7F7C19E8"/>
    <w:rsid w:val="7F8C6A29"/>
    <w:rsid w:val="7FDF36DE"/>
    <w:rsid w:val="7FF07699"/>
    <w:rsid w:val="7FF33743"/>
    <w:rsid w:val="7FFD3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iPriority="8"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val="0"/>
      <w:jc w:val="center"/>
      <w:outlineLvl w:val="0"/>
    </w:pPr>
    <w:rPr>
      <w:b/>
      <w:bCs/>
      <w:kern w:val="0"/>
      <w:sz w:val="24"/>
      <w:szCs w:val="20"/>
    </w:rPr>
  </w:style>
  <w:style w:type="paragraph" w:styleId="3">
    <w:name w:val="heading 2"/>
    <w:basedOn w:val="1"/>
    <w:next w:val="1"/>
    <w:qFormat/>
    <w:uiPriority w:val="0"/>
    <w:pPr>
      <w:keepNext/>
      <w:keepLines/>
      <w:widowControl w:val="0"/>
      <w:spacing w:line="360" w:lineRule="auto"/>
      <w:outlineLvl w:val="1"/>
    </w:pPr>
    <w:rPr>
      <w:rFonts w:ascii="Arial" w:hAnsi="Arial"/>
      <w:b/>
      <w:bCs/>
      <w:kern w:val="0"/>
      <w:sz w:val="24"/>
      <w:szCs w:val="32"/>
    </w:rPr>
  </w:style>
  <w:style w:type="paragraph" w:styleId="4">
    <w:name w:val="heading 3"/>
    <w:basedOn w:val="1"/>
    <w:next w:val="1"/>
    <w:unhideWhenUsed/>
    <w:qFormat/>
    <w:uiPriority w:val="0"/>
    <w:pPr>
      <w:keepNext/>
      <w:keepLines/>
      <w:spacing w:beforeLines="0" w:beforeAutospacing="0" w:afterLines="0" w:afterAutospacing="0" w:line="360" w:lineRule="auto"/>
      <w:ind w:firstLine="0" w:firstLineChars="0"/>
      <w:outlineLvl w:val="2"/>
    </w:pPr>
    <w:rPr>
      <w:rFonts w:ascii="仿宋" w:hAnsi="仿宋" w:cs="仿宋"/>
      <w:b/>
      <w:szCs w:val="24"/>
    </w:rPr>
  </w:style>
  <w:style w:type="paragraph" w:styleId="5">
    <w:name w:val="heading 4"/>
    <w:basedOn w:val="1"/>
    <w:next w:val="1"/>
    <w:qFormat/>
    <w:uiPriority w:val="0"/>
    <w:pPr>
      <w:keepNext/>
      <w:keepLines/>
      <w:widowControl w:val="0"/>
      <w:spacing w:before="280" w:after="290" w:line="376" w:lineRule="auto"/>
      <w:outlineLvl w:val="3"/>
    </w:pPr>
    <w:rPr>
      <w:rFonts w:ascii="Arial" w:hAnsi="Arial" w:eastAsia="黑体"/>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widowControl/>
      <w:ind w:firstLine="420"/>
      <w:jc w:val="left"/>
    </w:pPr>
    <w:rPr>
      <w:kern w:val="0"/>
      <w:sz w:val="20"/>
      <w:szCs w:val="20"/>
    </w:rPr>
  </w:style>
  <w:style w:type="paragraph" w:styleId="7">
    <w:name w:val="index 5"/>
    <w:basedOn w:val="1"/>
    <w:next w:val="1"/>
    <w:qFormat/>
    <w:uiPriority w:val="0"/>
    <w:pPr>
      <w:ind w:left="1680"/>
    </w:pPr>
  </w:style>
  <w:style w:type="paragraph" w:styleId="8">
    <w:name w:val="toa heading"/>
    <w:basedOn w:val="1"/>
    <w:next w:val="1"/>
    <w:qFormat/>
    <w:uiPriority w:val="0"/>
    <w:pPr>
      <w:spacing w:before="120"/>
    </w:pPr>
    <w:rPr>
      <w:rFonts w:ascii="Arial" w:hAnsi="Arial" w:cs="Arial"/>
      <w:sz w:val="24"/>
    </w:rPr>
  </w:style>
  <w:style w:type="paragraph" w:styleId="9">
    <w:name w:val="annotation text"/>
    <w:basedOn w:val="1"/>
    <w:qFormat/>
    <w:uiPriority w:val="0"/>
    <w:pPr>
      <w:jc w:val="left"/>
    </w:pPr>
  </w:style>
  <w:style w:type="paragraph" w:styleId="10">
    <w:name w:val="Body Text"/>
    <w:basedOn w:val="1"/>
    <w:next w:val="1"/>
    <w:qFormat/>
    <w:uiPriority w:val="0"/>
    <w:pPr>
      <w:spacing w:line="500" w:lineRule="exact"/>
      <w:jc w:val="center"/>
    </w:pPr>
  </w:style>
  <w:style w:type="paragraph" w:styleId="11">
    <w:name w:val="Body Text Indent"/>
    <w:basedOn w:val="1"/>
    <w:next w:val="1"/>
    <w:qFormat/>
    <w:uiPriority w:val="0"/>
    <w:pPr>
      <w:spacing w:after="120"/>
      <w:ind w:left="200" w:leftChars="200"/>
    </w:pPr>
  </w:style>
  <w:style w:type="paragraph" w:styleId="12">
    <w:name w:val="toc 3"/>
    <w:basedOn w:val="1"/>
    <w:next w:val="1"/>
    <w:unhideWhenUsed/>
    <w:qFormat/>
    <w:uiPriority w:val="39"/>
    <w:pPr>
      <w:adjustRightInd w:val="0"/>
      <w:snapToGrid w:val="0"/>
      <w:spacing w:line="360" w:lineRule="auto"/>
      <w:ind w:left="400" w:leftChars="400"/>
    </w:pPr>
    <w:rPr>
      <w:rFonts w:eastAsia="宋体"/>
      <w:b/>
    </w:rPr>
  </w:style>
  <w:style w:type="paragraph" w:styleId="13">
    <w:name w:val="Plain Text"/>
    <w:basedOn w:val="1"/>
    <w:qFormat/>
    <w:uiPriority w:val="0"/>
    <w:rPr>
      <w:rFonts w:ascii="宋体" w:cs="Courier New"/>
      <w:szCs w:val="21"/>
      <w:lang w:bidi="ar-SA"/>
    </w:rPr>
  </w:style>
  <w:style w:type="paragraph" w:styleId="14">
    <w:name w:val="Body Text Indent 2"/>
    <w:basedOn w:val="1"/>
    <w:qFormat/>
    <w:uiPriority w:val="99"/>
    <w:pPr>
      <w:spacing w:after="120" w:line="480" w:lineRule="auto"/>
      <w:ind w:left="420" w:leftChars="200"/>
    </w:p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qFormat/>
    <w:uiPriority w:val="39"/>
    <w:pPr>
      <w:spacing w:line="360" w:lineRule="auto"/>
    </w:pPr>
    <w:rPr>
      <w:rFonts w:ascii="宋体" w:hAnsi="宋体" w:eastAsia="宋体"/>
      <w:b/>
      <w:sz w:val="24"/>
      <w:szCs w:val="21"/>
    </w:rPr>
  </w:style>
  <w:style w:type="paragraph" w:styleId="18">
    <w:name w:val="toc 2"/>
    <w:basedOn w:val="1"/>
    <w:next w:val="1"/>
    <w:unhideWhenUsed/>
    <w:qFormat/>
    <w:uiPriority w:val="39"/>
    <w:pPr>
      <w:spacing w:line="360" w:lineRule="auto"/>
      <w:ind w:left="200" w:leftChars="200"/>
    </w:pPr>
    <w:rPr>
      <w:rFonts w:eastAsia="宋体"/>
      <w:b/>
    </w:rPr>
  </w:style>
  <w:style w:type="paragraph" w:styleId="19">
    <w:name w:val="Body Text 2"/>
    <w:basedOn w:val="1"/>
    <w:unhideWhenUsed/>
    <w:qFormat/>
    <w:uiPriority w:val="8"/>
    <w:pPr>
      <w:jc w:val="center"/>
    </w:pPr>
    <w:rPr>
      <w:sz w:val="18"/>
    </w:rPr>
  </w:style>
  <w:style w:type="paragraph" w:styleId="20">
    <w:name w:val="Normal (Web)"/>
    <w:basedOn w:val="1"/>
    <w:qFormat/>
    <w:uiPriority w:val="0"/>
    <w:rPr>
      <w:sz w:val="24"/>
    </w:rPr>
  </w:style>
  <w:style w:type="paragraph" w:styleId="21">
    <w:name w:val="Body Text First Indent"/>
    <w:basedOn w:val="10"/>
    <w:qFormat/>
    <w:uiPriority w:val="0"/>
    <w:pPr>
      <w:autoSpaceDE w:val="0"/>
      <w:autoSpaceDN w:val="0"/>
      <w:adjustRightInd w:val="0"/>
      <w:spacing w:before="72" w:after="48" w:line="306" w:lineRule="exact"/>
      <w:ind w:firstLine="454" w:firstLineChars="200"/>
      <w:jc w:val="left"/>
    </w:pPr>
    <w:rPr>
      <w:sz w:val="24"/>
    </w:rPr>
  </w:style>
  <w:style w:type="paragraph" w:styleId="22">
    <w:name w:val="Body Text First Indent 2"/>
    <w:basedOn w:val="11"/>
    <w:next w:val="1"/>
    <w:qFormat/>
    <w:uiPriority w:val="0"/>
    <w:pPr>
      <w:spacing w:after="120" w:afterLines="0"/>
      <w:ind w:left="420" w:leftChars="200" w:firstLine="482" w:firstLineChars="200"/>
    </w:pPr>
    <w:rPr>
      <w:rFonts w:ascii="Calibri" w:hAnsi="Calibri"/>
      <w:b/>
      <w:sz w:val="24"/>
      <w:szCs w:val="24"/>
    </w:rPr>
  </w:style>
  <w:style w:type="table" w:styleId="24">
    <w:name w:val="Table Grid"/>
    <w:basedOn w:val="2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rPr>
      <w:b/>
    </w:rPr>
  </w:style>
  <w:style w:type="character" w:styleId="27">
    <w:name w:val="page number"/>
    <w:basedOn w:val="25"/>
    <w:qFormat/>
    <w:uiPriority w:val="0"/>
  </w:style>
  <w:style w:type="paragraph" w:customStyle="1" w:styleId="28">
    <w:name w:val="列出段落1"/>
    <w:basedOn w:val="1"/>
    <w:qFormat/>
    <w:uiPriority w:val="0"/>
    <w:pPr>
      <w:ind w:firstLine="420" w:firstLineChars="200"/>
    </w:pPr>
    <w:rPr>
      <w:szCs w:val="21"/>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table" w:customStyle="1" w:styleId="31">
    <w:name w:val="网格型1"/>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2">
    <w:name w:val="List Paragraph"/>
    <w:basedOn w:val="1"/>
    <w:qFormat/>
    <w:uiPriority w:val="34"/>
    <w:pPr>
      <w:ind w:firstLine="420" w:firstLineChars="200"/>
    </w:pPr>
  </w:style>
  <w:style w:type="paragraph" w:customStyle="1" w:styleId="33">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customStyle="1" w:styleId="34">
    <w:name w:val="Table Paragraph"/>
    <w:basedOn w:val="1"/>
    <w:qFormat/>
    <w:uiPriority w:val="1"/>
    <w:pPr>
      <w:spacing w:line="322" w:lineRule="exact"/>
      <w:ind w:left="102"/>
    </w:pPr>
    <w:rPr>
      <w:rFonts w:ascii="Microsoft JhengHei UI" w:hAnsi="Microsoft JhengHei UI" w:eastAsia="Microsoft JhengHei UI" w:cs="Microsoft JhengHei UI"/>
      <w:lang w:val="en-US" w:eastAsia="en-US" w:bidi="en-US"/>
    </w:rPr>
  </w:style>
  <w:style w:type="paragraph" w:customStyle="1" w:styleId="35">
    <w:name w:val="Normal_36"/>
    <w:qFormat/>
    <w:uiPriority w:val="0"/>
    <w:pPr>
      <w:widowControl w:val="0"/>
      <w:jc w:val="both"/>
    </w:pPr>
    <w:rPr>
      <w:rFonts w:ascii="Calibri" w:hAnsi="Calibri" w:eastAsia="宋体" w:cs="Times New Roman"/>
    </w:rPr>
  </w:style>
  <w:style w:type="paragraph" w:customStyle="1" w:styleId="36">
    <w:name w:val="Normal_20"/>
    <w:qFormat/>
    <w:uiPriority w:val="0"/>
    <w:pPr>
      <w:widowControl w:val="0"/>
      <w:jc w:val="both"/>
    </w:pPr>
    <w:rPr>
      <w:rFonts w:ascii="Calibri" w:hAnsi="Calibri" w:eastAsia="宋体" w:cs="Times New Roman"/>
    </w:rPr>
  </w:style>
  <w:style w:type="paragraph" w:customStyle="1" w:styleId="37">
    <w:name w:val="Normal_22_0"/>
    <w:qFormat/>
    <w:uiPriority w:val="0"/>
    <w:rPr>
      <w:rFonts w:ascii="Calibri" w:hAnsi="Calibri" w:eastAsia="宋体" w:cs="宋体"/>
      <w:kern w:val="0"/>
      <w:sz w:val="24"/>
      <w:szCs w:val="24"/>
    </w:rPr>
  </w:style>
  <w:style w:type="paragraph" w:customStyle="1" w:styleId="38">
    <w:name w:val="Normal_23"/>
    <w:qFormat/>
    <w:uiPriority w:val="0"/>
    <w:rPr>
      <w:rFonts w:ascii="Times New Roman" w:hAnsi="Times New Roman" w:eastAsia="宋体" w:cs="Times New Roman"/>
      <w:sz w:val="24"/>
      <w:szCs w:val="24"/>
    </w:rPr>
  </w:style>
  <w:style w:type="paragraph" w:customStyle="1" w:styleId="39">
    <w:name w:val="Normal_0_1"/>
    <w:qFormat/>
    <w:uiPriority w:val="0"/>
    <w:pPr>
      <w:jc w:val="both"/>
    </w:pPr>
    <w:rPr>
      <w:rFonts w:ascii="Calibri" w:hAnsi="Calibri" w:eastAsia="宋体" w:cs="宋体"/>
      <w:szCs w:val="21"/>
    </w:rPr>
  </w:style>
  <w:style w:type="paragraph" w:customStyle="1" w:styleId="40">
    <w:name w:val="正文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font01"/>
    <w:basedOn w:val="25"/>
    <w:qFormat/>
    <w:uiPriority w:val="0"/>
    <w:rPr>
      <w:rFonts w:hint="eastAsia" w:ascii="宋体" w:hAnsi="宋体" w:eastAsia="宋体" w:cs="宋体"/>
      <w:color w:val="000000"/>
      <w:sz w:val="22"/>
      <w:szCs w:val="22"/>
      <w:u w:val="none"/>
    </w:rPr>
  </w:style>
  <w:style w:type="character" w:customStyle="1" w:styleId="42">
    <w:name w:val="font31"/>
    <w:basedOn w:val="25"/>
    <w:qFormat/>
    <w:uiPriority w:val="0"/>
    <w:rPr>
      <w:rFonts w:ascii="PingFang SC" w:hAnsi="PingFang SC" w:eastAsia="PingFang SC" w:cs="PingFang SC"/>
      <w:color w:val="000000"/>
      <w:sz w:val="22"/>
      <w:szCs w:val="22"/>
      <w:u w:val="none"/>
    </w:rPr>
  </w:style>
  <w:style w:type="character" w:customStyle="1" w:styleId="43">
    <w:name w:val="font61"/>
    <w:basedOn w:val="25"/>
    <w:qFormat/>
    <w:uiPriority w:val="0"/>
    <w:rPr>
      <w:rFonts w:hint="eastAsia" w:ascii="仿宋" w:hAnsi="仿宋" w:eastAsia="仿宋" w:cs="仿宋"/>
      <w:color w:val="FF0000"/>
      <w:sz w:val="18"/>
      <w:szCs w:val="18"/>
      <w:u w:val="none"/>
    </w:rPr>
  </w:style>
  <w:style w:type="paragraph" w:customStyle="1" w:styleId="44">
    <w:name w:val="样式2"/>
    <w:qFormat/>
    <w:uiPriority w:val="0"/>
    <w:pPr>
      <w:keepNext/>
      <w:keepLines/>
      <w:widowControl w:val="0"/>
      <w:spacing w:before="260" w:after="260" w:line="415" w:lineRule="auto"/>
      <w:jc w:val="left"/>
      <w:outlineLvl w:val="2"/>
    </w:pPr>
    <w:rPr>
      <w:rFonts w:ascii="Calibri" w:hAnsi="Calibri" w:eastAsia="宋体" w:cs="Times New Roman"/>
      <w:b/>
      <w:bCs/>
      <w:i/>
      <w:color w:val="4F81BD"/>
      <w:kern w:val="0"/>
      <w:sz w:val="32"/>
      <w:szCs w:val="28"/>
      <w:lang w:val="en-US" w:eastAsia="en-US" w:bidi="en-US"/>
    </w:rPr>
  </w:style>
  <w:style w:type="paragraph" w:customStyle="1" w:styleId="45">
    <w:name w:val="Body text|1"/>
    <w:qFormat/>
    <w:uiPriority w:val="0"/>
    <w:pPr>
      <w:widowControl w:val="0"/>
      <w:spacing w:line="480" w:lineRule="auto"/>
      <w:ind w:firstLine="400"/>
      <w:jc w:val="both"/>
    </w:pPr>
    <w:rPr>
      <w:rFonts w:ascii="宋体" w:hAnsi="宋体" w:eastAsia="宋体" w:cs="宋体"/>
      <w:kern w:val="2"/>
      <w:sz w:val="22"/>
      <w:szCs w:val="22"/>
      <w:lang w:val="zh-TW" w:eastAsia="zh-TW" w:bidi="zh-TW"/>
    </w:rPr>
  </w:style>
  <w:style w:type="character" w:customStyle="1" w:styleId="46">
    <w:name w:val="NormalCharacter"/>
    <w:semiHidden/>
    <w:qFormat/>
    <w:uiPriority w:val="0"/>
  </w:style>
  <w:style w:type="paragraph" w:customStyle="1" w:styleId="47">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正文首行缩进 2_0"/>
    <w:qFormat/>
    <w:uiPriority w:val="99"/>
    <w:pPr>
      <w:widowControl w:val="0"/>
      <w:spacing w:before="240" w:line="360" w:lineRule="auto"/>
      <w:ind w:firstLine="420" w:firstLineChars="200"/>
      <w:jc w:val="both"/>
    </w:pPr>
    <w:rPr>
      <w:rFonts w:ascii="宋体" w:hAnsi="宋体" w:eastAsia="宋体" w:cs="Times New Roman"/>
      <w:kern w:val="2"/>
      <w:sz w:val="21"/>
      <w:szCs w:val="20"/>
      <w:lang w:val="en-US" w:eastAsia="zh-CN" w:bidi="ar-SA"/>
    </w:rPr>
  </w:style>
  <w:style w:type="paragraph" w:customStyle="1" w:styleId="49">
    <w:name w:val="正文文本缩进_0"/>
    <w:next w:val="50"/>
    <w:qFormat/>
    <w:uiPriority w:val="0"/>
    <w:pPr>
      <w:widowControl w:val="0"/>
      <w:spacing w:before="240" w:line="360" w:lineRule="auto"/>
      <w:ind w:firstLine="552" w:firstLineChars="263"/>
      <w:jc w:val="both"/>
    </w:pPr>
    <w:rPr>
      <w:rFonts w:ascii="宋体" w:hAnsi="宋体" w:eastAsia="宋体" w:cs="Times New Roman"/>
      <w:kern w:val="2"/>
      <w:sz w:val="21"/>
      <w:szCs w:val="20"/>
      <w:lang w:val="en-US" w:eastAsia="zh-CN" w:bidi="ar-SA"/>
    </w:rPr>
  </w:style>
  <w:style w:type="paragraph" w:customStyle="1" w:styleId="50">
    <w:name w:val="正文文本缩进 2_0"/>
    <w:qFormat/>
    <w:uiPriority w:val="0"/>
    <w:pPr>
      <w:widowControl w:val="0"/>
      <w:spacing w:after="120" w:line="480" w:lineRule="auto"/>
      <w:ind w:left="420" w:leftChars="200"/>
      <w:jc w:val="both"/>
    </w:pPr>
    <w:rPr>
      <w:rFonts w:ascii="Times New Roman" w:hAnsi="Times New Roman" w:eastAsia="宋体" w:cs="Times New Roman"/>
      <w:kern w:val="2"/>
      <w:sz w:val="21"/>
      <w:szCs w:val="24"/>
      <w:lang w:val="en-US" w:eastAsia="zh-CN" w:bidi="ar-SA"/>
    </w:rPr>
  </w:style>
  <w:style w:type="paragraph" w:customStyle="1" w:styleId="51">
    <w:name w:val="样式2_0"/>
    <w:qFormat/>
    <w:uiPriority w:val="0"/>
    <w:pPr>
      <w:keepNext/>
      <w:keepLines/>
      <w:widowControl w:val="0"/>
      <w:spacing w:before="260" w:after="260" w:line="415" w:lineRule="auto"/>
      <w:ind w:firstLine="137" w:firstLineChars="49"/>
      <w:jc w:val="both"/>
      <w:outlineLvl w:val="2"/>
    </w:pPr>
    <w:rPr>
      <w:rFonts w:ascii="黑体" w:hAnsi="宋体" w:eastAsia="黑体" w:cs="Times New Roman"/>
      <w:bCs/>
      <w:i/>
      <w:kern w:val="2"/>
      <w:sz w:val="28"/>
      <w:szCs w:val="28"/>
      <w:lang w:val="en-US" w:eastAsia="zh-CN" w:bidi="ar-SA"/>
    </w:rPr>
  </w:style>
  <w:style w:type="paragraph" w:customStyle="1" w:styleId="52">
    <w:name w:val="标题 3_1"/>
    <w:next w:val="47"/>
    <w:qFormat/>
    <w:uiPriority w:val="0"/>
    <w:pPr>
      <w:keepNext/>
      <w:keepLines/>
      <w:widowControl w:val="0"/>
      <w:spacing w:line="360" w:lineRule="auto"/>
      <w:jc w:val="both"/>
      <w:outlineLvl w:val="2"/>
    </w:pPr>
    <w:rPr>
      <w:rFonts w:ascii="Times New Roman" w:hAnsi="Times New Roman" w:eastAsia="黑体" w:cs="Times New Roman"/>
      <w:b/>
      <w:bCs/>
      <w:kern w:val="2"/>
      <w:sz w:val="21"/>
      <w:szCs w:val="32"/>
      <w:lang w:val="en-US" w:eastAsia="zh-CN" w:bidi="ar-SA"/>
    </w:rPr>
  </w:style>
  <w:style w:type="paragraph" w:customStyle="1" w:styleId="53">
    <w:name w:val="Table Text"/>
    <w:basedOn w:val="1"/>
    <w:semiHidden/>
    <w:qFormat/>
    <w:uiPriority w:val="0"/>
    <w:rPr>
      <w:rFonts w:ascii="宋体" w:hAnsi="宋体" w:eastAsia="宋体" w:cs="宋体"/>
      <w:sz w:val="20"/>
      <w:szCs w:val="20"/>
      <w:lang w:val="en-US" w:eastAsia="en-US" w:bidi="ar-SA"/>
    </w:rPr>
  </w:style>
  <w:style w:type="table" w:customStyle="1" w:styleId="5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74</Pages>
  <Words>25551</Words>
  <Characters>26683</Characters>
  <Lines>0</Lines>
  <Paragraphs>0</Paragraphs>
  <TotalTime>6</TotalTime>
  <ScaleCrop>false</ScaleCrop>
  <LinksUpToDate>false</LinksUpToDate>
  <CharactersWithSpaces>27587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2023-09-18T09:58:00Z</dcterms:created>
  <dc:creator>L</dc:creator>
  <cp:lastModifiedBy>Administrator</cp:lastModifiedBy>
  <cp:lastPrinted>2026-02-09T01:02:00Z</cp:lastPrinted>
  <dcterms:modified xsi:type="dcterms:W3CDTF">2026-06-08T02:19:14Z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008876BF27634498BBEE6550A7C282FD_13</vt:lpwstr>
  </property>
  <property fmtid="{D5CDD505-2E9C-101B-9397-08002B2CF9AE}" pid="4" name="KSOTemplateDocerSaveRecord">
    <vt:lpwstr>eyJoZGlkIjoiZGM4ZDE0Yjc4NTVmN2M3MjVlZWIwODc1MjYyNmMyM2UiLCJ1c2VySWQiOiI0NDkzNDYxNDMifQ==</vt:lpwstr>
  </property>
</Properties>
</file>