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11ECF">
      <w:pPr>
        <w:pStyle w:val="10"/>
        <w:jc w:val="center"/>
        <w:rPr>
          <w:sz w:val="56"/>
          <w:szCs w:val="56"/>
        </w:rPr>
      </w:pPr>
    </w:p>
    <w:p w14:paraId="30A6E98F">
      <w:pPr>
        <w:pStyle w:val="10"/>
        <w:jc w:val="center"/>
        <w:rPr>
          <w:sz w:val="56"/>
          <w:szCs w:val="56"/>
        </w:rPr>
      </w:pPr>
    </w:p>
    <w:p w14:paraId="6FB475D6">
      <w:pPr>
        <w:pStyle w:val="10"/>
        <w:jc w:val="center"/>
        <w:rPr>
          <w:sz w:val="84"/>
          <w:szCs w:val="84"/>
        </w:rPr>
      </w:pPr>
    </w:p>
    <w:p w14:paraId="23A55D54">
      <w:pPr>
        <w:pStyle w:val="10"/>
        <w:jc w:val="center"/>
        <w:rPr>
          <w:sz w:val="84"/>
          <w:szCs w:val="84"/>
        </w:rPr>
      </w:pPr>
    </w:p>
    <w:p w14:paraId="7E402AF1">
      <w:pPr>
        <w:pStyle w:val="10"/>
        <w:jc w:val="center"/>
        <w:rPr>
          <w:sz w:val="72"/>
          <w:szCs w:val="72"/>
        </w:rPr>
      </w:pPr>
      <w:r>
        <w:rPr>
          <w:rFonts w:hint="eastAsia"/>
          <w:sz w:val="72"/>
          <w:szCs w:val="72"/>
        </w:rPr>
        <w:t>2021年度</w:t>
      </w:r>
    </w:p>
    <w:p w14:paraId="0B6ED511">
      <w:pPr>
        <w:pStyle w:val="10"/>
        <w:jc w:val="center"/>
        <w:rPr>
          <w:rFonts w:hint="eastAsia"/>
          <w:sz w:val="72"/>
          <w:szCs w:val="72"/>
        </w:rPr>
      </w:pPr>
      <w:r>
        <w:rPr>
          <w:rFonts w:hint="eastAsia"/>
          <w:sz w:val="72"/>
          <w:szCs w:val="72"/>
        </w:rPr>
        <w:t>怀化市鹤城区委宣传部</w:t>
      </w:r>
    </w:p>
    <w:p w14:paraId="095B3CC7">
      <w:pPr>
        <w:pStyle w:val="10"/>
        <w:jc w:val="center"/>
        <w:rPr>
          <w:sz w:val="72"/>
          <w:szCs w:val="72"/>
        </w:rPr>
      </w:pPr>
      <w:r>
        <w:rPr>
          <w:rFonts w:hint="eastAsia"/>
          <w:sz w:val="72"/>
          <w:szCs w:val="72"/>
        </w:rPr>
        <w:t>部门决算</w:t>
      </w:r>
    </w:p>
    <w:p w14:paraId="3CDEF193">
      <w:pPr>
        <w:pStyle w:val="10"/>
        <w:jc w:val="center"/>
        <w:rPr>
          <w:sz w:val="56"/>
          <w:szCs w:val="56"/>
        </w:rPr>
      </w:pPr>
    </w:p>
    <w:p w14:paraId="21A405C4">
      <w:pPr>
        <w:pStyle w:val="10"/>
        <w:jc w:val="center"/>
        <w:rPr>
          <w:sz w:val="56"/>
          <w:szCs w:val="56"/>
        </w:rPr>
      </w:pPr>
    </w:p>
    <w:p w14:paraId="7A556962">
      <w:pPr>
        <w:pStyle w:val="10"/>
        <w:jc w:val="center"/>
        <w:rPr>
          <w:sz w:val="56"/>
          <w:szCs w:val="56"/>
        </w:rPr>
      </w:pPr>
    </w:p>
    <w:p w14:paraId="4AD70910">
      <w:pPr>
        <w:pStyle w:val="10"/>
        <w:jc w:val="center"/>
        <w:rPr>
          <w:sz w:val="56"/>
          <w:szCs w:val="56"/>
        </w:rPr>
      </w:pPr>
    </w:p>
    <w:p w14:paraId="4901FA6C">
      <w:pPr>
        <w:pStyle w:val="10"/>
        <w:jc w:val="center"/>
        <w:rPr>
          <w:sz w:val="32"/>
          <w:szCs w:val="32"/>
        </w:rPr>
      </w:pPr>
    </w:p>
    <w:p w14:paraId="29D1F5C6">
      <w:pPr>
        <w:pStyle w:val="10"/>
        <w:jc w:val="center"/>
        <w:rPr>
          <w:sz w:val="32"/>
          <w:szCs w:val="32"/>
        </w:rPr>
      </w:pPr>
    </w:p>
    <w:p w14:paraId="2DA3D9F4">
      <w:pPr>
        <w:pStyle w:val="10"/>
        <w:jc w:val="center"/>
        <w:rPr>
          <w:sz w:val="32"/>
          <w:szCs w:val="32"/>
        </w:rPr>
      </w:pPr>
    </w:p>
    <w:p w14:paraId="47C44DD7">
      <w:pPr>
        <w:pStyle w:val="10"/>
        <w:jc w:val="center"/>
        <w:rPr>
          <w:sz w:val="32"/>
          <w:szCs w:val="32"/>
        </w:rPr>
      </w:pPr>
    </w:p>
    <w:p w14:paraId="0480F7D8">
      <w:pPr>
        <w:pStyle w:val="10"/>
        <w:jc w:val="center"/>
        <w:rPr>
          <w:sz w:val="32"/>
          <w:szCs w:val="32"/>
        </w:rPr>
      </w:pPr>
    </w:p>
    <w:p w14:paraId="72309F0D">
      <w:pPr>
        <w:pStyle w:val="10"/>
        <w:spacing w:line="540" w:lineRule="exact"/>
        <w:jc w:val="center"/>
        <w:rPr>
          <w:sz w:val="56"/>
          <w:szCs w:val="56"/>
        </w:rPr>
      </w:pPr>
    </w:p>
    <w:p w14:paraId="27CCEA3B">
      <w:pPr>
        <w:pStyle w:val="10"/>
        <w:spacing w:line="500" w:lineRule="exact"/>
        <w:jc w:val="both"/>
        <w:rPr>
          <w:b/>
          <w:sz w:val="36"/>
          <w:szCs w:val="28"/>
        </w:rPr>
      </w:pPr>
    </w:p>
    <w:p w14:paraId="23720629">
      <w:pPr>
        <w:pStyle w:val="10"/>
        <w:spacing w:line="500" w:lineRule="exact"/>
        <w:jc w:val="center"/>
        <w:rPr>
          <w:b/>
          <w:sz w:val="36"/>
          <w:szCs w:val="28"/>
        </w:rPr>
      </w:pPr>
      <w:r>
        <w:rPr>
          <w:rFonts w:hint="eastAsia"/>
          <w:b/>
          <w:sz w:val="36"/>
          <w:szCs w:val="28"/>
        </w:rPr>
        <w:t>目录</w:t>
      </w:r>
    </w:p>
    <w:p w14:paraId="7065CC81">
      <w:pPr>
        <w:pStyle w:val="10"/>
        <w:spacing w:line="500" w:lineRule="exact"/>
        <w:rPr>
          <w:rFonts w:ascii="仿宋_GB2312" w:hAnsi="仿宋_GB2312" w:cs="仿宋_GB2312"/>
          <w:b/>
          <w:sz w:val="28"/>
          <w:szCs w:val="28"/>
        </w:rPr>
      </w:pPr>
      <w:r>
        <w:rPr>
          <w:rFonts w:hint="eastAsia"/>
          <w:b/>
          <w:sz w:val="28"/>
          <w:szCs w:val="28"/>
        </w:rPr>
        <w:t>第一部分怀化市鹤城区委宣传部</w:t>
      </w:r>
      <w:r>
        <w:rPr>
          <w:rFonts w:hint="eastAsia"/>
          <w:b/>
          <w:sz w:val="28"/>
          <w:szCs w:val="28"/>
          <w:lang w:val="en-US" w:eastAsia="zh-CN"/>
        </w:rPr>
        <w:t>单位</w:t>
      </w:r>
      <w:r>
        <w:rPr>
          <w:rFonts w:hint="eastAsia"/>
          <w:b/>
          <w:sz w:val="28"/>
          <w:szCs w:val="28"/>
        </w:rPr>
        <w:t>概况</w:t>
      </w:r>
    </w:p>
    <w:p w14:paraId="0DD14748">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6BF3CF9F">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14:paraId="7F03DB16">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14:paraId="2A8667D0">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7352C9BC">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2B51BB69">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7B748B77">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7DF5A6DD">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40AC9572">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14:paraId="3DB0DFCD">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452F240D">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1D2E98DC">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6E18432D">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14:paraId="28832F2F">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07686DBB">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3645B73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272B4A66">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1F7263E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2ABEDA1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42616310">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14:paraId="7D4E4298">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77576FA1">
      <w:pPr>
        <w:autoSpaceDE w:val="0"/>
        <w:autoSpaceDN w:val="0"/>
        <w:adjustRightInd w:val="0"/>
        <w:spacing w:line="500" w:lineRule="exact"/>
        <w:ind w:firstLine="700" w:firstLineChars="250"/>
        <w:jc w:val="left"/>
        <w:rPr>
          <w:rFonts w:cs="仿宋_GB2312" w:asciiTheme="minorEastAsia" w:hAnsiTheme="minorEastAsia"/>
          <w:sz w:val="28"/>
          <w:szCs w:val="28"/>
        </w:rPr>
      </w:pPr>
      <w:r>
        <w:rPr>
          <w:rFonts w:hint="eastAsia" w:ascii="仿宋_GB2312" w:hAnsi="仿宋_GB2312" w:cs="仿宋_GB2312"/>
          <w:color w:val="000000"/>
          <w:kern w:val="0"/>
          <w:sz w:val="28"/>
          <w:szCs w:val="28"/>
        </w:rPr>
        <w:t>九、</w:t>
      </w:r>
      <w:r>
        <w:rPr>
          <w:rFonts w:hint="eastAsia" w:cs="仿宋_GB2312" w:asciiTheme="minorEastAsia" w:hAnsiTheme="minorEastAsia"/>
          <w:sz w:val="28"/>
          <w:szCs w:val="28"/>
        </w:rPr>
        <w:t>国有资本经营预算财政拨款收支决算情况</w:t>
      </w:r>
    </w:p>
    <w:p w14:paraId="790A81E6">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14:paraId="6C656BA8">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14:paraId="6C0B4766">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十二、政府采购支出说明</w:t>
      </w:r>
    </w:p>
    <w:p w14:paraId="17691A4A">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14:paraId="6F2736AB">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14:paraId="5E7B8560">
      <w:pPr>
        <w:autoSpaceDE w:val="0"/>
        <w:autoSpaceDN w:val="0"/>
        <w:adjustRightInd w:val="0"/>
        <w:spacing w:line="500" w:lineRule="exact"/>
        <w:ind w:firstLine="135" w:firstLineChars="48"/>
        <w:jc w:val="left"/>
        <w:rPr>
          <w:rFonts w:hint="eastAsia"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r>
        <w:rPr>
          <w:rFonts w:hint="eastAsia" w:ascii="黑体" w:hAnsi="黑体" w:eastAsia="黑体" w:cs="黑体"/>
          <w:b/>
          <w:color w:val="000000"/>
          <w:kern w:val="0"/>
          <w:sz w:val="28"/>
          <w:szCs w:val="28"/>
        </w:rPr>
        <w:t xml:space="preserve">    </w:t>
      </w:r>
    </w:p>
    <w:p w14:paraId="0D393022">
      <w:pPr>
        <w:autoSpaceDE w:val="0"/>
        <w:autoSpaceDN w:val="0"/>
        <w:adjustRightInd w:val="0"/>
        <w:spacing w:line="500" w:lineRule="exact"/>
        <w:ind w:firstLine="135" w:firstLineChars="48"/>
        <w:jc w:val="left"/>
        <w:rPr>
          <w:rFonts w:hint="eastAsia" w:ascii="黑体" w:hAnsi="黑体" w:eastAsia="黑体" w:cs="黑体"/>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14:paraId="1615FB36">
      <w:pPr>
        <w:rPr>
          <w:rFonts w:hint="eastAsia" w:ascii="黑体" w:hAnsi="黑体" w:eastAsia="黑体" w:cs="黑体"/>
          <w:b/>
          <w:color w:val="000000"/>
          <w:kern w:val="0"/>
          <w:sz w:val="28"/>
          <w:szCs w:val="28"/>
        </w:rPr>
      </w:pPr>
      <w:r>
        <w:rPr>
          <w:rFonts w:hint="eastAsia" w:ascii="黑体" w:hAnsi="黑体" w:eastAsia="黑体" w:cs="黑体"/>
          <w:b/>
          <w:color w:val="000000"/>
          <w:kern w:val="0"/>
          <w:sz w:val="28"/>
          <w:szCs w:val="28"/>
        </w:rPr>
        <w:br w:type="page"/>
      </w:r>
    </w:p>
    <w:p w14:paraId="27883036">
      <w:pPr>
        <w:autoSpaceDE w:val="0"/>
        <w:autoSpaceDN w:val="0"/>
        <w:adjustRightInd w:val="0"/>
        <w:spacing w:line="500" w:lineRule="exact"/>
        <w:ind w:firstLine="135" w:firstLineChars="48"/>
        <w:jc w:val="left"/>
        <w:rPr>
          <w:rFonts w:hint="eastAsia" w:ascii="黑体" w:hAnsi="黑体" w:eastAsia="黑体" w:cs="黑体"/>
          <w:b/>
          <w:color w:val="000000"/>
          <w:kern w:val="0"/>
          <w:sz w:val="28"/>
          <w:szCs w:val="28"/>
        </w:rPr>
      </w:pPr>
    </w:p>
    <w:p w14:paraId="3CAE59D3">
      <w:pPr>
        <w:jc w:val="center"/>
        <w:rPr>
          <w:sz w:val="72"/>
          <w:szCs w:val="72"/>
        </w:rPr>
      </w:pPr>
    </w:p>
    <w:p w14:paraId="7A8BCFDD">
      <w:pPr>
        <w:jc w:val="center"/>
        <w:rPr>
          <w:sz w:val="72"/>
          <w:szCs w:val="72"/>
        </w:rPr>
      </w:pPr>
    </w:p>
    <w:p w14:paraId="5588102A">
      <w:pPr>
        <w:jc w:val="center"/>
        <w:rPr>
          <w:sz w:val="72"/>
          <w:szCs w:val="72"/>
        </w:rPr>
      </w:pPr>
    </w:p>
    <w:p w14:paraId="602F87C6">
      <w:pPr>
        <w:jc w:val="center"/>
        <w:rPr>
          <w:sz w:val="72"/>
          <w:szCs w:val="72"/>
        </w:rPr>
      </w:pPr>
    </w:p>
    <w:p w14:paraId="51A6288F">
      <w:pPr>
        <w:rPr>
          <w:sz w:val="72"/>
          <w:szCs w:val="72"/>
        </w:rPr>
      </w:pPr>
    </w:p>
    <w:p w14:paraId="65096E33">
      <w:pPr>
        <w:pStyle w:val="10"/>
        <w:jc w:val="center"/>
        <w:rPr>
          <w:sz w:val="84"/>
          <w:szCs w:val="84"/>
        </w:rPr>
      </w:pPr>
      <w:r>
        <w:rPr>
          <w:rFonts w:hint="eastAsia"/>
          <w:sz w:val="84"/>
          <w:szCs w:val="84"/>
        </w:rPr>
        <w:t>第一部分</w:t>
      </w:r>
    </w:p>
    <w:p w14:paraId="2EDEB1FC">
      <w:pPr>
        <w:pStyle w:val="10"/>
        <w:jc w:val="center"/>
        <w:rPr>
          <w:sz w:val="84"/>
          <w:szCs w:val="84"/>
        </w:rPr>
      </w:pPr>
    </w:p>
    <w:p w14:paraId="642DB2F3">
      <w:pPr>
        <w:pStyle w:val="10"/>
        <w:jc w:val="center"/>
        <w:rPr>
          <w:rFonts w:hint="eastAsia"/>
          <w:sz w:val="84"/>
          <w:szCs w:val="84"/>
        </w:rPr>
      </w:pPr>
      <w:r>
        <w:rPr>
          <w:rFonts w:hint="eastAsia"/>
          <w:sz w:val="84"/>
          <w:szCs w:val="84"/>
        </w:rPr>
        <w:t>怀化市鹤城区委宣传部</w:t>
      </w:r>
    </w:p>
    <w:p w14:paraId="7D699386">
      <w:pPr>
        <w:pStyle w:val="10"/>
        <w:jc w:val="center"/>
        <w:rPr>
          <w:sz w:val="84"/>
          <w:szCs w:val="84"/>
        </w:rPr>
      </w:pPr>
      <w:r>
        <w:rPr>
          <w:rFonts w:hint="eastAsia"/>
          <w:sz w:val="84"/>
          <w:szCs w:val="84"/>
          <w:lang w:val="en-US" w:eastAsia="zh-CN"/>
        </w:rPr>
        <w:t>单位</w:t>
      </w:r>
      <w:r>
        <w:rPr>
          <w:rFonts w:hint="eastAsia"/>
          <w:sz w:val="84"/>
          <w:szCs w:val="84"/>
        </w:rPr>
        <w:t>概况</w:t>
      </w:r>
    </w:p>
    <w:p w14:paraId="03776A36">
      <w:pPr>
        <w:jc w:val="center"/>
        <w:rPr>
          <w:sz w:val="72"/>
          <w:szCs w:val="72"/>
        </w:rPr>
      </w:pPr>
    </w:p>
    <w:p w14:paraId="6002ED8C">
      <w:pPr>
        <w:jc w:val="center"/>
        <w:rPr>
          <w:sz w:val="72"/>
          <w:szCs w:val="72"/>
        </w:rPr>
      </w:pPr>
    </w:p>
    <w:p w14:paraId="26B450E5">
      <w:pPr>
        <w:jc w:val="center"/>
        <w:rPr>
          <w:sz w:val="72"/>
          <w:szCs w:val="72"/>
        </w:rPr>
      </w:pPr>
    </w:p>
    <w:p w14:paraId="523674C2">
      <w:pPr>
        <w:jc w:val="center"/>
        <w:rPr>
          <w:sz w:val="72"/>
          <w:szCs w:val="72"/>
        </w:rPr>
      </w:pPr>
    </w:p>
    <w:p w14:paraId="5F8AE7AE">
      <w:pPr>
        <w:jc w:val="center"/>
        <w:rPr>
          <w:sz w:val="72"/>
          <w:szCs w:val="72"/>
        </w:rPr>
      </w:pPr>
    </w:p>
    <w:p w14:paraId="479DD3BD">
      <w:pPr>
        <w:pStyle w:val="11"/>
        <w:ind w:left="0" w:leftChars="0" w:firstLine="0" w:firstLineChars="0"/>
        <w:jc w:val="left"/>
        <w:rPr>
          <w:rFonts w:ascii="黑体" w:hAnsi="黑体" w:eastAsia="黑体"/>
          <w:sz w:val="32"/>
          <w:szCs w:val="32"/>
        </w:rPr>
      </w:pPr>
    </w:p>
    <w:p w14:paraId="309A18FD">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2D92FEC4">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（一）</w:t>
      </w:r>
      <w:r>
        <w:rPr>
          <w:rFonts w:hint="eastAsia" w:asciiTheme="majorEastAsia" w:hAnsiTheme="majorEastAsia" w:eastAsiaTheme="majorEastAsia" w:cstheme="majorEastAsia"/>
          <w:sz w:val="32"/>
          <w:szCs w:val="32"/>
        </w:rPr>
        <w:t>中共怀化市鹤城区委宣传部是直属鹤城区委领导，主要工作职能有：</w:t>
      </w:r>
    </w:p>
    <w:p w14:paraId="6238199E">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（二）</w:t>
      </w:r>
      <w:r>
        <w:rPr>
          <w:rFonts w:hint="eastAsia" w:asciiTheme="majorEastAsia" w:hAnsiTheme="majorEastAsia" w:eastAsiaTheme="majorEastAsia" w:cstheme="majorEastAsia"/>
          <w:sz w:val="32"/>
          <w:szCs w:val="32"/>
        </w:rPr>
        <w:t>制订全区宣传思想工作规划和措施；</w:t>
      </w:r>
    </w:p>
    <w:p w14:paraId="45169147">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（三）</w:t>
      </w:r>
      <w:r>
        <w:rPr>
          <w:rFonts w:hint="eastAsia" w:asciiTheme="majorEastAsia" w:hAnsiTheme="majorEastAsia" w:eastAsiaTheme="majorEastAsia" w:cstheme="majorEastAsia"/>
          <w:sz w:val="32"/>
          <w:szCs w:val="32"/>
        </w:rPr>
        <w:t>指导全区理论研究、理论学习和理论宣传工作；</w:t>
      </w:r>
    </w:p>
    <w:p w14:paraId="69447924">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（四）</w:t>
      </w:r>
      <w:r>
        <w:rPr>
          <w:rFonts w:hint="eastAsia" w:asciiTheme="majorEastAsia" w:hAnsiTheme="majorEastAsia" w:eastAsiaTheme="majorEastAsia" w:cstheme="majorEastAsia"/>
          <w:sz w:val="32"/>
          <w:szCs w:val="32"/>
        </w:rPr>
        <w:t>引导社会舆论；</w:t>
      </w:r>
    </w:p>
    <w:p w14:paraId="6DB09D40">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（五）</w:t>
      </w:r>
      <w:r>
        <w:rPr>
          <w:rFonts w:hint="eastAsia" w:asciiTheme="majorEastAsia" w:hAnsiTheme="majorEastAsia" w:eastAsiaTheme="majorEastAsia" w:cstheme="majorEastAsia"/>
          <w:sz w:val="32"/>
          <w:szCs w:val="32"/>
        </w:rPr>
        <w:t>指导、协凋全区各新闻单位的工作；</w:t>
      </w:r>
    </w:p>
    <w:p w14:paraId="0F9A8C0E">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（六）</w:t>
      </w:r>
      <w:r>
        <w:rPr>
          <w:rFonts w:hint="eastAsia" w:asciiTheme="majorEastAsia" w:hAnsiTheme="majorEastAsia" w:eastAsiaTheme="majorEastAsia" w:cstheme="majorEastAsia"/>
          <w:sz w:val="32"/>
          <w:szCs w:val="32"/>
        </w:rPr>
        <w:t>部署全局性的思想政治工作；</w:t>
      </w:r>
    </w:p>
    <w:p w14:paraId="5292DA7A">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（七）</w:t>
      </w:r>
      <w:r>
        <w:rPr>
          <w:rFonts w:hint="eastAsia" w:asciiTheme="majorEastAsia" w:hAnsiTheme="majorEastAsia" w:eastAsiaTheme="majorEastAsia" w:cstheme="majorEastAsia"/>
          <w:sz w:val="32"/>
          <w:szCs w:val="32"/>
        </w:rPr>
        <w:t>规划全区群众性的社会主义精神文明建设；</w:t>
      </w:r>
    </w:p>
    <w:p w14:paraId="6A1ECD22">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（八）</w:t>
      </w:r>
      <w:r>
        <w:rPr>
          <w:rFonts w:hint="eastAsia" w:asciiTheme="majorEastAsia" w:hAnsiTheme="majorEastAsia" w:eastAsiaTheme="majorEastAsia" w:cstheme="majorEastAsia"/>
          <w:sz w:val="32"/>
          <w:szCs w:val="32"/>
        </w:rPr>
        <w:t>指导和协调全区对外文化交流工作；</w:t>
      </w:r>
    </w:p>
    <w:p w14:paraId="00015A36">
      <w:pPr>
        <w:numPr>
          <w:ilvl w:val="0"/>
          <w:numId w:val="0"/>
        </w:numPr>
        <w:ind w:left="0" w:leftChars="0" w:firstLine="420" w:firstLineChars="0"/>
        <w:jc w:val="lef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（九）</w:t>
      </w:r>
      <w:r>
        <w:rPr>
          <w:rFonts w:hint="eastAsia" w:asciiTheme="majorEastAsia" w:hAnsiTheme="majorEastAsia" w:eastAsiaTheme="majorEastAsia" w:cstheme="majorEastAsia"/>
          <w:sz w:val="32"/>
          <w:szCs w:val="32"/>
        </w:rPr>
        <w:t>归口管理、统筹协调全区互联网上的新闻宣传工作等。</w:t>
      </w:r>
    </w:p>
    <w:p w14:paraId="0AEF9639">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14:paraId="55C4EFE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asciiTheme="minorEastAsia" w:hAnsiTheme="minorEastAsia"/>
          <w:bCs/>
          <w:kern w:val="0"/>
          <w:sz w:val="32"/>
          <w:szCs w:val="32"/>
        </w:rPr>
      </w:pPr>
      <w:r>
        <w:rPr>
          <w:rFonts w:hint="eastAsia" w:asciiTheme="minorEastAsia" w:hAnsiTheme="minorEastAsia"/>
          <w:bCs/>
          <w:kern w:val="0"/>
          <w:sz w:val="32"/>
          <w:szCs w:val="32"/>
        </w:rPr>
        <w:t>（一）内设机构设置。</w:t>
      </w:r>
      <w:r>
        <w:rPr>
          <w:rFonts w:hint="eastAsia" w:asciiTheme="majorEastAsia" w:hAnsiTheme="majorEastAsia" w:eastAsiaTheme="majorEastAsia" w:cstheme="majorEastAsia"/>
          <w:sz w:val="32"/>
          <w:szCs w:val="32"/>
        </w:rPr>
        <w:t>鹤城区委宣传部</w:t>
      </w:r>
      <w:r>
        <w:rPr>
          <w:rFonts w:hint="eastAsia" w:asciiTheme="minorEastAsia" w:hAnsiTheme="minorEastAsia"/>
          <w:bCs/>
          <w:kern w:val="0"/>
          <w:sz w:val="32"/>
          <w:szCs w:val="32"/>
        </w:rPr>
        <w:t>内设机构包括：</w:t>
      </w:r>
      <w:r>
        <w:rPr>
          <w:rFonts w:hint="eastAsia" w:asciiTheme="majorEastAsia" w:hAnsiTheme="majorEastAsia" w:eastAsiaTheme="majorEastAsia" w:cstheme="majorEastAsia"/>
          <w:sz w:val="32"/>
          <w:szCs w:val="32"/>
        </w:rPr>
        <w:t>办公室、理论室、精神文明建设指导室、文艺文产组、新闻外宣组；下设文化产业服务中心、宣传事业服务中心。</w:t>
      </w:r>
    </w:p>
    <w:p w14:paraId="7AB9DA95">
      <w:pPr>
        <w:keepNext w:val="0"/>
        <w:keepLines w:val="0"/>
        <w:pageBreakBefore w:val="0"/>
        <w:kinsoku/>
        <w:wordWrap/>
        <w:overflowPunct/>
        <w:topLinePunct w:val="0"/>
        <w:autoSpaceDE/>
        <w:autoSpaceDN/>
        <w:bidi w:val="0"/>
        <w:adjustRightInd/>
        <w:snapToGrid/>
        <w:ind w:firstLine="640" w:firstLineChars="200"/>
        <w:jc w:val="left"/>
        <w:textAlignment w:val="auto"/>
        <w:rPr>
          <w:rFonts w:ascii="仿宋_GB2312" w:hAnsiTheme="minorEastAsia"/>
          <w:sz w:val="28"/>
          <w:szCs w:val="32"/>
        </w:rPr>
      </w:pPr>
      <w:r>
        <w:rPr>
          <w:rFonts w:hint="eastAsia" w:asciiTheme="minorEastAsia" w:hAnsiTheme="minorEastAsia"/>
          <w:bCs/>
          <w:kern w:val="0"/>
          <w:sz w:val="32"/>
          <w:szCs w:val="32"/>
        </w:rPr>
        <w:t>（二）决算单位构成。</w:t>
      </w:r>
      <w:r>
        <w:rPr>
          <w:rFonts w:hint="eastAsia" w:ascii="宋体" w:hAnsi="宋体" w:eastAsia="宋体" w:cs="Times New Roman"/>
          <w:bCs/>
          <w:kern w:val="0"/>
          <w:sz w:val="32"/>
          <w:szCs w:val="32"/>
        </w:rPr>
        <w:t>鹤城区委宣传部</w:t>
      </w:r>
      <w:r>
        <w:rPr>
          <w:rFonts w:asciiTheme="minorEastAsia" w:hAnsiTheme="minorEastAsia"/>
          <w:bCs/>
          <w:kern w:val="0"/>
          <w:sz w:val="32"/>
          <w:szCs w:val="32"/>
        </w:rPr>
        <w:t>20</w:t>
      </w:r>
      <w:r>
        <w:rPr>
          <w:rFonts w:hint="eastAsia" w:asciiTheme="minorEastAsia" w:hAnsiTheme="minorEastAsia"/>
          <w:bCs/>
          <w:kern w:val="0"/>
          <w:sz w:val="32"/>
          <w:szCs w:val="32"/>
        </w:rPr>
        <w:t>21年部门决算汇总公开单位构成包括：</w:t>
      </w:r>
      <w:r>
        <w:rPr>
          <w:rFonts w:hint="eastAsia" w:ascii="宋体" w:hAnsi="宋体" w:eastAsia="宋体" w:cs="Times New Roman"/>
          <w:bCs/>
          <w:kern w:val="0"/>
          <w:sz w:val="32"/>
          <w:szCs w:val="32"/>
        </w:rPr>
        <w:t>鹤城区委宣传部</w:t>
      </w:r>
      <w:r>
        <w:rPr>
          <w:rFonts w:hint="eastAsia" w:asciiTheme="minorEastAsia" w:hAnsiTheme="minorEastAsia"/>
          <w:bCs/>
          <w:kern w:val="0"/>
          <w:sz w:val="32"/>
          <w:szCs w:val="32"/>
        </w:rPr>
        <w:t>本级。</w:t>
      </w:r>
    </w:p>
    <w:p w14:paraId="6AB705AB">
      <w:pPr>
        <w:jc w:val="center"/>
        <w:rPr>
          <w:rFonts w:ascii="黑体" w:hAnsi="黑体" w:eastAsia="黑体"/>
          <w:sz w:val="28"/>
          <w:szCs w:val="28"/>
        </w:rPr>
      </w:pPr>
    </w:p>
    <w:p w14:paraId="3BEC8378">
      <w:pPr>
        <w:jc w:val="center"/>
        <w:rPr>
          <w:rFonts w:ascii="黑体" w:hAnsi="黑体" w:eastAsia="黑体"/>
          <w:sz w:val="28"/>
          <w:szCs w:val="28"/>
        </w:rPr>
      </w:pPr>
    </w:p>
    <w:p w14:paraId="4976FB0B">
      <w:pPr>
        <w:jc w:val="center"/>
        <w:rPr>
          <w:rFonts w:ascii="黑体" w:hAnsi="黑体" w:eastAsia="黑体"/>
          <w:sz w:val="28"/>
          <w:szCs w:val="28"/>
        </w:rPr>
      </w:pPr>
    </w:p>
    <w:p w14:paraId="534F5AEC">
      <w:pPr>
        <w:jc w:val="center"/>
        <w:rPr>
          <w:rFonts w:ascii="黑体" w:hAnsi="黑体" w:eastAsia="黑体"/>
          <w:sz w:val="28"/>
          <w:szCs w:val="28"/>
        </w:rPr>
      </w:pPr>
    </w:p>
    <w:p w14:paraId="7A3B4D54">
      <w:pPr>
        <w:jc w:val="center"/>
        <w:rPr>
          <w:rFonts w:ascii="黑体" w:hAnsi="黑体" w:eastAsia="黑体"/>
          <w:sz w:val="28"/>
          <w:szCs w:val="28"/>
        </w:rPr>
      </w:pPr>
    </w:p>
    <w:p w14:paraId="48BFA9BF">
      <w:pPr>
        <w:jc w:val="center"/>
        <w:rPr>
          <w:rFonts w:ascii="黑体" w:hAnsi="黑体" w:eastAsia="黑体"/>
          <w:sz w:val="28"/>
          <w:szCs w:val="28"/>
        </w:rPr>
      </w:pPr>
    </w:p>
    <w:p w14:paraId="524CC0E5">
      <w:pPr>
        <w:jc w:val="center"/>
        <w:rPr>
          <w:rFonts w:ascii="黑体" w:hAnsi="黑体" w:eastAsia="黑体"/>
          <w:sz w:val="28"/>
          <w:szCs w:val="28"/>
        </w:rPr>
      </w:pPr>
    </w:p>
    <w:p w14:paraId="0433F8C3">
      <w:pPr>
        <w:jc w:val="center"/>
        <w:rPr>
          <w:rFonts w:ascii="黑体" w:hAnsi="黑体" w:eastAsia="黑体"/>
          <w:sz w:val="28"/>
          <w:szCs w:val="28"/>
        </w:rPr>
      </w:pPr>
    </w:p>
    <w:p w14:paraId="4D849CD5">
      <w:pPr>
        <w:jc w:val="center"/>
        <w:rPr>
          <w:rFonts w:ascii="黑体" w:hAnsi="黑体" w:eastAsia="黑体"/>
          <w:sz w:val="28"/>
          <w:szCs w:val="28"/>
        </w:rPr>
      </w:pPr>
    </w:p>
    <w:p w14:paraId="5716A009">
      <w:pPr>
        <w:jc w:val="center"/>
        <w:rPr>
          <w:rFonts w:ascii="黑体" w:hAnsi="黑体" w:eastAsia="黑体"/>
          <w:sz w:val="28"/>
          <w:szCs w:val="28"/>
        </w:rPr>
      </w:pPr>
    </w:p>
    <w:p w14:paraId="5444A6CB">
      <w:pPr>
        <w:jc w:val="center"/>
        <w:rPr>
          <w:rFonts w:ascii="黑体" w:hAnsi="黑体" w:eastAsia="黑体"/>
          <w:sz w:val="28"/>
          <w:szCs w:val="28"/>
        </w:rPr>
      </w:pPr>
    </w:p>
    <w:p w14:paraId="13FB919E">
      <w:pPr>
        <w:jc w:val="center"/>
        <w:rPr>
          <w:rFonts w:ascii="黑体" w:hAnsi="黑体" w:eastAsia="黑体"/>
          <w:sz w:val="28"/>
          <w:szCs w:val="28"/>
        </w:rPr>
      </w:pPr>
    </w:p>
    <w:p w14:paraId="7A7E2699">
      <w:pPr>
        <w:jc w:val="center"/>
        <w:rPr>
          <w:sz w:val="72"/>
          <w:szCs w:val="72"/>
        </w:rPr>
      </w:pPr>
    </w:p>
    <w:p w14:paraId="4CBBE5A2">
      <w:pPr>
        <w:jc w:val="center"/>
        <w:rPr>
          <w:sz w:val="72"/>
          <w:szCs w:val="72"/>
        </w:rPr>
      </w:pPr>
    </w:p>
    <w:p w14:paraId="0F01F1B3">
      <w:pPr>
        <w:jc w:val="center"/>
        <w:rPr>
          <w:sz w:val="72"/>
          <w:szCs w:val="72"/>
        </w:rPr>
      </w:pPr>
      <w:r>
        <w:rPr>
          <w:rFonts w:hint="eastAsia"/>
          <w:sz w:val="72"/>
          <w:szCs w:val="72"/>
        </w:rPr>
        <w:t>第二部分</w:t>
      </w:r>
    </w:p>
    <w:p w14:paraId="4289657A">
      <w:pPr>
        <w:jc w:val="center"/>
        <w:rPr>
          <w:sz w:val="72"/>
          <w:szCs w:val="72"/>
        </w:rPr>
      </w:pPr>
    </w:p>
    <w:p w14:paraId="254E6B75">
      <w:pPr>
        <w:jc w:val="center"/>
        <w:rPr>
          <w:sz w:val="72"/>
          <w:szCs w:val="72"/>
        </w:rPr>
      </w:pPr>
      <w:r>
        <w:rPr>
          <w:rFonts w:hint="eastAsia"/>
          <w:sz w:val="72"/>
          <w:szCs w:val="72"/>
        </w:rPr>
        <w:t>部门决算表</w:t>
      </w:r>
    </w:p>
    <w:p w14:paraId="472083F0">
      <w:pPr>
        <w:jc w:val="center"/>
        <w:rPr>
          <w:sz w:val="72"/>
          <w:szCs w:val="72"/>
        </w:rPr>
      </w:pPr>
      <w:r>
        <w:rPr>
          <w:rFonts w:hint="eastAsia"/>
          <w:sz w:val="72"/>
          <w:szCs w:val="72"/>
        </w:rPr>
        <w:t>（表格见附件）</w:t>
      </w:r>
    </w:p>
    <w:p w14:paraId="561CC8CF">
      <w:pPr>
        <w:jc w:val="center"/>
        <w:rPr>
          <w:sz w:val="72"/>
          <w:szCs w:val="72"/>
        </w:rPr>
      </w:pPr>
    </w:p>
    <w:p w14:paraId="24BAA06C">
      <w:pPr>
        <w:jc w:val="center"/>
        <w:rPr>
          <w:sz w:val="72"/>
          <w:szCs w:val="72"/>
        </w:rPr>
      </w:pPr>
    </w:p>
    <w:p w14:paraId="17529FF6">
      <w:pPr>
        <w:jc w:val="center"/>
        <w:rPr>
          <w:sz w:val="72"/>
          <w:szCs w:val="72"/>
        </w:rPr>
      </w:pPr>
    </w:p>
    <w:p w14:paraId="22B7086C">
      <w:pPr>
        <w:jc w:val="center"/>
        <w:rPr>
          <w:sz w:val="72"/>
          <w:szCs w:val="72"/>
        </w:rPr>
      </w:pPr>
    </w:p>
    <w:p w14:paraId="38E95A40">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14:paraId="1A3D8434">
      <w:pPr>
        <w:pStyle w:val="10"/>
        <w:rPr>
          <w:sz w:val="72"/>
          <w:szCs w:val="72"/>
        </w:rPr>
      </w:pPr>
    </w:p>
    <w:p w14:paraId="0FA1FE6E">
      <w:pPr>
        <w:pStyle w:val="10"/>
        <w:rPr>
          <w:sz w:val="72"/>
          <w:szCs w:val="72"/>
        </w:rPr>
      </w:pPr>
    </w:p>
    <w:p w14:paraId="4F28190D">
      <w:pPr>
        <w:pStyle w:val="10"/>
        <w:rPr>
          <w:sz w:val="72"/>
          <w:szCs w:val="72"/>
        </w:rPr>
      </w:pPr>
    </w:p>
    <w:p w14:paraId="01B23544">
      <w:pPr>
        <w:pStyle w:val="10"/>
        <w:rPr>
          <w:sz w:val="72"/>
          <w:szCs w:val="72"/>
        </w:rPr>
      </w:pPr>
    </w:p>
    <w:p w14:paraId="53F05762">
      <w:pPr>
        <w:pStyle w:val="10"/>
        <w:jc w:val="center"/>
        <w:rPr>
          <w:sz w:val="72"/>
          <w:szCs w:val="72"/>
        </w:rPr>
      </w:pPr>
    </w:p>
    <w:p w14:paraId="2387A74D">
      <w:pPr>
        <w:pStyle w:val="10"/>
        <w:jc w:val="center"/>
        <w:rPr>
          <w:sz w:val="72"/>
          <w:szCs w:val="72"/>
        </w:rPr>
      </w:pPr>
    </w:p>
    <w:p w14:paraId="5EA27F40">
      <w:pPr>
        <w:pStyle w:val="10"/>
        <w:jc w:val="center"/>
        <w:rPr>
          <w:sz w:val="72"/>
          <w:szCs w:val="72"/>
        </w:rPr>
      </w:pPr>
      <w:r>
        <w:rPr>
          <w:rFonts w:hint="eastAsia"/>
          <w:sz w:val="72"/>
          <w:szCs w:val="72"/>
        </w:rPr>
        <w:t>第三部分</w:t>
      </w:r>
    </w:p>
    <w:p w14:paraId="2249AE15">
      <w:pPr>
        <w:pStyle w:val="10"/>
        <w:jc w:val="center"/>
        <w:rPr>
          <w:sz w:val="70"/>
          <w:szCs w:val="70"/>
        </w:rPr>
      </w:pPr>
    </w:p>
    <w:p w14:paraId="038456C8">
      <w:pPr>
        <w:pStyle w:val="10"/>
        <w:jc w:val="center"/>
        <w:rPr>
          <w:sz w:val="70"/>
          <w:szCs w:val="70"/>
        </w:rPr>
      </w:pPr>
      <w:r>
        <w:rPr>
          <w:sz w:val="70"/>
          <w:szCs w:val="70"/>
        </w:rPr>
        <w:t>20</w:t>
      </w:r>
      <w:r>
        <w:rPr>
          <w:rFonts w:hint="eastAsia"/>
          <w:sz w:val="70"/>
          <w:szCs w:val="70"/>
        </w:rPr>
        <w:t>21年度部门决算情况说明</w:t>
      </w:r>
    </w:p>
    <w:p w14:paraId="3FF6EF46">
      <w:pPr>
        <w:widowControl/>
        <w:jc w:val="left"/>
        <w:rPr>
          <w:rFonts w:asciiTheme="minorEastAsia" w:hAnsiTheme="minorEastAsia" w:eastAsiaTheme="minorEastAsia"/>
          <w:sz w:val="32"/>
          <w:szCs w:val="32"/>
        </w:rPr>
      </w:pPr>
      <w:r>
        <w:rPr>
          <w:sz w:val="70"/>
          <w:szCs w:val="70"/>
        </w:rPr>
        <w:br w:type="page"/>
      </w:r>
    </w:p>
    <w:p w14:paraId="3FD517EC">
      <w:pPr>
        <w:pStyle w:val="10"/>
        <w:rPr>
          <w:rFonts w:hAnsi="黑体"/>
          <w:b/>
          <w:sz w:val="32"/>
          <w:szCs w:val="32"/>
        </w:rPr>
      </w:pPr>
      <w:r>
        <w:rPr>
          <w:rFonts w:hint="eastAsia" w:hAnsi="黑体"/>
          <w:b/>
          <w:sz w:val="32"/>
          <w:szCs w:val="32"/>
        </w:rPr>
        <w:t>一、收入支出决算总体情况说明</w:t>
      </w:r>
    </w:p>
    <w:p w14:paraId="0EAD998B">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2021年度收入合计568.8万元，年初结转和结余13.56万元，收入总计582.36万元。与上年相比，增加156.92万元，增长38.10%，主要是因为其他收入增加。</w:t>
      </w:r>
    </w:p>
    <w:p w14:paraId="2EB86487">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2021年度支出合计582.08万元，年初结转和结余0.28万元，支出总计582.36万元。与上年相比，增加179.39万元，增长44.55%，主要是因为其他支出增加。</w:t>
      </w:r>
    </w:p>
    <w:p w14:paraId="13F58C73">
      <w:pPr>
        <w:pStyle w:val="10"/>
        <w:rPr>
          <w:rFonts w:hAnsi="黑体"/>
          <w:b/>
          <w:sz w:val="32"/>
          <w:szCs w:val="32"/>
        </w:rPr>
      </w:pPr>
      <w:r>
        <w:rPr>
          <w:rFonts w:hint="eastAsia" w:hAnsi="黑体"/>
          <w:b/>
          <w:sz w:val="32"/>
          <w:szCs w:val="32"/>
        </w:rPr>
        <w:t>二、收入决算情况说明</w:t>
      </w:r>
    </w:p>
    <w:p w14:paraId="40DB603D">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2021年度收入合计568.8万元，其中：财政拨款收入369.14万元，占64.90%；上级补助收入0万元，占0%；事业收入0万元，占0%；经营收入0万元，占0%；附属单位上缴收入0万元，占0%；其他收入199.67万元，占35.1%。</w:t>
      </w:r>
    </w:p>
    <w:p w14:paraId="06F4E3E3">
      <w:pPr>
        <w:pStyle w:val="10"/>
        <w:rPr>
          <w:rFonts w:hAnsi="黑体"/>
          <w:b/>
          <w:sz w:val="32"/>
          <w:szCs w:val="32"/>
        </w:rPr>
      </w:pPr>
      <w:r>
        <w:rPr>
          <w:rFonts w:hint="eastAsia" w:hAnsi="黑体"/>
          <w:b/>
          <w:sz w:val="32"/>
          <w:szCs w:val="32"/>
        </w:rPr>
        <w:t>三、支出决算情况说明</w:t>
      </w:r>
    </w:p>
    <w:p w14:paraId="50901C19">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2021年度支出合计582.08万元，其中：基本支出567.08万元，占97.42%；项目支出15万元，占2.58%；上缴上级支出0万元，占0%；经营支出0万元，占0%；对附属单位补助支出0万元，占0%。</w:t>
      </w:r>
    </w:p>
    <w:p w14:paraId="3891CE19">
      <w:pPr>
        <w:pStyle w:val="10"/>
        <w:rPr>
          <w:rFonts w:hAnsi="黑体"/>
          <w:b/>
          <w:sz w:val="32"/>
          <w:szCs w:val="32"/>
        </w:rPr>
      </w:pPr>
      <w:r>
        <w:rPr>
          <w:rFonts w:hint="eastAsia" w:hAnsi="黑体"/>
          <w:b/>
          <w:sz w:val="32"/>
          <w:szCs w:val="32"/>
        </w:rPr>
        <w:t>四、财政拨款收入支出决算总体情况说明</w:t>
      </w:r>
    </w:p>
    <w:p w14:paraId="33FA134B">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2021年度财政拨款收入合计369.14万元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年初结转和结余13.56万元，收入总计382.69万元。与上年相比，减少42.74万元，减少10.38%，主要是因为人员经费及公用经费减少以及专项业务减少。</w:t>
      </w:r>
    </w:p>
    <w:p w14:paraId="4F653503">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2021年度财政拨款支出合计382.41万元，年初结转和结余0.28万元，支出总计382.69万元。与上年相比，减少20.28万元，减少5.03%，主要是因为人员经费及公用经费减少以及专项业务减少。</w:t>
      </w:r>
    </w:p>
    <w:p w14:paraId="79204433">
      <w:pPr>
        <w:pStyle w:val="10"/>
        <w:rPr>
          <w:rFonts w:hAnsi="黑体"/>
          <w:b/>
          <w:sz w:val="32"/>
          <w:szCs w:val="32"/>
        </w:rPr>
      </w:pPr>
      <w:r>
        <w:rPr>
          <w:rFonts w:hint="eastAsia" w:hAnsi="黑体"/>
          <w:b/>
          <w:sz w:val="32"/>
          <w:szCs w:val="32"/>
        </w:rPr>
        <w:t>五、一般公共预算财政拨款支出决算情况说明</w:t>
      </w:r>
    </w:p>
    <w:p w14:paraId="49A49914">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31667DC3">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2021年度财政拨款支出382.41万元，年初结转和结余0.28万元，支出总计382.69万元，占本年支出合计的65.7%，与上年相比，财政拨款支出减少20.28万元，减少5.03%，主要是因为人员经费及公用经费减少以及专项业务减少</w:t>
      </w:r>
      <w:r>
        <w:rPr>
          <w:rFonts w:hint="eastAsia" w:asciiTheme="minorEastAsia" w:hAnsiTheme="minorEastAsia" w:eastAsiaTheme="minorEastAsia"/>
          <w:sz w:val="32"/>
          <w:szCs w:val="32"/>
          <w:lang w:eastAsia="zh-CN"/>
        </w:rPr>
        <w:t>。</w:t>
      </w:r>
    </w:p>
    <w:p w14:paraId="38471DA1">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14:paraId="69634FEF">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382.41万元，主要用于以下方面：一般公共服务支出305.35万元，占79.85%；文化旅游体育与传媒支出28.59万元，占7.48%;社会保障和就业支出33.03万元，占8.64%；卫生健康支出10.54万元，占2.76%；农林水支出4.9万元，占1.28%。</w:t>
      </w:r>
    </w:p>
    <w:p w14:paraId="4AB22E11">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138DC3CD">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2021年度财政拨款支出年初预算数为358.32万元，支出决算数为382.41万元，完成年初预算的106.72%，其中：</w:t>
      </w:r>
    </w:p>
    <w:p w14:paraId="0C34736B">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政府办公厅（室）及相关机构事务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一般行政管理事务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2AE55EA4">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年初预算为0万元，支出决算为7.82万元，无法计算完成比率，决算数大于年初预算数的主要原因是：追加欢乐潇湘“幸福怀化”大型群众文化活动经费。</w:t>
      </w:r>
    </w:p>
    <w:p w14:paraId="581AC8CB">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宣传事务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行政运行</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61A2467E">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年初预算为206.96万元，支出决算为205.3万元，完成年初预算的99.2%，决算数大于（小于）年初预算数的主要原因是：本年实际有压减。</w:t>
      </w:r>
    </w:p>
    <w:p w14:paraId="6B0993C4">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3、一般公共服务支出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宣传事务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一般行政管理事务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7CCB37E4">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年初预算为79.86万元，支出决算为92.22万元，完成年初预算的115.48%，决算数大于年初预算数的主要原因是：年中追加新时代文明实践中心建设缺口资金。</w:t>
      </w:r>
    </w:p>
    <w:p w14:paraId="71F08887">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4、文化旅游体育与传媒支出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文化和旅游</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群众文化</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2172C8B2">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年初预算为0万元，支出决算为3万元，无法计算完成比率，决算数大于年初预算数的主要原因是：追加抗疫公益群众文化文艺活动经费。</w:t>
      </w:r>
    </w:p>
    <w:p w14:paraId="78A3746B">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5、文化旅游体育与传媒支出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文化和旅游</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其他文化和旅游支出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5D48A47F">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年初预算为0万元，支出决算为2.18万元，无法计算完成比率，决算数大于年初预算数的主要原因是：追加农村电影放映资金。</w:t>
      </w:r>
    </w:p>
    <w:p w14:paraId="7BCB559A">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6、文化旅游体育与传媒支出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新闻出版电影</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其他新闻出版电影支出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591BB1FB">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年初预算为0万元，支出决算为5.04万元，无法计算完成比率，决算数大于年初预算数的主要原因是：乡镇老放映员生活困难补助未纳入年初预算。</w:t>
      </w:r>
    </w:p>
    <w:p w14:paraId="5BD386BB">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7、文化旅游体育与传媒支出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其他文化旅游体育与传媒支出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其他文化旅游体育与传媒支出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595AE802">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年初预算为0万元，支出决算为18.37万元，无法计算完成比率，决算数大于年初预算数的主要原因是：农村电影放映补助经费等未纳入年初预算。</w:t>
      </w:r>
    </w:p>
    <w:p w14:paraId="0DB47C76">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8、社会保障和就业支出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行政事业单位养老支出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行政单位离退休</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0F446256">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年初预算为11.33万元，支出决算为11.7万元，完成年初预算的103.27%，决算数大于年初预算数的主要原因是：追加离退休人员经费。</w:t>
      </w:r>
    </w:p>
    <w:p w14:paraId="2EEF4C74">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9、社会保障和就业支出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行政事业单位养老支出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机关事业单位基本养老保险缴费支出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0595113C">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年初预算为20.21万元，支出决算为18.63万元，完成年初预算的92.18%，决算数小于年初预算数的主要原因是：本年度发生的基本养老保险缴费支出减少。</w:t>
      </w:r>
    </w:p>
    <w:p w14:paraId="14421256">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10、社会保障和就业支出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企业改革补助</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企业关闭破产补助</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6C6271FF">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年初预算为0万元，支出决算为2.7万元，无法计算完成比率，决算数大于年初预算数的主要原因是：国有改制企业原电影公司返聘人员工资及医疗、养老缴费单位部分未纳入年初预算。</w:t>
      </w:r>
    </w:p>
    <w:p w14:paraId="6FDF421C">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11、卫生健康支出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行政事业单位医疗</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行政单位医疗</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7A01EDCD">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年初预算为10.11万元，支出决算为10.54万元，决算数大于年初预算数的主要原因是：本年度发生的2021年全额在职人员职工基本医疗保险缴费基数调增。</w:t>
      </w:r>
    </w:p>
    <w:p w14:paraId="4FB83B0A">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12、农林水支出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类</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扶贫</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款</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其他扶贫支出</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w:t>
      </w:r>
    </w:p>
    <w:p w14:paraId="7D1193EE">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sz w:val="32"/>
          <w:szCs w:val="32"/>
        </w:rPr>
        <w:t>年初预算为0万元，支出决算为4.9万元，无法计算完成比率，决算数大于年初预算数的主要原因是：追加芒果扶贫云超市鹤城专场直播带货活动工作经费。</w:t>
      </w:r>
    </w:p>
    <w:p w14:paraId="5B1EEA22">
      <w:pPr>
        <w:pStyle w:val="10"/>
        <w:rPr>
          <w:rFonts w:hAnsi="黑体"/>
          <w:b/>
          <w:sz w:val="32"/>
          <w:szCs w:val="32"/>
        </w:rPr>
      </w:pPr>
      <w:r>
        <w:rPr>
          <w:rFonts w:hint="eastAsia" w:hAnsi="黑体"/>
          <w:b/>
          <w:sz w:val="32"/>
          <w:szCs w:val="32"/>
        </w:rPr>
        <w:t>六、一般公共预算财政拨款基本支出决算情况说明</w:t>
      </w:r>
    </w:p>
    <w:p w14:paraId="7DF037A5">
      <w:pPr>
        <w:pStyle w:val="10"/>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367.41万元，其中：人员经费222.8万元，占基本支出的60.64%,主要包括基本工资、津贴补贴、奖金、伙食补助费、绩效工资、机关事业单位基本养老保险缴费、职工基本医疗保险缴费、其他社会保障缴费、其他工资福利支出、离休费、生活补助、奖励金、其他对个人和家庭的补助；公用经费144.61万元，占基本支出的39.36%，主要包括办公费、印刷费、电费、邮电费、差旅费、维修（护）费、租赁费、会议费、培训费、公务接待费、委托业务费、福利费、其他交通费用、其他商品和服务支出。</w:t>
      </w:r>
    </w:p>
    <w:p w14:paraId="2E59F1A8">
      <w:pPr>
        <w:pStyle w:val="10"/>
        <w:rPr>
          <w:rFonts w:hAnsi="黑体"/>
          <w:b/>
          <w:sz w:val="32"/>
          <w:szCs w:val="32"/>
        </w:rPr>
      </w:pPr>
      <w:r>
        <w:rPr>
          <w:rFonts w:hint="eastAsia" w:hAnsi="黑体"/>
          <w:b/>
          <w:sz w:val="32"/>
          <w:szCs w:val="32"/>
        </w:rPr>
        <w:t>七、一般公共预算财政拨款“三公”经费支出决算情况说明</w:t>
      </w:r>
    </w:p>
    <w:p w14:paraId="43922397">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0CCCD4E8">
      <w:pPr>
        <w:pStyle w:val="10"/>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2021年度“三公”经费财政拨款支出预算为0.2万元，支出决算为0.17万元，其中：</w:t>
      </w:r>
    </w:p>
    <w:p w14:paraId="4E420C93">
      <w:pPr>
        <w:pStyle w:val="10"/>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因公出国（境）费支出预算为0万元，支出决算为0万元，因预算金额为0万元，无法计算百分比。</w:t>
      </w:r>
    </w:p>
    <w:p w14:paraId="741F820A">
      <w:pPr>
        <w:pStyle w:val="10"/>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公务接待费支出预算为0.2万元，支出决算为0.17万元，决算数小于预算数的主要原因是根据本年仅发生了记者招待费用，与上年相比增加0.17万元，增长的主要原因是去年无公务接待，本年发生记者招待费用。</w:t>
      </w:r>
    </w:p>
    <w:p w14:paraId="5E20BC7B">
      <w:pPr>
        <w:pStyle w:val="10"/>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公务用车购置费支出预算为0万元，支出决算为0万元，因预算金额为0万元，无法计算百分比。与上年相比保持持平。</w:t>
      </w:r>
    </w:p>
    <w:p w14:paraId="16C5DAC4">
      <w:pPr>
        <w:pStyle w:val="10"/>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公务用车运行维护费支出预算为0万元，支出决算为0万元，因预算金额为0万元，无法计算百分比</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与上年相比保持持平。</w:t>
      </w:r>
    </w:p>
    <w:p w14:paraId="7F60C8C9">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2554D78C">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2021年度“三公”经费财政拨款支出决算中，公务接待费支出决算0.17万元，占100%,因公出国（境）费支出决算0万元，占0%,公务用车购置费及运行维护费支出决算0万元，占0%。其中：</w:t>
      </w:r>
    </w:p>
    <w:p w14:paraId="12272B5F">
      <w:pPr>
        <w:pStyle w:val="10"/>
        <w:keepNext w:val="0"/>
        <w:keepLines w:val="0"/>
        <w:pageBreakBefore w:val="0"/>
        <w:widowControl w:val="0"/>
        <w:kinsoku/>
        <w:wordWrap/>
        <w:overflowPunct/>
        <w:topLinePunct w:val="0"/>
        <w:bidi w:val="0"/>
        <w:snapToGrid/>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1、因公出国（境）费支出决算为0万元，无开支内容。</w:t>
      </w:r>
    </w:p>
    <w:p w14:paraId="4116ED1D">
      <w:pPr>
        <w:pStyle w:val="10"/>
        <w:keepNext w:val="0"/>
        <w:keepLines w:val="0"/>
        <w:pageBreakBefore w:val="0"/>
        <w:widowControl w:val="0"/>
        <w:kinsoku/>
        <w:wordWrap/>
        <w:overflowPunct/>
        <w:topLinePunct w:val="0"/>
        <w:bidi w:val="0"/>
        <w:snapToGrid/>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2、公务接待费支出决算为0.17万元，全年共接待来访团组2个、来宾13人次，主要是接待新华社记者、湖南日报社记者来鹤采访发生的接待支出。</w:t>
      </w:r>
    </w:p>
    <w:p w14:paraId="203C05FB">
      <w:pPr>
        <w:keepNext w:val="0"/>
        <w:keepLines w:val="0"/>
        <w:pageBreakBefore w:val="0"/>
        <w:widowControl w:val="0"/>
        <w:kinsoku/>
        <w:wordWrap/>
        <w:overflowPunct/>
        <w:topLinePunct w:val="0"/>
        <w:bidi w:val="0"/>
        <w:snapToGrid/>
        <w:ind w:firstLine="640" w:firstLineChars="200"/>
        <w:textAlignment w:val="auto"/>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w:t>
      </w:r>
      <w:r>
        <w:rPr>
          <w:rFonts w:hint="eastAsia" w:asciiTheme="minorEastAsia" w:hAnsiTheme="minorEastAsia"/>
          <w:sz w:val="32"/>
          <w:szCs w:val="32"/>
          <w:lang w:eastAsia="zh-CN"/>
        </w:rPr>
        <w:t>，</w:t>
      </w:r>
      <w:r>
        <w:rPr>
          <w:rFonts w:hint="eastAsia" w:asciiTheme="minorEastAsia" w:hAnsiTheme="minorEastAsia"/>
          <w:sz w:val="32"/>
          <w:szCs w:val="32"/>
        </w:rPr>
        <w:t>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万元。公务用车运行维护费0万元，</w:t>
      </w:r>
      <w:r>
        <w:rPr>
          <w:rFonts w:hint="eastAsia" w:asciiTheme="minorEastAsia" w:hAnsiTheme="minorEastAsia"/>
          <w:sz w:val="32"/>
          <w:szCs w:val="32"/>
          <w:lang w:val="en-US" w:eastAsia="zh-CN"/>
        </w:rPr>
        <w:t>本单位更新公务用车0辆，</w:t>
      </w:r>
      <w:r>
        <w:rPr>
          <w:rFonts w:hint="eastAsia" w:asciiTheme="minorEastAsia" w:hAnsiTheme="minorEastAsia"/>
          <w:sz w:val="32"/>
          <w:szCs w:val="32"/>
        </w:rPr>
        <w:t>截止2021年12月31日，我单位开支财政拨款的公务用车保有量为0辆。</w:t>
      </w:r>
    </w:p>
    <w:p w14:paraId="55B89F6F">
      <w:pPr>
        <w:pStyle w:val="10"/>
        <w:rPr>
          <w:rFonts w:hAnsi="黑体"/>
          <w:b/>
          <w:sz w:val="32"/>
          <w:szCs w:val="32"/>
        </w:rPr>
      </w:pPr>
      <w:r>
        <w:rPr>
          <w:rFonts w:hint="eastAsia" w:hAnsi="黑体"/>
          <w:b/>
          <w:sz w:val="32"/>
          <w:szCs w:val="32"/>
        </w:rPr>
        <w:t>八、政府性基金预算收入支出决算情况</w:t>
      </w:r>
    </w:p>
    <w:p w14:paraId="7410851E">
      <w:pPr>
        <w:pStyle w:val="10"/>
        <w:ind w:firstLine="640" w:firstLineChars="200"/>
        <w:rPr>
          <w:rFonts w:hint="eastAsia" w:asciiTheme="minorEastAsia" w:hAnsiTheme="minorEastAsia" w:eastAsiaTheme="minorEastAsia" w:cstheme="minorBidi"/>
          <w:color w:val="auto"/>
          <w:kern w:val="2"/>
          <w:sz w:val="32"/>
          <w:szCs w:val="32"/>
          <w:lang w:val="en-US" w:eastAsia="zh-CN" w:bidi="ar-SA"/>
        </w:rPr>
      </w:pPr>
      <w:r>
        <w:rPr>
          <w:rFonts w:hint="eastAsia" w:asciiTheme="minorEastAsia" w:hAnsiTheme="minorEastAsia" w:eastAsiaTheme="minorEastAsia" w:cstheme="minorBidi"/>
          <w:color w:val="auto"/>
          <w:kern w:val="2"/>
          <w:sz w:val="32"/>
          <w:szCs w:val="32"/>
          <w:lang w:val="en-US" w:eastAsia="zh-CN" w:bidi="ar-SA"/>
        </w:rPr>
        <w:t>2021年度政府性基金预算财政拨款收入0万元；年初结转和结余0万元；支出0万元，其中基本支出0万元，项目支出0万元；年末结转和结余0万元。</w:t>
      </w:r>
    </w:p>
    <w:p w14:paraId="3F8858A6">
      <w:pPr>
        <w:pStyle w:val="10"/>
        <w:rPr>
          <w:rFonts w:hAnsi="黑体"/>
          <w:b/>
          <w:sz w:val="32"/>
          <w:szCs w:val="32"/>
        </w:rPr>
      </w:pPr>
      <w:r>
        <w:rPr>
          <w:rFonts w:hint="eastAsia" w:hAnsi="黑体"/>
          <w:b/>
          <w:sz w:val="32"/>
          <w:szCs w:val="32"/>
        </w:rPr>
        <w:t>九、国有资本经营预算财政拨款支出情况</w:t>
      </w:r>
    </w:p>
    <w:p w14:paraId="75537602">
      <w:pPr>
        <w:pStyle w:val="10"/>
        <w:ind w:firstLine="640" w:firstLineChars="200"/>
        <w:rPr>
          <w:rFonts w:asciiTheme="minorEastAsia" w:hAnsiTheme="minorEastAsia" w:eastAsiaTheme="minorEastAsia"/>
          <w:i/>
          <w:color w:val="auto"/>
          <w:sz w:val="32"/>
          <w:szCs w:val="32"/>
        </w:rPr>
      </w:pPr>
      <w:r>
        <w:rPr>
          <w:rFonts w:hint="eastAsia" w:asciiTheme="minorEastAsia" w:hAnsiTheme="minorEastAsia" w:eastAsiaTheme="minorEastAsia" w:cstheme="minorBidi"/>
          <w:color w:val="auto"/>
          <w:kern w:val="2"/>
          <w:sz w:val="32"/>
          <w:szCs w:val="32"/>
          <w:lang w:val="en-US" w:eastAsia="zh-CN" w:bidi="ar-SA"/>
        </w:rPr>
        <w:t>2021年度国有资本经营预算财政拨款收入0万元；年初结转和结余0万元；支出0万元，其中基本支出0万元，项目支出0万元；年末结转和结余0万元。</w:t>
      </w:r>
    </w:p>
    <w:p w14:paraId="6B0C2F29">
      <w:pPr>
        <w:pStyle w:val="10"/>
        <w:rPr>
          <w:rFonts w:hAnsi="黑体"/>
          <w:b/>
          <w:sz w:val="32"/>
          <w:szCs w:val="32"/>
        </w:rPr>
      </w:pPr>
      <w:r>
        <w:rPr>
          <w:rFonts w:hint="eastAsia" w:hAnsi="黑体"/>
          <w:b/>
          <w:sz w:val="32"/>
          <w:szCs w:val="32"/>
        </w:rPr>
        <w:t>十、机关运行经费支出说明</w:t>
      </w:r>
    </w:p>
    <w:p w14:paraId="1C4571B5">
      <w:pPr>
        <w:pStyle w:val="10"/>
        <w:ind w:firstLine="640" w:firstLineChars="200"/>
        <w:rPr>
          <w:rFonts w:asciiTheme="minorEastAsia" w:hAnsiTheme="minorEastAsia" w:eastAsiaTheme="minorEastAsia"/>
          <w:color w:val="FF0000"/>
          <w:sz w:val="32"/>
          <w:szCs w:val="32"/>
        </w:rPr>
      </w:pPr>
      <w:r>
        <w:rPr>
          <w:rFonts w:hint="eastAsia" w:asciiTheme="minorEastAsia" w:hAnsiTheme="minorEastAsia" w:eastAsiaTheme="minorEastAsia"/>
          <w:sz w:val="32"/>
          <w:szCs w:val="32"/>
        </w:rPr>
        <w:t>本部门2021年度机关运行经费支出144.61万元，比上年决算数增加68.94 万元，增长91.11%。主要原因是：本年度下达追加专项项目资金通过基本支出核算，计入基本支出商品服务支出。</w:t>
      </w:r>
    </w:p>
    <w:p w14:paraId="6CCDE9E2">
      <w:pPr>
        <w:pStyle w:val="10"/>
        <w:rPr>
          <w:rFonts w:hAnsi="黑体"/>
          <w:b/>
          <w:sz w:val="32"/>
          <w:szCs w:val="32"/>
        </w:rPr>
      </w:pPr>
      <w:r>
        <w:rPr>
          <w:rFonts w:hint="eastAsia" w:hAnsi="黑体"/>
          <w:b/>
          <w:sz w:val="32"/>
          <w:szCs w:val="32"/>
        </w:rPr>
        <w:t>十一、一般性支出情况说明</w:t>
      </w:r>
    </w:p>
    <w:p w14:paraId="0ABBEEEE">
      <w:pPr>
        <w:pStyle w:val="10"/>
        <w:ind w:firstLine="640" w:firstLineChars="200"/>
        <w:rPr>
          <w:rFonts w:asciiTheme="minorEastAsia" w:hAnsiTheme="minorEastAsia" w:eastAsiaTheme="minorEastAsia"/>
          <w:color w:val="FF0000"/>
          <w:sz w:val="32"/>
          <w:szCs w:val="32"/>
        </w:rPr>
      </w:pPr>
      <w:r>
        <w:rPr>
          <w:rFonts w:hint="eastAsia" w:asciiTheme="minorEastAsia" w:hAnsiTheme="minorEastAsia" w:eastAsiaTheme="minorEastAsia"/>
          <w:sz w:val="32"/>
          <w:szCs w:val="32"/>
        </w:rPr>
        <w:t>2021年本部门开支会议费7.09万元，用于召开“屈原与湖湘精神”芷兰社读书会议，主要内容为通过活动，扩大传统文化影响；开支培训费3.37万元，用于开展文明城市创建培训，人数105人，内容为文明城市创建的注意事项和主要内容；未举办节庆、晚会、论坛、赛事活动。</w:t>
      </w:r>
    </w:p>
    <w:p w14:paraId="3CDE59C8">
      <w:pPr>
        <w:pStyle w:val="10"/>
        <w:rPr>
          <w:rFonts w:hAnsi="黑体"/>
          <w:b/>
          <w:sz w:val="32"/>
          <w:szCs w:val="32"/>
        </w:rPr>
      </w:pPr>
      <w:r>
        <w:rPr>
          <w:rFonts w:hint="eastAsia" w:hAnsi="黑体"/>
          <w:b/>
          <w:sz w:val="32"/>
          <w:szCs w:val="32"/>
        </w:rPr>
        <w:t>十二、政府采购支出说明</w:t>
      </w:r>
    </w:p>
    <w:p w14:paraId="45D386A5">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14:paraId="1F7932D0">
      <w:pPr>
        <w:pStyle w:val="10"/>
        <w:rPr>
          <w:rFonts w:hAnsi="黑体"/>
          <w:b/>
          <w:sz w:val="32"/>
          <w:szCs w:val="32"/>
        </w:rPr>
      </w:pPr>
      <w:r>
        <w:rPr>
          <w:rFonts w:hint="eastAsia" w:hAnsi="黑体"/>
          <w:b/>
          <w:sz w:val="32"/>
          <w:szCs w:val="32"/>
        </w:rPr>
        <w:t>十三、国有资产占用情况说明</w:t>
      </w:r>
    </w:p>
    <w:p w14:paraId="131C7F75">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单位共有车辆0辆，其中，主要领导干部用车0辆，机要通信用车0辆、应急保障用车0辆、执法执勤用车0辆、特种专业技术用车0辆、其他用车0辆；单位价值50万元以上通用设备0台；单位价值100万元以上专用设备0台。</w:t>
      </w:r>
    </w:p>
    <w:p w14:paraId="40C82473">
      <w:pPr>
        <w:pStyle w:val="10"/>
        <w:rPr>
          <w:rFonts w:hAnsi="黑体"/>
          <w:b/>
          <w:sz w:val="32"/>
          <w:szCs w:val="32"/>
        </w:rPr>
      </w:pPr>
      <w:r>
        <w:rPr>
          <w:rFonts w:hint="eastAsia" w:hAnsi="黑体"/>
          <w:b/>
          <w:sz w:val="32"/>
          <w:szCs w:val="32"/>
        </w:rPr>
        <w:t>十四、2021年度预算绩效情况说明</w:t>
      </w:r>
    </w:p>
    <w:p w14:paraId="701C177D">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14:paraId="25AB2F9C">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年度一般公共预算项目支出全面开展绩效自评，其中，一级项目13个，二级项目0个，共涉及资金89.86万元，占一般公共预算项目支出总额的100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。2021年度无政府性基金预算项目，未开展绩效自评。2021年度无国有资本经营预算项目，未开展绩效自评。</w:t>
      </w:r>
    </w:p>
    <w:p w14:paraId="3B0DEE87">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文化产业引导资金”“乡镇原公社老放映员生活困难补助”“新闻外宣奖励基金”“欢乐潇湘“幸福怀化”大型群众文化活动经费”“文明办工作经费”“农村电影放映补助资金”“中心组学习工作经费”“网络网宣工作经费”“文化产业发展新闻传媒经费”“扫黄打非工作经费”“社科联工作经费”“专项对外宣传经费”等13个单位开展整体支出绩效评价，涉及一般公共预算支出89.86万元，政府性基金预算支出0万元。从评价情况来看，2021年我单位严格按照有关规定使用项目经费，资金使用效益良好。</w:t>
      </w:r>
    </w:p>
    <w:p w14:paraId="5C30B905">
      <w:pPr>
        <w:widowControl/>
        <w:shd w:val="clear" w:color="auto" w:fill="FFFFFF"/>
        <w:spacing w:line="600" w:lineRule="atLeast"/>
        <w:ind w:firstLine="640"/>
        <w:rPr>
          <w:rFonts w:cs="黑体" w:asciiTheme="minorEastAsia" w:hAnsiTheme="minorEastAsia"/>
          <w:b/>
          <w:color w:val="000000"/>
          <w:kern w:val="0"/>
          <w:sz w:val="32"/>
          <w:szCs w:val="32"/>
        </w:rPr>
      </w:pPr>
      <w:r>
        <w:rPr>
          <w:rFonts w:hint="eastAsia" w:cs="黑体" w:asciiTheme="minorEastAsia" w:hAnsiTheme="minorEastAsia"/>
          <w:color w:val="000000"/>
          <w:kern w:val="0"/>
          <w:sz w:val="32"/>
          <w:szCs w:val="32"/>
        </w:rPr>
        <w:t>组织对鹤城区宣传部1个单位开展整体支出绩效评价，涉及一般公共预算支出582.08万元，政府性基金预算支出0万元。从评价情况来看，</w:t>
      </w:r>
      <w:r>
        <w:rPr>
          <w:rFonts w:cs="黑体" w:asciiTheme="minorEastAsia" w:hAnsiTheme="minorEastAsia"/>
          <w:color w:val="000000"/>
          <w:kern w:val="0"/>
          <w:sz w:val="32"/>
          <w:szCs w:val="32"/>
        </w:rPr>
        <w:t>从整体情况来看，我</w:t>
      </w:r>
      <w:r>
        <w:rPr>
          <w:rFonts w:hint="eastAsia" w:cs="黑体" w:asciiTheme="minorEastAsia" w:hAnsiTheme="minorEastAsia"/>
          <w:color w:val="000000"/>
          <w:kern w:val="0"/>
          <w:sz w:val="32"/>
          <w:szCs w:val="32"/>
        </w:rPr>
        <w:t>办</w:t>
      </w:r>
      <w:r>
        <w:rPr>
          <w:rFonts w:cs="黑体" w:asciiTheme="minorEastAsia" w:hAnsiTheme="minorEastAsia"/>
          <w:color w:val="000000"/>
          <w:kern w:val="0"/>
          <w:sz w:val="32"/>
          <w:szCs w:val="32"/>
        </w:rPr>
        <w:t>严格按照年初预算进行部门整体支出。在支出过程中，能严格遵守各项规章制度。</w:t>
      </w:r>
    </w:p>
    <w:p w14:paraId="6D5253AE">
      <w:pPr>
        <w:autoSpaceDE w:val="0"/>
        <w:autoSpaceDN w:val="0"/>
        <w:adjustRightInd w:val="0"/>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w:t>
      </w:r>
    </w:p>
    <w:p w14:paraId="45AFBD30">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项目绩效自评综述：根据年初设定的绩效目标，项目绩效自评得分为91分。项目全年预算数为89.86万元，执行数为89.86万元，完成预算的100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一是建宣讲团开展党史、七一讲话、六中全会精神宣讲120余场次；年参与志愿服务超过15万人次，其中，“村居公益人”志愿服务活动参与人数1.3万人次，开展各类文明实践活动1000余场次；13个集体和个人获得中央、省级精神文明建设表彰。开展全民阅读、电影放映、送戏下乡等活动1580余场次，服务城乡群众45万余人次，新创小戏《悬崖木屋》获湖南第七届艺术节比赛获金奖等；二是在宣传系统组织开展“大学习、大调研、大讨论”活动，举办了高标准宣传干部培训班，在宣传部开展了“转作风 提效能”剖析交流活动，培训干部190余人次，完成调研课题10篇，电影放映场次1580余次。开展全民阅读、电影放映、送戏下乡等活动1580余场次，服务城乡群众45万余人次开展“扫黄打非”行动10余次，查处违规经营印刷企业1家，协调公安刑拘1网上非法经营户，在央媒、省媒分别发稿73篇、181篇，将安全生产纳入各级理论学习中心组学习内容。区委理论学习中心组9月1日专题学习了《习近平总书记关于安全生产重要论述》、集中观看了电视专题片《生命重于泰山-学习习近平总书记关于安全生产重要论述》。我区无物业管理小区治理工作得到《人民日报》头版头条推介，民生实事等鹤城经验得到省、市媒体积极宣传，树立了“湖南好人•最美革命文物保护传承者”杨吉生、湖南省教书育人楷模张琼琼等先进典型。</w:t>
      </w:r>
      <w:bookmarkStart w:id="0" w:name="_GoBack"/>
      <w:bookmarkEnd w:id="0"/>
    </w:p>
    <w:p w14:paraId="7E0C3118">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14:paraId="561ADFDF">
      <w:pPr>
        <w:pStyle w:val="10"/>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本单位已按要求进行项目绩效评价。</w:t>
      </w:r>
    </w:p>
    <w:p w14:paraId="78F42C16">
      <w:pPr>
        <w:pStyle w:val="10"/>
        <w:jc w:val="center"/>
        <w:rPr>
          <w:sz w:val="72"/>
          <w:szCs w:val="72"/>
        </w:rPr>
      </w:pPr>
    </w:p>
    <w:p w14:paraId="1B3E9183">
      <w:pPr>
        <w:pStyle w:val="10"/>
        <w:jc w:val="center"/>
        <w:rPr>
          <w:sz w:val="72"/>
          <w:szCs w:val="72"/>
        </w:rPr>
      </w:pPr>
    </w:p>
    <w:p w14:paraId="4DC1A903">
      <w:pPr>
        <w:pStyle w:val="10"/>
        <w:jc w:val="center"/>
        <w:rPr>
          <w:sz w:val="72"/>
          <w:szCs w:val="72"/>
        </w:rPr>
      </w:pPr>
    </w:p>
    <w:p w14:paraId="53FB7F85">
      <w:pPr>
        <w:pStyle w:val="10"/>
        <w:jc w:val="center"/>
        <w:rPr>
          <w:sz w:val="72"/>
          <w:szCs w:val="72"/>
        </w:rPr>
      </w:pPr>
    </w:p>
    <w:p w14:paraId="57EB4E9D">
      <w:pPr>
        <w:pStyle w:val="10"/>
        <w:rPr>
          <w:sz w:val="72"/>
          <w:szCs w:val="72"/>
        </w:rPr>
      </w:pPr>
    </w:p>
    <w:p w14:paraId="1D3CE2AE">
      <w:pPr>
        <w:pStyle w:val="10"/>
        <w:rPr>
          <w:sz w:val="72"/>
          <w:szCs w:val="72"/>
        </w:rPr>
      </w:pPr>
    </w:p>
    <w:p w14:paraId="6C1EFA93">
      <w:pPr>
        <w:pStyle w:val="10"/>
        <w:jc w:val="center"/>
        <w:rPr>
          <w:sz w:val="72"/>
          <w:szCs w:val="72"/>
        </w:rPr>
      </w:pPr>
    </w:p>
    <w:p w14:paraId="2E4FE9C8">
      <w:pPr>
        <w:pStyle w:val="10"/>
        <w:jc w:val="center"/>
        <w:rPr>
          <w:sz w:val="72"/>
          <w:szCs w:val="72"/>
        </w:rPr>
      </w:pPr>
    </w:p>
    <w:p w14:paraId="05E31030">
      <w:pPr>
        <w:pStyle w:val="10"/>
        <w:jc w:val="center"/>
        <w:rPr>
          <w:sz w:val="72"/>
          <w:szCs w:val="72"/>
        </w:rPr>
      </w:pPr>
    </w:p>
    <w:p w14:paraId="53985EC2">
      <w:pPr>
        <w:pStyle w:val="10"/>
        <w:jc w:val="center"/>
        <w:rPr>
          <w:sz w:val="72"/>
          <w:szCs w:val="72"/>
        </w:rPr>
      </w:pPr>
    </w:p>
    <w:p w14:paraId="48CAC460">
      <w:pPr>
        <w:pStyle w:val="10"/>
        <w:jc w:val="center"/>
        <w:rPr>
          <w:sz w:val="72"/>
          <w:szCs w:val="72"/>
        </w:rPr>
      </w:pPr>
    </w:p>
    <w:p w14:paraId="58969446">
      <w:pPr>
        <w:pStyle w:val="10"/>
        <w:jc w:val="center"/>
        <w:rPr>
          <w:sz w:val="72"/>
          <w:szCs w:val="72"/>
        </w:rPr>
      </w:pPr>
    </w:p>
    <w:p w14:paraId="53E1FBAE">
      <w:pPr>
        <w:pStyle w:val="10"/>
        <w:jc w:val="center"/>
        <w:rPr>
          <w:sz w:val="72"/>
          <w:szCs w:val="72"/>
        </w:rPr>
      </w:pPr>
    </w:p>
    <w:p w14:paraId="05498A46">
      <w:pPr>
        <w:pStyle w:val="10"/>
        <w:jc w:val="center"/>
        <w:rPr>
          <w:sz w:val="72"/>
          <w:szCs w:val="72"/>
        </w:rPr>
      </w:pPr>
    </w:p>
    <w:p w14:paraId="62336ABE">
      <w:pPr>
        <w:pStyle w:val="10"/>
        <w:jc w:val="center"/>
        <w:rPr>
          <w:sz w:val="72"/>
          <w:szCs w:val="72"/>
        </w:rPr>
      </w:pPr>
      <w:r>
        <w:rPr>
          <w:rFonts w:hint="eastAsia"/>
          <w:sz w:val="72"/>
          <w:szCs w:val="72"/>
        </w:rPr>
        <w:t>第四部分</w:t>
      </w:r>
    </w:p>
    <w:p w14:paraId="628E7629">
      <w:pPr>
        <w:jc w:val="center"/>
        <w:rPr>
          <w:rFonts w:ascii="黑体" w:eastAsia="黑体" w:cs="黑体"/>
          <w:color w:val="000000"/>
          <w:kern w:val="0"/>
          <w:sz w:val="70"/>
          <w:szCs w:val="70"/>
        </w:rPr>
      </w:pPr>
    </w:p>
    <w:p w14:paraId="17D21994">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4B4B116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504EC856">
      <w:pPr>
        <w:ind w:firstLine="640" w:firstLineChars="200"/>
        <w:jc w:val="left"/>
        <w:rPr>
          <w:rFonts w:cs="黑体" w:asciiTheme="minorEastAsia" w:hAnsiTheme="minorEastAsia"/>
          <w:color w:val="000000"/>
          <w:kern w:val="0"/>
          <w:sz w:val="32"/>
          <w:szCs w:val="32"/>
        </w:rPr>
      </w:pPr>
    </w:p>
    <w:p w14:paraId="7CB6334A">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一、财政拨款收入：指财政当年拨付的资金。 </w:t>
      </w:r>
    </w:p>
    <w:p w14:paraId="39364548">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二、事业收入：指事业单位开展专业业务活动及辅助活动所取得的收入。如：中国财政杂志社的刊物发行收入，中国注册会计师协会、中国资产评估协会、中国国债协会、中国会计学会收取的会费收入等。 </w:t>
      </w:r>
    </w:p>
    <w:p w14:paraId="7E790044">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三、经营收入：指事业单位在专业业务活动及其辅助活动之外开展非独立核算经营活动取得的收入。如：中国财政杂志社广告收入等。 </w:t>
      </w:r>
    </w:p>
    <w:p w14:paraId="6A2C4197">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四、其他收入：指除上述“财政拨款收入”、“事业收入”、“经营收入”等以外的收入。主要是按规定动用的售房收入、存款利息收入等。 </w:t>
      </w:r>
    </w:p>
    <w:p w14:paraId="2ED6DE0F">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14:paraId="3946AD34">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六、年初结转和结余：指以前年度尚未完成、结转到本年按有关规定继续使用的资金。 </w:t>
      </w:r>
    </w:p>
    <w:p w14:paraId="5C3B81FC">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七、结余分配：指事业单位按规定提取的职工福利基金、事业基金和缴纳的所得税，以及建设单位按规定应交回的基本建设竣工项目结余资金。</w:t>
      </w:r>
    </w:p>
    <w:p w14:paraId="062736A1">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八、年末结转和结余：指本年度或以前年度预算安排、因客观条件发生变化无法按原计划实施，需要延迟到以后年度按有关规定继续使用的资金。 </w:t>
      </w:r>
    </w:p>
    <w:p w14:paraId="42EAC680">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九、基本支出：指为保障机构正常运转、完成日常工作任务而发生的人员支出和公用支出。 </w:t>
      </w:r>
    </w:p>
    <w:p w14:paraId="55EAF059">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十、项目支出：指在基本支出之外为完成特定行政任务和事业发展目标所发生的支出。 </w:t>
      </w:r>
    </w:p>
    <w:p w14:paraId="0E833255">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十一、经营支出：指事业单位在专业业务活动及其辅助活动之外开展非独立核算经营活动发生的支出。 </w:t>
      </w:r>
    </w:p>
    <w:p w14:paraId="30D30B2D">
      <w:pPr>
        <w:keepNext w:val="0"/>
        <w:keepLines w:val="0"/>
        <w:pageBreakBefore w:val="0"/>
        <w:kinsoku/>
        <w:wordWrap/>
        <w:overflowPunct/>
        <w:topLinePunct w:val="0"/>
        <w:autoSpaceDE/>
        <w:autoSpaceDN/>
        <w:bidi w:val="0"/>
        <w:adjustRightInd/>
        <w:snapToGrid/>
        <w:ind w:firstLine="640" w:firstLineChars="200"/>
        <w:textAlignment w:val="auto"/>
        <w:rPr>
          <w:rFonts w:ascii="宋体" w:hAnsi="宋体" w:cs="黑体"/>
          <w:color w:val="000000"/>
          <w:kern w:val="0"/>
          <w:sz w:val="32"/>
          <w:szCs w:val="32"/>
        </w:rPr>
      </w:pPr>
      <w:r>
        <w:rPr>
          <w:rFonts w:hint="eastAsia" w:ascii="宋体" w:hAnsi="宋体" w:cs="黑体"/>
          <w:color w:val="000000"/>
          <w:kern w:val="0"/>
          <w:sz w:val="32"/>
          <w:szCs w:val="32"/>
        </w:rPr>
        <w:t xml:space="preserve">十二、“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14:paraId="75DE05F4">
      <w:pPr>
        <w:keepNext w:val="0"/>
        <w:keepLines w:val="0"/>
        <w:pageBreakBefore w:val="0"/>
        <w:kinsoku/>
        <w:wordWrap/>
        <w:overflowPunct/>
        <w:topLinePunct w:val="0"/>
        <w:autoSpaceDE/>
        <w:autoSpaceDN/>
        <w:bidi w:val="0"/>
        <w:adjustRightInd/>
        <w:snapToGrid/>
        <w:ind w:firstLine="640" w:firstLineChars="200"/>
        <w:textAlignment w:val="auto"/>
        <w:rPr>
          <w:rFonts w:hint="eastAsia" w:ascii="宋体" w:hAnsi="宋体" w:cs="黑体" w:eastAsiaTheme="minorEastAsia"/>
          <w:color w:val="000000"/>
          <w:kern w:val="0"/>
          <w:sz w:val="32"/>
          <w:szCs w:val="32"/>
          <w:lang w:eastAsia="zh-CN"/>
        </w:rPr>
      </w:pPr>
      <w:r>
        <w:rPr>
          <w:rFonts w:hint="eastAsia" w:ascii="宋体" w:hAnsi="宋体" w:cs="黑体"/>
          <w:color w:val="000000"/>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宋体" w:hAnsi="宋体" w:cs="黑体"/>
          <w:color w:val="000000"/>
          <w:kern w:val="0"/>
          <w:sz w:val="32"/>
          <w:szCs w:val="32"/>
          <w:lang w:eastAsia="zh-CN"/>
        </w:rPr>
        <w:t>。</w:t>
      </w:r>
    </w:p>
    <w:p w14:paraId="37E95D55">
      <w:pPr>
        <w:pStyle w:val="10"/>
        <w:jc w:val="center"/>
        <w:rPr>
          <w:sz w:val="72"/>
          <w:szCs w:val="72"/>
        </w:rPr>
      </w:pPr>
    </w:p>
    <w:p w14:paraId="4416CF18">
      <w:pPr>
        <w:pStyle w:val="10"/>
        <w:jc w:val="center"/>
        <w:rPr>
          <w:sz w:val="72"/>
          <w:szCs w:val="72"/>
        </w:rPr>
      </w:pPr>
    </w:p>
    <w:p w14:paraId="2BB0B5B1">
      <w:pPr>
        <w:pStyle w:val="10"/>
        <w:jc w:val="center"/>
        <w:rPr>
          <w:sz w:val="72"/>
          <w:szCs w:val="72"/>
        </w:rPr>
      </w:pPr>
    </w:p>
    <w:p w14:paraId="504B3798">
      <w:pPr>
        <w:pStyle w:val="10"/>
        <w:jc w:val="center"/>
        <w:rPr>
          <w:sz w:val="72"/>
          <w:szCs w:val="72"/>
        </w:rPr>
      </w:pPr>
    </w:p>
    <w:p w14:paraId="7AD901C7">
      <w:pPr>
        <w:pStyle w:val="10"/>
        <w:jc w:val="center"/>
        <w:rPr>
          <w:sz w:val="72"/>
          <w:szCs w:val="72"/>
        </w:rPr>
      </w:pPr>
    </w:p>
    <w:p w14:paraId="5116BDCC">
      <w:pPr>
        <w:pStyle w:val="10"/>
        <w:jc w:val="center"/>
        <w:rPr>
          <w:sz w:val="72"/>
          <w:szCs w:val="72"/>
        </w:rPr>
      </w:pPr>
    </w:p>
    <w:p w14:paraId="1BBE7A9E">
      <w:pPr>
        <w:pStyle w:val="10"/>
        <w:jc w:val="center"/>
        <w:rPr>
          <w:sz w:val="72"/>
          <w:szCs w:val="72"/>
        </w:rPr>
      </w:pPr>
    </w:p>
    <w:p w14:paraId="4DF59990">
      <w:pPr>
        <w:pStyle w:val="10"/>
        <w:jc w:val="center"/>
        <w:rPr>
          <w:sz w:val="72"/>
          <w:szCs w:val="72"/>
        </w:rPr>
      </w:pPr>
    </w:p>
    <w:p w14:paraId="0F2DCD89">
      <w:pPr>
        <w:pStyle w:val="10"/>
        <w:jc w:val="center"/>
        <w:rPr>
          <w:sz w:val="72"/>
          <w:szCs w:val="72"/>
        </w:rPr>
      </w:pPr>
    </w:p>
    <w:p w14:paraId="75EE0393">
      <w:pPr>
        <w:pStyle w:val="10"/>
        <w:jc w:val="center"/>
        <w:rPr>
          <w:sz w:val="72"/>
          <w:szCs w:val="72"/>
        </w:rPr>
      </w:pPr>
    </w:p>
    <w:p w14:paraId="738E329B">
      <w:pPr>
        <w:pStyle w:val="10"/>
        <w:jc w:val="center"/>
        <w:rPr>
          <w:sz w:val="72"/>
          <w:szCs w:val="72"/>
        </w:rPr>
      </w:pPr>
    </w:p>
    <w:p w14:paraId="7D8C1845">
      <w:pPr>
        <w:pStyle w:val="10"/>
        <w:jc w:val="center"/>
        <w:rPr>
          <w:sz w:val="72"/>
          <w:szCs w:val="72"/>
        </w:rPr>
      </w:pPr>
    </w:p>
    <w:p w14:paraId="27E92ED0">
      <w:pPr>
        <w:pStyle w:val="10"/>
        <w:jc w:val="center"/>
        <w:rPr>
          <w:sz w:val="72"/>
          <w:szCs w:val="72"/>
        </w:rPr>
      </w:pPr>
    </w:p>
    <w:p w14:paraId="4AB4DC3C">
      <w:pPr>
        <w:pStyle w:val="10"/>
        <w:jc w:val="center"/>
        <w:rPr>
          <w:sz w:val="72"/>
          <w:szCs w:val="72"/>
        </w:rPr>
      </w:pPr>
    </w:p>
    <w:p w14:paraId="59AE06BA">
      <w:pPr>
        <w:pStyle w:val="10"/>
        <w:jc w:val="center"/>
        <w:rPr>
          <w:sz w:val="72"/>
          <w:szCs w:val="72"/>
        </w:rPr>
      </w:pPr>
    </w:p>
    <w:p w14:paraId="542F4AD3">
      <w:pPr>
        <w:pStyle w:val="10"/>
        <w:jc w:val="center"/>
        <w:rPr>
          <w:sz w:val="72"/>
          <w:szCs w:val="72"/>
        </w:rPr>
      </w:pPr>
    </w:p>
    <w:p w14:paraId="26B90464">
      <w:pPr>
        <w:pStyle w:val="10"/>
        <w:jc w:val="center"/>
        <w:rPr>
          <w:sz w:val="72"/>
          <w:szCs w:val="72"/>
        </w:rPr>
      </w:pPr>
    </w:p>
    <w:p w14:paraId="29140278">
      <w:pPr>
        <w:pStyle w:val="10"/>
        <w:jc w:val="center"/>
        <w:rPr>
          <w:sz w:val="72"/>
          <w:szCs w:val="72"/>
        </w:rPr>
      </w:pPr>
      <w:r>
        <w:rPr>
          <w:rFonts w:hint="eastAsia"/>
          <w:sz w:val="72"/>
          <w:szCs w:val="72"/>
        </w:rPr>
        <w:t>第五部分</w:t>
      </w:r>
    </w:p>
    <w:p w14:paraId="09175AB2">
      <w:pPr>
        <w:jc w:val="center"/>
        <w:rPr>
          <w:rFonts w:ascii="黑体" w:eastAsia="黑体" w:cs="黑体"/>
          <w:color w:val="000000"/>
          <w:kern w:val="0"/>
          <w:sz w:val="70"/>
          <w:szCs w:val="70"/>
        </w:rPr>
      </w:pPr>
    </w:p>
    <w:p w14:paraId="1A6150E1">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5FA0B28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61EA2E9F">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2021年度部门整体支出绩效评价报告</w:t>
      </w:r>
    </w:p>
    <w:p w14:paraId="55F3A43D">
      <w:pPr>
        <w:widowControl/>
        <w:shd w:val="clear" w:color="auto" w:fill="FFFFFF"/>
        <w:spacing w:line="600" w:lineRule="atLeast"/>
        <w:rPr>
          <w:rFonts w:ascii="楷体" w:hAnsi="楷体" w:eastAsia="楷体"/>
          <w:b/>
          <w:spacing w:val="-2"/>
          <w:sz w:val="32"/>
          <w:szCs w:val="21"/>
        </w:rPr>
      </w:pPr>
      <w:r>
        <w:rPr>
          <w:rFonts w:ascii="楷体" w:hAnsi="楷体" w:eastAsia="楷体"/>
          <w:b/>
          <w:spacing w:val="-2"/>
          <w:sz w:val="32"/>
          <w:szCs w:val="32"/>
        </w:rPr>
        <w:t>一、部门概况</w:t>
      </w:r>
    </w:p>
    <w:p w14:paraId="404945D5">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（一）部门基本情况</w:t>
      </w:r>
    </w:p>
    <w:p w14:paraId="1DCB074A">
      <w:pPr>
        <w:widowControl/>
        <w:shd w:val="clear" w:color="auto" w:fill="FFFFFF"/>
        <w:spacing w:line="600" w:lineRule="atLeast"/>
        <w:ind w:firstLine="640"/>
        <w:rPr>
          <w:rFonts w:ascii="仿宋" w:hAnsi="仿宋" w:eastAsia="仿宋" w:cs="仿宋"/>
          <w:spacing w:val="-2"/>
          <w:sz w:val="32"/>
          <w:szCs w:val="32"/>
        </w:rPr>
      </w:pPr>
      <w:r>
        <w:rPr>
          <w:rFonts w:hint="eastAsia" w:ascii="仿宋" w:hAnsi="仿宋" w:eastAsia="仿宋" w:cs="仿宋"/>
          <w:spacing w:val="-2"/>
          <w:sz w:val="32"/>
          <w:szCs w:val="32"/>
        </w:rPr>
        <w:t>中共怀化市鹤城区委宣传部是直属鹤城区委领导，主要工作职能有：制订全区宣传思想工作规划和措施；指导全区理论研究、理论学习和理论宣传工作；引导社会舆论；指导、协凋全区各新闻单位的工作；部署全局性的思想政治工作；规划全区群众性的社会主义精神文明建设；指导和协调全区对外文化交流工作；归口管理、统筹协调全区互联网上的新闻宣传工作等。</w:t>
      </w:r>
    </w:p>
    <w:p w14:paraId="4EF087C8">
      <w:pPr>
        <w:widowControl/>
        <w:shd w:val="clear" w:color="auto" w:fill="FFFFFF"/>
        <w:spacing w:line="600" w:lineRule="atLeast"/>
        <w:ind w:firstLine="640"/>
        <w:rPr>
          <w:rFonts w:ascii="仿宋" w:hAnsi="仿宋" w:eastAsia="仿宋" w:cs="仿宋"/>
          <w:spacing w:val="-2"/>
          <w:sz w:val="32"/>
          <w:szCs w:val="32"/>
        </w:rPr>
      </w:pPr>
      <w:r>
        <w:rPr>
          <w:rFonts w:hint="eastAsia" w:ascii="仿宋" w:hAnsi="仿宋" w:eastAsia="仿宋" w:cs="仿宋"/>
          <w:spacing w:val="-2"/>
          <w:sz w:val="32"/>
          <w:szCs w:val="32"/>
        </w:rPr>
        <w:t>中共怀化市鹤城区委宣传部作为一级部门预算单位，内设5个股室，分别为办公室、理论室、精神文明建设指导室、文艺文产组、新闻外宣组；下设文化产业服务中心、宣传事业服务中心。</w:t>
      </w:r>
    </w:p>
    <w:p w14:paraId="1A24E680">
      <w:pPr>
        <w:widowControl/>
        <w:shd w:val="clear" w:color="auto" w:fill="FFFFFF"/>
        <w:spacing w:line="600" w:lineRule="atLeast"/>
        <w:ind w:firstLine="640"/>
        <w:rPr>
          <w:rFonts w:ascii="仿宋" w:hAnsi="仿宋" w:eastAsia="仿宋" w:cs="仿宋"/>
          <w:spacing w:val="-2"/>
          <w:sz w:val="32"/>
          <w:szCs w:val="32"/>
        </w:rPr>
      </w:pPr>
      <w:r>
        <w:rPr>
          <w:rFonts w:hint="eastAsia" w:ascii="仿宋" w:hAnsi="仿宋" w:eastAsia="仿宋" w:cs="仿宋"/>
          <w:spacing w:val="-2"/>
          <w:sz w:val="32"/>
          <w:szCs w:val="32"/>
        </w:rPr>
        <w:t>2021年末，我单位共有编制21人，年末实有在职人数19人，其中：行政人员7人，参照公务员法管理事业人员14人。</w:t>
      </w:r>
    </w:p>
    <w:p w14:paraId="29F173EA">
      <w:pPr>
        <w:widowControl/>
        <w:numPr>
          <w:ilvl w:val="0"/>
          <w:numId w:val="2"/>
        </w:numPr>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部门整体支出规模、使用方向和主要内容、涉及范围等。</w:t>
      </w:r>
    </w:p>
    <w:p w14:paraId="7738458F">
      <w:pPr>
        <w:widowControl/>
        <w:shd w:val="clear" w:color="auto" w:fill="FFFFFF"/>
        <w:spacing w:line="600" w:lineRule="atLeast"/>
        <w:ind w:firstLine="640"/>
        <w:rPr>
          <w:rFonts w:ascii="仿宋" w:hAnsi="仿宋" w:eastAsia="仿宋" w:cs="Times New Roman"/>
          <w:spacing w:val="-2"/>
          <w:sz w:val="32"/>
          <w:szCs w:val="32"/>
        </w:rPr>
      </w:pPr>
      <w:r>
        <w:rPr>
          <w:rFonts w:hint="eastAsia" w:ascii="仿宋" w:hAnsi="仿宋" w:eastAsia="仿宋" w:cs="Times New Roman"/>
          <w:spacing w:val="-2"/>
          <w:sz w:val="32"/>
          <w:szCs w:val="32"/>
        </w:rPr>
        <w:t>1.部门整体支出概况</w:t>
      </w:r>
    </w:p>
    <w:p w14:paraId="7644D321">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 收入预算：20</w:t>
      </w:r>
      <w:r>
        <w:rPr>
          <w:rFonts w:hint="eastAsia" w:ascii="仿宋" w:hAnsi="仿宋" w:eastAsia="仿宋" w:cs="Times New Roman"/>
          <w:spacing w:val="-2"/>
          <w:sz w:val="32"/>
          <w:szCs w:val="32"/>
        </w:rPr>
        <w:t>21</w:t>
      </w:r>
      <w:r>
        <w:rPr>
          <w:rFonts w:ascii="仿宋" w:hAnsi="仿宋" w:eastAsia="仿宋" w:cs="Times New Roman"/>
          <w:spacing w:val="-2"/>
          <w:sz w:val="32"/>
          <w:szCs w:val="32"/>
        </w:rPr>
        <w:t>年度年初预算数</w:t>
      </w:r>
      <w:r>
        <w:rPr>
          <w:rFonts w:hint="eastAsia" w:ascii="仿宋" w:hAnsi="仿宋" w:eastAsia="仿宋" w:cs="Times New Roman"/>
          <w:spacing w:val="-2"/>
          <w:sz w:val="32"/>
          <w:szCs w:val="32"/>
        </w:rPr>
        <w:t>358.32</w:t>
      </w:r>
      <w:r>
        <w:rPr>
          <w:rFonts w:ascii="仿宋" w:hAnsi="仿宋" w:eastAsia="仿宋" w:cs="Times New Roman"/>
          <w:spacing w:val="-2"/>
          <w:sz w:val="32"/>
          <w:szCs w:val="32"/>
        </w:rPr>
        <w:t>万元，其中：部门预算收入中没有非税收入项目，全部来源于预算内拨款。</w:t>
      </w:r>
    </w:p>
    <w:p w14:paraId="4BE1D709">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支出预算：20</w:t>
      </w:r>
      <w:r>
        <w:rPr>
          <w:rFonts w:hint="eastAsia" w:ascii="仿宋" w:hAnsi="仿宋" w:eastAsia="仿宋" w:cs="Times New Roman"/>
          <w:spacing w:val="-2"/>
          <w:sz w:val="32"/>
          <w:szCs w:val="32"/>
        </w:rPr>
        <w:t>21</w:t>
      </w:r>
      <w:r>
        <w:rPr>
          <w:rFonts w:ascii="仿宋" w:hAnsi="仿宋" w:eastAsia="仿宋" w:cs="Times New Roman"/>
          <w:spacing w:val="-2"/>
          <w:sz w:val="32"/>
          <w:szCs w:val="32"/>
        </w:rPr>
        <w:t>年年初预算数</w:t>
      </w:r>
      <w:r>
        <w:rPr>
          <w:rFonts w:hint="eastAsia" w:ascii="仿宋" w:hAnsi="仿宋" w:eastAsia="仿宋" w:cs="Times New Roman"/>
          <w:spacing w:val="-2"/>
          <w:sz w:val="32"/>
          <w:szCs w:val="32"/>
        </w:rPr>
        <w:t>358.32</w:t>
      </w:r>
      <w:r>
        <w:rPr>
          <w:rFonts w:ascii="仿宋" w:hAnsi="仿宋" w:eastAsia="仿宋" w:cs="Times New Roman"/>
          <w:spacing w:val="-2"/>
          <w:sz w:val="32"/>
          <w:szCs w:val="32"/>
        </w:rPr>
        <w:t>万元，其中：基本支出</w:t>
      </w:r>
      <w:r>
        <w:rPr>
          <w:rFonts w:hint="eastAsia" w:ascii="仿宋" w:hAnsi="仿宋" w:eastAsia="仿宋" w:cs="Times New Roman"/>
          <w:spacing w:val="-2"/>
          <w:sz w:val="32"/>
          <w:szCs w:val="32"/>
        </w:rPr>
        <w:t>268.46</w:t>
      </w:r>
      <w:r>
        <w:rPr>
          <w:rFonts w:ascii="仿宋" w:hAnsi="仿宋" w:eastAsia="仿宋" w:cs="Times New Roman"/>
          <w:spacing w:val="-2"/>
          <w:sz w:val="32"/>
          <w:szCs w:val="32"/>
        </w:rPr>
        <w:t>万元，项目支出</w:t>
      </w:r>
      <w:r>
        <w:rPr>
          <w:rFonts w:hint="eastAsia" w:ascii="仿宋" w:hAnsi="仿宋" w:eastAsia="仿宋" w:cs="Times New Roman"/>
          <w:spacing w:val="-2"/>
          <w:sz w:val="32"/>
          <w:szCs w:val="32"/>
        </w:rPr>
        <w:t>89.86</w:t>
      </w:r>
      <w:r>
        <w:rPr>
          <w:rFonts w:ascii="仿宋" w:hAnsi="仿宋" w:eastAsia="仿宋" w:cs="Times New Roman"/>
          <w:spacing w:val="-2"/>
          <w:sz w:val="32"/>
          <w:szCs w:val="32"/>
        </w:rPr>
        <w:t>万元。</w:t>
      </w:r>
    </w:p>
    <w:p w14:paraId="514FDFA8">
      <w:pPr>
        <w:widowControl/>
        <w:shd w:val="clear" w:color="auto" w:fill="FFFFFF"/>
        <w:spacing w:line="600" w:lineRule="atLeast"/>
        <w:ind w:firstLine="640"/>
        <w:rPr>
          <w:rFonts w:ascii="仿宋" w:hAnsi="仿宋" w:eastAsia="仿宋" w:cs="Times New Roman"/>
          <w:spacing w:val="-2"/>
          <w:sz w:val="32"/>
          <w:szCs w:val="32"/>
        </w:rPr>
      </w:pPr>
      <w:r>
        <w:rPr>
          <w:rFonts w:hint="eastAsia" w:ascii="仿宋" w:hAnsi="仿宋" w:eastAsia="仿宋" w:cs="Times New Roman"/>
          <w:spacing w:val="-2"/>
          <w:sz w:val="32"/>
          <w:szCs w:val="32"/>
        </w:rPr>
        <w:t>2.</w:t>
      </w:r>
      <w:r>
        <w:rPr>
          <w:rFonts w:ascii="仿宋" w:hAnsi="仿宋" w:eastAsia="仿宋" w:cs="Times New Roman"/>
          <w:spacing w:val="-2"/>
          <w:sz w:val="32"/>
          <w:szCs w:val="32"/>
        </w:rPr>
        <w:t>整体支出绩效目标</w:t>
      </w:r>
    </w:p>
    <w:p w14:paraId="178C3D52">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预决算公开：20</w:t>
      </w:r>
      <w:r>
        <w:rPr>
          <w:rFonts w:hint="eastAsia" w:ascii="仿宋" w:hAnsi="仿宋" w:eastAsia="仿宋" w:cs="Times New Roman"/>
          <w:spacing w:val="-2"/>
          <w:sz w:val="32"/>
          <w:szCs w:val="32"/>
        </w:rPr>
        <w:t>21</w:t>
      </w:r>
      <w:r>
        <w:rPr>
          <w:rFonts w:ascii="仿宋" w:hAnsi="仿宋" w:eastAsia="仿宋" w:cs="Times New Roman"/>
          <w:spacing w:val="-2"/>
          <w:sz w:val="32"/>
          <w:szCs w:val="32"/>
        </w:rPr>
        <w:t>年，按照上级的要求，我</w:t>
      </w:r>
      <w:r>
        <w:rPr>
          <w:rFonts w:hint="eastAsia" w:ascii="仿宋" w:hAnsi="仿宋" w:eastAsia="仿宋" w:cs="Times New Roman"/>
          <w:spacing w:val="-2"/>
          <w:sz w:val="32"/>
          <w:szCs w:val="32"/>
        </w:rPr>
        <w:t>单位</w:t>
      </w:r>
      <w:r>
        <w:rPr>
          <w:rFonts w:ascii="仿宋" w:hAnsi="仿宋" w:eastAsia="仿宋" w:cs="Times New Roman"/>
          <w:spacing w:val="-2"/>
          <w:sz w:val="32"/>
          <w:szCs w:val="32"/>
        </w:rPr>
        <w:t>在政府网站上</w:t>
      </w:r>
      <w:r>
        <w:rPr>
          <w:rFonts w:hint="eastAsia" w:ascii="仿宋" w:hAnsi="仿宋" w:eastAsia="仿宋" w:cs="Times New Roman"/>
          <w:spacing w:val="-2"/>
          <w:sz w:val="32"/>
          <w:szCs w:val="32"/>
        </w:rPr>
        <w:t>统一</w:t>
      </w:r>
      <w:r>
        <w:rPr>
          <w:rFonts w:ascii="仿宋" w:hAnsi="仿宋" w:eastAsia="仿宋" w:cs="Times New Roman"/>
          <w:spacing w:val="-2"/>
          <w:sz w:val="32"/>
          <w:szCs w:val="32"/>
        </w:rPr>
        <w:t>进行了预决算公开。</w:t>
      </w:r>
    </w:p>
    <w:p w14:paraId="5054F1E4">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资产管理：我</w:t>
      </w:r>
      <w:r>
        <w:rPr>
          <w:rFonts w:hint="eastAsia" w:ascii="仿宋" w:hAnsi="仿宋" w:eastAsia="仿宋" w:cs="Times New Roman"/>
          <w:spacing w:val="-2"/>
          <w:sz w:val="32"/>
          <w:szCs w:val="32"/>
        </w:rPr>
        <w:t>单位</w:t>
      </w:r>
      <w:r>
        <w:rPr>
          <w:rFonts w:ascii="仿宋" w:hAnsi="仿宋" w:eastAsia="仿宋" w:cs="Times New Roman"/>
          <w:spacing w:val="-2"/>
          <w:sz w:val="32"/>
          <w:szCs w:val="32"/>
        </w:rPr>
        <w:t>进一步加强资产的管理，明确了具体责任人，完善了固定资产档案，严格报批、销审等手续，做好资产登记工作，单位无任何资产流失现象。</w:t>
      </w:r>
    </w:p>
    <w:p w14:paraId="270F8FD1">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三公经费控制情况：我</w:t>
      </w:r>
      <w:r>
        <w:rPr>
          <w:rFonts w:hint="eastAsia" w:ascii="仿宋" w:hAnsi="仿宋" w:eastAsia="仿宋" w:cs="Times New Roman"/>
          <w:spacing w:val="-2"/>
          <w:sz w:val="32"/>
          <w:szCs w:val="32"/>
        </w:rPr>
        <w:t>单位</w:t>
      </w:r>
      <w:r>
        <w:rPr>
          <w:rFonts w:ascii="仿宋" w:hAnsi="仿宋" w:eastAsia="仿宋" w:cs="Times New Roman"/>
          <w:spacing w:val="-2"/>
          <w:sz w:val="32"/>
          <w:szCs w:val="32"/>
        </w:rPr>
        <w:t>贯彻落实上级有关精神，严格控制“三公经费”支出，取得了良好效果。</w:t>
      </w:r>
    </w:p>
    <w:p w14:paraId="0FBCFDC3">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项目绩效总目标完成情况：20</w:t>
      </w:r>
      <w:r>
        <w:rPr>
          <w:rFonts w:hint="eastAsia" w:ascii="仿宋" w:hAnsi="仿宋" w:eastAsia="仿宋" w:cs="Times New Roman"/>
          <w:spacing w:val="-2"/>
          <w:sz w:val="32"/>
          <w:szCs w:val="32"/>
        </w:rPr>
        <w:t>21</w:t>
      </w:r>
      <w:r>
        <w:rPr>
          <w:rFonts w:ascii="仿宋" w:hAnsi="仿宋" w:eastAsia="仿宋" w:cs="Times New Roman"/>
          <w:spacing w:val="-2"/>
          <w:sz w:val="32"/>
          <w:szCs w:val="32"/>
        </w:rPr>
        <w:t>年，我</w:t>
      </w:r>
      <w:r>
        <w:rPr>
          <w:rFonts w:hint="eastAsia" w:ascii="仿宋" w:hAnsi="仿宋" w:eastAsia="仿宋" w:cs="Times New Roman"/>
          <w:spacing w:val="-2"/>
          <w:sz w:val="32"/>
          <w:szCs w:val="32"/>
        </w:rPr>
        <w:t>单位</w:t>
      </w:r>
      <w:r>
        <w:rPr>
          <w:rFonts w:ascii="仿宋" w:hAnsi="仿宋" w:eastAsia="仿宋" w:cs="Times New Roman"/>
          <w:spacing w:val="-2"/>
          <w:sz w:val="32"/>
          <w:szCs w:val="32"/>
        </w:rPr>
        <w:t>各项业务工作任务圆满完成。</w:t>
      </w:r>
    </w:p>
    <w:p w14:paraId="67719B4E">
      <w:pPr>
        <w:widowControl/>
        <w:shd w:val="clear" w:color="auto" w:fill="FFFFFF"/>
        <w:spacing w:line="600" w:lineRule="atLeast"/>
        <w:ind w:firstLine="640"/>
        <w:rPr>
          <w:rFonts w:ascii="仿宋" w:hAnsi="仿宋" w:eastAsia="仿宋" w:cs="Times New Roman"/>
          <w:spacing w:val="-2"/>
          <w:sz w:val="32"/>
          <w:szCs w:val="32"/>
        </w:rPr>
      </w:pPr>
      <w:r>
        <w:rPr>
          <w:rFonts w:hint="eastAsia" w:ascii="仿宋" w:hAnsi="仿宋" w:eastAsia="仿宋" w:cs="Times New Roman"/>
          <w:spacing w:val="-2"/>
          <w:sz w:val="32"/>
          <w:szCs w:val="32"/>
        </w:rPr>
        <w:t>3.</w:t>
      </w:r>
      <w:r>
        <w:rPr>
          <w:rFonts w:ascii="仿宋" w:hAnsi="仿宋" w:eastAsia="仿宋" w:cs="Times New Roman"/>
          <w:spacing w:val="-2"/>
          <w:sz w:val="32"/>
          <w:szCs w:val="32"/>
        </w:rPr>
        <w:t>部门整体支出情况分析</w:t>
      </w:r>
    </w:p>
    <w:p w14:paraId="03BAE984">
      <w:pPr>
        <w:widowControl/>
        <w:shd w:val="clear" w:color="auto" w:fill="FFFFFF"/>
        <w:spacing w:line="600" w:lineRule="atLeast"/>
        <w:ind w:firstLine="640"/>
        <w:rPr>
          <w:rFonts w:ascii="仿宋" w:hAnsi="仿宋" w:eastAsia="仿宋"/>
          <w:spacing w:val="-2"/>
          <w:sz w:val="32"/>
          <w:szCs w:val="32"/>
        </w:rPr>
      </w:pPr>
      <w:r>
        <w:rPr>
          <w:rFonts w:ascii="仿宋" w:hAnsi="仿宋" w:eastAsia="仿宋" w:cs="Times New Roman"/>
          <w:spacing w:val="-2"/>
          <w:sz w:val="32"/>
          <w:szCs w:val="32"/>
        </w:rPr>
        <w:t>从整体情况来看，我</w:t>
      </w:r>
      <w:r>
        <w:rPr>
          <w:rFonts w:hint="eastAsia" w:ascii="仿宋" w:hAnsi="仿宋" w:eastAsia="仿宋" w:cs="Times New Roman"/>
          <w:spacing w:val="-2"/>
          <w:sz w:val="32"/>
          <w:szCs w:val="32"/>
        </w:rPr>
        <w:t>单位</w:t>
      </w:r>
      <w:r>
        <w:rPr>
          <w:rFonts w:ascii="仿宋" w:hAnsi="仿宋" w:eastAsia="仿宋" w:cs="Times New Roman"/>
          <w:spacing w:val="-2"/>
          <w:sz w:val="32"/>
          <w:szCs w:val="32"/>
        </w:rPr>
        <w:t>严格按照年初预算进行部门整体支出。在支出过程中，能严格遵守各项规章制度。</w:t>
      </w:r>
    </w:p>
    <w:p w14:paraId="49EBA42D">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二、部门整体支出管理及使用情况</w:t>
      </w:r>
    </w:p>
    <w:p w14:paraId="26D6700D">
      <w:pPr>
        <w:widowControl/>
        <w:shd w:val="clear" w:color="auto" w:fill="FFFFFF"/>
        <w:spacing w:line="600" w:lineRule="atLeast"/>
        <w:ind w:firstLine="643"/>
        <w:rPr>
          <w:rFonts w:ascii="仿宋" w:hAnsi="仿宋" w:eastAsia="仿宋"/>
          <w:b/>
          <w:spacing w:val="-2"/>
          <w:sz w:val="32"/>
          <w:szCs w:val="21"/>
        </w:rPr>
      </w:pPr>
      <w:r>
        <w:rPr>
          <w:rFonts w:ascii="仿宋" w:hAnsi="仿宋" w:eastAsia="仿宋"/>
          <w:b/>
          <w:spacing w:val="-2"/>
          <w:sz w:val="32"/>
          <w:szCs w:val="32"/>
        </w:rPr>
        <w:t>（一）基本支出</w:t>
      </w:r>
    </w:p>
    <w:p w14:paraId="3E699D7A">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介绍基本支出的主要用途、范围以及资金的管理情况，尤其是“三公”经费的使用和管理情况。</w:t>
      </w:r>
    </w:p>
    <w:p w14:paraId="597F31CF">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1. 20</w:t>
      </w:r>
      <w:r>
        <w:rPr>
          <w:rFonts w:hint="eastAsia" w:ascii="仿宋" w:hAnsi="仿宋" w:eastAsia="仿宋" w:cs="Times New Roman"/>
          <w:spacing w:val="-2"/>
          <w:sz w:val="32"/>
          <w:szCs w:val="32"/>
        </w:rPr>
        <w:t>21年度收入决算情况</w:t>
      </w:r>
    </w:p>
    <w:p w14:paraId="5EC6816E">
      <w:pPr>
        <w:widowControl/>
        <w:shd w:val="clear" w:color="auto" w:fill="FFFFFF"/>
        <w:spacing w:line="600" w:lineRule="atLeast"/>
        <w:ind w:firstLine="640"/>
        <w:rPr>
          <w:rFonts w:ascii="仿宋" w:hAnsi="仿宋" w:eastAsia="仿宋" w:cs="Times New Roman"/>
          <w:spacing w:val="-2"/>
          <w:sz w:val="32"/>
          <w:szCs w:val="32"/>
        </w:rPr>
      </w:pPr>
      <w:r>
        <w:rPr>
          <w:rFonts w:hint="eastAsia" w:ascii="仿宋" w:hAnsi="仿宋" w:eastAsia="仿宋" w:cs="Times New Roman"/>
          <w:spacing w:val="-2"/>
          <w:sz w:val="32"/>
          <w:szCs w:val="32"/>
        </w:rPr>
        <w:t>2021年度决算总收入582.08万元。</w:t>
      </w:r>
    </w:p>
    <w:p w14:paraId="457273ED">
      <w:pPr>
        <w:widowControl/>
        <w:shd w:val="clear" w:color="auto" w:fill="FFFFFF"/>
        <w:spacing w:line="600" w:lineRule="atLeast"/>
        <w:ind w:firstLine="640"/>
        <w:rPr>
          <w:rFonts w:ascii="仿宋" w:hAnsi="仿宋" w:eastAsia="仿宋" w:cs="Times New Roman"/>
          <w:spacing w:val="-2"/>
          <w:sz w:val="32"/>
          <w:szCs w:val="32"/>
        </w:rPr>
      </w:pPr>
      <w:r>
        <w:rPr>
          <w:rFonts w:hint="eastAsia" w:ascii="仿宋" w:hAnsi="仿宋" w:eastAsia="仿宋" w:cs="Times New Roman"/>
          <w:spacing w:val="-2"/>
          <w:sz w:val="32"/>
          <w:szCs w:val="32"/>
        </w:rPr>
        <w:t>2．</w:t>
      </w:r>
      <w:r>
        <w:rPr>
          <w:rFonts w:ascii="仿宋" w:hAnsi="仿宋" w:eastAsia="仿宋" w:cs="Times New Roman"/>
          <w:spacing w:val="-2"/>
          <w:sz w:val="32"/>
          <w:szCs w:val="32"/>
        </w:rPr>
        <w:t>20</w:t>
      </w:r>
      <w:r>
        <w:rPr>
          <w:rFonts w:hint="eastAsia" w:ascii="仿宋" w:hAnsi="仿宋" w:eastAsia="仿宋" w:cs="Times New Roman"/>
          <w:spacing w:val="-2"/>
          <w:sz w:val="32"/>
          <w:szCs w:val="32"/>
        </w:rPr>
        <w:t>21年度支出决算情况</w:t>
      </w:r>
    </w:p>
    <w:p w14:paraId="68780519">
      <w:pPr>
        <w:widowControl/>
        <w:shd w:val="clear" w:color="auto" w:fill="FFFFFF"/>
        <w:spacing w:line="600" w:lineRule="atLeast"/>
        <w:ind w:firstLine="640"/>
        <w:rPr>
          <w:rFonts w:ascii="仿宋" w:hAnsi="仿宋" w:eastAsia="仿宋" w:cs="Times New Roman"/>
          <w:spacing w:val="-2"/>
          <w:sz w:val="32"/>
          <w:szCs w:val="32"/>
        </w:rPr>
      </w:pPr>
      <w:r>
        <w:rPr>
          <w:rFonts w:ascii="仿宋" w:hAnsi="仿宋" w:eastAsia="仿宋" w:cs="Times New Roman"/>
          <w:spacing w:val="-2"/>
          <w:sz w:val="32"/>
          <w:szCs w:val="32"/>
        </w:rPr>
        <w:t>20</w:t>
      </w:r>
      <w:r>
        <w:rPr>
          <w:rFonts w:hint="eastAsia" w:ascii="仿宋" w:hAnsi="仿宋" w:eastAsia="仿宋" w:cs="Times New Roman"/>
          <w:spacing w:val="-2"/>
          <w:sz w:val="32"/>
          <w:szCs w:val="32"/>
        </w:rPr>
        <w:t>21年度总支出582.08万元，其中基本支出567.08万元占总支出比例97.42%。</w:t>
      </w:r>
    </w:p>
    <w:p w14:paraId="3594FAE0">
      <w:pPr>
        <w:widowControl/>
        <w:shd w:val="clear" w:color="auto" w:fill="FFFFFF"/>
        <w:spacing w:line="600" w:lineRule="atLeast"/>
        <w:ind w:firstLine="640"/>
        <w:rPr>
          <w:rFonts w:ascii="仿宋" w:hAnsi="仿宋" w:eastAsia="仿宋"/>
          <w:spacing w:val="-2"/>
          <w:sz w:val="32"/>
          <w:szCs w:val="32"/>
        </w:rPr>
      </w:pPr>
      <w:r>
        <w:rPr>
          <w:rFonts w:hint="eastAsia" w:ascii="仿宋" w:hAnsi="仿宋" w:eastAsia="仿宋" w:cs="Times New Roman"/>
          <w:spacing w:val="-2"/>
          <w:sz w:val="32"/>
          <w:szCs w:val="32"/>
        </w:rPr>
        <w:t>基本支出567.08万元，其中：工资福利支出221.94万元，占基本支出比例39.14%，商品和服务支出163.09万元占基本支出比例28.76%，对个人和家庭的补助支出182.05万元占基本支出比例32.10%，资本性支出0万元。</w:t>
      </w:r>
    </w:p>
    <w:p w14:paraId="06A0A1C0">
      <w:pPr>
        <w:widowControl/>
        <w:shd w:val="clear" w:color="auto" w:fill="FFFFFF"/>
        <w:spacing w:line="600" w:lineRule="atLeast"/>
        <w:ind w:firstLine="643"/>
        <w:rPr>
          <w:rFonts w:ascii="楷体" w:hAnsi="楷体" w:eastAsia="楷体"/>
          <w:b/>
          <w:spacing w:val="-2"/>
          <w:sz w:val="32"/>
          <w:szCs w:val="21"/>
        </w:rPr>
      </w:pPr>
      <w:r>
        <w:rPr>
          <w:rFonts w:ascii="楷体" w:hAnsi="楷体" w:eastAsia="楷体"/>
          <w:b/>
          <w:spacing w:val="-2"/>
          <w:sz w:val="32"/>
          <w:szCs w:val="32"/>
        </w:rPr>
        <w:t>（二）专项支出</w:t>
      </w:r>
    </w:p>
    <w:p w14:paraId="2DDF81D2">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1、专项资金（包括财政资金、自筹资金等）安排落实、总投入等情况分析。</w:t>
      </w:r>
    </w:p>
    <w:p w14:paraId="79B38C6D">
      <w:pPr>
        <w:widowControl/>
        <w:shd w:val="clear" w:color="auto" w:fill="FFFFFF"/>
        <w:spacing w:line="600" w:lineRule="atLeast"/>
        <w:ind w:firstLine="640"/>
        <w:rPr>
          <w:rFonts w:ascii="仿宋" w:hAnsi="仿宋" w:eastAsia="仿宋"/>
          <w:spacing w:val="-2"/>
          <w:sz w:val="32"/>
          <w:szCs w:val="32"/>
        </w:rPr>
      </w:pPr>
      <w:r>
        <w:rPr>
          <w:rFonts w:hint="eastAsia" w:ascii="仿宋" w:hAnsi="仿宋" w:eastAsia="仿宋" w:cs="Times New Roman"/>
          <w:spacing w:val="-2"/>
          <w:sz w:val="32"/>
          <w:szCs w:val="32"/>
        </w:rPr>
        <w:t>2021年度财政下达项目经费89.86万元，其中：文化产业引导资金10万元，乡镇原公社老放映员生活困难补助3.49万元，新闻外宣奖励基金10万元，欢乐潇湘“幸福怀化”大型群众文化活动经费15万元，文明办工作经费3万元，农村电影放映补助资金4.37万元，中心组学习工作经费3万元，网络网宣工作经费15万元，文化产业发展新闻传媒经费2万元，扫黄打非工作经费5万元，社科联工作经费6万元，专项对外宣传经费15万元；</w:t>
      </w:r>
    </w:p>
    <w:p w14:paraId="34395E3F">
      <w:pPr>
        <w:widowControl/>
        <w:numPr>
          <w:ilvl w:val="0"/>
          <w:numId w:val="3"/>
        </w:numPr>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专项资金（主要指财政资金）实际使用情况分析。</w:t>
      </w:r>
    </w:p>
    <w:p w14:paraId="4C64F2CC">
      <w:pPr>
        <w:widowControl/>
        <w:shd w:val="clear" w:color="auto" w:fill="FFFFFF"/>
        <w:spacing w:line="600" w:lineRule="atLeast"/>
        <w:ind w:firstLine="640"/>
        <w:rPr>
          <w:rFonts w:ascii="仿宋" w:hAnsi="仿宋" w:eastAsia="仿宋"/>
          <w:spacing w:val="-2"/>
          <w:sz w:val="32"/>
          <w:szCs w:val="32"/>
        </w:rPr>
      </w:pPr>
      <w:r>
        <w:rPr>
          <w:rFonts w:hint="eastAsia" w:ascii="仿宋" w:hAnsi="仿宋" w:eastAsia="仿宋" w:cs="Times New Roman"/>
          <w:spacing w:val="-2"/>
          <w:sz w:val="32"/>
          <w:szCs w:val="32"/>
        </w:rPr>
        <w:t>2021年度财政下达项目经费89.86万元，其中：文化产业引导资金10万元，乡镇原公社老放映员生活困难补助3.49万元，新闻外宣奖励基金10万元，欢乐潇湘“幸福怀化”大型群众文化活动经费15万元，文明办工作经费3万元，农村电影放映补助资金4.37万元，中心组学习工作经费3万元，网络网宣工作经费15万元，文化产业发展新闻传媒经费2万元，扫黄打非工作经费5万元，社科联工作经费6万元，专项对外宣传经费15万元；</w:t>
      </w:r>
    </w:p>
    <w:p w14:paraId="7AD37F1F">
      <w:pPr>
        <w:widowControl/>
        <w:numPr>
          <w:ilvl w:val="0"/>
          <w:numId w:val="3"/>
        </w:numPr>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专项资金管理情况分析，主要包括管理制度、办法的制订及执行情况。</w:t>
      </w:r>
    </w:p>
    <w:p w14:paraId="58ECA121">
      <w:pPr>
        <w:widowControl/>
        <w:shd w:val="clear" w:color="auto" w:fill="FFFFFF"/>
        <w:spacing w:line="600" w:lineRule="atLeast"/>
        <w:ind w:firstLine="632" w:firstLineChars="200"/>
        <w:rPr>
          <w:rFonts w:ascii="仿宋" w:hAnsi="仿宋" w:eastAsia="仿宋"/>
          <w:spacing w:val="-2"/>
          <w:sz w:val="32"/>
          <w:szCs w:val="32"/>
        </w:rPr>
      </w:pPr>
      <w:r>
        <w:rPr>
          <w:rFonts w:hint="eastAsia" w:ascii="仿宋" w:hAnsi="仿宋" w:eastAsia="仿宋" w:cs="Times New Roman"/>
          <w:spacing w:val="-2"/>
          <w:sz w:val="32"/>
          <w:szCs w:val="32"/>
        </w:rPr>
        <w:t>为加强和规范单位财务管理，根据《会计法》《会计基础工作规范》《党政机关厉行节约反对浪费条例》等的要求，单位制度了严格的财务管理制度、车辆管理制度等，单位的所有财务活动都必须遵守国家有关法律法规和财务规章制度，坚持“量入为出，统筹兼顾，保证重点，兼顾一般，收支平衡”。</w:t>
      </w:r>
    </w:p>
    <w:p w14:paraId="45F0D422">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三、部门专项组织实施情况</w:t>
      </w:r>
    </w:p>
    <w:p w14:paraId="4362BC45">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（一）专项组织情况分析，主要包括项目招投标、调整、竣工验收等情况。</w:t>
      </w:r>
    </w:p>
    <w:p w14:paraId="562B8332">
      <w:pPr>
        <w:widowControl/>
        <w:shd w:val="clear" w:color="auto" w:fill="FFFFFF"/>
        <w:spacing w:line="560" w:lineRule="exact"/>
        <w:ind w:firstLine="632" w:firstLineChars="200"/>
        <w:rPr>
          <w:rFonts w:hint="eastAsia" w:ascii="仿宋" w:hAnsi="仿宋" w:eastAsia="仿宋"/>
          <w:spacing w:val="-2"/>
          <w:sz w:val="32"/>
          <w:szCs w:val="21"/>
        </w:rPr>
      </w:pPr>
      <w:r>
        <w:rPr>
          <w:rFonts w:hint="eastAsia" w:ascii="仿宋" w:hAnsi="仿宋" w:eastAsia="仿宋"/>
          <w:spacing w:val="-2"/>
          <w:sz w:val="32"/>
          <w:szCs w:val="21"/>
        </w:rPr>
        <w:t>项目招投标方面，凡是单个项目采购金额达到100万元的，均依法采用公开招投标方式组织项目实施；一般情况下，不进行项目调整，确需要调整的，均依照财政部门规定，按照程序报批后方予以调整；所有项目竣工验收等工作，均由业务科室按照规定程序进行，验收完成后财务方开展报账和支付工作。</w:t>
      </w:r>
    </w:p>
    <w:p w14:paraId="084ADCF1">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（二）专项管理情况分析，主要包括项目管理制度建设、日常检查监督管理等情况。</w:t>
      </w:r>
    </w:p>
    <w:p w14:paraId="6DC63B61">
      <w:pPr>
        <w:widowControl/>
        <w:shd w:val="clear" w:color="auto" w:fill="FFFFFF"/>
        <w:spacing w:line="560" w:lineRule="exact"/>
        <w:ind w:firstLine="632" w:firstLineChars="200"/>
        <w:rPr>
          <w:rFonts w:hint="eastAsia" w:ascii="仿宋" w:hAnsi="仿宋" w:eastAsia="仿宋"/>
          <w:spacing w:val="-2"/>
          <w:sz w:val="32"/>
          <w:szCs w:val="21"/>
        </w:rPr>
      </w:pPr>
      <w:r>
        <w:rPr>
          <w:rFonts w:hint="eastAsia" w:ascii="仿宋" w:hAnsi="仿宋" w:eastAsia="仿宋"/>
          <w:spacing w:val="-2"/>
          <w:sz w:val="32"/>
          <w:szCs w:val="21"/>
        </w:rPr>
        <w:t>为确保专项有效实施，提高专项资金的使用效率，根据省市级财政部门、上级部门的专项项目和资金管理办法：项目资金下达我单位后，合理编制项目预算并按照程序报批，加强项目实施前、实施中、实施后的监督管理，提高项目资金使用效益。</w:t>
      </w:r>
    </w:p>
    <w:p w14:paraId="4637990D">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四、资产管理情况</w:t>
      </w:r>
    </w:p>
    <w:p w14:paraId="52E08187">
      <w:pPr>
        <w:widowControl/>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spacing w:val="-2"/>
          <w:sz w:val="32"/>
          <w:szCs w:val="32"/>
        </w:rPr>
        <w:t>为加强资产管理，提高使用效益，保护公有财产安全，促进管理工作和业务活动的开展，我单位制定了资产管理制度，明确专人负责资产管理，根据《政府采购预算》进行资产配置和处置，按计划购置办公用品。固定资产购置、报废、调拨处置时严格按照资产管理要求，由财务和办公室共同组织，并按规定程序核准。</w:t>
      </w:r>
    </w:p>
    <w:p w14:paraId="53F765FB">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五、部门整体支出绩效情况</w:t>
      </w:r>
    </w:p>
    <w:p w14:paraId="531BC0CB">
      <w:pPr>
        <w:widowControl/>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spacing w:val="-2"/>
          <w:sz w:val="32"/>
          <w:szCs w:val="32"/>
        </w:rPr>
        <w:t>我单位从部门整体支出的经济性、效率性、有效性和可持续性等对2021年部门整体支出绩效开展了评价，自评得分91分，具体情况如下：</w:t>
      </w:r>
    </w:p>
    <w:p w14:paraId="0440A0AF">
      <w:pPr>
        <w:widowControl/>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spacing w:val="-2"/>
          <w:sz w:val="32"/>
          <w:szCs w:val="32"/>
        </w:rPr>
        <w:t>（一）经济性分析</w:t>
      </w:r>
    </w:p>
    <w:p w14:paraId="458C3546">
      <w:pPr>
        <w:widowControl/>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cs="Times New Roman"/>
          <w:spacing w:val="-2"/>
          <w:sz w:val="32"/>
          <w:szCs w:val="32"/>
        </w:rPr>
        <w:t>2021年预算支出总计358.32万元，主要收入来源为财政拨款。一是保障了职工的工资；二是项目资金基本上做到了专款专用，</w:t>
      </w:r>
      <w:r>
        <w:rPr>
          <w:rFonts w:hint="eastAsia" w:ascii="仿宋" w:hAnsi="仿宋" w:eastAsia="仿宋"/>
          <w:spacing w:val="-2"/>
          <w:sz w:val="32"/>
          <w:szCs w:val="32"/>
        </w:rPr>
        <w:t>成本（预算）控制较好。</w:t>
      </w:r>
    </w:p>
    <w:p w14:paraId="74CB668D">
      <w:pPr>
        <w:widowControl/>
        <w:numPr>
          <w:ilvl w:val="0"/>
          <w:numId w:val="4"/>
        </w:numPr>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spacing w:val="-2"/>
          <w:sz w:val="32"/>
          <w:szCs w:val="32"/>
        </w:rPr>
        <w:t>效率性分析</w:t>
      </w:r>
    </w:p>
    <w:p w14:paraId="648744DF">
      <w:pPr>
        <w:widowControl/>
        <w:shd w:val="clear" w:color="auto" w:fill="FFFFFF"/>
        <w:spacing w:line="560" w:lineRule="exact"/>
        <w:ind w:firstLine="632" w:firstLineChars="200"/>
        <w:rPr>
          <w:rFonts w:hint="eastAsia" w:ascii="仿宋" w:hAnsi="仿宋" w:eastAsia="仿宋"/>
          <w:spacing w:val="-2"/>
          <w:sz w:val="32"/>
          <w:szCs w:val="21"/>
        </w:rPr>
      </w:pPr>
      <w:r>
        <w:rPr>
          <w:rFonts w:hint="eastAsia" w:ascii="仿宋" w:hAnsi="仿宋" w:eastAsia="仿宋"/>
          <w:spacing w:val="-2"/>
          <w:sz w:val="32"/>
          <w:szCs w:val="21"/>
        </w:rPr>
        <w:t>2021年部门整体支出绩效情况较好，能按年初设定的目标任务积极完成了各项工作。</w:t>
      </w:r>
    </w:p>
    <w:p w14:paraId="7A91C3AC">
      <w:pPr>
        <w:widowControl/>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spacing w:val="-2"/>
          <w:sz w:val="32"/>
          <w:szCs w:val="32"/>
        </w:rPr>
        <w:t>（三）有效性分析</w:t>
      </w:r>
    </w:p>
    <w:p w14:paraId="55AB4E85">
      <w:pPr>
        <w:widowControl/>
        <w:shd w:val="clear" w:color="auto" w:fill="FFFFFF"/>
        <w:spacing w:line="560" w:lineRule="exact"/>
        <w:ind w:firstLine="632" w:firstLineChars="200"/>
        <w:rPr>
          <w:rFonts w:ascii="仿宋" w:hAnsi="仿宋" w:eastAsia="仿宋"/>
          <w:spacing w:val="-2"/>
          <w:sz w:val="32"/>
          <w:szCs w:val="32"/>
        </w:rPr>
      </w:pPr>
      <w:r>
        <w:rPr>
          <w:rFonts w:hint="eastAsia" w:ascii="仿宋" w:hAnsi="仿宋" w:eastAsia="仿宋" w:cs="Times New Roman"/>
          <w:spacing w:val="-2"/>
          <w:sz w:val="32"/>
          <w:szCs w:val="32"/>
        </w:rPr>
        <w:t>2021年本部门较好地完成了2021年初设定的工作任务。</w:t>
      </w:r>
    </w:p>
    <w:p w14:paraId="257E9EDE">
      <w:pPr>
        <w:widowControl/>
        <w:shd w:val="clear" w:color="auto" w:fill="FFFFFF"/>
        <w:spacing w:line="560" w:lineRule="exact"/>
        <w:ind w:firstLine="632" w:firstLineChars="200"/>
        <w:rPr>
          <w:rFonts w:ascii="楷体" w:hAnsi="楷体" w:eastAsia="楷体"/>
          <w:b/>
          <w:spacing w:val="-2"/>
          <w:sz w:val="32"/>
          <w:szCs w:val="21"/>
        </w:rPr>
      </w:pPr>
      <w:r>
        <w:rPr>
          <w:rFonts w:ascii="楷体" w:hAnsi="楷体" w:eastAsia="楷体"/>
          <w:b/>
          <w:spacing w:val="-2"/>
          <w:sz w:val="32"/>
          <w:szCs w:val="32"/>
        </w:rPr>
        <w:t>六、存在的主要问题</w:t>
      </w:r>
    </w:p>
    <w:p w14:paraId="27E1ED8C">
      <w:pPr>
        <w:widowControl/>
        <w:spacing w:line="56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可以从预算和预算绩效管理，部门履职效能，资金分配、使用和管理，资产和财务管理、政府采购等方面归纳存在的问题；反映各种</w:t>
      </w:r>
      <w:r>
        <w:rPr>
          <w:rFonts w:ascii="Times New Roman" w:hAnsi="Times New Roman" w:eastAsia="仿宋_GB2312" w:cs="Times New Roman"/>
          <w:color w:val="000000"/>
          <w:sz w:val="32"/>
          <w:szCs w:val="32"/>
        </w:rPr>
        <w:t>预算支出执行偏离绩效目标的情况，</w:t>
      </w:r>
      <w:r>
        <w:rPr>
          <w:rFonts w:ascii="Times New Roman" w:hAnsi="Times New Roman" w:eastAsia="仿宋_GB2312" w:cs="Times New Roman"/>
          <w:sz w:val="32"/>
          <w:szCs w:val="32"/>
        </w:rPr>
        <w:t>并分析其原因。</w:t>
      </w:r>
    </w:p>
    <w:p w14:paraId="4795BF02">
      <w:pPr>
        <w:widowControl/>
        <w:shd w:val="clear" w:color="auto" w:fill="FFFFFF"/>
        <w:spacing w:line="560" w:lineRule="exact"/>
        <w:ind w:firstLine="632" w:firstLineChars="200"/>
        <w:rPr>
          <w:rFonts w:ascii="楷体" w:hAnsi="楷体" w:eastAsia="楷体"/>
          <w:b/>
          <w:spacing w:val="-2"/>
          <w:sz w:val="32"/>
          <w:szCs w:val="21"/>
        </w:rPr>
      </w:pPr>
      <w:r>
        <w:rPr>
          <w:rFonts w:ascii="楷体" w:hAnsi="楷体" w:eastAsia="楷体"/>
          <w:b/>
          <w:spacing w:val="-2"/>
          <w:sz w:val="32"/>
          <w:szCs w:val="32"/>
        </w:rPr>
        <w:t>七、改进措施和有关建议</w:t>
      </w:r>
    </w:p>
    <w:p w14:paraId="41303276">
      <w:pPr>
        <w:widowControl/>
        <w:spacing w:line="56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、细化预算编制工作，认真做好预算的编制。进一步加强单位内部机构各股室的预算管理意识，严格按照预算编制的相关制度和要求进行预算编制。</w:t>
      </w:r>
    </w:p>
    <w:p w14:paraId="2A104B2C">
      <w:pPr>
        <w:widowControl/>
        <w:spacing w:line="56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14:paraId="296C7CB5">
      <w:pPr>
        <w:widowControl/>
        <w:spacing w:line="56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14:paraId="1BE9020C">
      <w:pPr>
        <w:widowControl/>
        <w:spacing w:line="560" w:lineRule="exact"/>
        <w:ind w:firstLine="640" w:firstLineChars="200"/>
        <w:jc w:val="left"/>
      </w:pPr>
      <w:r>
        <w:rPr>
          <w:rFonts w:hint="eastAsia" w:ascii="Times New Roman" w:hAnsi="Times New Roman" w:eastAsia="仿宋_GB2312" w:cs="Times New Roman"/>
          <w:sz w:val="32"/>
          <w:szCs w:val="32"/>
        </w:rPr>
        <w:t>4、对相关人员加强培训，特别是针对《预算法》、《行政事业单位会计制度》等学习培训，规范部门预算收支核算，切实提高部门预算收支管理水平。</w:t>
      </w:r>
    </w:p>
    <w:p w14:paraId="5AAE0C37">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5FE3B4"/>
    <w:multiLevelType w:val="singleLevel"/>
    <w:tmpl w:val="A35FE3B4"/>
    <w:lvl w:ilvl="0" w:tentative="0">
      <w:start w:val="2"/>
      <w:numFmt w:val="chineseCounting"/>
      <w:suff w:val="nothing"/>
      <w:lvlText w:val="（%1）"/>
      <w:lvlJc w:val="left"/>
      <w:rPr>
        <w:rFonts w:hint="eastAsia"/>
      </w:rPr>
    </w:lvl>
  </w:abstractNum>
  <w:abstractNum w:abstractNumId="1">
    <w:nsid w:val="CE89EEBD"/>
    <w:multiLevelType w:val="singleLevel"/>
    <w:tmpl w:val="CE89EEBD"/>
    <w:lvl w:ilvl="0" w:tentative="0">
      <w:start w:val="2"/>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2EF515"/>
    <w:multiLevelType w:val="singleLevel"/>
    <w:tmpl w:val="582EF515"/>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jc3ZDVhOTM0NTczYTJiNzUyZTVkM2Y3OTA1OGQifQ=="/>
  </w:docVars>
  <w:rsids>
    <w:rsidRoot w:val="004506F9"/>
    <w:rsid w:val="0002229B"/>
    <w:rsid w:val="000273BD"/>
    <w:rsid w:val="000415B7"/>
    <w:rsid w:val="00041E3F"/>
    <w:rsid w:val="00055DAA"/>
    <w:rsid w:val="00061F7B"/>
    <w:rsid w:val="000658A3"/>
    <w:rsid w:val="00074155"/>
    <w:rsid w:val="00081AF1"/>
    <w:rsid w:val="000873EF"/>
    <w:rsid w:val="000A3F69"/>
    <w:rsid w:val="00103957"/>
    <w:rsid w:val="00124A1F"/>
    <w:rsid w:val="00152C6D"/>
    <w:rsid w:val="00162D39"/>
    <w:rsid w:val="001678BD"/>
    <w:rsid w:val="00182373"/>
    <w:rsid w:val="00182B50"/>
    <w:rsid w:val="001A67DB"/>
    <w:rsid w:val="001C3C29"/>
    <w:rsid w:val="001D51E5"/>
    <w:rsid w:val="001E080D"/>
    <w:rsid w:val="001E53D0"/>
    <w:rsid w:val="001F0C3B"/>
    <w:rsid w:val="00202C14"/>
    <w:rsid w:val="00202C82"/>
    <w:rsid w:val="00214427"/>
    <w:rsid w:val="00226CB7"/>
    <w:rsid w:val="002441AF"/>
    <w:rsid w:val="00264552"/>
    <w:rsid w:val="00264EF9"/>
    <w:rsid w:val="00265724"/>
    <w:rsid w:val="0027426B"/>
    <w:rsid w:val="002E0A30"/>
    <w:rsid w:val="002F53BB"/>
    <w:rsid w:val="003130C4"/>
    <w:rsid w:val="00316C4B"/>
    <w:rsid w:val="0032192B"/>
    <w:rsid w:val="00327FFA"/>
    <w:rsid w:val="003479BD"/>
    <w:rsid w:val="0037197D"/>
    <w:rsid w:val="003768D5"/>
    <w:rsid w:val="003C4197"/>
    <w:rsid w:val="003C47E6"/>
    <w:rsid w:val="003C4FC2"/>
    <w:rsid w:val="003E2331"/>
    <w:rsid w:val="003F09E1"/>
    <w:rsid w:val="00416E61"/>
    <w:rsid w:val="0042790C"/>
    <w:rsid w:val="004506F9"/>
    <w:rsid w:val="004717A2"/>
    <w:rsid w:val="00473DF3"/>
    <w:rsid w:val="00487911"/>
    <w:rsid w:val="00491741"/>
    <w:rsid w:val="00497300"/>
    <w:rsid w:val="004B0CEE"/>
    <w:rsid w:val="004E71CA"/>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0317E"/>
    <w:rsid w:val="00611D0C"/>
    <w:rsid w:val="0062378F"/>
    <w:rsid w:val="00641842"/>
    <w:rsid w:val="00651EEC"/>
    <w:rsid w:val="00683D5A"/>
    <w:rsid w:val="00686673"/>
    <w:rsid w:val="00691E8C"/>
    <w:rsid w:val="006A22C4"/>
    <w:rsid w:val="006A348B"/>
    <w:rsid w:val="006A351B"/>
    <w:rsid w:val="006B0422"/>
    <w:rsid w:val="006B0ECC"/>
    <w:rsid w:val="006C1B53"/>
    <w:rsid w:val="006D7730"/>
    <w:rsid w:val="006D7AA4"/>
    <w:rsid w:val="006E5284"/>
    <w:rsid w:val="006F3EB5"/>
    <w:rsid w:val="006F6E93"/>
    <w:rsid w:val="00702E34"/>
    <w:rsid w:val="00704395"/>
    <w:rsid w:val="00710FE7"/>
    <w:rsid w:val="00717621"/>
    <w:rsid w:val="00720FF1"/>
    <w:rsid w:val="00727A53"/>
    <w:rsid w:val="0076627B"/>
    <w:rsid w:val="00767FBF"/>
    <w:rsid w:val="00787B42"/>
    <w:rsid w:val="007C4539"/>
    <w:rsid w:val="007F3657"/>
    <w:rsid w:val="00812ED5"/>
    <w:rsid w:val="008277D9"/>
    <w:rsid w:val="0084478C"/>
    <w:rsid w:val="008654BB"/>
    <w:rsid w:val="0086638C"/>
    <w:rsid w:val="00896B37"/>
    <w:rsid w:val="008A3E8D"/>
    <w:rsid w:val="009237C4"/>
    <w:rsid w:val="00944C48"/>
    <w:rsid w:val="00950252"/>
    <w:rsid w:val="00967F5D"/>
    <w:rsid w:val="009A0F95"/>
    <w:rsid w:val="009B3ADF"/>
    <w:rsid w:val="009C3B52"/>
    <w:rsid w:val="009E6817"/>
    <w:rsid w:val="009E6E9A"/>
    <w:rsid w:val="00A01D2B"/>
    <w:rsid w:val="00A37EC9"/>
    <w:rsid w:val="00A42218"/>
    <w:rsid w:val="00A70249"/>
    <w:rsid w:val="00A70B02"/>
    <w:rsid w:val="00A71D9F"/>
    <w:rsid w:val="00A92E9F"/>
    <w:rsid w:val="00B33BEA"/>
    <w:rsid w:val="00B42C25"/>
    <w:rsid w:val="00B43F86"/>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204AD"/>
    <w:rsid w:val="00D205B4"/>
    <w:rsid w:val="00D415BA"/>
    <w:rsid w:val="00D63780"/>
    <w:rsid w:val="00D644EE"/>
    <w:rsid w:val="00D75489"/>
    <w:rsid w:val="00DD06FF"/>
    <w:rsid w:val="00DD3A35"/>
    <w:rsid w:val="00DD5FE9"/>
    <w:rsid w:val="00E00C7A"/>
    <w:rsid w:val="00E209CF"/>
    <w:rsid w:val="00E37D6C"/>
    <w:rsid w:val="00E443D2"/>
    <w:rsid w:val="00E55B68"/>
    <w:rsid w:val="00E67BE6"/>
    <w:rsid w:val="00E8683C"/>
    <w:rsid w:val="00EA2B72"/>
    <w:rsid w:val="00F74360"/>
    <w:rsid w:val="00FB462F"/>
    <w:rsid w:val="00FE16FA"/>
    <w:rsid w:val="00FE328A"/>
    <w:rsid w:val="00FE6269"/>
    <w:rsid w:val="00FF5CD6"/>
    <w:rsid w:val="044625E2"/>
    <w:rsid w:val="05AA27EC"/>
    <w:rsid w:val="07A43884"/>
    <w:rsid w:val="08591B53"/>
    <w:rsid w:val="08AF79C5"/>
    <w:rsid w:val="0B9949BD"/>
    <w:rsid w:val="0CE40585"/>
    <w:rsid w:val="0FA25658"/>
    <w:rsid w:val="102A2753"/>
    <w:rsid w:val="10AF0EAA"/>
    <w:rsid w:val="10E943BC"/>
    <w:rsid w:val="118F1AA2"/>
    <w:rsid w:val="11981CAA"/>
    <w:rsid w:val="124949E7"/>
    <w:rsid w:val="12863E8D"/>
    <w:rsid w:val="130152C1"/>
    <w:rsid w:val="1331153F"/>
    <w:rsid w:val="135B70C7"/>
    <w:rsid w:val="1890304F"/>
    <w:rsid w:val="18DC689D"/>
    <w:rsid w:val="1A0758B3"/>
    <w:rsid w:val="1A7171D0"/>
    <w:rsid w:val="1B544B28"/>
    <w:rsid w:val="1E912BAE"/>
    <w:rsid w:val="1F777037"/>
    <w:rsid w:val="1FAA11BB"/>
    <w:rsid w:val="22E41360"/>
    <w:rsid w:val="27003DB6"/>
    <w:rsid w:val="27264E59"/>
    <w:rsid w:val="2CAF3D69"/>
    <w:rsid w:val="2CD77367"/>
    <w:rsid w:val="2D9139BA"/>
    <w:rsid w:val="31F6028F"/>
    <w:rsid w:val="33485079"/>
    <w:rsid w:val="34362BC5"/>
    <w:rsid w:val="35A5702F"/>
    <w:rsid w:val="36174C78"/>
    <w:rsid w:val="3D7824A0"/>
    <w:rsid w:val="3F193475"/>
    <w:rsid w:val="3FD5295A"/>
    <w:rsid w:val="40776A3F"/>
    <w:rsid w:val="42D71A17"/>
    <w:rsid w:val="43A56FD9"/>
    <w:rsid w:val="44AF4C38"/>
    <w:rsid w:val="460D732F"/>
    <w:rsid w:val="493C0826"/>
    <w:rsid w:val="4AEA6630"/>
    <w:rsid w:val="4B706C20"/>
    <w:rsid w:val="4C297A70"/>
    <w:rsid w:val="4CD45992"/>
    <w:rsid w:val="4DAB282A"/>
    <w:rsid w:val="4E01203E"/>
    <w:rsid w:val="4FDE2637"/>
    <w:rsid w:val="50565316"/>
    <w:rsid w:val="51600E2A"/>
    <w:rsid w:val="51C87152"/>
    <w:rsid w:val="53B8319F"/>
    <w:rsid w:val="55F27B95"/>
    <w:rsid w:val="591C726F"/>
    <w:rsid w:val="5C4C32C4"/>
    <w:rsid w:val="5DD24E5D"/>
    <w:rsid w:val="5EC634D2"/>
    <w:rsid w:val="5EFE00E7"/>
    <w:rsid w:val="64052FCB"/>
    <w:rsid w:val="64243F39"/>
    <w:rsid w:val="64A01811"/>
    <w:rsid w:val="6589396E"/>
    <w:rsid w:val="669E7FD2"/>
    <w:rsid w:val="66E77BCB"/>
    <w:rsid w:val="69513A22"/>
    <w:rsid w:val="6DB20DED"/>
    <w:rsid w:val="6DCF4F15"/>
    <w:rsid w:val="6E775CD9"/>
    <w:rsid w:val="7726029C"/>
    <w:rsid w:val="77632FEC"/>
    <w:rsid w:val="7791148D"/>
    <w:rsid w:val="7AC53928"/>
    <w:rsid w:val="7B2851B8"/>
    <w:rsid w:val="7B5B24DE"/>
    <w:rsid w:val="7BC60B3A"/>
    <w:rsid w:val="7EB937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9319</Words>
  <Characters>10046</Characters>
  <Lines>70</Lines>
  <Paragraphs>19</Paragraphs>
  <TotalTime>14</TotalTime>
  <ScaleCrop>false</ScaleCrop>
  <LinksUpToDate>false</LinksUpToDate>
  <CharactersWithSpaces>10068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2022-10-11T00:04:00Z</dcterms:created>
  <dc:creator>李航 null</dc:creator>
  <cp:lastModifiedBy>微信用户</cp:lastModifiedBy>
  <cp:lastPrinted>2022-07-27T12:55:00Z</cp:lastPrinted>
  <dcterms:modified xsi:type="dcterms:W3CDTF">2026-06-09T03:05:15Z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E6F885E0D88C42608E3FFDF360ABF3C4_13</vt:lpwstr>
  </property>
  <property fmtid="{D5CDD505-2E9C-101B-9397-08002B2CF9AE}" pid="4" name="KSOTemplateDocerSaveRecord">
    <vt:lpwstr>eyJoZGlkIjoiMmJjNmVmZjhhNjkxMjY5OTNiZGU2ZmI1NGRkMjU0MDQiLCJ1c2VySWQiOiIxMzQ0MTU4MzM4In0=</vt:lpwstr>
  </property>
</Properties>
</file>