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4202E">
      <w:pPr>
        <w:pStyle w:val="11"/>
        <w:jc w:val="center"/>
        <w:rPr>
          <w:sz w:val="56"/>
          <w:szCs w:val="56"/>
        </w:rPr>
      </w:pPr>
    </w:p>
    <w:p w14:paraId="3C46BA68">
      <w:pPr>
        <w:pStyle w:val="11"/>
        <w:jc w:val="center"/>
        <w:rPr>
          <w:sz w:val="56"/>
          <w:szCs w:val="56"/>
        </w:rPr>
      </w:pPr>
    </w:p>
    <w:p w14:paraId="4E7AF15B">
      <w:pPr>
        <w:pStyle w:val="11"/>
        <w:jc w:val="center"/>
        <w:rPr>
          <w:sz w:val="84"/>
          <w:szCs w:val="84"/>
        </w:rPr>
      </w:pPr>
    </w:p>
    <w:p w14:paraId="5089FB8E">
      <w:pPr>
        <w:pStyle w:val="11"/>
        <w:jc w:val="center"/>
        <w:rPr>
          <w:sz w:val="84"/>
          <w:szCs w:val="84"/>
        </w:rPr>
      </w:pPr>
    </w:p>
    <w:p w14:paraId="11B9B67D">
      <w:pPr>
        <w:pStyle w:val="11"/>
        <w:jc w:val="center"/>
        <w:rPr>
          <w:sz w:val="84"/>
          <w:szCs w:val="84"/>
        </w:rPr>
      </w:pPr>
      <w:r>
        <w:rPr>
          <w:rFonts w:hint="eastAsia"/>
          <w:sz w:val="84"/>
          <w:szCs w:val="84"/>
        </w:rPr>
        <w:t>2021年度</w:t>
      </w:r>
    </w:p>
    <w:p w14:paraId="215E73A2">
      <w:pPr>
        <w:pStyle w:val="11"/>
        <w:jc w:val="center"/>
        <w:rPr>
          <w:sz w:val="84"/>
          <w:szCs w:val="84"/>
        </w:rPr>
      </w:pPr>
      <w:r>
        <w:rPr>
          <w:rFonts w:hint="eastAsia"/>
          <w:sz w:val="84"/>
          <w:szCs w:val="84"/>
          <w:lang w:eastAsia="zh-CN"/>
        </w:rPr>
        <w:t>怀化市鹤城区委网络安全和信息化委员会</w:t>
      </w:r>
      <w:r>
        <w:rPr>
          <w:rFonts w:hint="eastAsia"/>
          <w:sz w:val="84"/>
          <w:szCs w:val="84"/>
        </w:rPr>
        <w:t>部门决算</w:t>
      </w:r>
    </w:p>
    <w:p w14:paraId="54297238">
      <w:pPr>
        <w:pStyle w:val="11"/>
        <w:jc w:val="center"/>
        <w:rPr>
          <w:sz w:val="56"/>
          <w:szCs w:val="56"/>
        </w:rPr>
      </w:pPr>
    </w:p>
    <w:p w14:paraId="78B1BA84">
      <w:pPr>
        <w:pStyle w:val="11"/>
        <w:jc w:val="center"/>
        <w:rPr>
          <w:sz w:val="56"/>
          <w:szCs w:val="56"/>
        </w:rPr>
      </w:pPr>
    </w:p>
    <w:p w14:paraId="6F9A23EA">
      <w:pPr>
        <w:pStyle w:val="11"/>
        <w:jc w:val="center"/>
        <w:rPr>
          <w:sz w:val="56"/>
          <w:szCs w:val="56"/>
        </w:rPr>
      </w:pPr>
    </w:p>
    <w:p w14:paraId="193FBDFA">
      <w:pPr>
        <w:pStyle w:val="11"/>
        <w:spacing w:line="540" w:lineRule="exact"/>
        <w:jc w:val="both"/>
        <w:rPr>
          <w:sz w:val="56"/>
          <w:szCs w:val="56"/>
        </w:rPr>
      </w:pPr>
    </w:p>
    <w:p w14:paraId="78CCB189">
      <w:pPr>
        <w:pStyle w:val="11"/>
        <w:spacing w:line="540" w:lineRule="exact"/>
        <w:jc w:val="both"/>
        <w:rPr>
          <w:sz w:val="56"/>
          <w:szCs w:val="56"/>
        </w:rPr>
      </w:pPr>
    </w:p>
    <w:p w14:paraId="202E7A09">
      <w:pPr>
        <w:pStyle w:val="11"/>
        <w:spacing w:line="540" w:lineRule="exact"/>
        <w:jc w:val="both"/>
        <w:rPr>
          <w:sz w:val="56"/>
          <w:szCs w:val="56"/>
        </w:rPr>
      </w:pPr>
    </w:p>
    <w:p w14:paraId="57410A50">
      <w:pPr>
        <w:pStyle w:val="11"/>
        <w:spacing w:line="540" w:lineRule="exact"/>
        <w:jc w:val="both"/>
        <w:rPr>
          <w:sz w:val="56"/>
          <w:szCs w:val="56"/>
        </w:rPr>
      </w:pPr>
    </w:p>
    <w:p w14:paraId="0C398978">
      <w:pPr>
        <w:pStyle w:val="11"/>
        <w:spacing w:line="540" w:lineRule="exact"/>
        <w:jc w:val="both"/>
        <w:rPr>
          <w:sz w:val="56"/>
          <w:szCs w:val="56"/>
        </w:rPr>
      </w:pPr>
    </w:p>
    <w:p w14:paraId="536F3CB3">
      <w:pPr>
        <w:pStyle w:val="11"/>
        <w:spacing w:line="500" w:lineRule="exact"/>
        <w:jc w:val="both"/>
        <w:rPr>
          <w:b/>
          <w:sz w:val="36"/>
          <w:szCs w:val="28"/>
        </w:rPr>
      </w:pPr>
    </w:p>
    <w:p w14:paraId="1B18EF27">
      <w:pPr>
        <w:rPr>
          <w:rFonts w:hint="eastAsia"/>
          <w:b/>
          <w:sz w:val="36"/>
          <w:szCs w:val="28"/>
        </w:rPr>
      </w:pPr>
      <w:r>
        <w:rPr>
          <w:rFonts w:hint="eastAsia"/>
          <w:b/>
          <w:sz w:val="36"/>
          <w:szCs w:val="28"/>
        </w:rPr>
        <w:br w:type="page"/>
      </w:r>
    </w:p>
    <w:p w14:paraId="7F405BD0">
      <w:pPr>
        <w:pStyle w:val="11"/>
        <w:spacing w:line="500" w:lineRule="exact"/>
        <w:jc w:val="center"/>
        <w:rPr>
          <w:b/>
          <w:sz w:val="36"/>
          <w:szCs w:val="28"/>
        </w:rPr>
      </w:pPr>
      <w:r>
        <w:rPr>
          <w:rFonts w:hint="eastAsia"/>
          <w:b/>
          <w:sz w:val="36"/>
          <w:szCs w:val="28"/>
        </w:rPr>
        <w:t>目录</w:t>
      </w:r>
    </w:p>
    <w:p w14:paraId="556C22A8">
      <w:pPr>
        <w:pStyle w:val="11"/>
        <w:spacing w:line="500" w:lineRule="exact"/>
        <w:rPr>
          <w:rFonts w:ascii="仿宋_GB2312" w:hAnsi="仿宋_GB2312" w:cs="仿宋_GB2312"/>
          <w:b/>
          <w:sz w:val="28"/>
          <w:szCs w:val="28"/>
        </w:rPr>
      </w:pPr>
      <w:r>
        <w:rPr>
          <w:rFonts w:hint="eastAsia"/>
          <w:b/>
          <w:sz w:val="28"/>
          <w:szCs w:val="28"/>
        </w:rPr>
        <w:t>第一部分怀化市鹤城区委网络安全和信息化委员会单位概况</w:t>
      </w:r>
    </w:p>
    <w:p w14:paraId="1C1A0F69">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53CA20AF">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14:paraId="464367DA">
      <w:pPr>
        <w:pStyle w:val="11"/>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2021</w:t>
      </w:r>
      <w:r>
        <w:rPr>
          <w:rFonts w:hint="eastAsia" w:hAnsi="仿宋_GB2312"/>
          <w:b/>
          <w:sz w:val="28"/>
          <w:szCs w:val="28"/>
        </w:rPr>
        <w:t>年度部门决算表</w:t>
      </w:r>
    </w:p>
    <w:p w14:paraId="6CD04DDF">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729F8C94">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11D319A1">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6B608B90">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16E95B13">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006FC7D4">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14:paraId="488898FB">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02AFBC65">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7B269F33">
      <w:pPr>
        <w:pStyle w:val="11"/>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6C9FD2A6">
      <w:pPr>
        <w:pStyle w:val="11"/>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2021</w:t>
      </w:r>
      <w:r>
        <w:rPr>
          <w:rFonts w:hint="eastAsia" w:hAnsi="仿宋_GB2312"/>
          <w:b/>
          <w:sz w:val="28"/>
          <w:szCs w:val="28"/>
        </w:rPr>
        <w:t>年度部门决算情况说明</w:t>
      </w:r>
    </w:p>
    <w:p w14:paraId="43E22D0B">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2D0A35A3">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4B9561F7">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09FB1C7B">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45878C5F">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717992B3">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5CA0D1CD">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cs="仿宋_GB2312" w:asciiTheme="minorEastAsia" w:hAnsiTheme="minorEastAsia" w:eastAsiaTheme="minorEastAsia"/>
          <w:sz w:val="28"/>
          <w:szCs w:val="28"/>
        </w:rPr>
        <w:t>“三公”</w:t>
      </w:r>
      <w:r>
        <w:rPr>
          <w:rFonts w:ascii="仿宋_GB2312" w:hAnsi="仿宋_GB2312" w:cs="仿宋_GB2312"/>
          <w:color w:val="000000"/>
          <w:kern w:val="0"/>
          <w:sz w:val="28"/>
          <w:szCs w:val="28"/>
        </w:rPr>
        <w:t>经费支出决算情况说明</w:t>
      </w:r>
    </w:p>
    <w:p w14:paraId="15716FC4">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6D6B1123">
      <w:pPr>
        <w:autoSpaceDE w:val="0"/>
        <w:autoSpaceDN w:val="0"/>
        <w:adjustRightInd w:val="0"/>
        <w:spacing w:line="500" w:lineRule="exact"/>
        <w:ind w:firstLine="700" w:firstLineChars="250"/>
        <w:jc w:val="left"/>
        <w:rPr>
          <w:rFonts w:cs="仿宋_GB2312" w:asciiTheme="minorEastAsia" w:hAnsiTheme="minorEastAsia"/>
          <w:sz w:val="28"/>
          <w:szCs w:val="28"/>
        </w:rPr>
      </w:pPr>
      <w:r>
        <w:rPr>
          <w:rFonts w:hint="eastAsia" w:ascii="仿宋_GB2312" w:hAnsi="仿宋_GB2312" w:cs="仿宋_GB2312"/>
          <w:color w:val="000000"/>
          <w:kern w:val="0"/>
          <w:sz w:val="28"/>
          <w:szCs w:val="28"/>
        </w:rPr>
        <w:t>九、</w:t>
      </w:r>
      <w:r>
        <w:rPr>
          <w:rFonts w:hint="eastAsia" w:cs="仿宋_GB2312" w:asciiTheme="minorEastAsia" w:hAnsiTheme="minorEastAsia"/>
          <w:sz w:val="28"/>
          <w:szCs w:val="28"/>
        </w:rPr>
        <w:t>国有资本经营预算财政拨款收支决算情况</w:t>
      </w:r>
    </w:p>
    <w:p w14:paraId="6A11B0C2">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14:paraId="3E84DECA">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14:paraId="5ED4A6A4">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十二、政府采购支出说明</w:t>
      </w:r>
    </w:p>
    <w:p w14:paraId="0639ADD3">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14:paraId="12F36E67">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14:paraId="25B31A15">
      <w:pPr>
        <w:autoSpaceDE w:val="0"/>
        <w:autoSpaceDN w:val="0"/>
        <w:adjustRightInd w:val="0"/>
        <w:spacing w:line="50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第四部分名词解释</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第五部分附件</w:t>
      </w:r>
    </w:p>
    <w:p w14:paraId="0F26BC94">
      <w:pPr>
        <w:jc w:val="center"/>
        <w:rPr>
          <w:sz w:val="72"/>
          <w:szCs w:val="72"/>
        </w:rPr>
      </w:pPr>
    </w:p>
    <w:p w14:paraId="0A9E1481">
      <w:pPr>
        <w:jc w:val="center"/>
        <w:rPr>
          <w:sz w:val="72"/>
          <w:szCs w:val="72"/>
        </w:rPr>
      </w:pPr>
    </w:p>
    <w:p w14:paraId="437447AB">
      <w:pPr>
        <w:jc w:val="center"/>
        <w:rPr>
          <w:sz w:val="72"/>
          <w:szCs w:val="72"/>
        </w:rPr>
      </w:pPr>
    </w:p>
    <w:p w14:paraId="322D0B5B">
      <w:pPr>
        <w:jc w:val="center"/>
        <w:rPr>
          <w:sz w:val="72"/>
          <w:szCs w:val="72"/>
        </w:rPr>
      </w:pPr>
    </w:p>
    <w:p w14:paraId="43FFC1C1">
      <w:pPr>
        <w:rPr>
          <w:sz w:val="72"/>
          <w:szCs w:val="72"/>
        </w:rPr>
      </w:pPr>
    </w:p>
    <w:p w14:paraId="1C165947">
      <w:pPr>
        <w:pStyle w:val="11"/>
        <w:jc w:val="center"/>
        <w:rPr>
          <w:sz w:val="84"/>
          <w:szCs w:val="84"/>
        </w:rPr>
      </w:pPr>
      <w:r>
        <w:rPr>
          <w:rFonts w:hint="eastAsia"/>
          <w:sz w:val="84"/>
          <w:szCs w:val="84"/>
        </w:rPr>
        <w:t>第一部分</w:t>
      </w:r>
    </w:p>
    <w:p w14:paraId="7053CB4C">
      <w:pPr>
        <w:pStyle w:val="11"/>
        <w:jc w:val="center"/>
        <w:rPr>
          <w:sz w:val="84"/>
          <w:szCs w:val="84"/>
        </w:rPr>
      </w:pPr>
    </w:p>
    <w:p w14:paraId="3DB162DC">
      <w:pPr>
        <w:pStyle w:val="11"/>
        <w:jc w:val="center"/>
        <w:rPr>
          <w:sz w:val="84"/>
          <w:szCs w:val="84"/>
        </w:rPr>
      </w:pPr>
      <w:r>
        <w:rPr>
          <w:rFonts w:hint="eastAsia"/>
          <w:sz w:val="84"/>
          <w:szCs w:val="84"/>
          <w:lang w:eastAsia="zh-CN"/>
        </w:rPr>
        <w:t>怀化市鹤城区委网络安全和信息化委员会</w:t>
      </w:r>
      <w:r>
        <w:rPr>
          <w:rFonts w:hint="eastAsia"/>
          <w:sz w:val="84"/>
          <w:szCs w:val="84"/>
        </w:rPr>
        <w:t>单位概况</w:t>
      </w:r>
    </w:p>
    <w:p w14:paraId="12D3E4A9">
      <w:pPr>
        <w:jc w:val="center"/>
        <w:rPr>
          <w:sz w:val="72"/>
          <w:szCs w:val="72"/>
        </w:rPr>
      </w:pPr>
    </w:p>
    <w:p w14:paraId="18CCF4EC">
      <w:pPr>
        <w:jc w:val="center"/>
        <w:rPr>
          <w:sz w:val="72"/>
          <w:szCs w:val="72"/>
        </w:rPr>
      </w:pPr>
    </w:p>
    <w:p w14:paraId="055626BC">
      <w:pPr>
        <w:jc w:val="center"/>
        <w:rPr>
          <w:sz w:val="72"/>
          <w:szCs w:val="72"/>
        </w:rPr>
      </w:pPr>
    </w:p>
    <w:p w14:paraId="1D6D845E">
      <w:pPr>
        <w:jc w:val="center"/>
        <w:rPr>
          <w:sz w:val="72"/>
          <w:szCs w:val="72"/>
        </w:rPr>
      </w:pPr>
    </w:p>
    <w:p w14:paraId="226AFED3">
      <w:r>
        <w:rPr>
          <w:sz w:val="72"/>
          <w:szCs w:val="72"/>
        </w:rPr>
        <w:br w:type="page"/>
      </w:r>
    </w:p>
    <w:p w14:paraId="7B7C50A1">
      <w:pPr>
        <w:pStyle w:val="12"/>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2F3381FE">
      <w:pPr>
        <w:widowControl/>
        <w:spacing w:line="600" w:lineRule="exact"/>
        <w:ind w:firstLine="640" w:firstLineChars="200"/>
        <w:rPr>
          <w:rFonts w:hint="default" w:asciiTheme="minorEastAsia" w:hAnsiTheme="minorEastAsia" w:eastAsiaTheme="minorEastAsia"/>
          <w:bCs/>
          <w:kern w:val="0"/>
          <w:sz w:val="32"/>
          <w:szCs w:val="32"/>
          <w:lang w:val="en-US" w:eastAsia="zh-CN"/>
        </w:rPr>
      </w:pPr>
      <w:r>
        <w:rPr>
          <w:rFonts w:hint="eastAsia" w:asciiTheme="minorEastAsia" w:hAnsiTheme="minorEastAsia"/>
          <w:bCs/>
          <w:kern w:val="0"/>
          <w:sz w:val="32"/>
          <w:szCs w:val="32"/>
          <w:lang w:val="en-US" w:eastAsia="zh-CN"/>
        </w:rPr>
        <w:t>内容涉密，依法不予公开。</w:t>
      </w:r>
    </w:p>
    <w:p w14:paraId="4A25E69B">
      <w:pPr>
        <w:pStyle w:val="11"/>
        <w:spacing w:line="520" w:lineRule="exact"/>
        <w:rPr>
          <w:rFonts w:hAnsi="黑体"/>
          <w:bCs/>
          <w:color w:val="auto"/>
          <w:sz w:val="32"/>
          <w:szCs w:val="32"/>
        </w:rPr>
      </w:pPr>
      <w:r>
        <w:rPr>
          <w:rFonts w:hint="eastAsia" w:hAnsi="黑体"/>
          <w:bCs/>
          <w:color w:val="auto"/>
          <w:sz w:val="32"/>
          <w:szCs w:val="32"/>
        </w:rPr>
        <w:t>二、机构设置及决算单位构成</w:t>
      </w:r>
    </w:p>
    <w:p w14:paraId="3E618809">
      <w:pPr>
        <w:ind w:firstLine="640" w:firstLineChars="200"/>
        <w:rPr>
          <w:rFonts w:cs="仿宋_GB2312" w:asciiTheme="minorEastAsia" w:hAnsiTheme="minorEastAsia"/>
          <w:kern w:val="0"/>
          <w:sz w:val="28"/>
          <w:szCs w:val="28"/>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eastAsia="zh-CN"/>
        </w:rPr>
        <w:t>内</w:t>
      </w:r>
      <w:r>
        <w:rPr>
          <w:rFonts w:hint="eastAsia" w:asciiTheme="minorEastAsia" w:hAnsiTheme="minorEastAsia"/>
          <w:bCs/>
          <w:kern w:val="0"/>
          <w:sz w:val="32"/>
          <w:szCs w:val="32"/>
          <w:lang w:val="en-US" w:eastAsia="zh-CN"/>
        </w:rPr>
        <w:t>容涉密，依法不予公开。</w:t>
      </w:r>
    </w:p>
    <w:p w14:paraId="54F0E2D4">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怀化市鹤城区委网络安全和信息化委员会</w:t>
      </w:r>
      <w:r>
        <w:rPr>
          <w:rFonts w:hint="eastAsia" w:asciiTheme="minorEastAsia" w:hAnsiTheme="minorEastAsia"/>
          <w:bCs/>
          <w:kern w:val="0"/>
          <w:sz w:val="32"/>
          <w:szCs w:val="32"/>
        </w:rPr>
        <w:t>单位</w:t>
      </w:r>
      <w:r>
        <w:rPr>
          <w:rFonts w:asciiTheme="minorEastAsia" w:hAnsiTheme="minorEastAsia"/>
          <w:bCs/>
          <w:kern w:val="0"/>
          <w:sz w:val="32"/>
          <w:szCs w:val="32"/>
        </w:rPr>
        <w:t>20</w:t>
      </w:r>
      <w:r>
        <w:rPr>
          <w:rFonts w:hint="eastAsia" w:asciiTheme="minorEastAsia" w:hAnsiTheme="minorEastAsia"/>
          <w:bCs/>
          <w:kern w:val="0"/>
          <w:sz w:val="32"/>
          <w:szCs w:val="32"/>
        </w:rPr>
        <w:t>21年部门决算汇总公开单位构成包括单位本级。</w:t>
      </w:r>
    </w:p>
    <w:p w14:paraId="17ABCCCD">
      <w:pPr>
        <w:jc w:val="center"/>
        <w:rPr>
          <w:rFonts w:ascii="黑体" w:hAnsi="黑体" w:eastAsia="黑体"/>
          <w:sz w:val="28"/>
          <w:szCs w:val="28"/>
        </w:rPr>
      </w:pPr>
    </w:p>
    <w:p w14:paraId="72F4474D">
      <w:pPr>
        <w:jc w:val="center"/>
        <w:rPr>
          <w:rFonts w:ascii="黑体" w:hAnsi="黑体" w:eastAsia="黑体"/>
          <w:sz w:val="28"/>
          <w:szCs w:val="28"/>
        </w:rPr>
      </w:pPr>
    </w:p>
    <w:p w14:paraId="1F86D694">
      <w:pPr>
        <w:jc w:val="center"/>
        <w:rPr>
          <w:rFonts w:ascii="黑体" w:hAnsi="黑体" w:eastAsia="黑体"/>
          <w:sz w:val="28"/>
          <w:szCs w:val="28"/>
        </w:rPr>
      </w:pPr>
    </w:p>
    <w:p w14:paraId="198E46D7">
      <w:pPr>
        <w:jc w:val="center"/>
        <w:rPr>
          <w:rFonts w:ascii="黑体" w:hAnsi="黑体" w:eastAsia="黑体"/>
          <w:sz w:val="28"/>
          <w:szCs w:val="28"/>
        </w:rPr>
      </w:pPr>
    </w:p>
    <w:p w14:paraId="5455C729">
      <w:pPr>
        <w:jc w:val="center"/>
        <w:rPr>
          <w:rFonts w:ascii="黑体" w:hAnsi="黑体" w:eastAsia="黑体"/>
          <w:sz w:val="28"/>
          <w:szCs w:val="28"/>
        </w:rPr>
      </w:pPr>
    </w:p>
    <w:p w14:paraId="1AE36CEA">
      <w:pPr>
        <w:jc w:val="center"/>
        <w:rPr>
          <w:rFonts w:ascii="黑体" w:hAnsi="黑体" w:eastAsia="黑体"/>
          <w:sz w:val="28"/>
          <w:szCs w:val="28"/>
        </w:rPr>
      </w:pPr>
    </w:p>
    <w:p w14:paraId="0B4D148E">
      <w:pPr>
        <w:jc w:val="center"/>
        <w:rPr>
          <w:sz w:val="72"/>
          <w:szCs w:val="72"/>
        </w:rPr>
      </w:pPr>
    </w:p>
    <w:p w14:paraId="1B63F3FB">
      <w:pPr>
        <w:jc w:val="center"/>
        <w:rPr>
          <w:sz w:val="72"/>
          <w:szCs w:val="72"/>
        </w:rPr>
      </w:pPr>
    </w:p>
    <w:p w14:paraId="7921EDB3">
      <w:pPr>
        <w:jc w:val="center"/>
        <w:rPr>
          <w:sz w:val="72"/>
          <w:szCs w:val="72"/>
        </w:rPr>
      </w:pPr>
    </w:p>
    <w:p w14:paraId="3F4BC179">
      <w:pPr>
        <w:jc w:val="center"/>
        <w:rPr>
          <w:sz w:val="72"/>
          <w:szCs w:val="72"/>
        </w:rPr>
      </w:pPr>
    </w:p>
    <w:p w14:paraId="01D1F1D7">
      <w:pPr>
        <w:jc w:val="center"/>
        <w:rPr>
          <w:sz w:val="72"/>
          <w:szCs w:val="72"/>
        </w:rPr>
      </w:pPr>
    </w:p>
    <w:p w14:paraId="79123679">
      <w:pPr>
        <w:jc w:val="center"/>
        <w:rPr>
          <w:rFonts w:hint="eastAsia"/>
          <w:sz w:val="72"/>
          <w:szCs w:val="72"/>
        </w:rPr>
      </w:pPr>
    </w:p>
    <w:p w14:paraId="130331FF">
      <w:pPr>
        <w:jc w:val="center"/>
        <w:rPr>
          <w:rFonts w:hint="eastAsia"/>
          <w:sz w:val="72"/>
          <w:szCs w:val="72"/>
        </w:rPr>
      </w:pPr>
    </w:p>
    <w:p w14:paraId="38146C74">
      <w:pPr>
        <w:jc w:val="center"/>
        <w:rPr>
          <w:rFonts w:hint="eastAsia"/>
          <w:sz w:val="72"/>
          <w:szCs w:val="72"/>
        </w:rPr>
      </w:pPr>
    </w:p>
    <w:p w14:paraId="2EFA8EB4">
      <w:pPr>
        <w:jc w:val="center"/>
        <w:rPr>
          <w:sz w:val="72"/>
          <w:szCs w:val="72"/>
        </w:rPr>
      </w:pPr>
      <w:r>
        <w:rPr>
          <w:rFonts w:hint="eastAsia"/>
          <w:sz w:val="72"/>
          <w:szCs w:val="72"/>
        </w:rPr>
        <w:t>第二部分</w:t>
      </w:r>
    </w:p>
    <w:p w14:paraId="7664C619">
      <w:pPr>
        <w:jc w:val="center"/>
        <w:rPr>
          <w:sz w:val="72"/>
          <w:szCs w:val="72"/>
        </w:rPr>
      </w:pPr>
    </w:p>
    <w:p w14:paraId="64189066">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14:paraId="5B4B3BFC">
      <w:pPr>
        <w:jc w:val="center"/>
        <w:rPr>
          <w:sz w:val="72"/>
          <w:szCs w:val="72"/>
        </w:rPr>
      </w:pPr>
    </w:p>
    <w:p w14:paraId="270B3E35">
      <w:pPr>
        <w:jc w:val="center"/>
        <w:rPr>
          <w:sz w:val="72"/>
          <w:szCs w:val="72"/>
        </w:rPr>
      </w:pPr>
    </w:p>
    <w:p w14:paraId="707BB276">
      <w:pPr>
        <w:jc w:val="center"/>
        <w:rPr>
          <w:sz w:val="72"/>
          <w:szCs w:val="72"/>
        </w:rPr>
      </w:pPr>
    </w:p>
    <w:p w14:paraId="3FBFB052">
      <w:pPr>
        <w:jc w:val="center"/>
        <w:rPr>
          <w:sz w:val="72"/>
          <w:szCs w:val="72"/>
        </w:rPr>
      </w:pPr>
    </w:p>
    <w:p w14:paraId="4F8A9CB5">
      <w:pPr>
        <w:jc w:val="center"/>
        <w:rPr>
          <w:sz w:val="72"/>
          <w:szCs w:val="72"/>
        </w:rPr>
      </w:pPr>
    </w:p>
    <w:p w14:paraId="5D40FD31">
      <w:pPr>
        <w:jc w:val="center"/>
        <w:rPr>
          <w:sz w:val="72"/>
          <w:szCs w:val="72"/>
        </w:rPr>
      </w:pPr>
    </w:p>
    <w:p w14:paraId="346C2B15">
      <w:pPr>
        <w:jc w:val="left"/>
        <w:rPr>
          <w:sz w:val="32"/>
          <w:szCs w:val="32"/>
        </w:rPr>
      </w:pPr>
    </w:p>
    <w:p w14:paraId="2CAF10E0">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14:paraId="4CC86533">
      <w:pPr>
        <w:pStyle w:val="11"/>
        <w:rPr>
          <w:sz w:val="72"/>
          <w:szCs w:val="72"/>
        </w:rPr>
      </w:pPr>
    </w:p>
    <w:p w14:paraId="2F430665">
      <w:pPr>
        <w:pStyle w:val="11"/>
        <w:rPr>
          <w:sz w:val="72"/>
          <w:szCs w:val="72"/>
        </w:rPr>
      </w:pPr>
    </w:p>
    <w:p w14:paraId="6CAE535C">
      <w:pPr>
        <w:pStyle w:val="11"/>
        <w:rPr>
          <w:sz w:val="72"/>
          <w:szCs w:val="72"/>
        </w:rPr>
      </w:pPr>
    </w:p>
    <w:p w14:paraId="160304F2">
      <w:pPr>
        <w:pStyle w:val="11"/>
        <w:rPr>
          <w:sz w:val="72"/>
          <w:szCs w:val="72"/>
        </w:rPr>
      </w:pPr>
    </w:p>
    <w:p w14:paraId="7D5270BC">
      <w:pPr>
        <w:pStyle w:val="11"/>
        <w:jc w:val="center"/>
        <w:rPr>
          <w:sz w:val="72"/>
          <w:szCs w:val="72"/>
        </w:rPr>
      </w:pPr>
    </w:p>
    <w:p w14:paraId="70568DEF">
      <w:pPr>
        <w:pStyle w:val="11"/>
        <w:jc w:val="center"/>
        <w:rPr>
          <w:sz w:val="72"/>
          <w:szCs w:val="72"/>
        </w:rPr>
      </w:pPr>
    </w:p>
    <w:p w14:paraId="13032919">
      <w:pPr>
        <w:pStyle w:val="11"/>
        <w:jc w:val="center"/>
        <w:rPr>
          <w:sz w:val="72"/>
          <w:szCs w:val="72"/>
        </w:rPr>
      </w:pPr>
      <w:r>
        <w:rPr>
          <w:rFonts w:hint="eastAsia"/>
          <w:sz w:val="72"/>
          <w:szCs w:val="72"/>
        </w:rPr>
        <w:t>第三部分</w:t>
      </w:r>
    </w:p>
    <w:p w14:paraId="7CF4B791">
      <w:pPr>
        <w:pStyle w:val="11"/>
        <w:jc w:val="center"/>
        <w:rPr>
          <w:sz w:val="70"/>
          <w:szCs w:val="70"/>
        </w:rPr>
      </w:pPr>
    </w:p>
    <w:p w14:paraId="4FD0C1E1">
      <w:pPr>
        <w:pStyle w:val="11"/>
        <w:jc w:val="center"/>
        <w:rPr>
          <w:sz w:val="70"/>
          <w:szCs w:val="70"/>
        </w:rPr>
      </w:pPr>
      <w:r>
        <w:rPr>
          <w:sz w:val="70"/>
          <w:szCs w:val="70"/>
        </w:rPr>
        <w:t>2021</w:t>
      </w:r>
      <w:r>
        <w:rPr>
          <w:rFonts w:hint="eastAsia"/>
          <w:sz w:val="70"/>
          <w:szCs w:val="70"/>
        </w:rPr>
        <w:t>年度部门决算情况说明</w:t>
      </w:r>
    </w:p>
    <w:p w14:paraId="4EB9D54E">
      <w:pPr>
        <w:widowControl/>
        <w:jc w:val="left"/>
        <w:rPr>
          <w:rFonts w:asciiTheme="minorEastAsia" w:hAnsiTheme="minorEastAsia" w:eastAsiaTheme="minorEastAsia"/>
          <w:sz w:val="32"/>
          <w:szCs w:val="32"/>
        </w:rPr>
      </w:pPr>
      <w:r>
        <w:rPr>
          <w:sz w:val="70"/>
          <w:szCs w:val="70"/>
        </w:rPr>
        <w:br w:type="page"/>
      </w:r>
    </w:p>
    <w:p w14:paraId="7ABDCED7">
      <w:pPr>
        <w:pStyle w:val="11"/>
        <w:rPr>
          <w:rFonts w:hAnsi="黑体"/>
          <w:b/>
          <w:sz w:val="32"/>
          <w:szCs w:val="32"/>
        </w:rPr>
      </w:pPr>
      <w:r>
        <w:rPr>
          <w:rFonts w:hint="eastAsia" w:hAnsi="黑体"/>
          <w:b/>
          <w:sz w:val="32"/>
          <w:szCs w:val="32"/>
        </w:rPr>
        <w:t>一、收入支出决算总体情况说明</w:t>
      </w:r>
    </w:p>
    <w:p w14:paraId="793EEEFD">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2021年度收入合计189.05万元。与上年相比，增加90.66万元，增长92.14%，主要是因为人员经费增加，及专项工作经费增加。</w:t>
      </w:r>
    </w:p>
    <w:p w14:paraId="78868C8C">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2021年度支出合计189.05万元。与上年相比，增加90.66万元，增长92.14%，主要是因为人员支出增加，及专项工作支出增加。</w:t>
      </w:r>
    </w:p>
    <w:p w14:paraId="3B805429">
      <w:pPr>
        <w:pStyle w:val="11"/>
        <w:rPr>
          <w:rFonts w:hAnsi="黑体"/>
          <w:b/>
          <w:sz w:val="32"/>
          <w:szCs w:val="32"/>
        </w:rPr>
      </w:pPr>
      <w:r>
        <w:rPr>
          <w:rFonts w:hint="eastAsia" w:hAnsi="黑体"/>
          <w:b/>
          <w:sz w:val="32"/>
          <w:szCs w:val="32"/>
        </w:rPr>
        <w:t>二、收入决算情况说明</w:t>
      </w:r>
    </w:p>
    <w:p w14:paraId="4EB631D6">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本年收入合计189.05万元，其中：财政拨款收入189.05万元，占100%；上级补助收入0万元，占0%；事业收入0万元，占0%；经营收入0万元，占0%；附属单位上缴收入0万元，占0%；其他收入0万元，占0%。</w:t>
      </w:r>
    </w:p>
    <w:p w14:paraId="3C940DE5">
      <w:pPr>
        <w:pStyle w:val="11"/>
        <w:rPr>
          <w:rFonts w:hAnsi="黑体"/>
          <w:b/>
          <w:sz w:val="32"/>
          <w:szCs w:val="32"/>
        </w:rPr>
      </w:pPr>
      <w:r>
        <w:rPr>
          <w:rFonts w:hint="eastAsia" w:hAnsi="黑体"/>
          <w:b/>
          <w:sz w:val="32"/>
          <w:szCs w:val="32"/>
        </w:rPr>
        <w:t>三、支出决算情况说明</w:t>
      </w:r>
    </w:p>
    <w:p w14:paraId="503EEA33">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本年支出合计189.05万元，其中：基本支出94.05万元，占49.75%；项目支出95万元，占50.25%；上缴上级支出0万元，占0%；经营支出0万元，占0%；对附属单位补助支出0万元，占0%。</w:t>
      </w:r>
    </w:p>
    <w:p w14:paraId="2D4761A9">
      <w:pPr>
        <w:pStyle w:val="11"/>
        <w:rPr>
          <w:rFonts w:hAnsi="黑体"/>
          <w:b/>
          <w:sz w:val="32"/>
          <w:szCs w:val="32"/>
        </w:rPr>
      </w:pPr>
      <w:r>
        <w:rPr>
          <w:rFonts w:hint="eastAsia" w:hAnsi="黑体"/>
          <w:b/>
          <w:sz w:val="32"/>
          <w:szCs w:val="32"/>
        </w:rPr>
        <w:t>四、财政拨款收入支出决算总体情况说明</w:t>
      </w:r>
    </w:p>
    <w:p w14:paraId="736B3E27">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2021年度财政拨款收入总计189.05万元。与上年相比，增加90.66万元，增长92.14%，主要是因为人员经费增加，及专项工作经费增加。</w:t>
      </w:r>
    </w:p>
    <w:p w14:paraId="1B2B798E">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2021年度财政拨款支出总计189.05万元</w:t>
      </w:r>
      <w:r>
        <w:rPr>
          <w:rFonts w:hint="eastAsia" w:asciiTheme="minorEastAsia" w:hAnsiTheme="minorEastAsia" w:eastAsiaTheme="minorEastAsia"/>
          <w:sz w:val="32"/>
          <w:szCs w:val="32"/>
          <w:lang w:val="en-US" w:eastAsia="zh-CN"/>
        </w:rPr>
        <w:t xml:space="preserve"> </w:t>
      </w:r>
      <w:r>
        <w:rPr>
          <w:rFonts w:hint="eastAsia" w:asciiTheme="minorEastAsia" w:hAnsiTheme="minorEastAsia" w:eastAsiaTheme="minorEastAsia"/>
          <w:sz w:val="32"/>
          <w:szCs w:val="32"/>
        </w:rPr>
        <w:t>。与上年相比，增加90.66万元，增长92.14%，主要是因为人员支出增加，及专项工作支出增加。</w:t>
      </w:r>
    </w:p>
    <w:p w14:paraId="24F1CE5D">
      <w:pPr>
        <w:pStyle w:val="11"/>
        <w:rPr>
          <w:rFonts w:hAnsi="黑体"/>
          <w:b/>
          <w:sz w:val="32"/>
          <w:szCs w:val="32"/>
        </w:rPr>
      </w:pPr>
      <w:r>
        <w:rPr>
          <w:rFonts w:hint="eastAsia" w:hAnsi="黑体"/>
          <w:b/>
          <w:sz w:val="32"/>
          <w:szCs w:val="32"/>
        </w:rPr>
        <w:t>五、一般公共预算财政拨款支出决算情况说明</w:t>
      </w:r>
    </w:p>
    <w:p w14:paraId="47C93798">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50E3F5B5">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2021年度财政拨款支出189.05万元，占本年支出合计的100%，与上年相比，财政拨款支出增加90.66万元，增长92.14%，主要是因为人员支出增加，及专项工作支出增加。</w:t>
      </w:r>
    </w:p>
    <w:p w14:paraId="52C6247B">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color w:val="000000"/>
          <w:sz w:val="32"/>
          <w:szCs w:val="32"/>
        </w:rPr>
        <w:t>（二）财政拨款支出决算结构情况</w:t>
      </w:r>
    </w:p>
    <w:p w14:paraId="4361A4E2">
      <w:pPr>
        <w:pStyle w:val="11"/>
        <w:ind w:firstLine="640" w:firstLineChars="200"/>
        <w:jc w:val="both"/>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支出189.05万元，主要用于以下方面：一般公共服务（类）支出175.13万元，占92.64%；社会保障和就业支出（类）支出6.85万元，占3.62%；卫生健康支出（类）支出2.83万元，占1.5%；住房保障支出住房保障支出（类）4.24万元，占2.24%</w:t>
      </w:r>
      <w:r>
        <w:rPr>
          <w:rFonts w:hint="eastAsia" w:asciiTheme="minorEastAsia" w:hAnsiTheme="minorEastAsia" w:eastAsiaTheme="minorEastAsia"/>
          <w:sz w:val="32"/>
          <w:szCs w:val="32"/>
          <w:lang w:eastAsia="zh-CN"/>
        </w:rPr>
        <w:t>。</w:t>
      </w:r>
    </w:p>
    <w:p w14:paraId="5E0328AB">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0B6B0920">
      <w:pPr>
        <w:pStyle w:val="11"/>
        <w:ind w:firstLine="800" w:firstLineChars="250"/>
        <w:jc w:val="both"/>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2021年度财政拨款支出年初预算数为182.18万元，支出决算数</w:t>
      </w:r>
      <w:r>
        <w:rPr>
          <w:rFonts w:hint="eastAsia" w:asciiTheme="minorEastAsia" w:hAnsiTheme="minorEastAsia" w:eastAsiaTheme="minorEastAsia"/>
          <w:sz w:val="32"/>
          <w:szCs w:val="32"/>
          <w:lang w:val="en-US" w:eastAsia="zh-CN"/>
        </w:rPr>
        <w:t>为</w:t>
      </w:r>
      <w:r>
        <w:rPr>
          <w:rFonts w:hint="eastAsia" w:asciiTheme="minorEastAsia" w:hAnsiTheme="minorEastAsia" w:eastAsiaTheme="minorEastAsia"/>
          <w:sz w:val="32"/>
          <w:szCs w:val="32"/>
        </w:rPr>
        <w:t>189.05万元，完成年初预算的103.77%，其中：</w:t>
      </w:r>
    </w:p>
    <w:p w14:paraId="7346168C">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1、一般公共服务（类）网信事务（款）行政运行（项）。</w:t>
      </w:r>
    </w:p>
    <w:p w14:paraId="2EB561B9">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年初预算为168.26万元，支出决算为80.13万元，完成年初预算的47.62%，决算数小于年初预算数的主要原因是：预算的功能代码与财政下指标的功能代码不一样，导致决算与预算功能科目金额不一样。</w:t>
      </w:r>
    </w:p>
    <w:p w14:paraId="045C4592">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2、一般公共服务（类）网信事务（款）一般行政管理事务（项）。</w:t>
      </w:r>
    </w:p>
    <w:p w14:paraId="4D1A92A1">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年初预算为0万元，支出决算为95万元，年初预算为0万元，无法计算完成比率，决算数大于年初预算数的主要原因是：预算的功能代码与财政下指标的功能代码不一样，导致决算与预算功能科目金额不一样。</w:t>
      </w:r>
    </w:p>
    <w:p w14:paraId="61472D39">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3、社会保障和就业支出（类）行政事业单位养老支出（款）机关事业单位基本养老保险缴费支出（项）。</w:t>
      </w:r>
    </w:p>
    <w:p w14:paraId="7FD75283">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年初预算为5.65万元，支出决算为6.85万元，完成年初预算的121.24%，决算数大于年初预算数的主要原因是：人员增加，缴费支出增加。</w:t>
      </w:r>
    </w:p>
    <w:p w14:paraId="78855466">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4、卫生健康支出（类）行政事业单位医疗（款）行政单位医疗（项）。</w:t>
      </w:r>
    </w:p>
    <w:p w14:paraId="69965DE0">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年初预算为2.83万元，支出决算为2.83万元，完成年初预算的100%。</w:t>
      </w:r>
    </w:p>
    <w:p w14:paraId="173A9D0A">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5、住房保障支出（类）住房改革支出（款）住房公积金（项）。</w:t>
      </w:r>
    </w:p>
    <w:p w14:paraId="6750D572">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年初预算为4.24万元，支出决算为4.24万元，完成年初预算的100%。</w:t>
      </w:r>
    </w:p>
    <w:p w14:paraId="7B0B52C4">
      <w:pPr>
        <w:pStyle w:val="11"/>
        <w:rPr>
          <w:rFonts w:hAnsi="黑体"/>
          <w:b/>
          <w:sz w:val="32"/>
          <w:szCs w:val="32"/>
        </w:rPr>
      </w:pPr>
      <w:r>
        <w:rPr>
          <w:rFonts w:hint="eastAsia" w:hAnsi="黑体"/>
          <w:b/>
          <w:sz w:val="32"/>
          <w:szCs w:val="32"/>
        </w:rPr>
        <w:t>六、一般公共预算财政拨款基本支出决算情况说明</w:t>
      </w:r>
    </w:p>
    <w:p w14:paraId="5212CFEF">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94.05万元，其中：人员经费66.95万元，占基本支出的71.19%,主要包括基本工资、津贴补贴、奖金、伙食补助费机关事业单位基本养老保险缴费、职工基本医疗保险缴费、其他社会保障缴费、其他工资福利支出、生活补助；公用经费27.1万元，占基本支出的28.81%，主要包括办公费、印刷费、咨询费、水费、电费、工会经费、福利费、其他交通费用。</w:t>
      </w:r>
    </w:p>
    <w:p w14:paraId="25C4843C">
      <w:pPr>
        <w:pStyle w:val="11"/>
        <w:rPr>
          <w:rFonts w:hAnsi="黑体"/>
          <w:b/>
          <w:sz w:val="32"/>
          <w:szCs w:val="32"/>
        </w:rPr>
      </w:pPr>
      <w:r>
        <w:rPr>
          <w:rFonts w:hint="eastAsia" w:hAnsi="黑体"/>
          <w:b/>
          <w:sz w:val="32"/>
          <w:szCs w:val="32"/>
        </w:rPr>
        <w:t>七、一般公共预算财政拨款三公经费支出决算情况说明</w:t>
      </w:r>
    </w:p>
    <w:p w14:paraId="4D1593DB">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108BEFBD">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“三公”经费财政拨款支出预算为0万元，支出决算为0万元，</w:t>
      </w:r>
      <w:r>
        <w:rPr>
          <w:rFonts w:hint="eastAsia" w:asciiTheme="minorEastAsia" w:hAnsiTheme="minorEastAsia" w:eastAsiaTheme="minorEastAsia"/>
          <w:color w:val="000000"/>
          <w:sz w:val="32"/>
          <w:szCs w:val="32"/>
        </w:rPr>
        <w:t>由于预算数为0，无法计算百分比</w:t>
      </w:r>
      <w:r>
        <w:rPr>
          <w:rFonts w:hint="eastAsia" w:asciiTheme="minorEastAsia" w:hAnsiTheme="minorEastAsia" w:eastAsiaTheme="minorEastAsia"/>
          <w:sz w:val="32"/>
          <w:szCs w:val="32"/>
        </w:rPr>
        <w:t>，其中：</w:t>
      </w:r>
    </w:p>
    <w:p w14:paraId="50BD9473">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w:t>
      </w:r>
      <w:r>
        <w:rPr>
          <w:rFonts w:hint="eastAsia" w:asciiTheme="minorEastAsia" w:hAnsiTheme="minorEastAsia" w:eastAsiaTheme="minorEastAsia"/>
          <w:color w:val="000000"/>
          <w:sz w:val="32"/>
          <w:szCs w:val="32"/>
        </w:rPr>
        <w:t>由于预算数为0，无法计算百分比，与</w:t>
      </w:r>
      <w:r>
        <w:rPr>
          <w:rFonts w:hint="eastAsia" w:asciiTheme="minorEastAsia" w:hAnsiTheme="minorEastAsia" w:eastAsiaTheme="minorEastAsia"/>
          <w:sz w:val="32"/>
          <w:szCs w:val="32"/>
        </w:rPr>
        <w:t>上年相比一致。</w:t>
      </w:r>
    </w:p>
    <w:p w14:paraId="6DE7ECFA">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公务接待费支出预算为0万元，支出决算为0万元，</w:t>
      </w:r>
      <w:r>
        <w:rPr>
          <w:rFonts w:hint="eastAsia" w:asciiTheme="minorEastAsia" w:hAnsiTheme="minorEastAsia" w:eastAsiaTheme="minorEastAsia"/>
          <w:color w:val="000000"/>
          <w:sz w:val="32"/>
          <w:szCs w:val="32"/>
        </w:rPr>
        <w:t>由于预算数为0，无法计算百分比，</w:t>
      </w:r>
      <w:r>
        <w:rPr>
          <w:rFonts w:hint="eastAsia" w:asciiTheme="minorEastAsia" w:hAnsiTheme="minorEastAsia" w:eastAsiaTheme="minorEastAsia"/>
          <w:sz w:val="32"/>
          <w:szCs w:val="32"/>
        </w:rPr>
        <w:t>与上年相比一致。</w:t>
      </w:r>
    </w:p>
    <w:p w14:paraId="2E793002">
      <w:pPr>
        <w:pStyle w:val="11"/>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公务用车购置费支出预算为0万元，支出决算为0万元，年初预算为0万元，无法计算完成比率，与上年相比一致。</w:t>
      </w:r>
    </w:p>
    <w:p w14:paraId="68DA177C">
      <w:pPr>
        <w:pStyle w:val="11"/>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公务用车运行维护费支出预算为0万元，支出决算为0万元，由于预算数为0，无法计算百分比，与上年相比一致。</w:t>
      </w:r>
    </w:p>
    <w:p w14:paraId="28887601">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093D9F81">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2021年度“三公”经费财政拨款支出决算中，公务接待费支出决算0万元，占0%,因公出国（境）费支出决算0万元，占0%,公务用车购置费及运行维护费支出决算0万元，占0%。其中：</w:t>
      </w:r>
    </w:p>
    <w:p w14:paraId="5D8D2F61">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w:t>
      </w:r>
    </w:p>
    <w:p w14:paraId="712F55E8">
      <w:pPr>
        <w:pStyle w:val="11"/>
        <w:ind w:firstLine="640" w:firstLineChars="200"/>
        <w:rPr>
          <w:rFonts w:hint="eastAsia"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2、公务接待费支出决算为0万元，全年共接待来访团组0个、来宾0人次，主要是没有发生的接待支出。</w:t>
      </w:r>
    </w:p>
    <w:p w14:paraId="68EC7A4E">
      <w:pPr>
        <w:pStyle w:val="11"/>
        <w:ind w:firstLine="640" w:firstLineChars="200"/>
        <w:rPr>
          <w:rFonts w:cs="黑体" w:asciiTheme="minorEastAsia" w:hAnsiTheme="minorEastAsia"/>
          <w:color w:val="000000"/>
          <w:kern w:val="0"/>
          <w:sz w:val="32"/>
          <w:szCs w:val="32"/>
        </w:rPr>
      </w:pPr>
      <w:r>
        <w:rPr>
          <w:rFonts w:hint="eastAsia" w:asciiTheme="minorEastAsia" w:hAnsiTheme="minorEastAsia" w:eastAsiaTheme="minorEastAsia"/>
          <w:color w:val="000000"/>
          <w:sz w:val="32"/>
          <w:szCs w:val="32"/>
        </w:rPr>
        <w:t>3、公务用车购置费及运行维护费支出决算为0万元，其中：公务用车购置费0万元，单位本级更新公务用车0辆。公务用车运行维护费0万元，，</w:t>
      </w:r>
      <w:r>
        <w:rPr>
          <w:rFonts w:hint="eastAsia" w:asciiTheme="minorEastAsia" w:hAnsiTheme="minorEastAsia" w:eastAsiaTheme="minorEastAsia"/>
          <w:color w:val="000000"/>
          <w:sz w:val="32"/>
          <w:szCs w:val="32"/>
          <w:lang w:eastAsia="zh-CN"/>
        </w:rPr>
        <w:t>截至2021年</w:t>
      </w:r>
      <w:r>
        <w:rPr>
          <w:rFonts w:hint="eastAsia" w:asciiTheme="minorEastAsia" w:hAnsiTheme="minorEastAsia" w:eastAsiaTheme="minorEastAsia"/>
          <w:color w:val="000000"/>
          <w:sz w:val="32"/>
          <w:szCs w:val="32"/>
        </w:rPr>
        <w:t>12月31日，我单位开支财政拨款的公务用车保有量为0辆。</w:t>
      </w:r>
    </w:p>
    <w:p w14:paraId="6A977EAD">
      <w:pPr>
        <w:pStyle w:val="11"/>
        <w:rPr>
          <w:rFonts w:hAnsi="黑体"/>
          <w:b/>
          <w:sz w:val="32"/>
          <w:szCs w:val="32"/>
        </w:rPr>
      </w:pPr>
      <w:r>
        <w:rPr>
          <w:rFonts w:hint="eastAsia" w:hAnsi="黑体"/>
          <w:b/>
          <w:sz w:val="32"/>
          <w:szCs w:val="32"/>
        </w:rPr>
        <w:t>八、政府性基金预算收入支出决算情况</w:t>
      </w:r>
    </w:p>
    <w:p w14:paraId="3892DE5B">
      <w:pPr>
        <w:pStyle w:val="11"/>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2021年度政府性基金预算财政拨款收入0万元；年初结转和结余0万元；支出0万元，其中基本支出0万元，项目支出0万元；年末结转和结余0万元。</w:t>
      </w:r>
    </w:p>
    <w:p w14:paraId="73AF41F7">
      <w:pPr>
        <w:pStyle w:val="11"/>
        <w:rPr>
          <w:rFonts w:hAnsi="黑体"/>
          <w:b/>
          <w:sz w:val="32"/>
          <w:szCs w:val="32"/>
        </w:rPr>
      </w:pPr>
      <w:r>
        <w:rPr>
          <w:rFonts w:hint="eastAsia" w:hAnsi="黑体"/>
          <w:b/>
          <w:sz w:val="32"/>
          <w:szCs w:val="32"/>
        </w:rPr>
        <w:t>九、国有资本经营预算财政拨款支出情况</w:t>
      </w:r>
    </w:p>
    <w:p w14:paraId="29472E95">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color w:val="000000"/>
          <w:sz w:val="32"/>
          <w:szCs w:val="32"/>
        </w:rPr>
        <w:t>2021年度国有资本经营预算财政拨款收入0万元；年初结转和结余0万元；支出0万元，其中基本支出0万元，项目支出0万元；年末结转和结余0万元。</w:t>
      </w:r>
    </w:p>
    <w:p w14:paraId="3A012FDF">
      <w:pPr>
        <w:pStyle w:val="11"/>
        <w:rPr>
          <w:rFonts w:hAnsi="黑体"/>
          <w:b/>
          <w:sz w:val="32"/>
          <w:szCs w:val="32"/>
        </w:rPr>
      </w:pPr>
      <w:r>
        <w:rPr>
          <w:rFonts w:hint="eastAsia" w:hAnsi="黑体"/>
          <w:b/>
          <w:sz w:val="32"/>
          <w:szCs w:val="32"/>
        </w:rPr>
        <w:t>十、机关运行经费支出说明</w:t>
      </w:r>
    </w:p>
    <w:p w14:paraId="35DD2478">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本部门2021年度机关运行经费支出27.1万元，比上年决算数增加17万元，增长168.31%。主要原因是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人员增加。</w:t>
      </w:r>
    </w:p>
    <w:p w14:paraId="1C78C78E">
      <w:pPr>
        <w:pStyle w:val="11"/>
        <w:rPr>
          <w:rFonts w:hAnsi="黑体"/>
          <w:b/>
          <w:sz w:val="32"/>
          <w:szCs w:val="32"/>
        </w:rPr>
      </w:pPr>
      <w:r>
        <w:rPr>
          <w:rFonts w:hint="eastAsia" w:hAnsi="黑体"/>
          <w:b/>
          <w:sz w:val="32"/>
          <w:szCs w:val="32"/>
        </w:rPr>
        <w:t>十一、一般性支出情况</w:t>
      </w:r>
    </w:p>
    <w:p w14:paraId="45BF2131">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color w:val="auto"/>
          <w:sz w:val="32"/>
          <w:szCs w:val="32"/>
        </w:rPr>
        <w:t>2021年本部门开支会议费0万元，用于召开0会议，人数0人，内容为无；开支培训费0万元，用于开展0培训，人数0人，内容为无；举办0场节庆、晚会、论坛、赛事等活动，开支0万元。</w:t>
      </w:r>
    </w:p>
    <w:p w14:paraId="2ED5899C">
      <w:pPr>
        <w:pStyle w:val="11"/>
        <w:rPr>
          <w:rFonts w:hAnsi="黑体"/>
          <w:b/>
          <w:sz w:val="32"/>
          <w:szCs w:val="32"/>
        </w:rPr>
      </w:pPr>
      <w:r>
        <w:rPr>
          <w:rFonts w:hint="eastAsia" w:hAnsi="黑体"/>
          <w:b/>
          <w:sz w:val="32"/>
          <w:szCs w:val="32"/>
        </w:rPr>
        <w:t>十二、政府采购支出说明</w:t>
      </w:r>
    </w:p>
    <w:p w14:paraId="4FBF06FB">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14:paraId="02BB915D">
      <w:pPr>
        <w:pStyle w:val="11"/>
        <w:rPr>
          <w:rFonts w:hAnsi="黑体"/>
          <w:b/>
          <w:sz w:val="32"/>
          <w:szCs w:val="32"/>
        </w:rPr>
      </w:pPr>
      <w:r>
        <w:rPr>
          <w:rFonts w:hint="eastAsia" w:hAnsi="黑体"/>
          <w:b/>
          <w:sz w:val="32"/>
          <w:szCs w:val="32"/>
        </w:rPr>
        <w:t>十三、国有资产占用情况说明</w:t>
      </w:r>
    </w:p>
    <w:p w14:paraId="4EC89E33">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14:paraId="21F41F04">
      <w:pPr>
        <w:pStyle w:val="11"/>
        <w:rPr>
          <w:rFonts w:hAnsi="黑体"/>
          <w:b/>
          <w:sz w:val="32"/>
          <w:szCs w:val="32"/>
        </w:rPr>
      </w:pPr>
      <w:r>
        <w:rPr>
          <w:rFonts w:hint="eastAsia" w:hAnsi="黑体"/>
          <w:b/>
          <w:sz w:val="32"/>
          <w:szCs w:val="32"/>
        </w:rPr>
        <w:t>十</w:t>
      </w:r>
      <w:r>
        <w:rPr>
          <w:rFonts w:hint="eastAsia" w:hAnsi="黑体"/>
          <w:b/>
          <w:sz w:val="32"/>
          <w:szCs w:val="32"/>
          <w:lang w:val="en-US" w:eastAsia="zh-CN"/>
        </w:rPr>
        <w:t>四</w:t>
      </w:r>
      <w:r>
        <w:rPr>
          <w:rFonts w:hint="eastAsia" w:hAnsi="黑体"/>
          <w:b/>
          <w:sz w:val="32"/>
          <w:szCs w:val="32"/>
        </w:rPr>
        <w:t>、2021年度预算绩效情况的说明</w:t>
      </w:r>
    </w:p>
    <w:p w14:paraId="4048218C">
      <w:pPr>
        <w:pStyle w:val="11"/>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本部门预算绩效管理开展情况、绩效目标和绩效评价报告另行公开</w:t>
      </w:r>
    </w:p>
    <w:p w14:paraId="256F9F1E">
      <w:pPr>
        <w:pStyle w:val="11"/>
        <w:rPr>
          <w:rFonts w:hAnsi="黑体"/>
          <w:b/>
          <w:sz w:val="32"/>
          <w:szCs w:val="32"/>
        </w:rPr>
      </w:pPr>
    </w:p>
    <w:p w14:paraId="655C8834">
      <w:pPr>
        <w:pStyle w:val="11"/>
        <w:jc w:val="center"/>
        <w:rPr>
          <w:sz w:val="72"/>
          <w:szCs w:val="72"/>
        </w:rPr>
      </w:pPr>
    </w:p>
    <w:p w14:paraId="7ECE89E8">
      <w:pPr>
        <w:pStyle w:val="11"/>
        <w:jc w:val="center"/>
        <w:rPr>
          <w:sz w:val="72"/>
          <w:szCs w:val="72"/>
        </w:rPr>
      </w:pPr>
    </w:p>
    <w:p w14:paraId="7F0FA797">
      <w:pPr>
        <w:pStyle w:val="11"/>
        <w:jc w:val="center"/>
        <w:rPr>
          <w:sz w:val="72"/>
          <w:szCs w:val="72"/>
        </w:rPr>
      </w:pPr>
    </w:p>
    <w:p w14:paraId="794C99FA">
      <w:pPr>
        <w:pStyle w:val="11"/>
        <w:jc w:val="center"/>
        <w:rPr>
          <w:sz w:val="72"/>
          <w:szCs w:val="72"/>
        </w:rPr>
      </w:pPr>
    </w:p>
    <w:p w14:paraId="506967E8">
      <w:pPr>
        <w:pStyle w:val="11"/>
        <w:jc w:val="center"/>
        <w:rPr>
          <w:sz w:val="72"/>
          <w:szCs w:val="72"/>
        </w:rPr>
      </w:pPr>
    </w:p>
    <w:p w14:paraId="71EC524B">
      <w:pPr>
        <w:pStyle w:val="11"/>
        <w:jc w:val="center"/>
        <w:rPr>
          <w:sz w:val="72"/>
          <w:szCs w:val="72"/>
        </w:rPr>
      </w:pPr>
    </w:p>
    <w:p w14:paraId="141A4245">
      <w:pPr>
        <w:pStyle w:val="11"/>
        <w:jc w:val="center"/>
        <w:rPr>
          <w:sz w:val="72"/>
          <w:szCs w:val="72"/>
        </w:rPr>
      </w:pPr>
    </w:p>
    <w:p w14:paraId="12E14CC1">
      <w:pPr>
        <w:pStyle w:val="11"/>
        <w:jc w:val="center"/>
        <w:rPr>
          <w:sz w:val="72"/>
          <w:szCs w:val="72"/>
        </w:rPr>
      </w:pPr>
    </w:p>
    <w:p w14:paraId="0279AC4D">
      <w:pPr>
        <w:pStyle w:val="11"/>
        <w:jc w:val="center"/>
        <w:rPr>
          <w:sz w:val="72"/>
          <w:szCs w:val="72"/>
        </w:rPr>
      </w:pPr>
    </w:p>
    <w:p w14:paraId="18A22A8E">
      <w:pPr>
        <w:pStyle w:val="11"/>
        <w:jc w:val="center"/>
        <w:rPr>
          <w:sz w:val="72"/>
          <w:szCs w:val="72"/>
        </w:rPr>
      </w:pPr>
    </w:p>
    <w:p w14:paraId="1450DDC1">
      <w:pPr>
        <w:pStyle w:val="11"/>
        <w:jc w:val="center"/>
        <w:rPr>
          <w:sz w:val="72"/>
          <w:szCs w:val="72"/>
        </w:rPr>
      </w:pPr>
    </w:p>
    <w:p w14:paraId="2342EFF9">
      <w:pPr>
        <w:pStyle w:val="11"/>
        <w:jc w:val="center"/>
        <w:rPr>
          <w:sz w:val="72"/>
          <w:szCs w:val="72"/>
        </w:rPr>
      </w:pPr>
    </w:p>
    <w:p w14:paraId="66715FF6">
      <w:pPr>
        <w:pStyle w:val="11"/>
        <w:jc w:val="center"/>
        <w:rPr>
          <w:sz w:val="72"/>
          <w:szCs w:val="72"/>
        </w:rPr>
      </w:pPr>
    </w:p>
    <w:p w14:paraId="69B63BD6">
      <w:pPr>
        <w:pStyle w:val="11"/>
        <w:jc w:val="center"/>
        <w:rPr>
          <w:sz w:val="72"/>
          <w:szCs w:val="72"/>
        </w:rPr>
      </w:pPr>
    </w:p>
    <w:p w14:paraId="6F02505D">
      <w:pPr>
        <w:pStyle w:val="11"/>
        <w:jc w:val="center"/>
        <w:rPr>
          <w:sz w:val="72"/>
          <w:szCs w:val="72"/>
        </w:rPr>
      </w:pPr>
    </w:p>
    <w:p w14:paraId="4DD39F2D">
      <w:pPr>
        <w:pStyle w:val="11"/>
        <w:jc w:val="center"/>
        <w:rPr>
          <w:sz w:val="72"/>
          <w:szCs w:val="72"/>
        </w:rPr>
      </w:pPr>
      <w:r>
        <w:rPr>
          <w:rFonts w:hint="eastAsia"/>
          <w:sz w:val="72"/>
          <w:szCs w:val="72"/>
        </w:rPr>
        <w:t>第四部分</w:t>
      </w:r>
    </w:p>
    <w:p w14:paraId="36C25D1C">
      <w:pPr>
        <w:jc w:val="center"/>
        <w:rPr>
          <w:rFonts w:ascii="黑体" w:eastAsia="黑体" w:cs="黑体"/>
          <w:color w:val="000000"/>
          <w:kern w:val="0"/>
          <w:sz w:val="70"/>
          <w:szCs w:val="70"/>
        </w:rPr>
      </w:pPr>
    </w:p>
    <w:p w14:paraId="1D0631DB">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6FECBE4B">
      <w:pPr>
        <w:widowControl/>
        <w:jc w:val="left"/>
        <w:rPr>
          <w:rFonts w:hint="eastAsia" w:cs="黑体" w:asciiTheme="minorEastAsia" w:hAnsiTheme="minorEastAsia" w:eastAsiaTheme="minorEastAsia"/>
          <w:color w:val="000000"/>
          <w:kern w:val="0"/>
          <w:sz w:val="32"/>
          <w:szCs w:val="32"/>
          <w:lang w:val="en-US" w:eastAsia="zh-CN" w:bidi="ar-SA"/>
        </w:rPr>
      </w:pPr>
      <w:r>
        <w:rPr>
          <w:rFonts w:ascii="黑体" w:eastAsia="黑体" w:cs="黑体"/>
          <w:color w:val="000000"/>
          <w:kern w:val="0"/>
          <w:sz w:val="70"/>
          <w:szCs w:val="70"/>
        </w:rPr>
        <w:br w:type="page"/>
      </w:r>
    </w:p>
    <w:p w14:paraId="485D899A">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14:paraId="00A544C7">
      <w:pPr>
        <w:spacing w:line="60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二、“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14:paraId="6D7E74F7">
      <w:pPr>
        <w:pStyle w:val="11"/>
        <w:jc w:val="center"/>
        <w:rPr>
          <w:sz w:val="72"/>
          <w:szCs w:val="72"/>
        </w:rPr>
      </w:pPr>
    </w:p>
    <w:p w14:paraId="1752AA5A">
      <w:pPr>
        <w:pStyle w:val="11"/>
        <w:jc w:val="center"/>
        <w:rPr>
          <w:sz w:val="72"/>
          <w:szCs w:val="72"/>
        </w:rPr>
      </w:pPr>
    </w:p>
    <w:p w14:paraId="4D340A0E">
      <w:pPr>
        <w:pStyle w:val="11"/>
        <w:jc w:val="center"/>
        <w:rPr>
          <w:sz w:val="72"/>
          <w:szCs w:val="72"/>
        </w:rPr>
      </w:pPr>
    </w:p>
    <w:p w14:paraId="58F3E791">
      <w:pPr>
        <w:pStyle w:val="11"/>
        <w:jc w:val="center"/>
        <w:rPr>
          <w:sz w:val="72"/>
          <w:szCs w:val="72"/>
        </w:rPr>
      </w:pPr>
    </w:p>
    <w:p w14:paraId="2DCDACEA">
      <w:pPr>
        <w:pStyle w:val="11"/>
        <w:jc w:val="center"/>
        <w:rPr>
          <w:sz w:val="72"/>
          <w:szCs w:val="72"/>
        </w:rPr>
      </w:pPr>
    </w:p>
    <w:p w14:paraId="65CA677F">
      <w:pPr>
        <w:pStyle w:val="11"/>
        <w:jc w:val="center"/>
        <w:rPr>
          <w:sz w:val="72"/>
          <w:szCs w:val="72"/>
        </w:rPr>
      </w:pPr>
    </w:p>
    <w:p w14:paraId="6DB1F841">
      <w:pPr>
        <w:pStyle w:val="11"/>
        <w:jc w:val="center"/>
        <w:rPr>
          <w:sz w:val="72"/>
          <w:szCs w:val="72"/>
        </w:rPr>
      </w:pPr>
    </w:p>
    <w:p w14:paraId="040E04D3">
      <w:pPr>
        <w:pStyle w:val="11"/>
        <w:jc w:val="center"/>
        <w:rPr>
          <w:sz w:val="72"/>
          <w:szCs w:val="72"/>
        </w:rPr>
      </w:pPr>
    </w:p>
    <w:p w14:paraId="3ED7A2A5">
      <w:pPr>
        <w:pStyle w:val="11"/>
        <w:jc w:val="center"/>
        <w:rPr>
          <w:sz w:val="72"/>
          <w:szCs w:val="72"/>
        </w:rPr>
      </w:pPr>
    </w:p>
    <w:p w14:paraId="1629F58C">
      <w:pPr>
        <w:pStyle w:val="11"/>
        <w:jc w:val="center"/>
        <w:rPr>
          <w:sz w:val="72"/>
          <w:szCs w:val="72"/>
        </w:rPr>
      </w:pPr>
    </w:p>
    <w:p w14:paraId="1171B8E8">
      <w:pPr>
        <w:pStyle w:val="11"/>
        <w:jc w:val="center"/>
        <w:rPr>
          <w:sz w:val="72"/>
          <w:szCs w:val="72"/>
        </w:rPr>
      </w:pPr>
    </w:p>
    <w:p w14:paraId="125288A8">
      <w:pPr>
        <w:pStyle w:val="11"/>
        <w:jc w:val="center"/>
        <w:rPr>
          <w:sz w:val="72"/>
          <w:szCs w:val="72"/>
        </w:rPr>
      </w:pPr>
    </w:p>
    <w:p w14:paraId="094FF13D">
      <w:pPr>
        <w:pStyle w:val="11"/>
        <w:jc w:val="center"/>
        <w:rPr>
          <w:sz w:val="72"/>
          <w:szCs w:val="72"/>
        </w:rPr>
      </w:pPr>
    </w:p>
    <w:p w14:paraId="2C7C2DF7">
      <w:pPr>
        <w:pStyle w:val="11"/>
        <w:jc w:val="center"/>
        <w:rPr>
          <w:sz w:val="72"/>
          <w:szCs w:val="72"/>
        </w:rPr>
      </w:pPr>
      <w:r>
        <w:rPr>
          <w:rFonts w:hint="eastAsia"/>
          <w:sz w:val="72"/>
          <w:szCs w:val="72"/>
        </w:rPr>
        <w:t>第五部分</w:t>
      </w:r>
    </w:p>
    <w:p w14:paraId="2392B864">
      <w:pPr>
        <w:jc w:val="center"/>
        <w:rPr>
          <w:rFonts w:ascii="黑体" w:eastAsia="黑体" w:cs="黑体"/>
          <w:color w:val="000000"/>
          <w:kern w:val="0"/>
          <w:sz w:val="70"/>
          <w:szCs w:val="70"/>
        </w:rPr>
      </w:pPr>
    </w:p>
    <w:p w14:paraId="048E0D4E">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38F2CFD3">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2A4AFEDF">
      <w:pPr>
        <w:ind w:firstLine="800" w:firstLineChars="200"/>
        <w:jc w:val="center"/>
        <w:rPr>
          <w:rFonts w:eastAsia="方正小标宋_GBK"/>
          <w:sz w:val="32"/>
          <w:szCs w:val="32"/>
        </w:rPr>
      </w:pPr>
      <w:r>
        <w:rPr>
          <w:rFonts w:hint="eastAsia" w:cs="黑体" w:asciiTheme="minorEastAsia" w:hAnsiTheme="minorEastAsia"/>
          <w:b/>
          <w:color w:val="000000"/>
          <w:kern w:val="0"/>
          <w:sz w:val="40"/>
          <w:szCs w:val="40"/>
        </w:rPr>
        <w:t>2021年度部门整体支出绩效评价报告</w:t>
      </w:r>
    </w:p>
    <w:p w14:paraId="5DC47068">
      <w:pPr>
        <w:ind w:firstLine="640" w:firstLineChars="200"/>
        <w:jc w:val="left"/>
        <w:rPr>
          <w:rFonts w:hint="eastAsia" w:cs="黑体" w:asciiTheme="minorEastAsia" w:hAnsiTheme="minorEastAsia"/>
          <w:color w:val="000000"/>
          <w:kern w:val="0"/>
          <w:sz w:val="32"/>
          <w:szCs w:val="32"/>
          <w:lang w:eastAsia="zh-CN"/>
        </w:rPr>
      </w:pPr>
    </w:p>
    <w:p w14:paraId="1F2E0771">
      <w:pPr>
        <w:ind w:firstLine="1280" w:firstLineChars="400"/>
        <w:jc w:val="left"/>
        <w:rPr>
          <w:rFonts w:hint="eastAsia" w:cs="黑体" w:asciiTheme="minorEastAsia" w:hAnsiTheme="minorEastAsia" w:eastAsiaTheme="minorEastAsia"/>
          <w:color w:val="000000"/>
          <w:kern w:val="0"/>
          <w:sz w:val="32"/>
          <w:szCs w:val="32"/>
          <w:lang w:eastAsia="zh-CN"/>
        </w:rPr>
      </w:pPr>
      <w:r>
        <w:rPr>
          <w:rFonts w:hint="eastAsia" w:cs="黑体" w:asciiTheme="minorEastAsia" w:hAnsiTheme="minorEastAsia"/>
          <w:color w:val="000000"/>
          <w:kern w:val="0"/>
          <w:sz w:val="32"/>
          <w:szCs w:val="32"/>
          <w:lang w:eastAsia="zh-CN"/>
        </w:rPr>
        <w:t>区委网信办工作内容涉密，依法不予公开</w:t>
      </w:r>
      <w:bookmarkStart w:id="0" w:name="_GoBack"/>
      <w:bookmarkEnd w:id="0"/>
      <w:r>
        <w:rPr>
          <w:rFonts w:hint="eastAsia" w:cs="黑体" w:asciiTheme="minorEastAsia" w:hAnsiTheme="minorEastAsia"/>
          <w:color w:val="000000"/>
          <w:kern w:val="0"/>
          <w:sz w:val="32"/>
          <w:szCs w:val="32"/>
          <w:lang w:eastAsia="zh-CN"/>
        </w:rPr>
        <w:t>。</w:t>
      </w:r>
    </w:p>
    <w:p w14:paraId="0641146D">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51A0AE-2A7D-4027-94F4-4755A8F0E3E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2" w:fontKey="{294DC2D8-D4F4-4894-8E6D-8C1583008DA1}"/>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jc3ZDVhOTM0NTczYTJiNzUyZTVkM2Y3OTA1OGQifQ=="/>
  </w:docVars>
  <w:rsids>
    <w:rsidRoot w:val="004506F9"/>
    <w:rsid w:val="0002229B"/>
    <w:rsid w:val="000273BD"/>
    <w:rsid w:val="00035BB7"/>
    <w:rsid w:val="000415B7"/>
    <w:rsid w:val="00041E3F"/>
    <w:rsid w:val="00055DAA"/>
    <w:rsid w:val="00061F7B"/>
    <w:rsid w:val="000658A3"/>
    <w:rsid w:val="00074155"/>
    <w:rsid w:val="000A3F69"/>
    <w:rsid w:val="000F597D"/>
    <w:rsid w:val="00103957"/>
    <w:rsid w:val="00125FFA"/>
    <w:rsid w:val="00152C6D"/>
    <w:rsid w:val="00162D39"/>
    <w:rsid w:val="001678BD"/>
    <w:rsid w:val="001A67DB"/>
    <w:rsid w:val="001B7139"/>
    <w:rsid w:val="001C22EA"/>
    <w:rsid w:val="001C3C29"/>
    <w:rsid w:val="001D51E5"/>
    <w:rsid w:val="001E080D"/>
    <w:rsid w:val="001E53D0"/>
    <w:rsid w:val="001F0C3B"/>
    <w:rsid w:val="00202C82"/>
    <w:rsid w:val="00214427"/>
    <w:rsid w:val="00226CB7"/>
    <w:rsid w:val="00256486"/>
    <w:rsid w:val="00264552"/>
    <w:rsid w:val="00264EF9"/>
    <w:rsid w:val="00265724"/>
    <w:rsid w:val="0027426B"/>
    <w:rsid w:val="002C171B"/>
    <w:rsid w:val="002E0A30"/>
    <w:rsid w:val="002F458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4E59AE"/>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4394B"/>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75FA7"/>
    <w:rsid w:val="008A3E8D"/>
    <w:rsid w:val="008B19E6"/>
    <w:rsid w:val="00920FB0"/>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0573C"/>
    <w:rsid w:val="00B26304"/>
    <w:rsid w:val="00B33BEA"/>
    <w:rsid w:val="00B57C9F"/>
    <w:rsid w:val="00B63572"/>
    <w:rsid w:val="00B845B3"/>
    <w:rsid w:val="00B85D8B"/>
    <w:rsid w:val="00BB4A40"/>
    <w:rsid w:val="00BD480E"/>
    <w:rsid w:val="00BD6C3E"/>
    <w:rsid w:val="00BE3674"/>
    <w:rsid w:val="00C10681"/>
    <w:rsid w:val="00C24AB4"/>
    <w:rsid w:val="00C3049A"/>
    <w:rsid w:val="00C31B1E"/>
    <w:rsid w:val="00C519AC"/>
    <w:rsid w:val="00C77645"/>
    <w:rsid w:val="00CE04C3"/>
    <w:rsid w:val="00CE76A0"/>
    <w:rsid w:val="00D0242F"/>
    <w:rsid w:val="00D11D3A"/>
    <w:rsid w:val="00D148C6"/>
    <w:rsid w:val="00D17A8A"/>
    <w:rsid w:val="00D415BA"/>
    <w:rsid w:val="00D644EE"/>
    <w:rsid w:val="00DA09C8"/>
    <w:rsid w:val="00DD06FF"/>
    <w:rsid w:val="00DD5FE9"/>
    <w:rsid w:val="00E00C7A"/>
    <w:rsid w:val="00E37D6C"/>
    <w:rsid w:val="00E55B68"/>
    <w:rsid w:val="00E67BE6"/>
    <w:rsid w:val="00E8683C"/>
    <w:rsid w:val="00EA2B72"/>
    <w:rsid w:val="00F5174C"/>
    <w:rsid w:val="00F74360"/>
    <w:rsid w:val="00FB462F"/>
    <w:rsid w:val="00FE16FA"/>
    <w:rsid w:val="00FE328A"/>
    <w:rsid w:val="00FE6269"/>
    <w:rsid w:val="00FE6E09"/>
    <w:rsid w:val="0D4F4389"/>
    <w:rsid w:val="0D95362E"/>
    <w:rsid w:val="0F0720BC"/>
    <w:rsid w:val="141C7AD9"/>
    <w:rsid w:val="1B067346"/>
    <w:rsid w:val="21E17305"/>
    <w:rsid w:val="313E5F89"/>
    <w:rsid w:val="32C54C88"/>
    <w:rsid w:val="34832F6E"/>
    <w:rsid w:val="46682FAA"/>
    <w:rsid w:val="597462E8"/>
    <w:rsid w:val="680B4D6A"/>
    <w:rsid w:val="715F283E"/>
    <w:rsid w:val="742312EF"/>
    <w:rsid w:val="778217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semiHidden/>
    <w:unhideWhenUsed/>
    <w:qFormat/>
    <w:uiPriority w:val="99"/>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8"/>
    <w:link w:val="4"/>
    <w:semiHidden/>
    <w:qFormat/>
    <w:uiPriority w:val="99"/>
    <w:rPr>
      <w:sz w:val="18"/>
      <w:szCs w:val="18"/>
    </w:rPr>
  </w:style>
  <w:style w:type="paragraph" w:customStyle="1" w:styleId="14">
    <w:name w:val="正文首缩两字 Char"/>
    <w:basedOn w:val="1"/>
    <w:qFormat/>
    <w:uiPriority w:val="99"/>
    <w:rPr>
      <w:rFonts w:ascii="Verdana" w:hAnsi="Verdana"/>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3335</Words>
  <Characters>3657</Characters>
  <Lines>52</Lines>
  <Paragraphs>14</Paragraphs>
  <TotalTime>0</TotalTime>
  <ScaleCrop>false</ScaleCrop>
  <LinksUpToDate>false</LinksUpToDate>
  <CharactersWithSpaces>3668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2022-10-14T04:01:00Z</dcterms:created>
  <dc:creator>李航 null</dc:creator>
  <cp:lastModifiedBy>苏坡...曼</cp:lastModifiedBy>
  <cp:lastPrinted>2021-07-28T00:12:00Z</cp:lastPrinted>
  <dcterms:modified xsi:type="dcterms:W3CDTF">2026-06-04T03:11:44Z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1980C6D29CD14C6CB03B84D01567997C_13</vt:lpwstr>
  </property>
  <property fmtid="{D5CDD505-2E9C-101B-9397-08002B2CF9AE}" pid="4" name="KSOTemplateDocerSaveRecord">
    <vt:lpwstr>eyJoZGlkIjoiMDEyNDBiZTM0NmRiOTM5MzRlOWMyNjUyMzkxNTg2NmEiLCJ1c2VySWQiOiI1MzQzNDM1ODkifQ==</vt:lpwstr>
  </property>
</Properties>
</file>