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FAF94">
      <w:pPr>
        <w:pStyle w:val="10"/>
        <w:jc w:val="center"/>
        <w:rPr>
          <w:sz w:val="56"/>
          <w:szCs w:val="56"/>
        </w:rPr>
      </w:pPr>
    </w:p>
    <w:p w14:paraId="7A6BD2AE">
      <w:pPr>
        <w:pStyle w:val="10"/>
        <w:jc w:val="center"/>
        <w:rPr>
          <w:sz w:val="56"/>
          <w:szCs w:val="56"/>
        </w:rPr>
      </w:pPr>
    </w:p>
    <w:p w14:paraId="6F983C29">
      <w:pPr>
        <w:pStyle w:val="10"/>
        <w:jc w:val="center"/>
        <w:rPr>
          <w:sz w:val="84"/>
          <w:szCs w:val="84"/>
        </w:rPr>
      </w:pPr>
    </w:p>
    <w:p w14:paraId="5AB4F3BC">
      <w:pPr>
        <w:pStyle w:val="10"/>
        <w:jc w:val="center"/>
        <w:rPr>
          <w:sz w:val="84"/>
          <w:szCs w:val="84"/>
        </w:rPr>
      </w:pPr>
    </w:p>
    <w:p w14:paraId="3E05D99E">
      <w:pPr>
        <w:pStyle w:val="10"/>
        <w:jc w:val="center"/>
        <w:rPr>
          <w:sz w:val="84"/>
          <w:szCs w:val="84"/>
        </w:rPr>
      </w:pPr>
      <w:r>
        <w:rPr>
          <w:rFonts w:hint="eastAsia"/>
          <w:sz w:val="84"/>
          <w:szCs w:val="84"/>
        </w:rPr>
        <w:t>2020年度</w:t>
      </w:r>
    </w:p>
    <w:p w14:paraId="2B885C10">
      <w:pPr>
        <w:pStyle w:val="10"/>
        <w:jc w:val="center"/>
        <w:rPr>
          <w:sz w:val="84"/>
          <w:szCs w:val="84"/>
        </w:rPr>
      </w:pPr>
      <w:r>
        <w:rPr>
          <w:rFonts w:hint="eastAsia"/>
          <w:sz w:val="84"/>
          <w:szCs w:val="84"/>
        </w:rPr>
        <w:t>怀化市鹤城区委网络安全和信息化委员会办公室部门决算</w:t>
      </w:r>
    </w:p>
    <w:p w14:paraId="4A1E8BED">
      <w:pPr>
        <w:pStyle w:val="10"/>
        <w:jc w:val="center"/>
        <w:rPr>
          <w:sz w:val="56"/>
          <w:szCs w:val="56"/>
        </w:rPr>
      </w:pPr>
    </w:p>
    <w:p w14:paraId="721BDAE8">
      <w:pPr>
        <w:pStyle w:val="10"/>
        <w:jc w:val="center"/>
        <w:rPr>
          <w:sz w:val="56"/>
          <w:szCs w:val="56"/>
        </w:rPr>
      </w:pPr>
    </w:p>
    <w:p w14:paraId="2F8F9BA4">
      <w:pPr>
        <w:pStyle w:val="10"/>
        <w:jc w:val="center"/>
        <w:rPr>
          <w:sz w:val="56"/>
          <w:szCs w:val="56"/>
        </w:rPr>
      </w:pPr>
    </w:p>
    <w:p w14:paraId="6200D15F">
      <w:pPr>
        <w:pStyle w:val="10"/>
        <w:spacing w:line="540" w:lineRule="exact"/>
        <w:jc w:val="both"/>
        <w:rPr>
          <w:sz w:val="56"/>
          <w:szCs w:val="56"/>
        </w:rPr>
      </w:pPr>
    </w:p>
    <w:p w14:paraId="66C4054A">
      <w:pPr>
        <w:pStyle w:val="10"/>
        <w:spacing w:line="540" w:lineRule="exact"/>
        <w:jc w:val="both"/>
        <w:rPr>
          <w:sz w:val="56"/>
          <w:szCs w:val="56"/>
        </w:rPr>
      </w:pPr>
    </w:p>
    <w:p w14:paraId="03A9FF56">
      <w:pPr>
        <w:pStyle w:val="10"/>
        <w:spacing w:line="540" w:lineRule="exact"/>
        <w:jc w:val="both"/>
        <w:rPr>
          <w:sz w:val="56"/>
          <w:szCs w:val="56"/>
        </w:rPr>
      </w:pPr>
    </w:p>
    <w:p w14:paraId="5FF3C93E">
      <w:pPr>
        <w:pStyle w:val="10"/>
        <w:spacing w:line="540" w:lineRule="exact"/>
        <w:jc w:val="both"/>
        <w:rPr>
          <w:sz w:val="56"/>
          <w:szCs w:val="56"/>
        </w:rPr>
      </w:pPr>
    </w:p>
    <w:p w14:paraId="72704799">
      <w:pPr>
        <w:pStyle w:val="10"/>
        <w:spacing w:line="540" w:lineRule="exact"/>
        <w:jc w:val="both"/>
        <w:rPr>
          <w:sz w:val="56"/>
          <w:szCs w:val="56"/>
        </w:rPr>
      </w:pPr>
    </w:p>
    <w:p w14:paraId="29448646">
      <w:pPr>
        <w:pStyle w:val="10"/>
        <w:spacing w:line="500" w:lineRule="exact"/>
        <w:jc w:val="both"/>
        <w:rPr>
          <w:b/>
          <w:sz w:val="36"/>
          <w:szCs w:val="28"/>
        </w:rPr>
      </w:pPr>
    </w:p>
    <w:p w14:paraId="081522F3">
      <w:pPr>
        <w:pStyle w:val="10"/>
        <w:spacing w:line="500" w:lineRule="exact"/>
        <w:jc w:val="center"/>
        <w:rPr>
          <w:b/>
          <w:sz w:val="36"/>
          <w:szCs w:val="28"/>
        </w:rPr>
      </w:pPr>
      <w:r>
        <w:rPr>
          <w:rFonts w:hint="eastAsia"/>
          <w:b/>
          <w:sz w:val="36"/>
          <w:szCs w:val="28"/>
        </w:rPr>
        <w:t>目录</w:t>
      </w:r>
    </w:p>
    <w:p w14:paraId="260D2AF0">
      <w:pPr>
        <w:pStyle w:val="10"/>
        <w:spacing w:line="500" w:lineRule="exact"/>
        <w:rPr>
          <w:rFonts w:ascii="仿宋_GB2312" w:hAnsi="仿宋_GB2312" w:cs="仿宋_GB2312"/>
          <w:b/>
          <w:sz w:val="28"/>
          <w:szCs w:val="28"/>
        </w:rPr>
      </w:pPr>
      <w:r>
        <w:rPr>
          <w:rFonts w:hint="eastAsia"/>
          <w:b/>
          <w:sz w:val="28"/>
          <w:szCs w:val="28"/>
        </w:rPr>
        <w:t>第一部分单位概况</w:t>
      </w:r>
    </w:p>
    <w:p w14:paraId="5AEB4F64">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14:paraId="68E45B18">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14:paraId="2A707B40">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14:paraId="657E713E">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14:paraId="72F7F36B">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14:paraId="4848A65E">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14:paraId="673D71C6">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14:paraId="21BCD55B">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14:paraId="3DD21484">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14:paraId="16DE723A">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14:paraId="24170376">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14:paraId="7D0C39DE">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14:paraId="671B1D20">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14:paraId="3E6BA1FB">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14:paraId="0AF2FF0C">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14:paraId="0FE89DC5">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14:paraId="229178F7">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14:paraId="7A934585">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14:paraId="15984D39">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14:paraId="6799984A">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14:paraId="46F533C9">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14:paraId="05A17DB4">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14:paraId="2A8E921E">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14:paraId="13C36DA9">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14:paraId="12BDBE23">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14:paraId="4B44B5D3">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14:paraId="7B7829E8">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14:paraId="6F2369F0">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14:paraId="0F367C73">
      <w:pPr>
        <w:jc w:val="center"/>
        <w:rPr>
          <w:sz w:val="72"/>
          <w:szCs w:val="72"/>
        </w:rPr>
      </w:pPr>
    </w:p>
    <w:p w14:paraId="60B1C504">
      <w:pPr>
        <w:jc w:val="center"/>
        <w:rPr>
          <w:sz w:val="72"/>
          <w:szCs w:val="72"/>
        </w:rPr>
      </w:pPr>
    </w:p>
    <w:p w14:paraId="13D92E64">
      <w:pPr>
        <w:jc w:val="center"/>
        <w:rPr>
          <w:sz w:val="72"/>
          <w:szCs w:val="72"/>
        </w:rPr>
      </w:pPr>
    </w:p>
    <w:p w14:paraId="1BE2D3A6">
      <w:pPr>
        <w:jc w:val="center"/>
        <w:rPr>
          <w:sz w:val="72"/>
          <w:szCs w:val="72"/>
        </w:rPr>
      </w:pPr>
    </w:p>
    <w:p w14:paraId="59E73F46">
      <w:pPr>
        <w:rPr>
          <w:sz w:val="72"/>
          <w:szCs w:val="72"/>
        </w:rPr>
      </w:pPr>
    </w:p>
    <w:p w14:paraId="53EBEA16">
      <w:pPr>
        <w:pStyle w:val="10"/>
        <w:jc w:val="center"/>
        <w:rPr>
          <w:sz w:val="84"/>
          <w:szCs w:val="84"/>
        </w:rPr>
      </w:pPr>
      <w:r>
        <w:rPr>
          <w:rFonts w:hint="eastAsia"/>
          <w:sz w:val="84"/>
          <w:szCs w:val="84"/>
        </w:rPr>
        <w:t>第一部分</w:t>
      </w:r>
    </w:p>
    <w:p w14:paraId="48964E9D">
      <w:pPr>
        <w:pStyle w:val="10"/>
        <w:jc w:val="center"/>
        <w:rPr>
          <w:sz w:val="84"/>
          <w:szCs w:val="84"/>
        </w:rPr>
      </w:pPr>
    </w:p>
    <w:p w14:paraId="058C18B8">
      <w:pPr>
        <w:pStyle w:val="10"/>
        <w:jc w:val="center"/>
        <w:rPr>
          <w:sz w:val="84"/>
          <w:szCs w:val="84"/>
        </w:rPr>
      </w:pPr>
      <w:r>
        <w:rPr>
          <w:rFonts w:hint="eastAsia"/>
          <w:sz w:val="84"/>
          <w:szCs w:val="84"/>
        </w:rPr>
        <w:t>怀化市鹤城区委网络安全和信息化委员会办公室单位概况</w:t>
      </w:r>
    </w:p>
    <w:p w14:paraId="75C44F4E">
      <w:pPr>
        <w:jc w:val="center"/>
        <w:rPr>
          <w:sz w:val="72"/>
          <w:szCs w:val="72"/>
        </w:rPr>
      </w:pPr>
    </w:p>
    <w:p w14:paraId="0BB80D18">
      <w:pPr>
        <w:jc w:val="center"/>
        <w:rPr>
          <w:sz w:val="72"/>
          <w:szCs w:val="72"/>
        </w:rPr>
      </w:pPr>
    </w:p>
    <w:p w14:paraId="44B888C5">
      <w:pPr>
        <w:jc w:val="center"/>
        <w:rPr>
          <w:sz w:val="72"/>
          <w:szCs w:val="72"/>
        </w:rPr>
      </w:pPr>
    </w:p>
    <w:p w14:paraId="7A026836">
      <w:pPr>
        <w:jc w:val="center"/>
        <w:rPr>
          <w:sz w:val="72"/>
          <w:szCs w:val="72"/>
        </w:rPr>
      </w:pPr>
    </w:p>
    <w:p w14:paraId="5D601AB5">
      <w:pPr>
        <w:jc w:val="center"/>
        <w:rPr>
          <w:sz w:val="72"/>
          <w:szCs w:val="72"/>
        </w:rPr>
      </w:pPr>
    </w:p>
    <w:p w14:paraId="1AFA7C58">
      <w:pPr>
        <w:pStyle w:val="11"/>
        <w:numPr>
          <w:numId w:val="0"/>
        </w:numPr>
        <w:ind w:firstLine="640" w:firstLineChars="200"/>
        <w:jc w:val="left"/>
        <w:rPr>
          <w:rFonts w:ascii="黑体" w:hAnsi="黑体" w:eastAsia="黑体"/>
          <w:sz w:val="32"/>
          <w:szCs w:val="32"/>
        </w:rPr>
      </w:pPr>
      <w:r>
        <w:rPr>
          <w:rFonts w:hint="eastAsia" w:ascii="黑体" w:hAnsi="黑体" w:eastAsia="黑体"/>
          <w:sz w:val="32"/>
          <w:szCs w:val="32"/>
          <w:lang w:eastAsia="zh-CN"/>
        </w:rPr>
        <w:t>一、</w:t>
      </w:r>
      <w:r>
        <w:rPr>
          <w:rFonts w:ascii="黑体" w:hAnsi="黑体" w:eastAsia="黑体"/>
          <w:sz w:val="32"/>
          <w:szCs w:val="32"/>
        </w:rPr>
        <w:t>部门职责</w:t>
      </w:r>
    </w:p>
    <w:p w14:paraId="2F3381FE">
      <w:pPr>
        <w:widowControl/>
        <w:spacing w:line="600" w:lineRule="exact"/>
        <w:ind w:firstLine="640" w:firstLineChars="200"/>
        <w:rPr>
          <w:rFonts w:hint="default" w:asciiTheme="minorEastAsia" w:hAnsiTheme="minorEastAsia" w:eastAsiaTheme="minorEastAsia"/>
          <w:bCs/>
          <w:kern w:val="0"/>
          <w:sz w:val="32"/>
          <w:szCs w:val="32"/>
          <w:lang w:val="en-US" w:eastAsia="zh-CN"/>
        </w:rPr>
      </w:pPr>
      <w:r>
        <w:rPr>
          <w:rFonts w:hint="eastAsia" w:asciiTheme="minorEastAsia" w:hAnsiTheme="minorEastAsia"/>
          <w:bCs/>
          <w:kern w:val="0"/>
          <w:sz w:val="32"/>
          <w:szCs w:val="32"/>
          <w:lang w:val="en-US" w:eastAsia="zh-CN"/>
        </w:rPr>
        <w:t>内容涉密，依法不予公开。</w:t>
      </w:r>
    </w:p>
    <w:p w14:paraId="4EBBB758">
      <w:pPr>
        <w:pStyle w:val="10"/>
        <w:spacing w:line="520" w:lineRule="exact"/>
        <w:ind w:firstLine="640" w:firstLineChars="200"/>
        <w:rPr>
          <w:rFonts w:hAnsi="黑体"/>
          <w:bCs/>
          <w:sz w:val="32"/>
          <w:szCs w:val="32"/>
        </w:rPr>
      </w:pPr>
      <w:r>
        <w:rPr>
          <w:rFonts w:hint="eastAsia" w:hAnsi="黑体"/>
          <w:bCs/>
          <w:sz w:val="32"/>
          <w:szCs w:val="32"/>
        </w:rPr>
        <w:t>二、机构设置及决算单位构成</w:t>
      </w:r>
    </w:p>
    <w:p w14:paraId="7ECE4592">
      <w:pPr>
        <w:ind w:firstLine="640" w:firstLineChars="200"/>
        <w:rPr>
          <w:rFonts w:hint="eastAsia" w:cs="仿宋_GB2312" w:asciiTheme="minorEastAsia" w:hAnsiTheme="minorEastAsia" w:eastAsiaTheme="minorEastAsia"/>
          <w:color w:val="000000"/>
          <w:kern w:val="0"/>
          <w:sz w:val="28"/>
          <w:szCs w:val="28"/>
          <w:lang w:eastAsia="zh-CN"/>
        </w:rPr>
      </w:pPr>
      <w:r>
        <w:rPr>
          <w:rFonts w:hint="eastAsia" w:asciiTheme="minorEastAsia" w:hAnsiTheme="minorEastAsia"/>
          <w:bCs/>
          <w:kern w:val="0"/>
          <w:sz w:val="32"/>
          <w:szCs w:val="32"/>
        </w:rPr>
        <w:t>（一）内设机构设置。</w:t>
      </w:r>
      <w:r>
        <w:rPr>
          <w:rFonts w:hint="eastAsia" w:asciiTheme="minorEastAsia" w:hAnsiTheme="minorEastAsia"/>
          <w:bCs/>
          <w:kern w:val="0"/>
          <w:sz w:val="32"/>
          <w:szCs w:val="32"/>
          <w:lang w:eastAsia="zh-CN"/>
        </w:rPr>
        <w:t>内</w:t>
      </w:r>
      <w:r>
        <w:rPr>
          <w:rFonts w:hint="eastAsia" w:asciiTheme="minorEastAsia" w:hAnsiTheme="minorEastAsia"/>
          <w:bCs/>
          <w:kern w:val="0"/>
          <w:sz w:val="32"/>
          <w:szCs w:val="32"/>
          <w:lang w:val="en-US" w:eastAsia="zh-CN"/>
        </w:rPr>
        <w:t>容涉密，依法不予公开。</w:t>
      </w:r>
    </w:p>
    <w:p w14:paraId="5614038A">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（二）决算单位构成。怀化市鹤城区委网络安全和信息化委员会办公室单位</w:t>
      </w:r>
      <w:r>
        <w:rPr>
          <w:rFonts w:hint="eastAsia" w:asciiTheme="minorEastAsia" w:hAnsiTheme="minorEastAsia"/>
          <w:bCs/>
          <w:kern w:val="0"/>
          <w:sz w:val="32"/>
          <w:szCs w:val="32"/>
          <w:lang w:val="en-US" w:eastAsia="zh-CN"/>
        </w:rPr>
        <w:t>2020</w:t>
      </w:r>
      <w:r>
        <w:rPr>
          <w:rFonts w:hint="eastAsia" w:asciiTheme="minorEastAsia" w:hAnsiTheme="minorEastAsia"/>
          <w:bCs/>
          <w:kern w:val="0"/>
          <w:sz w:val="32"/>
          <w:szCs w:val="32"/>
        </w:rPr>
        <w:t>年部门决算包括单位本级。</w:t>
      </w:r>
    </w:p>
    <w:p w14:paraId="7E2FF21D">
      <w:pPr>
        <w:jc w:val="center"/>
        <w:rPr>
          <w:rFonts w:ascii="黑体" w:hAnsi="黑体" w:eastAsia="黑体"/>
          <w:sz w:val="28"/>
          <w:szCs w:val="28"/>
        </w:rPr>
      </w:pPr>
    </w:p>
    <w:p w14:paraId="4FECD0CA">
      <w:pPr>
        <w:jc w:val="center"/>
        <w:rPr>
          <w:rFonts w:ascii="黑体" w:hAnsi="黑体" w:eastAsia="黑体"/>
          <w:sz w:val="28"/>
          <w:szCs w:val="28"/>
        </w:rPr>
      </w:pPr>
    </w:p>
    <w:p w14:paraId="2FC5EBC6">
      <w:pPr>
        <w:jc w:val="center"/>
        <w:rPr>
          <w:rFonts w:ascii="黑体" w:hAnsi="黑体" w:eastAsia="黑体"/>
          <w:sz w:val="28"/>
          <w:szCs w:val="28"/>
        </w:rPr>
      </w:pPr>
    </w:p>
    <w:p w14:paraId="36615A28">
      <w:pPr>
        <w:jc w:val="center"/>
        <w:rPr>
          <w:rFonts w:ascii="黑体" w:hAnsi="黑体" w:eastAsia="黑体"/>
          <w:sz w:val="28"/>
          <w:szCs w:val="28"/>
        </w:rPr>
      </w:pPr>
    </w:p>
    <w:p w14:paraId="1CDFBF91">
      <w:pPr>
        <w:jc w:val="center"/>
        <w:rPr>
          <w:rFonts w:ascii="黑体" w:hAnsi="黑体" w:eastAsia="黑体"/>
          <w:sz w:val="28"/>
          <w:szCs w:val="28"/>
        </w:rPr>
      </w:pPr>
    </w:p>
    <w:p w14:paraId="426083BC">
      <w:pPr>
        <w:jc w:val="center"/>
        <w:rPr>
          <w:rFonts w:ascii="黑体" w:hAnsi="黑体" w:eastAsia="黑体"/>
          <w:sz w:val="28"/>
          <w:szCs w:val="28"/>
        </w:rPr>
      </w:pPr>
    </w:p>
    <w:p w14:paraId="4BFC3E01">
      <w:pPr>
        <w:jc w:val="center"/>
        <w:rPr>
          <w:sz w:val="72"/>
          <w:szCs w:val="72"/>
        </w:rPr>
      </w:pPr>
    </w:p>
    <w:p w14:paraId="42807DA0">
      <w:pPr>
        <w:jc w:val="center"/>
        <w:rPr>
          <w:sz w:val="72"/>
          <w:szCs w:val="72"/>
        </w:rPr>
      </w:pPr>
    </w:p>
    <w:p w14:paraId="5B77D5F5">
      <w:pPr>
        <w:jc w:val="center"/>
        <w:rPr>
          <w:sz w:val="72"/>
          <w:szCs w:val="72"/>
        </w:rPr>
      </w:pPr>
    </w:p>
    <w:p w14:paraId="2E9DD873">
      <w:pPr>
        <w:jc w:val="center"/>
        <w:rPr>
          <w:sz w:val="72"/>
          <w:szCs w:val="72"/>
        </w:rPr>
      </w:pPr>
    </w:p>
    <w:p w14:paraId="1354AEB9">
      <w:pPr>
        <w:jc w:val="center"/>
        <w:rPr>
          <w:sz w:val="72"/>
          <w:szCs w:val="72"/>
        </w:rPr>
      </w:pPr>
    </w:p>
    <w:p w14:paraId="2992B404">
      <w:pPr>
        <w:jc w:val="center"/>
        <w:rPr>
          <w:rFonts w:hint="eastAsia"/>
          <w:sz w:val="72"/>
          <w:szCs w:val="72"/>
        </w:rPr>
      </w:pPr>
    </w:p>
    <w:p w14:paraId="02CDB985">
      <w:pPr>
        <w:jc w:val="center"/>
        <w:rPr>
          <w:rFonts w:hint="eastAsia"/>
          <w:sz w:val="72"/>
          <w:szCs w:val="72"/>
        </w:rPr>
      </w:pPr>
    </w:p>
    <w:p w14:paraId="74FF520E">
      <w:pPr>
        <w:jc w:val="center"/>
        <w:rPr>
          <w:sz w:val="72"/>
          <w:szCs w:val="72"/>
        </w:rPr>
      </w:pPr>
      <w:r>
        <w:rPr>
          <w:rFonts w:hint="eastAsia"/>
          <w:sz w:val="72"/>
          <w:szCs w:val="72"/>
        </w:rPr>
        <w:t>第二部分</w:t>
      </w:r>
    </w:p>
    <w:p w14:paraId="0FAC5FE3">
      <w:pPr>
        <w:jc w:val="center"/>
        <w:rPr>
          <w:sz w:val="72"/>
          <w:szCs w:val="72"/>
        </w:rPr>
      </w:pPr>
    </w:p>
    <w:p w14:paraId="5B83A2AE">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14:paraId="26081B8C">
      <w:pPr>
        <w:jc w:val="center"/>
        <w:rPr>
          <w:sz w:val="72"/>
          <w:szCs w:val="72"/>
        </w:rPr>
      </w:pPr>
    </w:p>
    <w:p w14:paraId="755DADBD">
      <w:pPr>
        <w:jc w:val="center"/>
        <w:rPr>
          <w:sz w:val="72"/>
          <w:szCs w:val="72"/>
        </w:rPr>
      </w:pPr>
    </w:p>
    <w:p w14:paraId="5F645C4B">
      <w:pPr>
        <w:jc w:val="center"/>
        <w:rPr>
          <w:sz w:val="72"/>
          <w:szCs w:val="72"/>
        </w:rPr>
      </w:pPr>
    </w:p>
    <w:p w14:paraId="2E71C968">
      <w:pPr>
        <w:jc w:val="center"/>
        <w:rPr>
          <w:sz w:val="72"/>
          <w:szCs w:val="72"/>
        </w:rPr>
      </w:pPr>
    </w:p>
    <w:p w14:paraId="6EC58F0A">
      <w:pPr>
        <w:jc w:val="center"/>
        <w:rPr>
          <w:sz w:val="72"/>
          <w:szCs w:val="72"/>
        </w:rPr>
      </w:pPr>
    </w:p>
    <w:p w14:paraId="27CFAE25">
      <w:pPr>
        <w:jc w:val="center"/>
        <w:rPr>
          <w:sz w:val="72"/>
          <w:szCs w:val="72"/>
        </w:rPr>
      </w:pPr>
    </w:p>
    <w:p w14:paraId="1231AA52">
      <w:pPr>
        <w:jc w:val="left"/>
        <w:rPr>
          <w:sz w:val="32"/>
          <w:szCs w:val="32"/>
        </w:rPr>
      </w:pPr>
    </w:p>
    <w:p w14:paraId="14D13828">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14:paraId="575318DB">
      <w:pPr>
        <w:pStyle w:val="10"/>
        <w:rPr>
          <w:sz w:val="72"/>
          <w:szCs w:val="72"/>
        </w:rPr>
      </w:pPr>
    </w:p>
    <w:p w14:paraId="45B28FC1">
      <w:pPr>
        <w:pStyle w:val="10"/>
        <w:rPr>
          <w:sz w:val="72"/>
          <w:szCs w:val="72"/>
        </w:rPr>
      </w:pPr>
    </w:p>
    <w:p w14:paraId="72601B7A">
      <w:pPr>
        <w:pStyle w:val="10"/>
        <w:rPr>
          <w:sz w:val="72"/>
          <w:szCs w:val="72"/>
        </w:rPr>
      </w:pPr>
    </w:p>
    <w:p w14:paraId="73E9CA42">
      <w:pPr>
        <w:pStyle w:val="10"/>
        <w:rPr>
          <w:sz w:val="72"/>
          <w:szCs w:val="72"/>
        </w:rPr>
      </w:pPr>
    </w:p>
    <w:p w14:paraId="6C9958F6">
      <w:pPr>
        <w:pStyle w:val="10"/>
        <w:jc w:val="center"/>
        <w:rPr>
          <w:sz w:val="72"/>
          <w:szCs w:val="72"/>
        </w:rPr>
      </w:pPr>
    </w:p>
    <w:p w14:paraId="6C69CA97">
      <w:pPr>
        <w:pStyle w:val="10"/>
        <w:jc w:val="center"/>
        <w:rPr>
          <w:sz w:val="72"/>
          <w:szCs w:val="72"/>
        </w:rPr>
      </w:pPr>
    </w:p>
    <w:p w14:paraId="28953143">
      <w:pPr>
        <w:pStyle w:val="10"/>
        <w:jc w:val="center"/>
        <w:rPr>
          <w:sz w:val="72"/>
          <w:szCs w:val="72"/>
        </w:rPr>
      </w:pPr>
      <w:r>
        <w:rPr>
          <w:rFonts w:hint="eastAsia"/>
          <w:sz w:val="72"/>
          <w:szCs w:val="72"/>
        </w:rPr>
        <w:t>第三部分</w:t>
      </w:r>
    </w:p>
    <w:p w14:paraId="67FE5FB9">
      <w:pPr>
        <w:pStyle w:val="10"/>
        <w:jc w:val="center"/>
        <w:rPr>
          <w:sz w:val="70"/>
          <w:szCs w:val="70"/>
        </w:rPr>
      </w:pPr>
    </w:p>
    <w:p w14:paraId="69D6ACB0">
      <w:pPr>
        <w:pStyle w:val="10"/>
        <w:jc w:val="center"/>
        <w:rPr>
          <w:sz w:val="70"/>
          <w:szCs w:val="70"/>
        </w:rPr>
      </w:pPr>
      <w:r>
        <w:rPr>
          <w:sz w:val="70"/>
          <w:szCs w:val="70"/>
        </w:rPr>
        <w:t>20</w:t>
      </w:r>
      <w:r>
        <w:rPr>
          <w:rFonts w:hint="eastAsia"/>
          <w:sz w:val="70"/>
          <w:szCs w:val="70"/>
        </w:rPr>
        <w:t>20年度部门决算情况说明</w:t>
      </w:r>
    </w:p>
    <w:p w14:paraId="106C8E1F">
      <w:pPr>
        <w:widowControl/>
        <w:jc w:val="left"/>
        <w:rPr>
          <w:rFonts w:ascii="黑体" w:eastAsia="黑体" w:cs="黑体"/>
          <w:color w:val="000000"/>
          <w:kern w:val="0"/>
          <w:sz w:val="70"/>
          <w:szCs w:val="70"/>
        </w:rPr>
      </w:pPr>
      <w:r>
        <w:rPr>
          <w:sz w:val="70"/>
          <w:szCs w:val="70"/>
        </w:rPr>
        <w:br w:type="page"/>
      </w:r>
    </w:p>
    <w:p w14:paraId="4EE7C0E8">
      <w:pPr>
        <w:pStyle w:val="10"/>
        <w:rPr>
          <w:rFonts w:asciiTheme="minorEastAsia" w:hAnsiTheme="minorEastAsia" w:eastAsiaTheme="minorEastAsia"/>
          <w:sz w:val="32"/>
          <w:szCs w:val="32"/>
        </w:rPr>
      </w:pPr>
    </w:p>
    <w:p w14:paraId="651CDC71">
      <w:pPr>
        <w:pStyle w:val="10"/>
        <w:rPr>
          <w:rFonts w:hAnsi="黑体"/>
          <w:b/>
          <w:sz w:val="32"/>
          <w:szCs w:val="32"/>
        </w:rPr>
      </w:pPr>
      <w:r>
        <w:rPr>
          <w:rFonts w:hint="eastAsia" w:hAnsi="黑体"/>
          <w:b/>
          <w:sz w:val="32"/>
          <w:szCs w:val="32"/>
        </w:rPr>
        <w:t>一、收入支出决算总体情况说明</w:t>
      </w:r>
    </w:p>
    <w:p w14:paraId="57848BCA">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2020年度收入合计98.39万元。与上年相比，增加82.55万元，增长521.15%，主要是因为2019年新成立单位，单位职工人事关系未过来，工资未在本单位发放；多项工作经费在2020年到位。</w:t>
      </w:r>
    </w:p>
    <w:p w14:paraId="3DD06191">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2020年度支出合计98.39万元。与上年相比，增加82.55万元，增长521.15%，主要是因为2019年新成立单位，单位职工人事关系未过来，工资未在本单位发放；多项工作经费在2020年到位。</w:t>
      </w:r>
    </w:p>
    <w:p w14:paraId="58DBB726">
      <w:pPr>
        <w:pStyle w:val="10"/>
        <w:rPr>
          <w:rFonts w:hAnsi="黑体"/>
          <w:b/>
          <w:sz w:val="32"/>
          <w:szCs w:val="32"/>
        </w:rPr>
      </w:pPr>
      <w:r>
        <w:rPr>
          <w:rFonts w:hint="eastAsia" w:hAnsi="黑体"/>
          <w:b/>
          <w:sz w:val="32"/>
          <w:szCs w:val="32"/>
        </w:rPr>
        <w:t>二、收入决算情况说明</w:t>
      </w:r>
    </w:p>
    <w:p w14:paraId="1D0517EF">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本年收入合计98.39万元，其中：财政拨款收入98.39万元，占100%；上级补助收入0万元，占0%；事业收入0万元，占0%；经营收入0万元，占0%；附属单位上缴收入0万元，占0%；其他收入0万元，占0%。</w:t>
      </w:r>
    </w:p>
    <w:p w14:paraId="142CFA99">
      <w:pPr>
        <w:pStyle w:val="10"/>
        <w:rPr>
          <w:rFonts w:hAnsi="黑体"/>
          <w:b/>
          <w:sz w:val="32"/>
          <w:szCs w:val="32"/>
        </w:rPr>
      </w:pPr>
      <w:r>
        <w:rPr>
          <w:rFonts w:hint="eastAsia" w:hAnsi="黑体"/>
          <w:b/>
          <w:sz w:val="32"/>
          <w:szCs w:val="32"/>
        </w:rPr>
        <w:t>三、支出决算情况说明</w:t>
      </w:r>
    </w:p>
    <w:p w14:paraId="438C4B44">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本年支出合计98.39万元，其中：基本支出45.92万元，占46.67%；项目支出52.47万元，占53.33%；上缴上级支出0万元，占0%；经营支出0万元，占0%；对附属单位补助支出0万元，占0%。</w:t>
      </w:r>
    </w:p>
    <w:p w14:paraId="55D4D93C">
      <w:pPr>
        <w:pStyle w:val="10"/>
        <w:rPr>
          <w:rFonts w:hAnsi="黑体"/>
          <w:b/>
          <w:sz w:val="32"/>
          <w:szCs w:val="32"/>
        </w:rPr>
      </w:pPr>
      <w:r>
        <w:rPr>
          <w:rFonts w:hint="eastAsia" w:hAnsi="黑体"/>
          <w:b/>
          <w:sz w:val="32"/>
          <w:szCs w:val="32"/>
        </w:rPr>
        <w:t>四、财政拨款收入支出决算总体情况说明</w:t>
      </w:r>
    </w:p>
    <w:p w14:paraId="0280D164">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2020年度财政拨款收入总计98.39万元。与上年相比，增加82.55万元，增长521.15%，主要是因为2019年新成立单位，单位职工人事关系未过来，工资未在本单位发放；多项工作经费在2020年到位。</w:t>
      </w:r>
    </w:p>
    <w:p w14:paraId="02FE47AF">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2020年度财政拨款支出总计98.39万元。与上年相比，增加82.55万元，增长521.15%，主要是因为2019年新成立单位，单位职工人事关系未过来，工资未在本单位发放；多项工作经费在2020年到位。</w:t>
      </w:r>
    </w:p>
    <w:p w14:paraId="260F87DD">
      <w:pPr>
        <w:pStyle w:val="10"/>
        <w:rPr>
          <w:rFonts w:hAnsi="黑体"/>
          <w:b/>
          <w:sz w:val="32"/>
          <w:szCs w:val="32"/>
        </w:rPr>
      </w:pPr>
      <w:r>
        <w:rPr>
          <w:rFonts w:hint="eastAsia" w:hAnsi="黑体"/>
          <w:b/>
          <w:sz w:val="32"/>
          <w:szCs w:val="32"/>
        </w:rPr>
        <w:t>五、一般公共预算财政拨款支出决算情况说明</w:t>
      </w:r>
    </w:p>
    <w:p w14:paraId="3CC54D6B">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14:paraId="05282416">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98.39万元，占本年支出合计的100%，与上年相比，财政拨款支出增加82.55万元，增长521.15%，主要是因为2019年新成立单位，单位职工人事关系未过来，工资未在本单位发放；多项工作经费在2020年到位。</w:t>
      </w:r>
    </w:p>
    <w:p w14:paraId="738C9901">
      <w:pPr>
        <w:pStyle w:val="10"/>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14:paraId="4BC77CA2">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98.39万元，主要用于以下方面：一般公共服务（类）支出62.8万元，占63.83%；文化旅游体育与传媒支出（类）支出20万元，占20.33%；社会保障和就业支出（类）支出3.86万元，占3.92%；卫生健康支出（类）支出11.73万元，占11.92%。</w:t>
      </w:r>
    </w:p>
    <w:p w14:paraId="39F42722">
      <w:pPr>
        <w:pStyle w:val="10"/>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14:paraId="33CA3A27">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2020年度财政拨款支出年初预算数为110.53万元，支出决算数为98.39万元，完成年初预算的89.02%，其中：</w:t>
      </w:r>
    </w:p>
    <w:p w14:paraId="78A3ACA3">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1、一般公共服务（类）网信事务（款）行政运行（项）。</w:t>
      </w:r>
    </w:p>
    <w:p w14:paraId="0F17E8F0">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年初预算为25.29万元，支出决算为40.13万元，完成年初预算的158.68%，决算数大于年初预算数的主要原因是：预算的功能代码与财政下指标的功能代码不一样，导致决算与预算功能科目金额不一样。</w:t>
      </w:r>
    </w:p>
    <w:p w14:paraId="69E7C753">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2、一般公共服务（类）网信事务（款） 一般行政管理事务（项）。</w:t>
      </w:r>
    </w:p>
    <w:p w14:paraId="42CD2BC6">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年初预算为0万元，支出决算为22.67万元，完成年初预算的100%，决算数大于年初预算数的主要原因是：预算的功能代码与财政下指标的功能代码不一样，导致决算与预算功能科目金额不一样。</w:t>
      </w:r>
    </w:p>
    <w:p w14:paraId="3F260908">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3、文化旅游体育与传媒支出（类）广播电视（款） 广播（项）。</w:t>
      </w:r>
    </w:p>
    <w:p w14:paraId="076DC993">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年初预算为0万元，支出决算为20万元，完成年初预算的100%，决算数大于年初预算数的主要原因是：预算的功能代码与财政下指标的功能代码不一样，导致决算与预算功能科目金额不一样。</w:t>
      </w:r>
    </w:p>
    <w:p w14:paraId="2FECD811">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4、社会保障和就业支出（类）行政事业单位养老支出（款） 机关事业单位基本养老保险缴费支出（项）。</w:t>
      </w:r>
    </w:p>
    <w:p w14:paraId="55DDEB75">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年初预算为3.86万元，支出决算为3.86万元，完成年初预算的100%。</w:t>
      </w:r>
    </w:p>
    <w:p w14:paraId="00FB283D">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5、卫生健康支出（类）公共卫生（款）突发公共卫生事件应急处理（项）。</w:t>
      </w:r>
    </w:p>
    <w:p w14:paraId="0E0A1C65">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年初预算为0万元，支出决算为9.8万元，完成年初预算的100%，决算数大于年初预算数的主要原因是：预算的功能代码与财政下指标的功能代码不一样，导致决算与预算功能科目金额不一样。</w:t>
      </w:r>
    </w:p>
    <w:p w14:paraId="63DC1B41">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6、卫生健康支出（类）行政事业单位医疗（款）行政单位医疗（项）。</w:t>
      </w:r>
    </w:p>
    <w:p w14:paraId="7B778FE8">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年初预算为1.93万元，支出决算为1.93万元，完成年初预算的100%。</w:t>
      </w:r>
    </w:p>
    <w:p w14:paraId="648DA2A6">
      <w:pPr>
        <w:pStyle w:val="10"/>
        <w:rPr>
          <w:rFonts w:hAnsi="黑体"/>
          <w:b/>
          <w:sz w:val="32"/>
          <w:szCs w:val="32"/>
        </w:rPr>
      </w:pPr>
      <w:r>
        <w:rPr>
          <w:rFonts w:hint="eastAsia" w:hAnsi="黑体"/>
          <w:b/>
          <w:sz w:val="32"/>
          <w:szCs w:val="32"/>
        </w:rPr>
        <w:t>六、一般公共预算财政拨款基本支出决算情况说明</w:t>
      </w:r>
    </w:p>
    <w:p w14:paraId="2B9CD223">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45.92万元，其中：人员经费35.82万元，占基本支出的78%,主要包括基本工资、津贴补贴、奖金、伙食补助费机关事业单位基本养老保险缴费、职工基本医疗保险缴费、其他社会保障缴费、其他工资福利支出、生活补助；公用经费10.1万元，占基本支出的22%，主要包括办公费、印刷费、咨询费、水费、电费、工会经费、福利费、其他交通费用。</w:t>
      </w:r>
    </w:p>
    <w:p w14:paraId="08D4CDA4">
      <w:pPr>
        <w:pStyle w:val="10"/>
        <w:rPr>
          <w:rFonts w:hAnsi="黑体"/>
          <w:b/>
          <w:sz w:val="32"/>
          <w:szCs w:val="32"/>
        </w:rPr>
      </w:pPr>
      <w:r>
        <w:rPr>
          <w:rFonts w:hint="eastAsia" w:hAnsi="黑体"/>
          <w:b/>
          <w:sz w:val="32"/>
          <w:szCs w:val="32"/>
        </w:rPr>
        <w:t>七、一般公共预算财政拨款三公经费支出决算情况说明</w:t>
      </w:r>
    </w:p>
    <w:p w14:paraId="02BB1F40">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14:paraId="536D2A6C">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“三公”经费财政拨款支出预算为5万元，支出决算为0万元，完成预算的0%，其中：</w:t>
      </w:r>
    </w:p>
    <w:p w14:paraId="0C15C158">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因公出国（境）费支出预算为0万元，支出决算为0万元，完成预算的0%，，与上年相比减少（增加）0万元，减少（增长）0%。</w:t>
      </w:r>
    </w:p>
    <w:p w14:paraId="7F4CE91D">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公务接待费支出预算为5万元，支出决算为0万元，完成预算的0%，决算数大于（小于）预算数的主要原因是没有招待费，与上年相比减少（增加）0万元，减少（增长）0%。</w:t>
      </w:r>
    </w:p>
    <w:p w14:paraId="01AAB50C">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公务用车购置费及运行维护费支出预算为0万元，支出决算为0万元，完成预算的0%，与上年相比减少（增加）0，减少（增长）0%。</w:t>
      </w:r>
    </w:p>
    <w:p w14:paraId="218CE38C">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14:paraId="3C7B5D44">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2020年度“三公”经费财政拨款支出决算中，公务接待费支出决算0万元，占0%,因公出国（境）费支出决算0万元，占0%,公务用车购置费及运行维护费支出决算0万元，占0%。其中：</w:t>
      </w:r>
    </w:p>
    <w:p w14:paraId="2C7C56D0">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1、因公出国（境）费支出决算为0万元，全年安排因公出国（境）团组0个，累计0人次。</w:t>
      </w:r>
    </w:p>
    <w:p w14:paraId="1846A234">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2、公务接待费支出决算为0万元，全年共接待来访团组0个、来宾0人次，主要是没有发生的接待支出。</w:t>
      </w:r>
    </w:p>
    <w:p w14:paraId="0D3C9E03">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3、公务用车购置费及运行维护费支出决算为0万元，其中：公务用车购置费0万元，单位本级更新公务用车0辆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公务用车运行维护费0万元，，截止2020年12月31日，我单位开支财政拨款的公务用车保有量为0辆。</w:t>
      </w:r>
    </w:p>
    <w:p w14:paraId="4261F2D9">
      <w:pPr>
        <w:pStyle w:val="10"/>
        <w:rPr>
          <w:rFonts w:hAnsi="黑体"/>
          <w:b/>
          <w:sz w:val="32"/>
          <w:szCs w:val="32"/>
        </w:rPr>
      </w:pPr>
      <w:r>
        <w:rPr>
          <w:rFonts w:hint="eastAsia" w:hAnsi="黑体"/>
          <w:b/>
          <w:sz w:val="32"/>
          <w:szCs w:val="32"/>
        </w:rPr>
        <w:t>八、政府性基金预算收入支出决算情况</w:t>
      </w:r>
    </w:p>
    <w:p w14:paraId="40039C84">
      <w:pPr>
        <w:pStyle w:val="1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 xml:space="preserve">     2020年度政府性基金预算财政拨款收入0万元；年初结转和结余0万元；支出0万元，其中基本支出0万元，项目支出0万元；年末结转和结余0万元。</w:t>
      </w:r>
    </w:p>
    <w:p w14:paraId="0CAC1746">
      <w:pPr>
        <w:pStyle w:val="10"/>
        <w:rPr>
          <w:rFonts w:hAnsi="黑体"/>
          <w:b/>
          <w:sz w:val="32"/>
          <w:szCs w:val="32"/>
        </w:rPr>
      </w:pPr>
      <w:r>
        <w:rPr>
          <w:rFonts w:hint="eastAsia" w:hAnsi="黑体"/>
          <w:b/>
          <w:sz w:val="32"/>
          <w:szCs w:val="32"/>
        </w:rPr>
        <w:t>九、关于机关运行经费支出说明</w:t>
      </w:r>
    </w:p>
    <w:p w14:paraId="580522DC">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本部门2020年度机关运行经费支出10.1万元，比上年决算数）增加2.71万元，增长36.67%。主要原因是：人员增加。</w:t>
      </w:r>
    </w:p>
    <w:p w14:paraId="3C9FEE39">
      <w:pPr>
        <w:pStyle w:val="10"/>
        <w:rPr>
          <w:rFonts w:hAnsi="黑体"/>
          <w:b/>
          <w:sz w:val="32"/>
          <w:szCs w:val="32"/>
        </w:rPr>
      </w:pPr>
      <w:r>
        <w:rPr>
          <w:rFonts w:hint="eastAsia" w:hAnsi="黑体"/>
          <w:b/>
          <w:sz w:val="32"/>
          <w:szCs w:val="32"/>
        </w:rPr>
        <w:t>十、一般性支出情况</w:t>
      </w:r>
    </w:p>
    <w:p w14:paraId="7A022DA1">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2020年本部门开支会议费0万元，人数0人；开支培训费0万元，人数0人，开支0万元。</w:t>
      </w:r>
    </w:p>
    <w:p w14:paraId="60864430">
      <w:pPr>
        <w:pStyle w:val="10"/>
        <w:rPr>
          <w:rFonts w:hAnsi="黑体"/>
          <w:b/>
          <w:sz w:val="32"/>
          <w:szCs w:val="32"/>
        </w:rPr>
      </w:pPr>
      <w:r>
        <w:rPr>
          <w:rFonts w:hint="eastAsia" w:hAnsi="黑体"/>
          <w:b/>
          <w:sz w:val="32"/>
          <w:szCs w:val="32"/>
        </w:rPr>
        <w:t>十一、关于政府采购支出说明</w:t>
      </w:r>
    </w:p>
    <w:p w14:paraId="19CAB0D9">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本部门2020年度政府采购支出总额0万元，其中：政府采购货物支出0 万元、政府采购工程支出0万元、政府采购服务支出0万元。授予中小企业合同金额0万元，占政府采购支出总额的0%，其中：授予小微企业合同金额0万元，占政府采购支出总额的0%。</w:t>
      </w:r>
    </w:p>
    <w:p w14:paraId="26D57C09">
      <w:pPr>
        <w:pStyle w:val="10"/>
        <w:rPr>
          <w:rFonts w:hAnsi="黑体"/>
          <w:b/>
          <w:sz w:val="32"/>
          <w:szCs w:val="32"/>
        </w:rPr>
      </w:pPr>
      <w:r>
        <w:rPr>
          <w:rFonts w:hint="eastAsia" w:hAnsi="黑体"/>
          <w:b/>
          <w:sz w:val="32"/>
          <w:szCs w:val="32"/>
        </w:rPr>
        <w:t>十二、关于国有资产占用情况说明</w:t>
      </w:r>
    </w:p>
    <w:p w14:paraId="62E468A4">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0辆，其中，主要领导干部用车0辆，机要通信用车0辆、应急保障用车0辆、执法执勤用车0辆、特种专业技术用车0辆、其他用车0辆；单位价值50万元以上通用设备0台（套）；单位价值100万元以上专用设备0台（套）。</w:t>
      </w:r>
    </w:p>
    <w:p w14:paraId="2AF9967F">
      <w:pPr>
        <w:pStyle w:val="10"/>
        <w:rPr>
          <w:rFonts w:hAnsi="黑体"/>
          <w:b/>
          <w:sz w:val="32"/>
          <w:szCs w:val="32"/>
        </w:rPr>
      </w:pPr>
      <w:r>
        <w:rPr>
          <w:rFonts w:hint="eastAsia" w:hAnsi="黑体"/>
          <w:b/>
          <w:sz w:val="32"/>
          <w:szCs w:val="32"/>
        </w:rPr>
        <w:t>十三、关于2020年度预算绩效情况的说明</w:t>
      </w:r>
    </w:p>
    <w:p w14:paraId="37F535DE">
      <w:pPr>
        <w:pStyle w:val="10"/>
        <w:rPr>
          <w:rFonts w:asciiTheme="minorEastAsia" w:hAnsiTheme="minorEastAsia" w:eastAsiaTheme="minorEastAsia"/>
          <w:sz w:val="32"/>
          <w:szCs w:val="32"/>
        </w:rPr>
      </w:pPr>
      <w:r>
        <w:rPr>
          <w:rFonts w:hint="eastAsia" w:asciiTheme="minorEastAsia" w:hAnsiTheme="minorEastAsia" w:eastAsiaTheme="minorEastAsia"/>
          <w:sz w:val="32"/>
          <w:szCs w:val="32"/>
        </w:rPr>
        <w:t>本部门预算绩效管理开展情况、绩效目标和绩效评价报告附后</w:t>
      </w:r>
    </w:p>
    <w:p w14:paraId="072BB505">
      <w:pPr>
        <w:pStyle w:val="10"/>
        <w:rPr>
          <w:rFonts w:hAnsi="黑体"/>
          <w:b/>
          <w:sz w:val="32"/>
          <w:szCs w:val="32"/>
        </w:rPr>
      </w:pPr>
    </w:p>
    <w:p w14:paraId="03E9FA8D">
      <w:pPr>
        <w:pStyle w:val="10"/>
        <w:jc w:val="center"/>
        <w:rPr>
          <w:sz w:val="72"/>
          <w:szCs w:val="72"/>
        </w:rPr>
      </w:pPr>
    </w:p>
    <w:p w14:paraId="3CE855B8">
      <w:pPr>
        <w:pStyle w:val="10"/>
        <w:jc w:val="center"/>
        <w:rPr>
          <w:sz w:val="72"/>
          <w:szCs w:val="72"/>
        </w:rPr>
      </w:pPr>
    </w:p>
    <w:p w14:paraId="2BBF0E8F">
      <w:pPr>
        <w:pStyle w:val="10"/>
        <w:jc w:val="center"/>
        <w:rPr>
          <w:sz w:val="72"/>
          <w:szCs w:val="72"/>
        </w:rPr>
      </w:pPr>
    </w:p>
    <w:p w14:paraId="6E54748F">
      <w:pPr>
        <w:pStyle w:val="10"/>
        <w:jc w:val="center"/>
        <w:rPr>
          <w:sz w:val="72"/>
          <w:szCs w:val="72"/>
        </w:rPr>
      </w:pPr>
    </w:p>
    <w:p w14:paraId="3BA06E5E">
      <w:pPr>
        <w:pStyle w:val="10"/>
        <w:jc w:val="center"/>
        <w:rPr>
          <w:sz w:val="72"/>
          <w:szCs w:val="72"/>
        </w:rPr>
      </w:pPr>
    </w:p>
    <w:p w14:paraId="2AC0418A">
      <w:pPr>
        <w:pStyle w:val="10"/>
        <w:jc w:val="center"/>
        <w:rPr>
          <w:sz w:val="72"/>
          <w:szCs w:val="72"/>
        </w:rPr>
      </w:pPr>
    </w:p>
    <w:p w14:paraId="1F44207C">
      <w:pPr>
        <w:pStyle w:val="10"/>
        <w:jc w:val="center"/>
        <w:rPr>
          <w:sz w:val="72"/>
          <w:szCs w:val="72"/>
        </w:rPr>
      </w:pPr>
    </w:p>
    <w:p w14:paraId="165140C7">
      <w:pPr>
        <w:pStyle w:val="10"/>
        <w:jc w:val="center"/>
        <w:rPr>
          <w:sz w:val="72"/>
          <w:szCs w:val="72"/>
        </w:rPr>
      </w:pPr>
    </w:p>
    <w:p w14:paraId="43D231DF">
      <w:pPr>
        <w:pStyle w:val="10"/>
        <w:jc w:val="center"/>
        <w:rPr>
          <w:sz w:val="72"/>
          <w:szCs w:val="72"/>
        </w:rPr>
      </w:pPr>
      <w:r>
        <w:rPr>
          <w:rFonts w:hint="eastAsia"/>
          <w:sz w:val="72"/>
          <w:szCs w:val="72"/>
        </w:rPr>
        <w:t>第四部分</w:t>
      </w:r>
    </w:p>
    <w:p w14:paraId="648B8CB5">
      <w:pPr>
        <w:jc w:val="center"/>
        <w:rPr>
          <w:rFonts w:ascii="黑体" w:eastAsia="黑体" w:cs="黑体"/>
          <w:color w:val="000000"/>
          <w:kern w:val="0"/>
          <w:sz w:val="70"/>
          <w:szCs w:val="70"/>
        </w:rPr>
      </w:pPr>
    </w:p>
    <w:p w14:paraId="19A6E908">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14:paraId="05B57F57">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772EE3D9">
      <w:pPr>
        <w:ind w:firstLine="640" w:firstLineChars="200"/>
        <w:jc w:val="left"/>
        <w:rPr>
          <w:rFonts w:cs="黑体" w:asciiTheme="minorEastAsia" w:hAnsiTheme="minorEastAsia"/>
          <w:color w:val="000000"/>
          <w:kern w:val="0"/>
          <w:sz w:val="32"/>
          <w:szCs w:val="32"/>
        </w:rPr>
      </w:pPr>
    </w:p>
    <w:p w14:paraId="1C284559">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14:paraId="01D9CBC2">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14:paraId="37C15EAF">
      <w:pPr>
        <w:pStyle w:val="10"/>
        <w:jc w:val="center"/>
        <w:rPr>
          <w:sz w:val="72"/>
          <w:szCs w:val="72"/>
        </w:rPr>
      </w:pPr>
    </w:p>
    <w:p w14:paraId="57955D1D">
      <w:pPr>
        <w:pStyle w:val="10"/>
        <w:jc w:val="center"/>
        <w:rPr>
          <w:sz w:val="72"/>
          <w:szCs w:val="72"/>
        </w:rPr>
      </w:pPr>
    </w:p>
    <w:p w14:paraId="440F0E4B">
      <w:pPr>
        <w:pStyle w:val="10"/>
        <w:jc w:val="center"/>
        <w:rPr>
          <w:sz w:val="72"/>
          <w:szCs w:val="72"/>
        </w:rPr>
      </w:pPr>
    </w:p>
    <w:p w14:paraId="22DAD5A1">
      <w:pPr>
        <w:pStyle w:val="10"/>
        <w:jc w:val="center"/>
        <w:rPr>
          <w:sz w:val="72"/>
          <w:szCs w:val="72"/>
        </w:rPr>
      </w:pPr>
    </w:p>
    <w:p w14:paraId="0D339723">
      <w:pPr>
        <w:pStyle w:val="10"/>
        <w:jc w:val="center"/>
        <w:rPr>
          <w:sz w:val="72"/>
          <w:szCs w:val="72"/>
        </w:rPr>
      </w:pPr>
    </w:p>
    <w:p w14:paraId="03B8F2DC">
      <w:pPr>
        <w:pStyle w:val="10"/>
        <w:jc w:val="center"/>
        <w:rPr>
          <w:sz w:val="72"/>
          <w:szCs w:val="72"/>
        </w:rPr>
      </w:pPr>
    </w:p>
    <w:p w14:paraId="0912B5B2">
      <w:pPr>
        <w:pStyle w:val="10"/>
        <w:jc w:val="center"/>
        <w:rPr>
          <w:sz w:val="72"/>
          <w:szCs w:val="72"/>
        </w:rPr>
      </w:pPr>
    </w:p>
    <w:p w14:paraId="4211756E">
      <w:pPr>
        <w:pStyle w:val="10"/>
        <w:jc w:val="center"/>
        <w:rPr>
          <w:sz w:val="72"/>
          <w:szCs w:val="72"/>
        </w:rPr>
      </w:pPr>
    </w:p>
    <w:p w14:paraId="5C74BC5D">
      <w:pPr>
        <w:pStyle w:val="10"/>
        <w:jc w:val="center"/>
        <w:rPr>
          <w:sz w:val="72"/>
          <w:szCs w:val="72"/>
        </w:rPr>
      </w:pPr>
    </w:p>
    <w:p w14:paraId="2A74A1E9">
      <w:pPr>
        <w:pStyle w:val="10"/>
        <w:jc w:val="center"/>
        <w:rPr>
          <w:sz w:val="72"/>
          <w:szCs w:val="72"/>
        </w:rPr>
      </w:pPr>
    </w:p>
    <w:p w14:paraId="5504305A">
      <w:pPr>
        <w:pStyle w:val="10"/>
        <w:jc w:val="center"/>
        <w:rPr>
          <w:sz w:val="72"/>
          <w:szCs w:val="72"/>
        </w:rPr>
      </w:pPr>
    </w:p>
    <w:p w14:paraId="263DF7E8">
      <w:pPr>
        <w:pStyle w:val="10"/>
        <w:jc w:val="center"/>
        <w:rPr>
          <w:sz w:val="72"/>
          <w:szCs w:val="72"/>
        </w:rPr>
      </w:pPr>
    </w:p>
    <w:p w14:paraId="24952CFB">
      <w:pPr>
        <w:pStyle w:val="10"/>
        <w:jc w:val="center"/>
        <w:rPr>
          <w:sz w:val="72"/>
          <w:szCs w:val="72"/>
        </w:rPr>
      </w:pPr>
    </w:p>
    <w:p w14:paraId="124C84D6">
      <w:pPr>
        <w:pStyle w:val="10"/>
        <w:jc w:val="center"/>
        <w:rPr>
          <w:sz w:val="72"/>
          <w:szCs w:val="72"/>
        </w:rPr>
      </w:pPr>
      <w:r>
        <w:rPr>
          <w:rFonts w:hint="eastAsia"/>
          <w:sz w:val="72"/>
          <w:szCs w:val="72"/>
        </w:rPr>
        <w:t>第五部分</w:t>
      </w:r>
    </w:p>
    <w:p w14:paraId="43265915">
      <w:pPr>
        <w:jc w:val="center"/>
        <w:rPr>
          <w:rFonts w:ascii="黑体" w:eastAsia="黑体" w:cs="黑体"/>
          <w:color w:val="000000"/>
          <w:kern w:val="0"/>
          <w:sz w:val="70"/>
          <w:szCs w:val="70"/>
        </w:rPr>
      </w:pPr>
    </w:p>
    <w:p w14:paraId="43DE9737">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14:paraId="648FEFC0">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3629BEB7">
      <w:pPr>
        <w:jc w:val="center"/>
        <w:rPr>
          <w:rFonts w:ascii="黑体" w:eastAsia="黑体" w:cs="黑体"/>
          <w:color w:val="000000"/>
          <w:kern w:val="0"/>
          <w:sz w:val="70"/>
          <w:szCs w:val="70"/>
        </w:rPr>
      </w:pPr>
    </w:p>
    <w:p w14:paraId="1C061997">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14:paraId="5DC47068">
      <w:pPr>
        <w:ind w:firstLine="640" w:firstLineChars="200"/>
        <w:jc w:val="left"/>
        <w:rPr>
          <w:rFonts w:hint="eastAsia" w:cs="黑体" w:asciiTheme="minorEastAsia" w:hAnsiTheme="minorEastAsia"/>
          <w:color w:val="000000"/>
          <w:kern w:val="0"/>
          <w:sz w:val="32"/>
          <w:szCs w:val="32"/>
          <w:lang w:eastAsia="zh-CN"/>
        </w:rPr>
      </w:pPr>
    </w:p>
    <w:p w14:paraId="1F2E0771">
      <w:pPr>
        <w:ind w:firstLine="1280" w:firstLineChars="400"/>
        <w:jc w:val="left"/>
        <w:rPr>
          <w:rFonts w:hint="eastAsia" w:cs="黑体" w:asciiTheme="minorEastAsia" w:hAnsiTheme="minorEastAsia" w:eastAsiaTheme="minorEastAsia"/>
          <w:color w:val="000000"/>
          <w:kern w:val="0"/>
          <w:sz w:val="32"/>
          <w:szCs w:val="32"/>
          <w:lang w:eastAsia="zh-CN"/>
        </w:rPr>
      </w:pPr>
      <w:bookmarkStart w:id="0" w:name="_GoBack"/>
      <w:bookmarkEnd w:id="0"/>
      <w:r>
        <w:rPr>
          <w:rFonts w:hint="eastAsia" w:cs="黑体" w:asciiTheme="minorEastAsia" w:hAnsiTheme="minorEastAsia"/>
          <w:color w:val="000000"/>
          <w:kern w:val="0"/>
          <w:sz w:val="32"/>
          <w:szCs w:val="32"/>
          <w:lang w:eastAsia="zh-CN"/>
        </w:rPr>
        <w:t>区委网信办工作内容涉密，依法不予公开。</w:t>
      </w: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02318"/>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3A1C"/>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1047"/>
    <w:rsid w:val="00E8683C"/>
    <w:rsid w:val="00EA2B72"/>
    <w:rsid w:val="00F74360"/>
    <w:rsid w:val="00FB462F"/>
    <w:rsid w:val="00FE16FA"/>
    <w:rsid w:val="00FE328A"/>
    <w:rsid w:val="00FE6269"/>
    <w:rsid w:val="0D4F4389"/>
    <w:rsid w:val="21E17305"/>
    <w:rsid w:val="34832F6E"/>
    <w:rsid w:val="46682FAA"/>
    <w:rsid w:val="597462E8"/>
    <w:rsid w:val="6381647C"/>
    <w:rsid w:val="680B4D6A"/>
    <w:rsid w:val="778217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uiPriority w:val="99"/>
    <w:rPr>
      <w:sz w:val="18"/>
      <w:szCs w:val="18"/>
    </w:rPr>
  </w:style>
  <w:style w:type="paragraph" w:customStyle="1" w:styleId="10">
    <w:name w:val="Defaul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825</Words>
  <Characters>840</Characters>
  <Lines>50</Lines>
  <Paragraphs>14</Paragraphs>
  <TotalTime>4</TotalTime>
  <ScaleCrop>false</ScaleCrop>
  <LinksUpToDate>false</LinksUpToDate>
  <CharactersWithSpaces>840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2021-10-22T03:25:00Z</dcterms:created>
  <dc:creator>李航 null</dc:creator>
  <cp:lastModifiedBy>苏坡...曼</cp:lastModifiedBy>
  <cp:lastPrinted>2021-07-28T00:12:00Z</cp:lastPrinted>
  <dcterms:modified xsi:type="dcterms:W3CDTF">2026-06-04T03:05:52Z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eyJoZGlkIjoiMDEyNDBiZTM0NmRiOTM5MzRlOWMyNjUyMzkxNTg2NmEiLCJ1c2VySWQiOiI1MzQzNDM1ODkifQ==</vt:lpwstr>
  </property>
  <property fmtid="{D5CDD505-2E9C-101B-9397-08002B2CF9AE}" pid="4" name="ICV">
    <vt:lpwstr>A7A73958FEA2442AB89DB42063BF88C4_12</vt:lpwstr>
  </property>
</Properties>
</file>