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BC00A">
      <w:pPr>
        <w:spacing w:line="400" w:lineRule="exact"/>
        <w:jc w:val="both"/>
        <w:rPr>
          <w:rFonts w:ascii="楷体_GB2312" w:hAnsi="宋体" w:eastAsia="楷体_GB2312"/>
          <w:color w:val="auto"/>
          <w:sz w:val="24"/>
          <w:szCs w:val="24"/>
        </w:rPr>
      </w:pPr>
      <w:r>
        <w:rPr>
          <w:rFonts w:hint="eastAsia" w:ascii="楷体_GB2312" w:hAnsi="宋体" w:eastAsia="楷体_GB2312"/>
          <w:color w:val="auto"/>
          <w:sz w:val="24"/>
          <w:szCs w:val="24"/>
        </w:rPr>
        <w:t>区</w:t>
      </w:r>
      <w:r>
        <w:rPr>
          <w:rFonts w:hint="eastAsia" w:ascii="楷体_GB2312" w:hAnsi="宋体" w:eastAsia="楷体_GB2312"/>
          <w:color w:val="auto"/>
          <w:sz w:val="24"/>
          <w:szCs w:val="24"/>
          <w:lang w:eastAsia="zh-CN"/>
        </w:rPr>
        <w:t>六</w:t>
      </w:r>
      <w:r>
        <w:rPr>
          <w:rFonts w:hint="eastAsia" w:ascii="楷体_GB2312" w:hAnsi="宋体" w:eastAsia="楷体_GB2312"/>
          <w:color w:val="auto"/>
          <w:sz w:val="24"/>
          <w:szCs w:val="24"/>
        </w:rPr>
        <w:t>届人大</w:t>
      </w:r>
      <w:r>
        <w:rPr>
          <w:rFonts w:hint="eastAsia" w:ascii="楷体_GB2312" w:hAnsi="宋体" w:eastAsia="楷体_GB2312"/>
          <w:color w:val="auto"/>
          <w:sz w:val="24"/>
          <w:szCs w:val="24"/>
          <w:lang w:val="en-US" w:eastAsia="zh-CN"/>
        </w:rPr>
        <w:t>五</w:t>
      </w:r>
      <w:r>
        <w:rPr>
          <w:rFonts w:hint="eastAsia" w:ascii="楷体_GB2312" w:hAnsi="宋体" w:eastAsia="楷体_GB2312"/>
          <w:color w:val="auto"/>
          <w:sz w:val="24"/>
          <w:szCs w:val="24"/>
        </w:rPr>
        <w:t>次</w:t>
      </w:r>
    </w:p>
    <w:p w14:paraId="0B67ECF5">
      <w:pPr>
        <w:spacing w:line="400" w:lineRule="exact"/>
        <w:jc w:val="both"/>
        <w:rPr>
          <w:rFonts w:hint="eastAsia" w:ascii="楷体_GB2312" w:hAnsi="宋体" w:eastAsia="楷体_GB2312"/>
          <w:color w:val="auto"/>
          <w:spacing w:val="11"/>
          <w:sz w:val="24"/>
          <w:szCs w:val="24"/>
          <w:lang w:eastAsia="zh-CN"/>
        </w:rPr>
      </w:pPr>
      <w:r>
        <w:rPr>
          <w:rFonts w:hint="eastAsia" w:ascii="楷体_GB2312" w:hAnsi="宋体" w:eastAsia="楷体_GB2312"/>
          <w:color w:val="auto"/>
          <w:spacing w:val="11"/>
          <w:sz w:val="24"/>
          <w:szCs w:val="24"/>
        </w:rPr>
        <w:t>会议文件</w:t>
      </w:r>
      <w:r>
        <w:rPr>
          <w:rFonts w:hint="eastAsia" w:ascii="楷体_GB2312" w:hAnsi="宋体" w:eastAsia="楷体_GB2312"/>
          <w:color w:val="auto"/>
          <w:spacing w:val="11"/>
          <w:sz w:val="24"/>
          <w:szCs w:val="24"/>
          <w:lang w:eastAsia="zh-CN"/>
        </w:rPr>
        <w:t>（</w:t>
      </w:r>
      <w:r>
        <w:rPr>
          <w:rFonts w:hint="eastAsia" w:ascii="楷体_GB2312" w:hAnsi="宋体" w:eastAsia="楷体_GB2312"/>
          <w:color w:val="auto"/>
          <w:spacing w:val="11"/>
          <w:sz w:val="24"/>
          <w:szCs w:val="24"/>
          <w:lang w:val="en-US" w:eastAsia="zh-CN"/>
        </w:rPr>
        <w:t>20</w:t>
      </w:r>
      <w:r>
        <w:rPr>
          <w:rFonts w:hint="eastAsia" w:ascii="楷体_GB2312" w:hAnsi="宋体" w:eastAsia="楷体_GB2312"/>
          <w:color w:val="auto"/>
          <w:spacing w:val="11"/>
          <w:sz w:val="24"/>
          <w:szCs w:val="24"/>
          <w:lang w:eastAsia="zh-CN"/>
        </w:rPr>
        <w:t>）</w:t>
      </w:r>
    </w:p>
    <w:p w14:paraId="4E077EF3">
      <w:pPr>
        <w:pStyle w:val="6"/>
        <w:spacing w:before="0" w:beforeAutospacing="0" w:after="0" w:afterAutospacing="0" w:line="600" w:lineRule="exact"/>
        <w:jc w:val="both"/>
        <w:rPr>
          <w:rStyle w:val="11"/>
          <w:rFonts w:hint="default" w:ascii="Times New Roman" w:hAnsi="Times New Roman" w:eastAsia="方正小标宋简体" w:cs="Times New Roman"/>
          <w:b/>
          <w:color w:val="auto"/>
          <w:sz w:val="44"/>
          <w:szCs w:val="44"/>
        </w:rPr>
      </w:pPr>
    </w:p>
    <w:p w14:paraId="2694771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1"/>
          <w:rFonts w:hint="eastAsia" w:ascii="方正小标宋简体" w:eastAsia="方正小标宋简体"/>
          <w:bCs/>
          <w:color w:val="auto"/>
          <w:sz w:val="44"/>
          <w:szCs w:val="44"/>
        </w:rPr>
      </w:pPr>
      <w:r>
        <w:rPr>
          <w:rStyle w:val="11"/>
          <w:rFonts w:hint="eastAsia" w:ascii="方正小标宋简体" w:eastAsia="方正小标宋简体"/>
          <w:bCs/>
          <w:color w:val="auto"/>
          <w:sz w:val="44"/>
          <w:szCs w:val="44"/>
        </w:rPr>
        <w:t>关于怀化市鹤城区202</w:t>
      </w:r>
      <w:r>
        <w:rPr>
          <w:rStyle w:val="11"/>
          <w:rFonts w:hint="eastAsia" w:ascii="方正小标宋简体" w:eastAsia="方正小标宋简体"/>
          <w:bCs/>
          <w:color w:val="auto"/>
          <w:sz w:val="44"/>
          <w:szCs w:val="44"/>
          <w:lang w:val="en-US" w:eastAsia="zh-CN"/>
        </w:rPr>
        <w:t>5</w:t>
      </w:r>
      <w:r>
        <w:rPr>
          <w:rStyle w:val="11"/>
          <w:rFonts w:hint="eastAsia" w:ascii="方正小标宋简体" w:eastAsia="方正小标宋简体"/>
          <w:bCs/>
          <w:color w:val="auto"/>
          <w:sz w:val="44"/>
          <w:szCs w:val="44"/>
        </w:rPr>
        <w:t>年预算执行情况与202</w:t>
      </w:r>
      <w:r>
        <w:rPr>
          <w:rStyle w:val="11"/>
          <w:rFonts w:hint="eastAsia" w:ascii="方正小标宋简体" w:eastAsia="方正小标宋简体"/>
          <w:bCs/>
          <w:color w:val="auto"/>
          <w:sz w:val="44"/>
          <w:szCs w:val="44"/>
          <w:lang w:val="en-US" w:eastAsia="zh-CN"/>
        </w:rPr>
        <w:t>6</w:t>
      </w:r>
      <w:r>
        <w:rPr>
          <w:rStyle w:val="11"/>
          <w:rFonts w:hint="eastAsia" w:ascii="方正小标宋简体" w:eastAsia="方正小标宋简体"/>
          <w:bCs/>
          <w:color w:val="auto"/>
          <w:sz w:val="44"/>
          <w:szCs w:val="44"/>
        </w:rPr>
        <w:t>年预算草案的报告</w:t>
      </w:r>
    </w:p>
    <w:p w14:paraId="5C1AB289">
      <w:pPr>
        <w:keepNext w:val="0"/>
        <w:keepLines w:val="0"/>
        <w:pageBreakBefore w:val="0"/>
        <w:widowControl w:val="0"/>
        <w:kinsoku/>
        <w:wordWrap/>
        <w:overflowPunct/>
        <w:topLinePunct w:val="0"/>
        <w:autoSpaceDE/>
        <w:autoSpaceDN/>
        <w:bidi w:val="0"/>
        <w:adjustRightInd w:val="0"/>
        <w:snapToGrid/>
        <w:spacing w:line="620" w:lineRule="exact"/>
        <w:jc w:val="center"/>
        <w:textAlignment w:val="auto"/>
        <w:rPr>
          <w:rFonts w:hint="eastAsia" w:ascii="楷体_GB2312" w:hAnsi="楷体_GB2312" w:eastAsia="楷体_GB2312" w:cs="楷体_GB2312"/>
          <w:color w:val="auto"/>
          <w:spacing w:val="-23"/>
          <w:w w:val="100"/>
          <w:sz w:val="32"/>
          <w:szCs w:val="32"/>
          <w:u w:val="none" w:color="auto"/>
          <w:lang w:eastAsia="zh-CN"/>
        </w:rPr>
      </w:pPr>
    </w:p>
    <w:p w14:paraId="1A923296">
      <w:pPr>
        <w:keepNext w:val="0"/>
        <w:keepLines w:val="0"/>
        <w:pageBreakBefore w:val="0"/>
        <w:widowControl w:val="0"/>
        <w:kinsoku/>
        <w:wordWrap/>
        <w:overflowPunct/>
        <w:topLinePunct w:val="0"/>
        <w:autoSpaceDE/>
        <w:autoSpaceDN/>
        <w:bidi w:val="0"/>
        <w:adjustRightInd w:val="0"/>
        <w:snapToGrid/>
        <w:spacing w:line="620" w:lineRule="exact"/>
        <w:jc w:val="center"/>
        <w:textAlignment w:val="auto"/>
        <w:rPr>
          <w:rFonts w:hint="eastAsia" w:ascii="楷体_GB2312" w:hAnsi="楷体_GB2312" w:eastAsia="楷体_GB2312" w:cs="楷体_GB2312"/>
          <w:color w:val="auto"/>
          <w:spacing w:val="-23"/>
          <w:w w:val="100"/>
          <w:sz w:val="32"/>
          <w:szCs w:val="32"/>
          <w:u w:val="none" w:color="auto"/>
        </w:rPr>
      </w:pPr>
      <w:r>
        <w:rPr>
          <w:rFonts w:hint="eastAsia" w:ascii="方正小标宋简体" w:hAnsi="方正小标宋简体" w:eastAsia="方正小标宋简体" w:cs="方正小标宋简体"/>
          <w:b w:val="0"/>
          <w:bCs w:val="0"/>
          <w:color w:val="auto"/>
          <w:spacing w:val="-23"/>
          <w:w w:val="100"/>
          <w:sz w:val="32"/>
          <w:szCs w:val="32"/>
          <w:u w:val="none" w:color="auto"/>
          <w:lang w:eastAsia="zh-CN"/>
        </w:rPr>
        <w:t>——</w:t>
      </w:r>
      <w:r>
        <w:rPr>
          <w:rFonts w:hint="eastAsia" w:ascii="楷体_GB2312" w:hAnsi="楷体_GB2312" w:eastAsia="楷体_GB2312" w:cs="楷体_GB2312"/>
          <w:color w:val="auto"/>
          <w:spacing w:val="-23"/>
          <w:w w:val="100"/>
          <w:sz w:val="32"/>
          <w:szCs w:val="32"/>
          <w:u w:val="none" w:color="auto"/>
          <w:lang w:eastAsia="zh-CN"/>
        </w:rPr>
        <w:t>2025</w:t>
      </w:r>
      <w:r>
        <w:rPr>
          <w:rFonts w:hint="eastAsia" w:ascii="楷体_GB2312" w:hAnsi="楷体_GB2312" w:eastAsia="楷体_GB2312" w:cs="楷体_GB2312"/>
          <w:color w:val="auto"/>
          <w:spacing w:val="-23"/>
          <w:w w:val="100"/>
          <w:sz w:val="32"/>
          <w:szCs w:val="32"/>
          <w:u w:val="none" w:color="auto"/>
        </w:rPr>
        <w:t>年</w:t>
      </w:r>
      <w:r>
        <w:rPr>
          <w:rFonts w:hint="eastAsia" w:ascii="楷体_GB2312" w:hAnsi="楷体_GB2312" w:eastAsia="楷体_GB2312" w:cs="楷体_GB2312"/>
          <w:color w:val="auto"/>
          <w:spacing w:val="-23"/>
          <w:w w:val="100"/>
          <w:sz w:val="32"/>
          <w:szCs w:val="32"/>
          <w:u w:val="none" w:color="auto"/>
          <w:lang w:val="en-US" w:eastAsia="zh-CN"/>
        </w:rPr>
        <w:t>12</w:t>
      </w:r>
      <w:r>
        <w:rPr>
          <w:rFonts w:hint="eastAsia" w:ascii="楷体_GB2312" w:hAnsi="楷体_GB2312" w:eastAsia="楷体_GB2312" w:cs="楷体_GB2312"/>
          <w:color w:val="auto"/>
          <w:spacing w:val="-23"/>
          <w:w w:val="100"/>
          <w:sz w:val="32"/>
          <w:szCs w:val="32"/>
          <w:u w:val="none" w:color="auto"/>
        </w:rPr>
        <w:t>月</w:t>
      </w:r>
      <w:r>
        <w:rPr>
          <w:rFonts w:hint="eastAsia" w:ascii="楷体_GB2312" w:hAnsi="楷体_GB2312" w:eastAsia="楷体_GB2312" w:cs="楷体_GB2312"/>
          <w:color w:val="auto"/>
          <w:spacing w:val="-23"/>
          <w:w w:val="100"/>
          <w:sz w:val="32"/>
          <w:szCs w:val="32"/>
          <w:u w:val="none" w:color="auto"/>
          <w:lang w:val="en-US" w:eastAsia="zh-CN"/>
        </w:rPr>
        <w:t>17</w:t>
      </w:r>
      <w:r>
        <w:rPr>
          <w:rFonts w:hint="eastAsia" w:ascii="楷体_GB2312" w:hAnsi="楷体_GB2312" w:eastAsia="楷体_GB2312" w:cs="楷体_GB2312"/>
          <w:color w:val="auto"/>
          <w:spacing w:val="-23"/>
          <w:w w:val="100"/>
          <w:sz w:val="32"/>
          <w:szCs w:val="32"/>
          <w:u w:val="none" w:color="auto"/>
        </w:rPr>
        <w:t>日在怀化市鹤城区第六届</w:t>
      </w:r>
      <w:r>
        <w:rPr>
          <w:rFonts w:hint="eastAsia" w:ascii="楷体_GB2312" w:hAnsi="楷体_GB2312" w:eastAsia="楷体_GB2312" w:cs="楷体_GB2312"/>
          <w:color w:val="auto"/>
          <w:spacing w:val="-23"/>
          <w:w w:val="100"/>
          <w:sz w:val="32"/>
          <w:szCs w:val="32"/>
          <w:u w:val="none" w:color="auto"/>
          <w:lang w:val="en-US" w:eastAsia="zh-CN"/>
        </w:rPr>
        <w:t>人民代表大会</w:t>
      </w:r>
      <w:r>
        <w:rPr>
          <w:rFonts w:hint="eastAsia" w:ascii="楷体_GB2312" w:hAnsi="楷体_GB2312" w:eastAsia="楷体_GB2312" w:cs="楷体_GB2312"/>
          <w:color w:val="auto"/>
          <w:spacing w:val="-23"/>
          <w:w w:val="100"/>
          <w:sz w:val="32"/>
          <w:szCs w:val="32"/>
          <w:u w:val="none" w:color="auto"/>
        </w:rPr>
        <w:t>第</w:t>
      </w:r>
      <w:r>
        <w:rPr>
          <w:rFonts w:hint="eastAsia" w:ascii="楷体_GB2312" w:hAnsi="楷体_GB2312" w:eastAsia="楷体_GB2312" w:cs="楷体_GB2312"/>
          <w:color w:val="auto"/>
          <w:spacing w:val="-23"/>
          <w:w w:val="100"/>
          <w:sz w:val="32"/>
          <w:szCs w:val="32"/>
          <w:u w:val="none" w:color="auto"/>
          <w:lang w:val="en-US" w:eastAsia="zh-CN"/>
        </w:rPr>
        <w:t>五</w:t>
      </w:r>
      <w:r>
        <w:rPr>
          <w:rFonts w:hint="eastAsia" w:ascii="楷体_GB2312" w:hAnsi="楷体_GB2312" w:eastAsia="楷体_GB2312" w:cs="楷体_GB2312"/>
          <w:color w:val="auto"/>
          <w:spacing w:val="-23"/>
          <w:w w:val="100"/>
          <w:sz w:val="32"/>
          <w:szCs w:val="32"/>
          <w:u w:val="none" w:color="auto"/>
        </w:rPr>
        <w:t>次会议上</w:t>
      </w:r>
    </w:p>
    <w:p w14:paraId="71BE5E4C">
      <w:pPr>
        <w:widowControl/>
        <w:snapToGrid w:val="0"/>
        <w:spacing w:line="600" w:lineRule="exact"/>
        <w:jc w:val="center"/>
        <w:rPr>
          <w:rStyle w:val="11"/>
          <w:rFonts w:hint="eastAsia" w:ascii="Times New Roman" w:hAnsi="Times New Roman" w:eastAsia="楷体_GB2312" w:cs="Times New Roman"/>
          <w:b/>
          <w:color w:val="auto"/>
          <w:sz w:val="32"/>
          <w:szCs w:val="32"/>
          <w:lang w:eastAsia="zh-CN"/>
        </w:rPr>
      </w:pPr>
      <w:r>
        <w:rPr>
          <w:rFonts w:hint="default" w:ascii="Times New Roman" w:hAnsi="Times New Roman" w:eastAsia="楷体_GB2312" w:cs="Times New Roman"/>
          <w:color w:val="auto"/>
          <w:kern w:val="0"/>
          <w:sz w:val="32"/>
          <w:szCs w:val="32"/>
        </w:rPr>
        <w:t>怀化市鹤城区财政局局长</w:t>
      </w:r>
      <w:r>
        <w:rPr>
          <w:rFonts w:hint="eastAsia" w:ascii="Times New Roman" w:hAnsi="Times New Roman" w:eastAsia="楷体_GB2312" w:cs="Times New Roman"/>
          <w:color w:val="auto"/>
          <w:kern w:val="0"/>
          <w:sz w:val="32"/>
          <w:szCs w:val="32"/>
          <w:lang w:val="en-US" w:eastAsia="zh-CN"/>
        </w:rPr>
        <w:t xml:space="preserve">  贺 康 </w:t>
      </w:r>
      <w:r>
        <w:rPr>
          <w:rFonts w:hint="default" w:ascii="Times New Roman" w:hAnsi="Times New Roman" w:eastAsia="楷体_GB2312" w:cs="Times New Roman"/>
          <w:color w:val="auto"/>
          <w:kern w:val="0"/>
          <w:sz w:val="32"/>
          <w:szCs w:val="32"/>
        </w:rPr>
        <w:t xml:space="preserve"> </w:t>
      </w:r>
    </w:p>
    <w:p w14:paraId="24D4F25B">
      <w:pPr>
        <w:pStyle w:val="6"/>
        <w:spacing w:before="0" w:beforeAutospacing="0" w:after="0" w:afterAutospacing="0" w:line="560" w:lineRule="exact"/>
        <w:jc w:val="both"/>
        <w:rPr>
          <w:rStyle w:val="11"/>
          <w:rFonts w:hint="default" w:ascii="Times New Roman" w:hAnsi="Times New Roman" w:eastAsia="楷体_GB2312" w:cs="Times New Roman"/>
          <w:b/>
          <w:color w:val="auto"/>
          <w:sz w:val="32"/>
          <w:szCs w:val="32"/>
        </w:rPr>
      </w:pPr>
    </w:p>
    <w:p w14:paraId="07A97333">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各位代表：</w:t>
      </w:r>
    </w:p>
    <w:p w14:paraId="6E8EA53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根据预算法有关规定，</w:t>
      </w:r>
      <w:r>
        <w:rPr>
          <w:rFonts w:hint="eastAsia" w:ascii="仿宋_GB2312" w:hAnsi="仿宋_GB2312" w:eastAsia="仿宋_GB2312" w:cs="仿宋_GB2312"/>
          <w:color w:val="auto"/>
          <w:sz w:val="32"/>
          <w:szCs w:val="32"/>
        </w:rPr>
        <w:t>受区人民政府委托，我向大会报告</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年预算执行情况及</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年预算草案，请予审查，并请各位政协委员和其他列席人员提出意见。</w:t>
      </w:r>
    </w:p>
    <w:p w14:paraId="0706ECF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2025</w:t>
      </w:r>
      <w:r>
        <w:rPr>
          <w:rFonts w:hint="eastAsia" w:ascii="黑体" w:hAnsi="黑体" w:eastAsia="黑体" w:cs="黑体"/>
          <w:color w:val="auto"/>
          <w:sz w:val="32"/>
          <w:szCs w:val="32"/>
        </w:rPr>
        <w:t>年预算收支执行情况</w:t>
      </w:r>
    </w:p>
    <w:p w14:paraId="4062623C">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（一）一般公共预算</w:t>
      </w:r>
    </w:p>
    <w:p w14:paraId="0356BC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2025</w:t>
      </w:r>
      <w:r>
        <w:rPr>
          <w:rFonts w:hint="default" w:ascii="仿宋_GB2312" w:hAnsi="仿宋_GB2312" w:eastAsia="仿宋_GB2312" w:cs="仿宋_GB2312"/>
          <w:color w:val="auto"/>
          <w:sz w:val="32"/>
          <w:szCs w:val="32"/>
        </w:rPr>
        <w:t>年，全区地方一般公共预算收入完成</w:t>
      </w:r>
      <w:r>
        <w:rPr>
          <w:rFonts w:hint="eastAsia" w:ascii="仿宋_GB2312" w:hAnsi="仿宋_GB2312" w:eastAsia="仿宋_GB2312" w:cs="仿宋_GB2312"/>
          <w:color w:val="auto"/>
          <w:sz w:val="32"/>
          <w:szCs w:val="32"/>
          <w:lang w:val="en-US" w:eastAsia="zh-CN"/>
        </w:rPr>
        <w:t>9.18</w:t>
      </w:r>
      <w:r>
        <w:rPr>
          <w:rFonts w:hint="default" w:ascii="仿宋_GB2312" w:hAnsi="仿宋_GB2312" w:eastAsia="仿宋_GB2312" w:cs="仿宋_GB2312"/>
          <w:color w:val="auto"/>
          <w:sz w:val="32"/>
          <w:szCs w:val="32"/>
        </w:rPr>
        <w:t>亿元（为预计数，下同），增长</w:t>
      </w:r>
      <w:r>
        <w:rPr>
          <w:rFonts w:hint="eastAsia" w:ascii="仿宋_GB2312" w:hAnsi="仿宋_GB2312" w:eastAsia="仿宋_GB2312" w:cs="仿宋_GB2312"/>
          <w:color w:val="auto"/>
          <w:sz w:val="32"/>
          <w:szCs w:val="32"/>
          <w:lang w:val="en-US" w:eastAsia="zh-CN"/>
        </w:rPr>
        <w:t>3.5</w:t>
      </w:r>
      <w:r>
        <w:rPr>
          <w:rFonts w:hint="default" w:ascii="仿宋_GB2312" w:hAnsi="仿宋_GB2312" w:eastAsia="仿宋_GB2312" w:cs="仿宋_GB2312"/>
          <w:color w:val="auto"/>
          <w:sz w:val="32"/>
          <w:szCs w:val="32"/>
        </w:rPr>
        <w:t>%；加上上级补助收入17.</w:t>
      </w:r>
      <w:r>
        <w:rPr>
          <w:rFonts w:hint="eastAsia" w:ascii="仿宋_GB2312" w:hAnsi="仿宋_GB2312" w:eastAsia="仿宋_GB2312" w:cs="仿宋_GB2312"/>
          <w:color w:val="auto"/>
          <w:sz w:val="32"/>
          <w:szCs w:val="32"/>
          <w:lang w:val="en-US" w:eastAsia="zh-CN"/>
        </w:rPr>
        <w:t>87</w:t>
      </w:r>
      <w:r>
        <w:rPr>
          <w:rFonts w:hint="default" w:ascii="仿宋_GB2312" w:hAnsi="仿宋_GB2312" w:eastAsia="仿宋_GB2312" w:cs="仿宋_GB2312"/>
          <w:color w:val="auto"/>
          <w:sz w:val="32"/>
          <w:szCs w:val="32"/>
        </w:rPr>
        <w:t>亿元，上年结转</w:t>
      </w:r>
      <w:r>
        <w:rPr>
          <w:rFonts w:hint="eastAsia" w:ascii="仿宋_GB2312" w:hAnsi="仿宋_GB2312" w:eastAsia="仿宋_GB2312" w:cs="仿宋_GB2312"/>
          <w:color w:val="auto"/>
          <w:sz w:val="32"/>
          <w:szCs w:val="32"/>
          <w:lang w:eastAsia="zh-CN"/>
        </w:rPr>
        <w:t>收入</w:t>
      </w: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03</w:t>
      </w:r>
      <w:r>
        <w:rPr>
          <w:rFonts w:hint="default"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债务转贷收入2.</w:t>
      </w:r>
      <w:r>
        <w:rPr>
          <w:rFonts w:hint="eastAsia" w:ascii="仿宋_GB2312" w:hAnsi="仿宋_GB2312" w:eastAsia="仿宋_GB2312" w:cs="仿宋_GB2312"/>
          <w:color w:val="auto"/>
          <w:sz w:val="32"/>
          <w:szCs w:val="32"/>
          <w:lang w:val="en-US" w:eastAsia="zh-CN"/>
        </w:rPr>
        <w:t>72</w:t>
      </w:r>
      <w:r>
        <w:rPr>
          <w:rFonts w:hint="default" w:ascii="仿宋_GB2312" w:hAnsi="仿宋_GB2312" w:eastAsia="仿宋_GB2312" w:cs="仿宋_GB2312"/>
          <w:color w:val="auto"/>
          <w:sz w:val="32"/>
          <w:szCs w:val="32"/>
        </w:rPr>
        <w:t>亿元（其中：新增一般债券收入0.</w:t>
      </w:r>
      <w:r>
        <w:rPr>
          <w:rFonts w:hint="eastAsia" w:ascii="仿宋_GB2312" w:hAnsi="仿宋_GB2312" w:eastAsia="仿宋_GB2312" w:cs="仿宋_GB2312"/>
          <w:color w:val="auto"/>
          <w:sz w:val="32"/>
          <w:szCs w:val="32"/>
          <w:lang w:val="en-US" w:eastAsia="zh-CN"/>
        </w:rPr>
        <w:t>71</w:t>
      </w:r>
      <w:r>
        <w:rPr>
          <w:rFonts w:hint="default" w:ascii="仿宋_GB2312" w:hAnsi="仿宋_GB2312" w:eastAsia="仿宋_GB2312" w:cs="仿宋_GB2312"/>
          <w:color w:val="auto"/>
          <w:sz w:val="32"/>
          <w:szCs w:val="32"/>
        </w:rPr>
        <w:t>亿元，再融资一般债券收入</w:t>
      </w:r>
      <w:r>
        <w:rPr>
          <w:rFonts w:hint="eastAsia" w:ascii="仿宋_GB2312" w:hAnsi="仿宋_GB2312" w:eastAsia="仿宋_GB2312" w:cs="仿宋_GB2312"/>
          <w:color w:val="auto"/>
          <w:sz w:val="32"/>
          <w:szCs w:val="32"/>
          <w:lang w:val="en-US" w:eastAsia="zh-CN"/>
        </w:rPr>
        <w:t>2.01</w:t>
      </w:r>
      <w:r>
        <w:rPr>
          <w:rFonts w:hint="default" w:ascii="仿宋_GB2312" w:hAnsi="仿宋_GB2312" w:eastAsia="仿宋_GB2312" w:cs="仿宋_GB2312"/>
          <w:color w:val="auto"/>
          <w:sz w:val="32"/>
          <w:szCs w:val="32"/>
        </w:rPr>
        <w:t>亿元），调入资金</w:t>
      </w:r>
      <w:r>
        <w:rPr>
          <w:rFonts w:hint="eastAsia" w:ascii="仿宋_GB2312" w:hAnsi="仿宋_GB2312" w:eastAsia="仿宋_GB2312" w:cs="仿宋_GB2312"/>
          <w:color w:val="auto"/>
          <w:sz w:val="32"/>
          <w:szCs w:val="32"/>
          <w:lang w:val="en-US" w:eastAsia="zh-CN"/>
        </w:rPr>
        <w:t>0.9</w:t>
      </w:r>
      <w:r>
        <w:rPr>
          <w:rFonts w:hint="default" w:ascii="仿宋_GB2312" w:hAnsi="仿宋_GB2312" w:eastAsia="仿宋_GB2312" w:cs="仿宋_GB2312"/>
          <w:color w:val="auto"/>
          <w:sz w:val="32"/>
          <w:szCs w:val="32"/>
        </w:rPr>
        <w:t>亿元，收入合计31.</w:t>
      </w: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rPr>
        <w:t>亿元。全区一般公共预算支出完成</w:t>
      </w:r>
      <w:r>
        <w:rPr>
          <w:rFonts w:hint="eastAsia" w:ascii="仿宋_GB2312" w:hAnsi="仿宋_GB2312" w:eastAsia="仿宋_GB2312" w:cs="仿宋_GB2312"/>
          <w:color w:val="auto"/>
          <w:sz w:val="32"/>
          <w:szCs w:val="32"/>
          <w:lang w:val="en-US" w:eastAsia="zh-CN"/>
        </w:rPr>
        <w:t>28.33</w:t>
      </w:r>
      <w:r>
        <w:rPr>
          <w:rFonts w:hint="default" w:ascii="仿宋_GB2312" w:hAnsi="仿宋_GB2312" w:eastAsia="仿宋_GB2312" w:cs="仿宋_GB2312"/>
          <w:color w:val="auto"/>
          <w:sz w:val="32"/>
          <w:szCs w:val="32"/>
        </w:rPr>
        <w:t>亿元，下降</w:t>
      </w:r>
      <w:r>
        <w:rPr>
          <w:rFonts w:hint="eastAsia" w:ascii="仿宋_GB2312" w:hAnsi="仿宋_GB2312" w:eastAsia="仿宋_GB2312" w:cs="仿宋_GB2312"/>
          <w:color w:val="auto"/>
          <w:sz w:val="32"/>
          <w:szCs w:val="32"/>
          <w:lang w:val="en-US" w:eastAsia="zh-CN"/>
        </w:rPr>
        <w:t>1.63</w:t>
      </w:r>
      <w:r>
        <w:rPr>
          <w:rFonts w:hint="default" w:ascii="仿宋_GB2312" w:hAnsi="仿宋_GB2312" w:eastAsia="仿宋_GB2312" w:cs="仿宋_GB2312"/>
          <w:color w:val="auto"/>
          <w:sz w:val="32"/>
          <w:szCs w:val="32"/>
        </w:rPr>
        <w:t>%；加上上解</w:t>
      </w:r>
      <w:r>
        <w:rPr>
          <w:rFonts w:hint="eastAsia" w:ascii="仿宋_GB2312" w:hAnsi="仿宋_GB2312" w:eastAsia="仿宋_GB2312" w:cs="仿宋_GB2312"/>
          <w:color w:val="auto"/>
          <w:sz w:val="32"/>
          <w:szCs w:val="32"/>
          <w:lang w:eastAsia="zh-CN"/>
        </w:rPr>
        <w:t>上级</w:t>
      </w:r>
      <w:r>
        <w:rPr>
          <w:rFonts w:hint="default"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0.8</w:t>
      </w:r>
      <w:r>
        <w:rPr>
          <w:rFonts w:hint="default" w:ascii="仿宋_GB2312" w:hAnsi="仿宋_GB2312" w:eastAsia="仿宋_GB2312" w:cs="仿宋_GB2312"/>
          <w:color w:val="auto"/>
          <w:sz w:val="32"/>
          <w:szCs w:val="32"/>
        </w:rPr>
        <w:t>亿元，债务还本支出</w:t>
      </w:r>
      <w:r>
        <w:rPr>
          <w:rFonts w:hint="eastAsia" w:ascii="仿宋_GB2312" w:hAnsi="仿宋_GB2312" w:eastAsia="仿宋_GB2312" w:cs="仿宋_GB2312"/>
          <w:color w:val="auto"/>
          <w:sz w:val="32"/>
          <w:szCs w:val="32"/>
          <w:lang w:val="en-US" w:eastAsia="zh-CN"/>
        </w:rPr>
        <w:t>2.45</w:t>
      </w:r>
      <w:r>
        <w:rPr>
          <w:rFonts w:hint="default" w:ascii="仿宋_GB2312" w:hAnsi="仿宋_GB2312" w:eastAsia="仿宋_GB2312" w:cs="仿宋_GB2312"/>
          <w:color w:val="auto"/>
          <w:sz w:val="32"/>
          <w:szCs w:val="32"/>
        </w:rPr>
        <w:t>亿元，调出资金</w:t>
      </w:r>
      <w:r>
        <w:rPr>
          <w:rFonts w:hint="eastAsia" w:ascii="仿宋_GB2312" w:hAnsi="仿宋_GB2312" w:eastAsia="仿宋_GB2312" w:cs="仿宋_GB2312"/>
          <w:color w:val="auto"/>
          <w:sz w:val="32"/>
          <w:szCs w:val="32"/>
          <w:lang w:val="en-US" w:eastAsia="zh-CN"/>
        </w:rPr>
        <w:t>0.12</w:t>
      </w:r>
      <w:r>
        <w:rPr>
          <w:rFonts w:hint="default" w:ascii="仿宋_GB2312" w:hAnsi="仿宋_GB2312" w:eastAsia="仿宋_GB2312" w:cs="仿宋_GB2312"/>
          <w:color w:val="auto"/>
          <w:sz w:val="32"/>
          <w:szCs w:val="32"/>
        </w:rPr>
        <w:t>亿元，支出合计31.</w:t>
      </w: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rPr>
        <w:t>亿元。收支平衡。</w:t>
      </w:r>
    </w:p>
    <w:p w14:paraId="2F7852B8">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（二）政府性基金预算</w:t>
      </w:r>
    </w:p>
    <w:p w14:paraId="6C2831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全区地方政府性基金预算收入完成</w:t>
      </w:r>
      <w:r>
        <w:rPr>
          <w:rFonts w:hint="eastAsia" w:ascii="仿宋_GB2312" w:hAnsi="仿宋_GB2312" w:eastAsia="仿宋_GB2312" w:cs="仿宋_GB2312"/>
          <w:color w:val="auto"/>
          <w:sz w:val="32"/>
          <w:szCs w:val="32"/>
          <w:lang w:val="en-US" w:eastAsia="zh-CN"/>
        </w:rPr>
        <w:t>1.11</w:t>
      </w:r>
      <w:r>
        <w:rPr>
          <w:rFonts w:hint="default" w:ascii="仿宋_GB2312" w:hAnsi="仿宋_GB2312" w:eastAsia="仿宋_GB2312" w:cs="仿宋_GB2312"/>
          <w:color w:val="auto"/>
          <w:sz w:val="32"/>
          <w:szCs w:val="32"/>
        </w:rPr>
        <w:t>亿元，加上上级补助收入</w:t>
      </w:r>
      <w:r>
        <w:rPr>
          <w:rFonts w:hint="eastAsia" w:ascii="仿宋_GB2312" w:hAnsi="仿宋_GB2312" w:eastAsia="仿宋_GB2312" w:cs="仿宋_GB2312"/>
          <w:color w:val="auto"/>
          <w:sz w:val="32"/>
          <w:szCs w:val="32"/>
          <w:lang w:val="en-US" w:eastAsia="zh-CN"/>
        </w:rPr>
        <w:t>1.1</w:t>
      </w:r>
      <w:r>
        <w:rPr>
          <w:rFonts w:hint="default" w:ascii="仿宋_GB2312" w:hAnsi="仿宋_GB2312" w:eastAsia="仿宋_GB2312" w:cs="仿宋_GB2312"/>
          <w:color w:val="auto"/>
          <w:sz w:val="32"/>
          <w:szCs w:val="32"/>
        </w:rPr>
        <w:t>亿元，专项债券收入6.</w:t>
      </w:r>
      <w:r>
        <w:rPr>
          <w:rFonts w:hint="eastAsia" w:ascii="仿宋_GB2312" w:hAnsi="仿宋_GB2312" w:eastAsia="仿宋_GB2312" w:cs="仿宋_GB2312"/>
          <w:color w:val="auto"/>
          <w:sz w:val="32"/>
          <w:szCs w:val="32"/>
          <w:lang w:val="en-US" w:eastAsia="zh-CN"/>
        </w:rPr>
        <w:t>49</w:t>
      </w:r>
      <w:r>
        <w:rPr>
          <w:rFonts w:hint="default"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其中：新增</w:t>
      </w:r>
      <w:r>
        <w:rPr>
          <w:rFonts w:hint="eastAsia" w:ascii="仿宋_GB2312" w:hAnsi="仿宋_GB2312" w:eastAsia="仿宋_GB2312" w:cs="仿宋_GB2312"/>
          <w:color w:val="auto"/>
          <w:sz w:val="32"/>
          <w:szCs w:val="32"/>
          <w:lang w:eastAsia="zh-CN"/>
        </w:rPr>
        <w:t>专项</w:t>
      </w:r>
      <w:r>
        <w:rPr>
          <w:rFonts w:hint="default" w:ascii="仿宋_GB2312" w:hAnsi="仿宋_GB2312" w:eastAsia="仿宋_GB2312" w:cs="仿宋_GB2312"/>
          <w:color w:val="auto"/>
          <w:sz w:val="32"/>
          <w:szCs w:val="32"/>
        </w:rPr>
        <w:t>债券收入</w:t>
      </w:r>
      <w:r>
        <w:rPr>
          <w:rFonts w:hint="eastAsia" w:ascii="仿宋_GB2312" w:hAnsi="仿宋_GB2312" w:eastAsia="仿宋_GB2312" w:cs="仿宋_GB2312"/>
          <w:color w:val="auto"/>
          <w:sz w:val="32"/>
          <w:szCs w:val="32"/>
          <w:lang w:val="en-US" w:eastAsia="zh-CN"/>
        </w:rPr>
        <w:t>3.73</w:t>
      </w:r>
      <w:r>
        <w:rPr>
          <w:rFonts w:hint="default"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债务转贷收入</w:t>
      </w:r>
      <w:r>
        <w:rPr>
          <w:rFonts w:hint="eastAsia" w:ascii="仿宋_GB2312" w:hAnsi="仿宋_GB2312" w:eastAsia="仿宋_GB2312" w:cs="仿宋_GB2312"/>
          <w:color w:val="auto"/>
          <w:sz w:val="32"/>
          <w:szCs w:val="32"/>
          <w:lang w:val="en-US" w:eastAsia="zh-CN"/>
        </w:rPr>
        <w:t>2.76</w:t>
      </w:r>
      <w:r>
        <w:rPr>
          <w:rFonts w:hint="default"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，上年结转</w:t>
      </w:r>
      <w:r>
        <w:rPr>
          <w:rFonts w:hint="eastAsia" w:ascii="仿宋_GB2312" w:hAnsi="仿宋_GB2312" w:eastAsia="仿宋_GB2312" w:cs="仿宋_GB2312"/>
          <w:color w:val="auto"/>
          <w:sz w:val="32"/>
          <w:szCs w:val="32"/>
          <w:lang w:eastAsia="zh-CN"/>
        </w:rPr>
        <w:t>收入</w:t>
      </w:r>
      <w:r>
        <w:rPr>
          <w:rFonts w:hint="eastAsia" w:ascii="仿宋_GB2312" w:hAnsi="仿宋_GB2312" w:eastAsia="仿宋_GB2312" w:cs="仿宋_GB2312"/>
          <w:color w:val="auto"/>
          <w:sz w:val="32"/>
          <w:szCs w:val="32"/>
          <w:lang w:val="en-US" w:eastAsia="zh-CN"/>
        </w:rPr>
        <w:t>4.73</w:t>
      </w:r>
      <w:r>
        <w:rPr>
          <w:rFonts w:hint="default" w:ascii="仿宋_GB2312" w:hAnsi="仿宋_GB2312" w:eastAsia="仿宋_GB2312" w:cs="仿宋_GB2312"/>
          <w:color w:val="auto"/>
          <w:sz w:val="32"/>
          <w:szCs w:val="32"/>
        </w:rPr>
        <w:t>亿元，调入资金</w:t>
      </w:r>
      <w:r>
        <w:rPr>
          <w:rFonts w:hint="eastAsia" w:ascii="仿宋_GB2312" w:hAnsi="仿宋_GB2312" w:eastAsia="仿宋_GB2312" w:cs="仿宋_GB2312"/>
          <w:color w:val="auto"/>
          <w:sz w:val="32"/>
          <w:szCs w:val="32"/>
          <w:lang w:val="en-US" w:eastAsia="zh-CN"/>
        </w:rPr>
        <w:t>8.3</w:t>
      </w:r>
      <w:r>
        <w:rPr>
          <w:rFonts w:hint="default" w:ascii="仿宋_GB2312" w:hAnsi="仿宋_GB2312" w:eastAsia="仿宋_GB2312" w:cs="仿宋_GB2312"/>
          <w:color w:val="auto"/>
          <w:sz w:val="32"/>
          <w:szCs w:val="32"/>
        </w:rPr>
        <w:t>亿元，收入合计</w:t>
      </w:r>
      <w:r>
        <w:rPr>
          <w:rFonts w:hint="eastAsia" w:ascii="仿宋_GB2312" w:hAnsi="仿宋_GB2312" w:eastAsia="仿宋_GB2312" w:cs="仿宋_GB2312"/>
          <w:color w:val="auto"/>
          <w:sz w:val="32"/>
          <w:szCs w:val="32"/>
          <w:lang w:val="en-US" w:eastAsia="zh-CN"/>
        </w:rPr>
        <w:t>21.73</w:t>
      </w:r>
      <w:r>
        <w:rPr>
          <w:rFonts w:hint="default" w:ascii="仿宋_GB2312" w:hAnsi="仿宋_GB2312" w:eastAsia="仿宋_GB2312" w:cs="仿宋_GB2312"/>
          <w:color w:val="auto"/>
          <w:sz w:val="32"/>
          <w:szCs w:val="32"/>
        </w:rPr>
        <w:t>亿元。政府性基金预算支出</w:t>
      </w:r>
      <w:r>
        <w:rPr>
          <w:rFonts w:hint="eastAsia" w:ascii="仿宋_GB2312" w:hAnsi="仿宋_GB2312" w:eastAsia="仿宋_GB2312" w:cs="仿宋_GB2312"/>
          <w:color w:val="auto"/>
          <w:sz w:val="32"/>
          <w:szCs w:val="32"/>
          <w:lang w:val="en-US" w:eastAsia="zh-CN"/>
        </w:rPr>
        <w:t>14.53</w:t>
      </w:r>
      <w:r>
        <w:rPr>
          <w:rFonts w:hint="default" w:ascii="仿宋_GB2312" w:hAnsi="仿宋_GB2312" w:eastAsia="仿宋_GB2312" w:cs="仿宋_GB2312"/>
          <w:color w:val="auto"/>
          <w:sz w:val="32"/>
          <w:szCs w:val="32"/>
        </w:rPr>
        <w:t>亿元，加上债务</w:t>
      </w:r>
      <w:r>
        <w:rPr>
          <w:rFonts w:hint="eastAsia" w:ascii="仿宋_GB2312" w:hAnsi="仿宋_GB2312" w:eastAsia="仿宋_GB2312" w:cs="仿宋_GB2312"/>
          <w:color w:val="auto"/>
          <w:sz w:val="32"/>
          <w:szCs w:val="32"/>
          <w:lang w:eastAsia="zh-CN"/>
        </w:rPr>
        <w:t>还本</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lang w:val="en-US" w:eastAsia="zh-CN"/>
        </w:rPr>
        <w:t>2.88</w:t>
      </w:r>
      <w:r>
        <w:rPr>
          <w:rFonts w:hint="default" w:ascii="仿宋_GB2312" w:hAnsi="仿宋_GB2312" w:eastAsia="仿宋_GB2312" w:cs="仿宋_GB2312"/>
          <w:color w:val="auto"/>
          <w:sz w:val="32"/>
          <w:szCs w:val="32"/>
        </w:rPr>
        <w:t>亿元，结转下年</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lang w:val="en-US" w:eastAsia="zh-CN"/>
        </w:rPr>
        <w:t>4.21</w:t>
      </w:r>
      <w:r>
        <w:rPr>
          <w:rFonts w:hint="default"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上解上级支出</w:t>
      </w:r>
      <w:r>
        <w:rPr>
          <w:rFonts w:hint="eastAsia" w:ascii="仿宋_GB2312" w:hAnsi="仿宋_GB2312" w:eastAsia="仿宋_GB2312" w:cs="仿宋_GB2312"/>
          <w:color w:val="auto"/>
          <w:sz w:val="32"/>
          <w:szCs w:val="32"/>
          <w:lang w:val="en-US" w:eastAsia="zh-CN"/>
        </w:rPr>
        <w:t>0.01亿元，调出资金0.1亿元，</w:t>
      </w:r>
      <w:r>
        <w:rPr>
          <w:rFonts w:hint="default" w:ascii="仿宋_GB2312" w:hAnsi="仿宋_GB2312" w:eastAsia="仿宋_GB2312" w:cs="仿宋_GB2312"/>
          <w:color w:val="auto"/>
          <w:sz w:val="32"/>
          <w:szCs w:val="32"/>
        </w:rPr>
        <w:t>支出合计</w:t>
      </w:r>
      <w:r>
        <w:rPr>
          <w:rFonts w:hint="eastAsia" w:ascii="仿宋_GB2312" w:hAnsi="仿宋_GB2312" w:eastAsia="仿宋_GB2312" w:cs="仿宋_GB2312"/>
          <w:color w:val="auto"/>
          <w:sz w:val="32"/>
          <w:szCs w:val="32"/>
          <w:lang w:val="en-US" w:eastAsia="zh-CN"/>
        </w:rPr>
        <w:t>21.73</w:t>
      </w:r>
      <w:r>
        <w:rPr>
          <w:rFonts w:hint="default" w:ascii="仿宋_GB2312" w:hAnsi="仿宋_GB2312" w:eastAsia="仿宋_GB2312" w:cs="仿宋_GB2312"/>
          <w:color w:val="auto"/>
          <w:sz w:val="32"/>
          <w:szCs w:val="32"/>
        </w:rPr>
        <w:t>亿元。收支平衡。</w:t>
      </w:r>
    </w:p>
    <w:p w14:paraId="78DB1C37">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（三）国有资本经营预算</w:t>
      </w:r>
    </w:p>
    <w:p w14:paraId="2EF092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全区地方国有资本经营预算收入完成</w:t>
      </w:r>
      <w:r>
        <w:rPr>
          <w:rFonts w:hint="eastAsia" w:ascii="仿宋_GB2312" w:hAnsi="仿宋_GB2312" w:eastAsia="仿宋_GB2312" w:cs="仿宋_GB2312"/>
          <w:color w:val="auto"/>
          <w:sz w:val="32"/>
          <w:szCs w:val="32"/>
          <w:lang w:val="en-US" w:eastAsia="zh-CN"/>
        </w:rPr>
        <w:t>0.23</w:t>
      </w:r>
      <w:r>
        <w:rPr>
          <w:rFonts w:hint="default" w:ascii="仿宋_GB2312" w:hAnsi="仿宋_GB2312" w:eastAsia="仿宋_GB2312" w:cs="仿宋_GB2312"/>
          <w:color w:val="auto"/>
          <w:sz w:val="32"/>
          <w:szCs w:val="32"/>
        </w:rPr>
        <w:t>亿元，加上上级补助收入0.</w:t>
      </w:r>
      <w:r>
        <w:rPr>
          <w:rFonts w:hint="eastAsia" w:ascii="仿宋_GB2312" w:hAnsi="仿宋_GB2312" w:eastAsia="仿宋_GB2312" w:cs="仿宋_GB2312"/>
          <w:color w:val="auto"/>
          <w:sz w:val="32"/>
          <w:szCs w:val="32"/>
          <w:lang w:val="en-US" w:eastAsia="zh-CN"/>
        </w:rPr>
        <w:t>03</w:t>
      </w:r>
      <w:r>
        <w:rPr>
          <w:rFonts w:hint="default" w:ascii="仿宋_GB2312" w:hAnsi="仿宋_GB2312" w:eastAsia="仿宋_GB2312" w:cs="仿宋_GB2312"/>
          <w:color w:val="auto"/>
          <w:sz w:val="32"/>
          <w:szCs w:val="32"/>
        </w:rPr>
        <w:t>亿元，上年结转收入0.</w:t>
      </w:r>
      <w:r>
        <w:rPr>
          <w:rFonts w:hint="eastAsia" w:ascii="仿宋_GB2312" w:hAnsi="仿宋_GB2312" w:eastAsia="仿宋_GB2312" w:cs="仿宋_GB2312"/>
          <w:color w:val="auto"/>
          <w:sz w:val="32"/>
          <w:szCs w:val="32"/>
          <w:lang w:val="en-US" w:eastAsia="zh-CN"/>
        </w:rPr>
        <w:t>17</w:t>
      </w:r>
      <w:r>
        <w:rPr>
          <w:rFonts w:hint="default" w:ascii="仿宋_GB2312" w:hAnsi="仿宋_GB2312" w:eastAsia="仿宋_GB2312" w:cs="仿宋_GB2312"/>
          <w:color w:val="auto"/>
          <w:sz w:val="32"/>
          <w:szCs w:val="32"/>
        </w:rPr>
        <w:t>亿元，收入合计</w:t>
      </w:r>
      <w:r>
        <w:rPr>
          <w:rFonts w:hint="eastAsia" w:ascii="仿宋_GB2312" w:hAnsi="仿宋_GB2312" w:eastAsia="仿宋_GB2312" w:cs="仿宋_GB2312"/>
          <w:color w:val="auto"/>
          <w:sz w:val="32"/>
          <w:szCs w:val="32"/>
          <w:lang w:val="en-US" w:eastAsia="zh-CN"/>
        </w:rPr>
        <w:t>0.43</w:t>
      </w:r>
      <w:r>
        <w:rPr>
          <w:rFonts w:hint="default" w:ascii="仿宋_GB2312" w:hAnsi="仿宋_GB2312" w:eastAsia="仿宋_GB2312" w:cs="仿宋_GB2312"/>
          <w:color w:val="auto"/>
          <w:sz w:val="32"/>
          <w:szCs w:val="32"/>
        </w:rPr>
        <w:t>亿元。全区国有资本经营预算支出完成</w:t>
      </w:r>
      <w:r>
        <w:rPr>
          <w:rFonts w:hint="eastAsia" w:ascii="仿宋_GB2312" w:hAnsi="仿宋_GB2312" w:eastAsia="仿宋_GB2312" w:cs="仿宋_GB2312"/>
          <w:color w:val="auto"/>
          <w:sz w:val="32"/>
          <w:szCs w:val="32"/>
          <w:lang w:val="en-US" w:eastAsia="zh-CN"/>
        </w:rPr>
        <w:t>0.14</w:t>
      </w:r>
      <w:r>
        <w:rPr>
          <w:rFonts w:hint="default" w:ascii="仿宋_GB2312" w:hAnsi="仿宋_GB2312" w:eastAsia="仿宋_GB2312" w:cs="仿宋_GB2312"/>
          <w:color w:val="auto"/>
          <w:sz w:val="32"/>
          <w:szCs w:val="32"/>
        </w:rPr>
        <w:t>亿元，加上结转下年支出0.</w:t>
      </w:r>
      <w:r>
        <w:rPr>
          <w:rFonts w:hint="eastAsia" w:ascii="仿宋_GB2312" w:hAnsi="仿宋_GB2312" w:eastAsia="仿宋_GB2312" w:cs="仿宋_GB2312"/>
          <w:color w:val="auto"/>
          <w:sz w:val="32"/>
          <w:szCs w:val="32"/>
          <w:lang w:val="en-US" w:eastAsia="zh-CN"/>
        </w:rPr>
        <w:t>09</w:t>
      </w:r>
      <w:r>
        <w:rPr>
          <w:rFonts w:hint="default"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调出资金</w:t>
      </w:r>
      <w:r>
        <w:rPr>
          <w:rFonts w:hint="eastAsia" w:ascii="仿宋_GB2312" w:hAnsi="仿宋_GB2312" w:eastAsia="仿宋_GB2312" w:cs="仿宋_GB2312"/>
          <w:color w:val="auto"/>
          <w:sz w:val="32"/>
          <w:szCs w:val="32"/>
          <w:lang w:val="en-US" w:eastAsia="zh-CN"/>
        </w:rPr>
        <w:t>0.2亿元，</w:t>
      </w:r>
      <w:r>
        <w:rPr>
          <w:rFonts w:hint="default" w:ascii="仿宋_GB2312" w:hAnsi="仿宋_GB2312" w:eastAsia="仿宋_GB2312" w:cs="仿宋_GB2312"/>
          <w:color w:val="auto"/>
          <w:sz w:val="32"/>
          <w:szCs w:val="32"/>
        </w:rPr>
        <w:t>支出合计</w:t>
      </w:r>
      <w:r>
        <w:rPr>
          <w:rFonts w:hint="eastAsia" w:ascii="仿宋_GB2312" w:hAnsi="仿宋_GB2312" w:eastAsia="仿宋_GB2312" w:cs="仿宋_GB2312"/>
          <w:color w:val="auto"/>
          <w:sz w:val="32"/>
          <w:szCs w:val="32"/>
          <w:lang w:val="en-US" w:eastAsia="zh-CN"/>
        </w:rPr>
        <w:t>0.43</w:t>
      </w:r>
      <w:r>
        <w:rPr>
          <w:rFonts w:hint="default" w:ascii="仿宋_GB2312" w:hAnsi="仿宋_GB2312" w:eastAsia="仿宋_GB2312" w:cs="仿宋_GB2312"/>
          <w:color w:val="auto"/>
          <w:sz w:val="32"/>
          <w:szCs w:val="32"/>
        </w:rPr>
        <w:t>亿元。收支平衡。</w:t>
      </w:r>
    </w:p>
    <w:p w14:paraId="09D542EA">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（四）社会保险基金预算</w:t>
      </w:r>
    </w:p>
    <w:p w14:paraId="605E0F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全区</w:t>
      </w:r>
      <w:r>
        <w:rPr>
          <w:rFonts w:hint="default" w:ascii="仿宋_GB2312" w:hAnsi="仿宋_GB2312" w:eastAsia="仿宋_GB2312" w:cs="仿宋_GB2312"/>
          <w:color w:val="auto"/>
          <w:sz w:val="32"/>
          <w:szCs w:val="32"/>
        </w:rPr>
        <w:t>社会保险基金预算收入完成</w:t>
      </w:r>
      <w:r>
        <w:rPr>
          <w:rFonts w:hint="eastAsia" w:ascii="仿宋_GB2312" w:hAnsi="仿宋_GB2312" w:eastAsia="仿宋_GB2312" w:cs="仿宋_GB2312"/>
          <w:color w:val="auto"/>
          <w:sz w:val="32"/>
          <w:szCs w:val="32"/>
          <w:lang w:val="en-US" w:eastAsia="zh-CN"/>
        </w:rPr>
        <w:t>4.56</w:t>
      </w:r>
      <w:r>
        <w:rPr>
          <w:rFonts w:hint="default" w:ascii="仿宋_GB2312" w:hAnsi="仿宋_GB2312" w:eastAsia="仿宋_GB2312" w:cs="仿宋_GB2312"/>
          <w:color w:val="auto"/>
          <w:sz w:val="32"/>
          <w:szCs w:val="32"/>
        </w:rPr>
        <w:t>亿元，其中：保险缴费收入</w:t>
      </w:r>
      <w:r>
        <w:rPr>
          <w:rFonts w:hint="eastAsia" w:ascii="仿宋_GB2312" w:hAnsi="仿宋_GB2312" w:eastAsia="仿宋_GB2312" w:cs="仿宋_GB2312"/>
          <w:color w:val="auto"/>
          <w:sz w:val="32"/>
          <w:szCs w:val="32"/>
          <w:lang w:val="en-US" w:eastAsia="zh-CN"/>
        </w:rPr>
        <w:t>2.36</w:t>
      </w:r>
      <w:r>
        <w:rPr>
          <w:rFonts w:hint="default" w:ascii="仿宋_GB2312" w:hAnsi="仿宋_GB2312" w:eastAsia="仿宋_GB2312" w:cs="仿宋_GB2312"/>
          <w:color w:val="auto"/>
          <w:sz w:val="32"/>
          <w:szCs w:val="32"/>
        </w:rPr>
        <w:t>亿元，财政补助</w:t>
      </w:r>
      <w:r>
        <w:rPr>
          <w:rFonts w:hint="eastAsia" w:ascii="仿宋_GB2312" w:hAnsi="仿宋_GB2312" w:eastAsia="仿宋_GB2312" w:cs="仿宋_GB2312"/>
          <w:color w:val="auto"/>
          <w:sz w:val="32"/>
          <w:szCs w:val="32"/>
          <w:lang w:eastAsia="zh-CN"/>
        </w:rPr>
        <w:t>收入</w:t>
      </w: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81</w:t>
      </w:r>
      <w:r>
        <w:rPr>
          <w:rFonts w:hint="default" w:ascii="仿宋_GB2312" w:hAnsi="仿宋_GB2312" w:eastAsia="仿宋_GB2312" w:cs="仿宋_GB2312"/>
          <w:color w:val="auto"/>
          <w:sz w:val="32"/>
          <w:szCs w:val="32"/>
        </w:rPr>
        <w:t>亿元，利息等其他收入</w:t>
      </w:r>
      <w:r>
        <w:rPr>
          <w:rFonts w:hint="eastAsia" w:ascii="仿宋_GB2312" w:hAnsi="仿宋_GB2312" w:eastAsia="仿宋_GB2312" w:cs="仿宋_GB2312"/>
          <w:color w:val="auto"/>
          <w:sz w:val="32"/>
          <w:szCs w:val="32"/>
          <w:lang w:val="en-US" w:eastAsia="zh-CN"/>
        </w:rPr>
        <w:t>0.39</w:t>
      </w:r>
      <w:r>
        <w:rPr>
          <w:rFonts w:hint="default" w:ascii="仿宋_GB2312" w:hAnsi="仿宋_GB2312" w:eastAsia="仿宋_GB2312" w:cs="仿宋_GB2312"/>
          <w:color w:val="auto"/>
          <w:sz w:val="32"/>
          <w:szCs w:val="32"/>
        </w:rPr>
        <w:t>亿元。社会保险基金预算支出完成</w:t>
      </w:r>
      <w:r>
        <w:rPr>
          <w:rFonts w:hint="eastAsia" w:ascii="仿宋_GB2312" w:hAnsi="仿宋_GB2312" w:eastAsia="仿宋_GB2312" w:cs="仿宋_GB2312"/>
          <w:color w:val="auto"/>
          <w:sz w:val="32"/>
          <w:szCs w:val="32"/>
          <w:lang w:val="en-US" w:eastAsia="zh-CN"/>
        </w:rPr>
        <w:t>4.06</w:t>
      </w:r>
      <w:r>
        <w:rPr>
          <w:rFonts w:hint="default" w:ascii="仿宋_GB2312" w:hAnsi="仿宋_GB2312" w:eastAsia="仿宋_GB2312" w:cs="仿宋_GB2312"/>
          <w:color w:val="auto"/>
          <w:sz w:val="32"/>
          <w:szCs w:val="32"/>
        </w:rPr>
        <w:t>亿元，当年结余</w:t>
      </w:r>
      <w:r>
        <w:rPr>
          <w:rFonts w:hint="eastAsia" w:ascii="仿宋_GB2312" w:hAnsi="仿宋_GB2312" w:eastAsia="仿宋_GB2312" w:cs="仿宋_GB2312"/>
          <w:color w:val="auto"/>
          <w:sz w:val="32"/>
          <w:szCs w:val="32"/>
          <w:lang w:val="en-US" w:eastAsia="zh-CN"/>
        </w:rPr>
        <w:t>0.5</w:t>
      </w:r>
      <w:r>
        <w:rPr>
          <w:rFonts w:hint="default" w:ascii="仿宋_GB2312" w:hAnsi="仿宋_GB2312" w:eastAsia="仿宋_GB2312" w:cs="仿宋_GB2312"/>
          <w:color w:val="auto"/>
          <w:sz w:val="32"/>
          <w:szCs w:val="32"/>
        </w:rPr>
        <w:t>亿元，年末滚存结余</w:t>
      </w:r>
      <w:r>
        <w:rPr>
          <w:rFonts w:hint="eastAsia" w:ascii="仿宋_GB2312" w:hAnsi="仿宋_GB2312" w:eastAsia="仿宋_GB2312" w:cs="仿宋_GB2312"/>
          <w:color w:val="auto"/>
          <w:sz w:val="32"/>
          <w:szCs w:val="32"/>
          <w:lang w:val="en-US" w:eastAsia="zh-CN"/>
        </w:rPr>
        <w:t>2.17</w:t>
      </w:r>
      <w:r>
        <w:rPr>
          <w:rFonts w:hint="default" w:ascii="仿宋_GB2312" w:hAnsi="仿宋_GB2312" w:eastAsia="仿宋_GB2312" w:cs="仿宋_GB2312"/>
          <w:color w:val="auto"/>
          <w:sz w:val="32"/>
          <w:szCs w:val="32"/>
        </w:rPr>
        <w:t>亿元。</w:t>
      </w:r>
    </w:p>
    <w:p w14:paraId="6240AE73">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（五）地方政府债务情况</w:t>
      </w:r>
    </w:p>
    <w:p w14:paraId="16FB87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我区</w:t>
      </w:r>
      <w:r>
        <w:rPr>
          <w:rFonts w:hint="eastAsia" w:ascii="仿宋_GB2312" w:hAnsi="仿宋_GB2312" w:eastAsia="仿宋_GB2312" w:cs="仿宋_GB2312"/>
          <w:color w:val="auto"/>
          <w:sz w:val="32"/>
          <w:szCs w:val="32"/>
          <w:highlight w:val="none"/>
          <w:lang w:eastAsia="zh-CN"/>
        </w:rPr>
        <w:t>2025</w:t>
      </w:r>
      <w:r>
        <w:rPr>
          <w:rFonts w:hint="default" w:ascii="仿宋_GB2312" w:hAnsi="仿宋_GB2312" w:eastAsia="仿宋_GB2312" w:cs="仿宋_GB2312"/>
          <w:color w:val="auto"/>
          <w:sz w:val="32"/>
          <w:szCs w:val="32"/>
          <w:highlight w:val="none"/>
        </w:rPr>
        <w:t>年地方政府债务限额为</w:t>
      </w:r>
      <w:r>
        <w:rPr>
          <w:rFonts w:hint="eastAsia" w:ascii="仿宋_GB2312" w:hAnsi="仿宋_GB2312" w:eastAsia="仿宋_GB2312" w:cs="仿宋_GB2312"/>
          <w:color w:val="auto"/>
          <w:sz w:val="32"/>
          <w:szCs w:val="32"/>
          <w:highlight w:val="none"/>
          <w:lang w:val="en-US" w:eastAsia="zh-CN"/>
        </w:rPr>
        <w:t>54.41</w:t>
      </w:r>
      <w:r>
        <w:rPr>
          <w:rFonts w:hint="default" w:ascii="仿宋_GB2312" w:hAnsi="仿宋_GB2312" w:eastAsia="仿宋_GB2312" w:cs="仿宋_GB2312"/>
          <w:color w:val="auto"/>
          <w:sz w:val="32"/>
          <w:szCs w:val="32"/>
          <w:highlight w:val="none"/>
        </w:rPr>
        <w:t>亿元，预计年末地方政府债务余额为</w:t>
      </w:r>
      <w:r>
        <w:rPr>
          <w:rFonts w:hint="eastAsia" w:ascii="仿宋_GB2312" w:hAnsi="仿宋_GB2312" w:eastAsia="仿宋_GB2312" w:cs="仿宋_GB2312"/>
          <w:color w:val="auto"/>
          <w:sz w:val="32"/>
          <w:szCs w:val="32"/>
          <w:highlight w:val="none"/>
          <w:lang w:val="en-US" w:eastAsia="zh-CN"/>
        </w:rPr>
        <w:t>53.83</w:t>
      </w:r>
      <w:r>
        <w:rPr>
          <w:rFonts w:hint="default" w:ascii="仿宋_GB2312" w:hAnsi="仿宋_GB2312" w:eastAsia="仿宋_GB2312" w:cs="仿宋_GB2312"/>
          <w:color w:val="auto"/>
          <w:sz w:val="32"/>
          <w:szCs w:val="32"/>
          <w:highlight w:val="none"/>
        </w:rPr>
        <w:t>亿元，未超债务限额。</w:t>
      </w:r>
      <w:r>
        <w:rPr>
          <w:rFonts w:hint="eastAsia" w:ascii="仿宋_GB2312" w:hAnsi="仿宋_GB2312" w:eastAsia="仿宋_GB2312" w:cs="仿宋_GB2312"/>
          <w:color w:val="auto"/>
          <w:sz w:val="32"/>
          <w:szCs w:val="32"/>
          <w:highlight w:val="none"/>
          <w:lang w:eastAsia="zh-CN"/>
        </w:rPr>
        <w:t>2025</w:t>
      </w:r>
      <w:r>
        <w:rPr>
          <w:rFonts w:hint="default" w:ascii="仿宋_GB2312" w:hAnsi="仿宋_GB2312" w:eastAsia="仿宋_GB2312" w:cs="仿宋_GB2312"/>
          <w:color w:val="auto"/>
          <w:sz w:val="32"/>
          <w:szCs w:val="32"/>
          <w:highlight w:val="none"/>
        </w:rPr>
        <w:t>年新增一般债券</w:t>
      </w:r>
      <w:r>
        <w:rPr>
          <w:rFonts w:hint="eastAsia" w:ascii="仿宋_GB2312" w:hAnsi="仿宋_GB2312" w:eastAsia="仿宋_GB2312" w:cs="仿宋_GB2312"/>
          <w:color w:val="auto"/>
          <w:sz w:val="32"/>
          <w:szCs w:val="32"/>
          <w:highlight w:val="none"/>
          <w:lang w:val="en-US" w:eastAsia="zh-CN"/>
        </w:rPr>
        <w:t>0.71</w:t>
      </w:r>
      <w:r>
        <w:rPr>
          <w:rFonts w:hint="default" w:ascii="仿宋_GB2312" w:hAnsi="仿宋_GB2312" w:eastAsia="仿宋_GB2312" w:cs="仿宋_GB2312"/>
          <w:color w:val="auto"/>
          <w:sz w:val="32"/>
          <w:szCs w:val="32"/>
          <w:highlight w:val="none"/>
        </w:rPr>
        <w:t>亿元，新增专项债券</w:t>
      </w:r>
      <w:r>
        <w:rPr>
          <w:rFonts w:hint="eastAsia" w:ascii="仿宋_GB2312" w:hAnsi="仿宋_GB2312" w:eastAsia="仿宋_GB2312" w:cs="仿宋_GB2312"/>
          <w:color w:val="auto"/>
          <w:sz w:val="32"/>
          <w:szCs w:val="32"/>
          <w:highlight w:val="none"/>
          <w:lang w:val="en-US" w:eastAsia="zh-CN"/>
        </w:rPr>
        <w:t>3.73</w:t>
      </w:r>
      <w:r>
        <w:rPr>
          <w:rFonts w:hint="default" w:ascii="仿宋_GB2312" w:hAnsi="仿宋_GB2312" w:eastAsia="仿宋_GB2312" w:cs="仿宋_GB2312"/>
          <w:color w:val="auto"/>
          <w:sz w:val="32"/>
          <w:szCs w:val="32"/>
          <w:highlight w:val="none"/>
        </w:rPr>
        <w:t>亿元。</w:t>
      </w:r>
    </w:p>
    <w:p w14:paraId="24E49E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需要说明的是，以上数据最终以实际决算数为准，我们将在报告全区</w:t>
      </w:r>
      <w:r>
        <w:rPr>
          <w:rFonts w:hint="eastAsia" w:ascii="仿宋_GB2312" w:hAnsi="仿宋_GB2312" w:eastAsia="仿宋_GB2312" w:cs="仿宋_GB2312"/>
          <w:color w:val="auto"/>
          <w:sz w:val="32"/>
          <w:szCs w:val="32"/>
          <w:lang w:eastAsia="zh-CN"/>
        </w:rPr>
        <w:t>2025</w:t>
      </w:r>
      <w:r>
        <w:rPr>
          <w:rFonts w:hint="default" w:ascii="仿宋_GB2312" w:hAnsi="仿宋_GB2312" w:eastAsia="仿宋_GB2312" w:cs="仿宋_GB2312"/>
          <w:color w:val="auto"/>
          <w:sz w:val="32"/>
          <w:szCs w:val="32"/>
        </w:rPr>
        <w:t>年财政决算时一并报告。</w:t>
      </w:r>
    </w:p>
    <w:p w14:paraId="4A95539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二、落实区六届人大</w:t>
      </w: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次会议预算决议情况</w:t>
      </w:r>
    </w:p>
    <w:p w14:paraId="3B6C5B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面对错综复杂的经济形势和艰巨繁重的改革发展任务，</w:t>
      </w:r>
      <w:r>
        <w:rPr>
          <w:rFonts w:hint="eastAsia" w:ascii="仿宋_GB2312" w:hAnsi="仿宋_GB2312" w:eastAsia="仿宋_GB2312" w:cs="仿宋_GB2312"/>
          <w:color w:val="auto"/>
          <w:sz w:val="32"/>
          <w:szCs w:val="32"/>
          <w:highlight w:val="none"/>
        </w:rPr>
        <w:t>区财政</w:t>
      </w:r>
      <w:r>
        <w:rPr>
          <w:rFonts w:hint="eastAsia" w:ascii="仿宋_GB2312" w:hAnsi="仿宋_GB2312" w:eastAsia="仿宋_GB2312" w:cs="仿宋_GB2312"/>
          <w:color w:val="auto"/>
          <w:sz w:val="32"/>
          <w:szCs w:val="32"/>
          <w:highlight w:val="none"/>
          <w:lang w:eastAsia="zh-CN"/>
        </w:rPr>
        <w:t>局始终</w:t>
      </w:r>
      <w:r>
        <w:rPr>
          <w:rFonts w:hint="eastAsia" w:ascii="仿宋_GB2312" w:hAnsi="仿宋_GB2312" w:eastAsia="仿宋_GB2312" w:cs="仿宋_GB2312"/>
          <w:color w:val="auto"/>
          <w:sz w:val="32"/>
          <w:szCs w:val="32"/>
          <w:highlight w:val="none"/>
        </w:rPr>
        <w:t>坚持以习近平新时代中国特色社会主义思想为指导，全面贯彻落实党的二十届</w:t>
      </w:r>
      <w:r>
        <w:rPr>
          <w:rFonts w:hint="eastAsia" w:ascii="仿宋_GB2312" w:hAnsi="仿宋_GB2312" w:eastAsia="仿宋_GB2312" w:cs="仿宋_GB2312"/>
          <w:color w:val="auto"/>
          <w:sz w:val="32"/>
          <w:szCs w:val="32"/>
          <w:highlight w:val="none"/>
          <w:lang w:eastAsia="zh-CN"/>
        </w:rPr>
        <w:t>四次</w:t>
      </w:r>
      <w:r>
        <w:rPr>
          <w:rFonts w:hint="eastAsia" w:ascii="仿宋_GB2312" w:hAnsi="仿宋_GB2312" w:eastAsia="仿宋_GB2312" w:cs="仿宋_GB2312"/>
          <w:color w:val="auto"/>
          <w:sz w:val="32"/>
          <w:szCs w:val="32"/>
          <w:highlight w:val="none"/>
        </w:rPr>
        <w:t>全会精神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扎实开展深入贯彻中央八项规定精神学习教育，</w:t>
      </w:r>
      <w:r>
        <w:rPr>
          <w:rFonts w:hint="eastAsia" w:ascii="仿宋_GB2312" w:hAnsi="仿宋_GB2312" w:eastAsia="仿宋_GB2312" w:cs="仿宋_GB2312"/>
          <w:color w:val="auto"/>
          <w:sz w:val="32"/>
          <w:szCs w:val="32"/>
          <w:highlight w:val="none"/>
          <w:lang w:eastAsia="zh-CN"/>
        </w:rPr>
        <w:t>围绕区委、区政府决策部署和区人大有关决议，坚定不移稳收支、保重点、惠民生，坚持不懈促改革、防风险、强监督，全区财政总体平稳运行，财政职能作用有效发挥，预算执行情况总体良好。</w:t>
      </w:r>
    </w:p>
    <w:p w14:paraId="131EDF6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bCs/>
          <w:color w:val="auto"/>
          <w:sz w:val="32"/>
          <w:szCs w:val="32"/>
          <w:lang w:val="en-US" w:eastAsia="zh-CN"/>
        </w:rPr>
        <w:t>（一）收入征管提质增效，</w:t>
      </w:r>
      <w:r>
        <w:rPr>
          <w:rFonts w:hint="eastAsia" w:ascii="楷体_GB2312" w:hAnsi="楷体_GB2312" w:eastAsia="楷体_GB2312" w:cs="楷体_GB2312"/>
          <w:b/>
          <w:bCs/>
          <w:color w:val="auto"/>
          <w:sz w:val="32"/>
          <w:szCs w:val="32"/>
          <w:lang w:eastAsia="zh-CN"/>
        </w:rPr>
        <w:t>财力根基持续夯实</w:t>
      </w:r>
      <w:r>
        <w:rPr>
          <w:rFonts w:hint="eastAsia" w:ascii="楷体_GB2312" w:hAnsi="楷体_GB2312" w:eastAsia="楷体_GB2312" w:cs="楷体_GB2312"/>
          <w:b/>
          <w:bCs/>
          <w:color w:val="auto"/>
          <w:sz w:val="32"/>
          <w:szCs w:val="32"/>
          <w:lang w:val="en-US" w:eastAsia="zh-CN"/>
        </w:rPr>
        <w:t>。</w:t>
      </w:r>
      <w:r>
        <w:rPr>
          <w:rFonts w:hint="eastAsia" w:ascii="仿宋_GB2312" w:hAnsi="仿宋_GB2312" w:eastAsia="仿宋_GB2312" w:cs="仿宋_GB2312"/>
          <w:color w:val="auto"/>
          <w:sz w:val="32"/>
          <w:szCs w:val="32"/>
          <w:shd w:val="clear"/>
        </w:rPr>
        <w:t>紧扣中央、省市财源建设部署要求，多渠道拓宽收入，</w:t>
      </w:r>
      <w:r>
        <w:rPr>
          <w:rFonts w:hint="eastAsia" w:ascii="仿宋_GB2312" w:hAnsi="仿宋_GB2312" w:eastAsia="仿宋_GB2312" w:cs="仿宋_GB2312"/>
          <w:color w:val="auto"/>
          <w:sz w:val="32"/>
          <w:szCs w:val="32"/>
          <w:shd w:val="clear"/>
          <w:lang w:eastAsia="zh-CN"/>
        </w:rPr>
        <w:t>夯实财力根基</w:t>
      </w:r>
      <w:r>
        <w:rPr>
          <w:rFonts w:hint="eastAsia" w:ascii="仿宋_GB2312" w:hAnsi="仿宋_GB2312" w:eastAsia="仿宋_GB2312" w:cs="仿宋_GB2312"/>
          <w:color w:val="auto"/>
          <w:sz w:val="32"/>
          <w:szCs w:val="32"/>
          <w:shd w:val="clear"/>
        </w:rPr>
        <w:t>。</w:t>
      </w:r>
      <w:r>
        <w:rPr>
          <w:rFonts w:hint="eastAsia" w:ascii="仿宋_GB2312" w:hAnsi="仿宋_GB2312" w:eastAsia="仿宋_GB2312" w:cs="仿宋_GB2312"/>
          <w:b/>
          <w:bCs/>
          <w:color w:val="auto"/>
          <w:sz w:val="32"/>
          <w:szCs w:val="32"/>
          <w:lang w:eastAsia="zh-CN"/>
        </w:rPr>
        <w:t>一是强化税收征管。</w:t>
      </w:r>
      <w:r>
        <w:rPr>
          <w:rFonts w:hint="eastAsia" w:ascii="仿宋_GB2312" w:hAnsi="仿宋_GB2312" w:eastAsia="仿宋_GB2312" w:cs="仿宋_GB2312"/>
          <w:color w:val="auto"/>
          <w:sz w:val="32"/>
          <w:szCs w:val="32"/>
        </w:rPr>
        <w:t>推进涉税数据“共享、共建、共治”，</w:t>
      </w:r>
      <w:r>
        <w:rPr>
          <w:rFonts w:hint="eastAsia" w:ascii="仿宋_GB2312" w:hAnsi="仿宋_GB2312" w:eastAsia="仿宋_GB2312" w:cs="仿宋_GB2312"/>
          <w:b w:val="0"/>
          <w:bCs w:val="0"/>
          <w:color w:val="auto"/>
          <w:sz w:val="32"/>
          <w:szCs w:val="32"/>
          <w:lang w:eastAsia="zh-CN"/>
        </w:rPr>
        <w:t>完成地方税收收入</w:t>
      </w:r>
      <w:r>
        <w:rPr>
          <w:rFonts w:hint="eastAsia" w:ascii="仿宋_GB2312" w:hAnsi="仿宋_GB2312" w:eastAsia="仿宋_GB2312" w:cs="仿宋_GB2312"/>
          <w:b w:val="0"/>
          <w:bCs w:val="0"/>
          <w:color w:val="auto"/>
          <w:sz w:val="32"/>
          <w:szCs w:val="32"/>
          <w:lang w:val="en-US" w:eastAsia="zh-CN"/>
        </w:rPr>
        <w:t>5.12</w:t>
      </w:r>
      <w:r>
        <w:rPr>
          <w:rFonts w:hint="eastAsia" w:ascii="仿宋_GB2312" w:hAnsi="仿宋_GB2312" w:eastAsia="仿宋_GB2312" w:cs="仿宋_GB2312"/>
          <w:b w:val="0"/>
          <w:bCs w:val="0"/>
          <w:color w:val="auto"/>
          <w:sz w:val="32"/>
          <w:szCs w:val="32"/>
          <w:lang w:eastAsia="zh-CN"/>
        </w:rPr>
        <w:t>亿元；</w:t>
      </w:r>
      <w:r>
        <w:rPr>
          <w:rFonts w:hint="eastAsia" w:ascii="仿宋_GB2312" w:hAnsi="仿宋_GB2312" w:eastAsia="仿宋_GB2312" w:cs="仿宋_GB2312"/>
          <w:b/>
          <w:bCs/>
          <w:color w:val="auto"/>
          <w:sz w:val="32"/>
          <w:szCs w:val="32"/>
          <w:lang w:eastAsia="zh-CN"/>
        </w:rPr>
        <w:t>二是加强非税结算。</w:t>
      </w:r>
      <w:r>
        <w:rPr>
          <w:rFonts w:hint="eastAsia" w:ascii="仿宋_GB2312" w:hAnsi="仿宋_GB2312" w:eastAsia="仿宋_GB2312" w:cs="仿宋_GB2312"/>
          <w:color w:val="auto"/>
          <w:sz w:val="32"/>
          <w:szCs w:val="32"/>
        </w:rPr>
        <w:t>优化收缴系统，</w:t>
      </w:r>
      <w:r>
        <w:rPr>
          <w:rFonts w:hint="eastAsia" w:ascii="仿宋_GB2312" w:hAnsi="仿宋_GB2312" w:eastAsia="仿宋_GB2312" w:cs="仿宋_GB2312"/>
          <w:b w:val="0"/>
          <w:bCs w:val="0"/>
          <w:color w:val="auto"/>
          <w:sz w:val="32"/>
          <w:szCs w:val="32"/>
          <w:lang w:eastAsia="zh-CN"/>
        </w:rPr>
        <w:t>推广自助查缴等功能，</w:t>
      </w:r>
      <w:r>
        <w:rPr>
          <w:rFonts w:hint="eastAsia" w:ascii="仿宋_GB2312" w:hAnsi="仿宋_GB2312" w:eastAsia="仿宋_GB2312" w:cs="仿宋_GB2312"/>
          <w:color w:val="auto"/>
          <w:sz w:val="32"/>
          <w:szCs w:val="32"/>
          <w:lang w:eastAsia="zh-CN"/>
        </w:rPr>
        <w:t>全年</w:t>
      </w:r>
      <w:r>
        <w:rPr>
          <w:rFonts w:hint="eastAsia" w:ascii="仿宋_GB2312" w:hAnsi="仿宋_GB2312" w:eastAsia="仿宋_GB2312" w:cs="仿宋_GB2312"/>
          <w:color w:val="auto"/>
          <w:sz w:val="32"/>
          <w:szCs w:val="32"/>
          <w:lang w:val="en-US" w:eastAsia="zh-CN"/>
        </w:rPr>
        <w:t>完成待查收入确认301笔，确认金额逾1亿元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bCs/>
          <w:color w:val="auto"/>
          <w:sz w:val="32"/>
          <w:szCs w:val="32"/>
          <w:lang w:eastAsia="zh-CN"/>
        </w:rPr>
        <w:t>三是积极向上争资。</w:t>
      </w:r>
      <w:r>
        <w:rPr>
          <w:rFonts w:hint="eastAsia" w:ascii="仿宋_GB2312" w:hAnsi="仿宋_GB2312" w:eastAsia="仿宋_GB2312" w:cs="仿宋_GB2312"/>
          <w:color w:val="auto"/>
          <w:sz w:val="32"/>
          <w:szCs w:val="32"/>
          <w:lang w:val="en-US" w:eastAsia="zh-CN"/>
        </w:rPr>
        <w:t>赴省、市财政部门专题汇报、对接，</w:t>
      </w:r>
      <w:r>
        <w:rPr>
          <w:rFonts w:hint="eastAsia" w:ascii="仿宋_GB2312" w:hAnsi="仿宋_GB2312" w:eastAsia="仿宋_GB2312" w:cs="仿宋_GB2312"/>
          <w:color w:val="auto"/>
          <w:sz w:val="32"/>
          <w:szCs w:val="32"/>
        </w:rPr>
        <w:t>争取上级资金6.83亿元</w:t>
      </w:r>
      <w:r>
        <w:rPr>
          <w:rFonts w:hint="eastAsia" w:ascii="仿宋_GB2312" w:hAnsi="仿宋_GB2312" w:eastAsia="仿宋_GB2312" w:cs="仿宋_GB2312"/>
          <w:color w:val="auto"/>
          <w:sz w:val="32"/>
          <w:szCs w:val="32"/>
          <w:lang w:val="en-US" w:eastAsia="zh-CN"/>
        </w:rPr>
        <w:t>（包括</w:t>
      </w:r>
      <w:r>
        <w:rPr>
          <w:rFonts w:hint="eastAsia" w:ascii="仿宋_GB2312" w:hAnsi="仿宋_GB2312" w:eastAsia="仿宋_GB2312" w:cs="仿宋_GB2312"/>
          <w:color w:val="auto"/>
          <w:sz w:val="32"/>
          <w:szCs w:val="32"/>
        </w:rPr>
        <w:t>超长期国债1.05亿元、政府债券5.05亿元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四是盘活国有资产。</w:t>
      </w:r>
      <w:r>
        <w:rPr>
          <w:rFonts w:hint="eastAsia" w:ascii="仿宋_GB2312" w:hAnsi="仿宋_GB2312" w:eastAsia="仿宋_GB2312" w:cs="仿宋_GB2312"/>
          <w:color w:val="auto"/>
          <w:sz w:val="32"/>
          <w:szCs w:val="32"/>
        </w:rPr>
        <w:t>通过特许经营等盘活国有资产，实现租赁收入</w:t>
      </w:r>
      <w:r>
        <w:rPr>
          <w:rFonts w:hint="eastAsia" w:ascii="仿宋_GB2312" w:hAnsi="仿宋_GB2312" w:eastAsia="仿宋_GB2312" w:cs="仿宋_GB2312"/>
          <w:color w:val="auto"/>
          <w:sz w:val="32"/>
          <w:szCs w:val="32"/>
          <w:lang w:val="en-US" w:eastAsia="zh-CN"/>
        </w:rPr>
        <w:t>0.25亿元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资产处置收入</w:t>
      </w:r>
      <w:r>
        <w:rPr>
          <w:rFonts w:hint="eastAsia" w:ascii="仿宋_GB2312" w:hAnsi="仿宋_GB2312" w:eastAsia="仿宋_GB2312" w:cs="仿宋_GB2312"/>
          <w:color w:val="auto"/>
          <w:sz w:val="32"/>
          <w:szCs w:val="32"/>
          <w:lang w:val="en-US" w:eastAsia="zh-CN"/>
        </w:rPr>
        <w:t>0.86亿元，</w:t>
      </w:r>
      <w:r>
        <w:rPr>
          <w:rFonts w:hint="eastAsia" w:ascii="仿宋_GB2312" w:hAnsi="仿宋_GB2312" w:eastAsia="仿宋_GB2312" w:cs="仿宋_GB2312"/>
          <w:color w:val="auto"/>
          <w:sz w:val="32"/>
          <w:szCs w:val="32"/>
        </w:rPr>
        <w:t>提升国有资产运营效益。</w:t>
      </w:r>
    </w:p>
    <w:p w14:paraId="68CF50A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（二）“三保”底线不断筑牢</w:t>
      </w:r>
      <w:r>
        <w:rPr>
          <w:rFonts w:hint="eastAsia" w:ascii="楷体_GB2312" w:hAnsi="楷体_GB2312" w:eastAsia="楷体_GB2312" w:cs="楷体_GB2312"/>
          <w:b/>
          <w:bCs/>
          <w:color w:val="auto"/>
          <w:sz w:val="32"/>
          <w:szCs w:val="32"/>
          <w:lang w:eastAsia="zh-CN"/>
        </w:rPr>
        <w:t>，保障能力稳步提升</w:t>
      </w:r>
      <w:r>
        <w:rPr>
          <w:rFonts w:hint="eastAsia" w:ascii="楷体_GB2312" w:hAnsi="楷体_GB2312" w:eastAsia="楷体_GB2312" w:cs="楷体_GB2312"/>
          <w:b/>
          <w:bCs/>
          <w:color w:val="auto"/>
          <w:sz w:val="32"/>
          <w:szCs w:val="32"/>
          <w:lang w:val="en-US" w:eastAsia="zh-CN"/>
        </w:rPr>
        <w:t>。</w:t>
      </w:r>
      <w:r>
        <w:rPr>
          <w:rFonts w:hint="eastAsia" w:ascii="仿宋_GB2312" w:hAnsi="仿宋_GB2312" w:eastAsia="仿宋_GB2312" w:cs="仿宋_GB2312"/>
          <w:color w:val="auto"/>
          <w:sz w:val="32"/>
          <w:szCs w:val="32"/>
          <w:shd w:val="clear"/>
        </w:rPr>
        <w:t>严格落实兜牢基层“三保”底线要求，坚持党政机关过紧日子，优先保障重点支出需求。</w:t>
      </w:r>
      <w:r>
        <w:rPr>
          <w:rFonts w:hint="eastAsia" w:ascii="仿宋_GB2312" w:hAnsi="仿宋_GB2312" w:eastAsia="仿宋_GB2312" w:cs="仿宋_GB2312"/>
          <w:b/>
          <w:bCs/>
          <w:color w:val="auto"/>
          <w:sz w:val="32"/>
          <w:szCs w:val="32"/>
          <w:lang w:val="en-US" w:eastAsia="zh-CN"/>
        </w:rPr>
        <w:t>一是“三保”预算足额安排。</w:t>
      </w:r>
      <w:r>
        <w:rPr>
          <w:rFonts w:hint="eastAsia" w:ascii="仿宋_GB2312" w:hAnsi="仿宋_GB2312" w:eastAsia="仿宋_GB2312" w:cs="仿宋_GB2312"/>
          <w:b w:val="0"/>
          <w:bCs w:val="0"/>
          <w:color w:val="auto"/>
          <w:spacing w:val="11"/>
          <w:kern w:val="2"/>
          <w:sz w:val="32"/>
          <w:szCs w:val="32"/>
          <w:lang w:val="en-US" w:eastAsia="zh-CN" w:bidi="ar-SA"/>
        </w:rPr>
        <w:t>按照国家及省级“三保”目录、标准编制，</w:t>
      </w:r>
      <w:r>
        <w:rPr>
          <w:rFonts w:hint="eastAsia" w:ascii="仿宋_GB2312" w:hAnsi="仿宋_GB2312" w:eastAsia="仿宋_GB2312" w:cs="仿宋_GB2312"/>
          <w:b w:val="0"/>
          <w:bCs w:val="0"/>
          <w:color w:val="auto"/>
          <w:sz w:val="32"/>
          <w:szCs w:val="32"/>
          <w:lang w:val="en-US" w:eastAsia="zh-CN"/>
        </w:rPr>
        <w:t>全年“三保”资金预算安排16.31亿元。</w:t>
      </w:r>
      <w:r>
        <w:rPr>
          <w:rFonts w:hint="eastAsia" w:ascii="仿宋_GB2312" w:hAnsi="仿宋_GB2312" w:eastAsia="仿宋_GB2312" w:cs="仿宋_GB2312"/>
          <w:b/>
          <w:bCs/>
          <w:color w:val="auto"/>
          <w:sz w:val="32"/>
          <w:szCs w:val="32"/>
          <w:lang w:val="en-US" w:eastAsia="zh-CN"/>
        </w:rPr>
        <w:t>二是“三保”支付优先保障。</w:t>
      </w:r>
      <w:r>
        <w:rPr>
          <w:rFonts w:hint="eastAsia" w:ascii="仿宋_GB2312" w:hAnsi="仿宋_GB2312" w:eastAsia="仿宋_GB2312" w:cs="仿宋_GB2312"/>
          <w:b w:val="0"/>
          <w:bCs w:val="0"/>
          <w:color w:val="auto"/>
          <w:spacing w:val="11"/>
          <w:kern w:val="2"/>
          <w:sz w:val="32"/>
          <w:szCs w:val="32"/>
          <w:lang w:val="en-US" w:eastAsia="zh-CN" w:bidi="ar-SA"/>
        </w:rPr>
        <w:t>在财政极为困难的情况下，</w:t>
      </w:r>
      <w:r>
        <w:rPr>
          <w:rFonts w:hint="eastAsia" w:ascii="仿宋_GB2312" w:hAnsi="仿宋_GB2312" w:eastAsia="仿宋_GB2312" w:cs="仿宋_GB2312"/>
          <w:b w:val="0"/>
          <w:bCs w:val="0"/>
          <w:color w:val="auto"/>
          <w:sz w:val="32"/>
          <w:szCs w:val="32"/>
        </w:rPr>
        <w:t>坚持“三保”支出优先顺序</w:t>
      </w:r>
      <w:r>
        <w:rPr>
          <w:rFonts w:hint="eastAsia" w:ascii="仿宋_GB2312" w:hAnsi="仿宋_GB2312" w:eastAsia="仿宋_GB2312" w:cs="仿宋_GB2312"/>
          <w:b w:val="0"/>
          <w:bCs w:val="0"/>
          <w:color w:val="auto"/>
          <w:spacing w:val="11"/>
          <w:kern w:val="2"/>
          <w:sz w:val="32"/>
          <w:szCs w:val="32"/>
          <w:lang w:val="en-US" w:eastAsia="zh-CN" w:bidi="ar-SA"/>
        </w:rPr>
        <w:t>，</w:t>
      </w:r>
      <w:r>
        <w:rPr>
          <w:rFonts w:hint="eastAsia" w:ascii="仿宋_GB2312" w:hAnsi="仿宋_GB2312" w:eastAsia="仿宋_GB2312" w:cs="仿宋_GB2312"/>
          <w:b w:val="0"/>
          <w:bCs w:val="0"/>
          <w:color w:val="auto"/>
          <w:sz w:val="32"/>
          <w:szCs w:val="32"/>
        </w:rPr>
        <w:t>截至10月底执行12.19亿元，执行进度74.74%</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color w:val="auto"/>
          <w:sz w:val="32"/>
          <w:szCs w:val="32"/>
          <w:shd w:val="clear"/>
          <w:lang w:val="en-US" w:eastAsia="zh-CN"/>
        </w:rPr>
        <w:t>三</w:t>
      </w:r>
      <w:r>
        <w:rPr>
          <w:rFonts w:hint="eastAsia" w:ascii="仿宋_GB2312" w:hAnsi="仿宋_GB2312" w:eastAsia="仿宋_GB2312" w:cs="仿宋_GB2312"/>
          <w:b/>
          <w:bCs/>
          <w:color w:val="auto"/>
          <w:sz w:val="32"/>
          <w:szCs w:val="32"/>
          <w:shd w:val="clear"/>
          <w:lang w:eastAsia="zh-CN"/>
        </w:rPr>
        <w:t>是</w:t>
      </w:r>
      <w:r>
        <w:rPr>
          <w:rFonts w:hint="eastAsia" w:ascii="仿宋_GB2312" w:hAnsi="仿宋_GB2312" w:eastAsia="仿宋_GB2312" w:cs="仿宋_GB2312"/>
          <w:b/>
          <w:bCs/>
          <w:color w:val="auto"/>
          <w:sz w:val="32"/>
          <w:szCs w:val="32"/>
          <w:shd w:val="clear"/>
        </w:rPr>
        <w:t>压减非必要支出</w:t>
      </w:r>
      <w:r>
        <w:rPr>
          <w:rFonts w:hint="eastAsia" w:ascii="仿宋_GB2312" w:hAnsi="仿宋_GB2312" w:eastAsia="仿宋_GB2312" w:cs="仿宋_GB2312"/>
          <w:b/>
          <w:bCs/>
          <w:color w:val="auto"/>
          <w:sz w:val="32"/>
          <w:szCs w:val="32"/>
          <w:shd w:val="clear"/>
          <w:lang w:val="en-US" w:eastAsia="zh-CN"/>
        </w:rPr>
        <w:t>。</w:t>
      </w:r>
      <w:r>
        <w:rPr>
          <w:rFonts w:hint="eastAsia" w:ascii="仿宋_GB2312" w:hAnsi="仿宋_GB2312" w:eastAsia="仿宋_GB2312" w:cs="仿宋_GB2312"/>
          <w:b w:val="0"/>
          <w:bCs w:val="0"/>
          <w:color w:val="auto"/>
          <w:sz w:val="32"/>
          <w:szCs w:val="32"/>
          <w:lang w:val="en-US" w:eastAsia="zh-CN"/>
        </w:rPr>
        <w:t>落实《厉行节约、反对浪费》条例，坚持党政机关过紧日子要求，全年</w:t>
      </w:r>
      <w:r>
        <w:rPr>
          <w:rFonts w:hint="eastAsia" w:ascii="仿宋_GB2312" w:hAnsi="仿宋_GB2312" w:eastAsia="仿宋_GB2312" w:cs="仿宋_GB2312"/>
          <w:b w:val="0"/>
          <w:bCs w:val="0"/>
          <w:color w:val="auto"/>
          <w:sz w:val="32"/>
          <w:szCs w:val="32"/>
        </w:rPr>
        <w:t>压减公用经费1233万元，“三公”经费同比下降29.79%</w:t>
      </w:r>
      <w:r>
        <w:rPr>
          <w:rFonts w:hint="eastAsia" w:ascii="仿宋_GB2312" w:hAnsi="仿宋_GB2312" w:eastAsia="仿宋_GB2312" w:cs="仿宋_GB2312"/>
          <w:b w:val="0"/>
          <w:bCs w:val="0"/>
          <w:color w:val="auto"/>
          <w:sz w:val="32"/>
          <w:szCs w:val="32"/>
          <w:lang w:eastAsia="zh-CN"/>
        </w:rPr>
        <w:t>，腾出资金主要用于“三保”支出</w:t>
      </w:r>
      <w:r>
        <w:rPr>
          <w:rFonts w:hint="eastAsia" w:ascii="仿宋_GB2312" w:hAnsi="仿宋_GB2312" w:eastAsia="仿宋_GB2312" w:cs="仿宋_GB2312"/>
          <w:b w:val="0"/>
          <w:bCs w:val="0"/>
          <w:color w:val="auto"/>
          <w:sz w:val="32"/>
          <w:szCs w:val="32"/>
        </w:rPr>
        <w:t>。</w:t>
      </w:r>
    </w:p>
    <w:p w14:paraId="7B5C21BD">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color w:val="auto"/>
          <w:sz w:val="32"/>
          <w:szCs w:val="32"/>
          <w:shd w:val="clear"/>
        </w:rPr>
      </w:pPr>
      <w:r>
        <w:rPr>
          <w:rFonts w:hint="eastAsia" w:ascii="楷体_GB2312" w:hAnsi="楷体_GB2312" w:eastAsia="楷体_GB2312" w:cs="楷体_GB2312"/>
          <w:b/>
          <w:bCs/>
          <w:color w:val="auto"/>
          <w:sz w:val="32"/>
          <w:szCs w:val="32"/>
          <w:lang w:val="en-US" w:eastAsia="zh-CN"/>
        </w:rPr>
        <w:t>（三）民生福祉持续增进</w:t>
      </w:r>
      <w:r>
        <w:rPr>
          <w:rFonts w:hint="eastAsia" w:ascii="楷体_GB2312" w:hAnsi="楷体_GB2312" w:eastAsia="楷体_GB2312" w:cs="楷体_GB2312"/>
          <w:b/>
          <w:bCs/>
          <w:color w:val="auto"/>
          <w:sz w:val="32"/>
          <w:szCs w:val="32"/>
          <w:lang w:eastAsia="zh-CN"/>
        </w:rPr>
        <w:t>，政策红利直达惠民</w:t>
      </w:r>
      <w:r>
        <w:rPr>
          <w:rFonts w:hint="eastAsia" w:ascii="楷体_GB2312" w:hAnsi="楷体_GB2312" w:eastAsia="楷体_GB2312" w:cs="楷体_GB2312"/>
          <w:b/>
          <w:bCs/>
          <w:color w:val="auto"/>
          <w:sz w:val="32"/>
          <w:szCs w:val="32"/>
          <w:lang w:val="en-US" w:eastAsia="zh-CN"/>
        </w:rPr>
        <w:t>。</w:t>
      </w:r>
      <w:r>
        <w:rPr>
          <w:rFonts w:hint="eastAsia" w:ascii="仿宋_GB2312" w:hAnsi="仿宋_GB2312" w:eastAsia="仿宋_GB2312" w:cs="仿宋_GB2312"/>
          <w:color w:val="auto"/>
          <w:sz w:val="32"/>
          <w:szCs w:val="32"/>
          <w:shd w:val="clear"/>
          <w:lang w:eastAsia="zh-CN"/>
        </w:rPr>
        <w:t>坚持</w:t>
      </w:r>
      <w:r>
        <w:rPr>
          <w:rFonts w:hint="eastAsia" w:ascii="仿宋_GB2312" w:hAnsi="仿宋_GB2312" w:eastAsia="仿宋_GB2312" w:cs="仿宋_GB2312"/>
          <w:color w:val="auto"/>
          <w:sz w:val="32"/>
          <w:szCs w:val="32"/>
          <w:shd w:val="clear"/>
        </w:rPr>
        <w:t>惠民生工作导向，加大民生领域投入力度，全年民生支出23.51亿元，占一般公共预算支出82.99%。</w:t>
      </w:r>
      <w:r>
        <w:rPr>
          <w:rFonts w:hint="eastAsia" w:ascii="仿宋_GB2312" w:hAnsi="仿宋_GB2312" w:eastAsia="仿宋_GB2312" w:cs="仿宋_GB2312"/>
          <w:b/>
          <w:bCs/>
          <w:color w:val="auto"/>
          <w:sz w:val="32"/>
          <w:szCs w:val="32"/>
          <w:shd w:val="clear"/>
          <w:lang w:eastAsia="zh-CN"/>
        </w:rPr>
        <w:t>一是筑牢社会保障体系。</w:t>
      </w:r>
      <w:r>
        <w:rPr>
          <w:rFonts w:hint="eastAsia" w:ascii="仿宋_GB2312" w:hAnsi="仿宋_GB2312" w:eastAsia="仿宋_GB2312" w:cs="仿宋_GB2312"/>
          <w:color w:val="auto"/>
          <w:sz w:val="32"/>
          <w:szCs w:val="32"/>
          <w:shd w:val="clear"/>
          <w:lang w:eastAsia="zh-CN"/>
        </w:rPr>
        <w:t>保障社保资金4.8亿元、医保基金5.32亿元，落实湖南城乡居民医保财政补助标准提升要求，城乡居民基本医疗保险参保率稳定在95%以上，发放低保及特困供养金0.22亿元，拨付就业资金0.23亿元，支持重点群体就业；</w:t>
      </w:r>
      <w:r>
        <w:rPr>
          <w:rFonts w:hint="eastAsia" w:ascii="仿宋_GB2312" w:hAnsi="仿宋_GB2312" w:eastAsia="仿宋_GB2312" w:cs="仿宋_GB2312"/>
          <w:b/>
          <w:bCs/>
          <w:color w:val="auto"/>
          <w:sz w:val="32"/>
          <w:szCs w:val="32"/>
          <w:shd w:val="clear"/>
          <w:lang w:eastAsia="zh-CN"/>
        </w:rPr>
        <w:t>二是推进城市更新提质。</w:t>
      </w:r>
      <w:r>
        <w:rPr>
          <w:rFonts w:hint="eastAsia" w:ascii="仿宋_GB2312" w:hAnsi="仿宋_GB2312" w:eastAsia="仿宋_GB2312" w:cs="仿宋_GB2312"/>
          <w:color w:val="auto"/>
          <w:sz w:val="32"/>
          <w:szCs w:val="32"/>
          <w:shd w:val="clear"/>
          <w:lang w:eastAsia="zh-CN"/>
        </w:rPr>
        <w:t>拨付老旧小区改造资金1714万元，惠及3679户，</w:t>
      </w:r>
      <w:r>
        <w:rPr>
          <w:rFonts w:hint="eastAsia" w:ascii="仿宋_GB2312" w:hAnsi="仿宋_GB2312" w:eastAsia="仿宋_GB2312" w:cs="仿宋_GB2312"/>
          <w:color w:val="auto"/>
          <w:kern w:val="2"/>
          <w:sz w:val="32"/>
          <w:szCs w:val="32"/>
          <w:shd w:val="clear"/>
          <w:lang w:val="en-US" w:eastAsia="zh-CN" w:bidi="ar-SA"/>
        </w:rPr>
        <w:t>人居环境持续改善</w:t>
      </w:r>
      <w:r>
        <w:rPr>
          <w:rFonts w:hint="eastAsia" w:ascii="仿宋_GB2312" w:hAnsi="仿宋_GB2312" w:eastAsia="仿宋_GB2312" w:cs="仿宋_GB2312"/>
          <w:color w:val="auto"/>
          <w:sz w:val="32"/>
          <w:szCs w:val="32"/>
          <w:shd w:val="clear"/>
          <w:lang w:eastAsia="zh-CN"/>
        </w:rPr>
        <w:t>；</w:t>
      </w:r>
      <w:r>
        <w:rPr>
          <w:rFonts w:hint="eastAsia" w:ascii="仿宋_GB2312" w:hAnsi="仿宋_GB2312" w:eastAsia="仿宋_GB2312" w:cs="仿宋_GB2312"/>
          <w:b/>
          <w:bCs/>
          <w:color w:val="auto"/>
          <w:sz w:val="32"/>
          <w:szCs w:val="32"/>
          <w:shd w:val="clear"/>
          <w:lang w:eastAsia="zh-CN"/>
        </w:rPr>
        <w:t>三是助力乡村振兴发展。</w:t>
      </w:r>
      <w:r>
        <w:rPr>
          <w:rFonts w:hint="eastAsia" w:ascii="仿宋_GB2312" w:hAnsi="仿宋_GB2312" w:eastAsia="仿宋_GB2312" w:cs="仿宋_GB2312"/>
          <w:color w:val="auto"/>
          <w:sz w:val="32"/>
          <w:szCs w:val="32"/>
          <w:shd w:val="clear"/>
        </w:rPr>
        <w:t>投入0.66亿元支持农村优势产业培育、易地扶贫搬迁后续扶持、脱贫劳动力就业及农村人居环境整治，稳步衔接脱贫攻坚与乡村振兴。</w:t>
      </w:r>
    </w:p>
    <w:p w14:paraId="3FB15E74">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（四）债务管理规范有序</w:t>
      </w:r>
      <w:r>
        <w:rPr>
          <w:rFonts w:hint="eastAsia" w:ascii="楷体_GB2312" w:hAnsi="楷体_GB2312" w:eastAsia="楷体_GB2312" w:cs="楷体_GB2312"/>
          <w:b/>
          <w:bCs/>
          <w:color w:val="auto"/>
          <w:sz w:val="32"/>
          <w:szCs w:val="32"/>
          <w:lang w:eastAsia="zh-CN"/>
        </w:rPr>
        <w:t>，风险防控扎实有效</w:t>
      </w:r>
      <w:r>
        <w:rPr>
          <w:rFonts w:hint="eastAsia" w:ascii="楷体_GB2312" w:hAnsi="楷体_GB2312" w:eastAsia="楷体_GB2312" w:cs="楷体_GB2312"/>
          <w:b/>
          <w:bCs/>
          <w:color w:val="auto"/>
          <w:sz w:val="32"/>
          <w:szCs w:val="32"/>
          <w:lang w:val="en-US" w:eastAsia="zh-CN"/>
        </w:rPr>
        <w:t>。</w:t>
      </w:r>
      <w:r>
        <w:rPr>
          <w:rFonts w:hint="eastAsia" w:ascii="仿宋_GB2312" w:hAnsi="仿宋_GB2312" w:eastAsia="仿宋_GB2312" w:cs="仿宋_GB2312"/>
          <w:color w:val="auto"/>
          <w:sz w:val="32"/>
          <w:szCs w:val="32"/>
          <w:shd w:val="clear"/>
        </w:rPr>
        <w:t>严守债务风险底线，推进债务管理规范化、精细化</w:t>
      </w:r>
      <w:r>
        <w:rPr>
          <w:rFonts w:hint="eastAsia" w:ascii="仿宋_GB2312" w:hAnsi="仿宋_GB2312" w:eastAsia="仿宋_GB2312" w:cs="仿宋_GB2312"/>
          <w:color w:val="auto"/>
          <w:sz w:val="32"/>
          <w:szCs w:val="32"/>
          <w:shd w:val="clear"/>
          <w:lang w:eastAsia="zh-CN"/>
        </w:rPr>
        <w:t>。</w:t>
      </w:r>
      <w:r>
        <w:rPr>
          <w:rFonts w:hint="eastAsia" w:ascii="仿宋_GB2312" w:hAnsi="仿宋_GB2312" w:eastAsia="仿宋_GB2312" w:cs="仿宋_GB2312"/>
          <w:b/>
          <w:bCs/>
          <w:color w:val="auto"/>
          <w:sz w:val="32"/>
          <w:szCs w:val="32"/>
          <w:lang w:val="en-US" w:eastAsia="zh-CN"/>
        </w:rPr>
        <w:t>一是完成隐债化解任务。</w:t>
      </w:r>
      <w:r>
        <w:rPr>
          <w:rFonts w:hint="eastAsia" w:ascii="仿宋_GB2312" w:hAnsi="仿宋_GB2312" w:eastAsia="仿宋_GB2312" w:cs="仿宋_GB2312"/>
          <w:color w:val="auto"/>
          <w:sz w:val="32"/>
          <w:szCs w:val="32"/>
          <w:lang w:val="en-US" w:eastAsia="zh-CN"/>
        </w:rPr>
        <w:t>按照十年化债计划安排，我区2018年8月—2025年底预计累计化解隐性债务25.95亿元（剔除保交楼债务4.98亿元），隐债化解总进度已达到90%以上，超额完成年度化债任务和序时进度任务；</w:t>
      </w:r>
      <w:r>
        <w:rPr>
          <w:rFonts w:hint="eastAsia" w:ascii="仿宋_GB2312" w:hAnsi="仿宋_GB2312" w:eastAsia="仿宋_GB2312" w:cs="仿宋_GB2312"/>
          <w:b/>
          <w:bCs/>
          <w:color w:val="auto"/>
          <w:sz w:val="32"/>
          <w:szCs w:val="32"/>
          <w:lang w:val="en-US" w:eastAsia="zh-CN"/>
        </w:rPr>
        <w:t>二是完成年度还本付息任务。</w:t>
      </w:r>
      <w:r>
        <w:rPr>
          <w:rFonts w:hint="eastAsia" w:ascii="仿宋_GB2312" w:hAnsi="仿宋_GB2312" w:eastAsia="仿宋_GB2312" w:cs="仿宋_GB2312"/>
          <w:color w:val="auto"/>
          <w:sz w:val="32"/>
          <w:szCs w:val="32"/>
          <w:lang w:val="en-US" w:eastAsia="zh-CN"/>
        </w:rPr>
        <w:t>2025年预计支付政府债券本息1.96亿元，未发生政府债券违约事件。</w:t>
      </w:r>
      <w:r>
        <w:rPr>
          <w:rFonts w:hint="eastAsia" w:ascii="仿宋_GB2312" w:hAnsi="仿宋_GB2312" w:eastAsia="仿宋_GB2312" w:cs="仿宋_GB2312"/>
          <w:b/>
          <w:bCs/>
          <w:color w:val="auto"/>
          <w:sz w:val="32"/>
          <w:szCs w:val="32"/>
          <w:lang w:val="en-US" w:eastAsia="zh-CN"/>
        </w:rPr>
        <w:t>三是完成隐债置换降息工作。</w:t>
      </w:r>
      <w:r>
        <w:rPr>
          <w:rFonts w:hint="eastAsia" w:ascii="仿宋_GB2312" w:hAnsi="仿宋_GB2312" w:eastAsia="仿宋_GB2312" w:cs="仿宋_GB2312"/>
          <w:color w:val="auto"/>
          <w:sz w:val="32"/>
          <w:szCs w:val="32"/>
          <w:lang w:val="en-US" w:eastAsia="zh-CN"/>
        </w:rPr>
        <w:t>全年争取到置换债券2.76亿元，成功置换国开行、农发行和长沙银行的隐性债务，置换后平均债务成本从4.5%下降至2%左右，年节约利息456.42万元，续存期节约利息1338万元。</w:t>
      </w:r>
    </w:p>
    <w:p w14:paraId="596DE5B3">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shd w:val="clear"/>
          <w:lang w:val="en-US" w:eastAsia="zh-CN"/>
        </w:rPr>
      </w:pP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lang w:eastAsia="zh-CN"/>
        </w:rPr>
        <w:t>惠企政策精准落地，</w:t>
      </w:r>
      <w:r>
        <w:rPr>
          <w:rFonts w:hint="eastAsia" w:ascii="楷体_GB2312" w:hAnsi="楷体_GB2312" w:eastAsia="楷体_GB2312" w:cs="楷体_GB2312"/>
          <w:b/>
          <w:bCs/>
          <w:color w:val="auto"/>
          <w:sz w:val="32"/>
          <w:szCs w:val="32"/>
          <w:lang w:val="en-US" w:eastAsia="zh-CN"/>
        </w:rPr>
        <w:t>市场活力有效激发。</w:t>
      </w:r>
      <w:r>
        <w:rPr>
          <w:rFonts w:hint="eastAsia" w:ascii="仿宋_GB2312" w:hAnsi="仿宋_GB2312" w:eastAsia="仿宋_GB2312" w:cs="仿宋_GB2312"/>
          <w:color w:val="auto"/>
          <w:sz w:val="32"/>
          <w:szCs w:val="32"/>
          <w:shd w:val="clear"/>
        </w:rPr>
        <w:t>落实企业纾困及扩大内需部署，释放政策红利激活市场动能</w:t>
      </w:r>
      <w:r>
        <w:rPr>
          <w:rFonts w:hint="eastAsia" w:ascii="仿宋_GB2312" w:hAnsi="仿宋_GB2312" w:eastAsia="仿宋_GB2312" w:cs="仿宋_GB2312"/>
          <w:color w:val="auto"/>
          <w:sz w:val="32"/>
          <w:szCs w:val="32"/>
          <w:shd w:val="clear"/>
          <w:lang w:eastAsia="zh-CN"/>
        </w:rPr>
        <w:t>。</w:t>
      </w:r>
      <w:r>
        <w:rPr>
          <w:rFonts w:hint="eastAsia" w:ascii="仿宋_GB2312" w:hAnsi="仿宋_GB2312" w:eastAsia="仿宋_GB2312" w:cs="仿宋_GB2312"/>
          <w:b/>
          <w:bCs/>
          <w:color w:val="auto"/>
          <w:sz w:val="32"/>
          <w:szCs w:val="32"/>
          <w:shd w:val="clear"/>
          <w:lang w:val="en-US" w:eastAsia="zh-CN"/>
        </w:rPr>
        <w:t>一是助力企业融资。</w:t>
      </w:r>
      <w:r>
        <w:rPr>
          <w:rFonts w:hint="eastAsia" w:ascii="仿宋_GB2312" w:hAnsi="仿宋_GB2312" w:eastAsia="仿宋_GB2312" w:cs="仿宋_GB2312"/>
          <w:color w:val="auto"/>
          <w:sz w:val="32"/>
          <w:szCs w:val="32"/>
          <w:shd w:val="clear"/>
          <w:lang w:val="en-US" w:eastAsia="zh-CN"/>
        </w:rPr>
        <w:t>落实企业贷款风险补偿资金838万元，支持24家企业获贷5220万元，为44家企业授信1.1亿元，缓解区域内中小微企业融资难问题；</w:t>
      </w:r>
      <w:r>
        <w:rPr>
          <w:rFonts w:hint="eastAsia" w:ascii="仿宋_GB2312" w:hAnsi="仿宋_GB2312" w:eastAsia="仿宋_GB2312" w:cs="仿宋_GB2312"/>
          <w:b/>
          <w:bCs/>
          <w:color w:val="auto"/>
          <w:sz w:val="32"/>
          <w:szCs w:val="32"/>
          <w:shd w:val="clear"/>
          <w:lang w:val="en-US" w:eastAsia="zh-CN"/>
        </w:rPr>
        <w:t>二是</w:t>
      </w:r>
      <w:r>
        <w:rPr>
          <w:rFonts w:hint="eastAsia" w:ascii="仿宋_GB2312" w:hAnsi="仿宋_GB2312" w:eastAsia="仿宋_GB2312" w:cs="仿宋_GB2312"/>
          <w:b/>
          <w:bCs/>
          <w:color w:val="auto"/>
          <w:sz w:val="32"/>
          <w:szCs w:val="32"/>
          <w:shd w:val="clear"/>
          <w:lang w:eastAsia="zh-CN"/>
        </w:rPr>
        <w:t>清欠企业账款</w:t>
      </w:r>
      <w:r>
        <w:rPr>
          <w:rFonts w:hint="eastAsia" w:ascii="仿宋_GB2312" w:hAnsi="仿宋_GB2312" w:eastAsia="仿宋_GB2312" w:cs="仿宋_GB2312"/>
          <w:b/>
          <w:bCs/>
          <w:color w:val="auto"/>
          <w:sz w:val="32"/>
          <w:szCs w:val="32"/>
          <w:shd w:val="clear"/>
          <w:lang w:val="en-US" w:eastAsia="zh-CN"/>
        </w:rPr>
        <w:t>。</w:t>
      </w:r>
      <w:r>
        <w:rPr>
          <w:rFonts w:hint="eastAsia" w:ascii="仿宋_GB2312" w:hAnsi="仿宋_GB2312" w:eastAsia="仿宋_GB2312" w:cs="仿宋_GB2312"/>
          <w:color w:val="auto"/>
          <w:sz w:val="32"/>
          <w:szCs w:val="32"/>
          <w:shd w:val="clear"/>
          <w:lang w:val="en-US" w:eastAsia="zh-CN"/>
        </w:rPr>
        <w:t>全年筹措资金2.01亿元用于化解拖欠企业账款，超额完成年度清欠任务，</w:t>
      </w:r>
      <w:r>
        <w:rPr>
          <w:rFonts w:hint="eastAsia" w:ascii="仿宋_GB2312" w:hAnsi="仿宋_GB2312" w:eastAsia="仿宋_GB2312" w:cs="仿宋_GB2312"/>
          <w:color w:val="auto"/>
          <w:sz w:val="32"/>
          <w:szCs w:val="32"/>
          <w:shd w:val="clear"/>
          <w:lang w:eastAsia="zh-CN"/>
        </w:rPr>
        <w:t>减轻企业资金压力</w:t>
      </w:r>
      <w:r>
        <w:rPr>
          <w:rFonts w:hint="eastAsia" w:ascii="仿宋_GB2312" w:hAnsi="仿宋_GB2312" w:eastAsia="仿宋_GB2312" w:cs="仿宋_GB2312"/>
          <w:color w:val="auto"/>
          <w:sz w:val="32"/>
          <w:szCs w:val="32"/>
          <w:shd w:val="clear"/>
          <w:lang w:val="en-US" w:eastAsia="zh-CN"/>
        </w:rPr>
        <w:t>；</w:t>
      </w:r>
      <w:r>
        <w:rPr>
          <w:rFonts w:hint="eastAsia" w:ascii="仿宋_GB2312" w:hAnsi="仿宋_GB2312" w:eastAsia="仿宋_GB2312" w:cs="仿宋_GB2312"/>
          <w:b/>
          <w:bCs/>
          <w:color w:val="auto"/>
          <w:sz w:val="32"/>
          <w:szCs w:val="32"/>
          <w:shd w:val="clear"/>
          <w:lang w:val="en-US" w:eastAsia="zh-CN"/>
        </w:rPr>
        <w:t>三是</w:t>
      </w:r>
      <w:r>
        <w:rPr>
          <w:rFonts w:hint="eastAsia" w:ascii="仿宋_GB2312" w:hAnsi="仿宋_GB2312" w:eastAsia="仿宋_GB2312" w:cs="仿宋_GB2312"/>
          <w:b/>
          <w:bCs/>
          <w:color w:val="auto"/>
          <w:sz w:val="32"/>
          <w:szCs w:val="32"/>
          <w:shd w:val="clear"/>
          <w:lang w:eastAsia="zh-CN"/>
        </w:rPr>
        <w:t>提振消费活力</w:t>
      </w:r>
      <w:r>
        <w:rPr>
          <w:rFonts w:hint="eastAsia" w:ascii="仿宋_GB2312" w:hAnsi="仿宋_GB2312" w:eastAsia="仿宋_GB2312" w:cs="仿宋_GB2312"/>
          <w:b/>
          <w:bCs/>
          <w:color w:val="auto"/>
          <w:sz w:val="32"/>
          <w:szCs w:val="32"/>
          <w:shd w:val="clear"/>
          <w:lang w:val="en-US" w:eastAsia="zh-CN"/>
        </w:rPr>
        <w:t>。</w:t>
      </w:r>
      <w:r>
        <w:rPr>
          <w:rFonts w:hint="eastAsia" w:ascii="仿宋_GB2312" w:hAnsi="仿宋_GB2312" w:eastAsia="仿宋_GB2312" w:cs="仿宋_GB2312"/>
          <w:color w:val="auto"/>
          <w:sz w:val="32"/>
          <w:szCs w:val="32"/>
          <w:shd w:val="clear"/>
          <w:lang w:val="en-US" w:eastAsia="zh-CN"/>
        </w:rPr>
        <w:t>全力支持家电、3C产品、电动自行车等消费品以旧换新工作，全年累计成交17.26万笔，发放补贴1730万元，有效激发了消费品市场活力。</w:t>
      </w:r>
    </w:p>
    <w:p w14:paraId="39ECC9AF">
      <w:pPr>
        <w:keepNext w:val="0"/>
        <w:keepLines w:val="0"/>
        <w:pageBreakBefore w:val="0"/>
        <w:shd w:val="clea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shd w:val="clear"/>
          <w:lang w:eastAsia="zh-CN"/>
        </w:rPr>
      </w:pPr>
      <w:r>
        <w:rPr>
          <w:rFonts w:hint="eastAsia" w:ascii="楷体_GB2312" w:hAnsi="楷体_GB2312" w:eastAsia="楷体_GB2312" w:cs="楷体_GB2312"/>
          <w:b/>
          <w:bCs/>
          <w:color w:val="auto"/>
          <w:sz w:val="32"/>
          <w:szCs w:val="32"/>
          <w:lang w:val="en-US" w:eastAsia="zh-CN"/>
        </w:rPr>
        <w:t>（六）财政监管不断强化</w:t>
      </w:r>
      <w:r>
        <w:rPr>
          <w:rFonts w:hint="eastAsia" w:ascii="楷体_GB2312" w:hAnsi="楷体_GB2312" w:eastAsia="楷体_GB2312" w:cs="楷体_GB2312"/>
          <w:b/>
          <w:bCs/>
          <w:color w:val="auto"/>
          <w:sz w:val="32"/>
          <w:szCs w:val="32"/>
          <w:lang w:eastAsia="zh-CN"/>
        </w:rPr>
        <w:t>，理财水平稳步提升</w:t>
      </w:r>
      <w:r>
        <w:rPr>
          <w:rFonts w:hint="eastAsia" w:ascii="楷体_GB2312" w:hAnsi="楷体_GB2312" w:eastAsia="楷体_GB2312" w:cs="楷体_GB2312"/>
          <w:b/>
          <w:bCs/>
          <w:color w:val="auto"/>
          <w:sz w:val="32"/>
          <w:szCs w:val="32"/>
          <w:lang w:val="en-US" w:eastAsia="zh-CN"/>
        </w:rPr>
        <w:t>。</w:t>
      </w:r>
      <w:r>
        <w:rPr>
          <w:rFonts w:hint="eastAsia" w:ascii="仿宋_GB2312" w:hAnsi="仿宋_GB2312" w:eastAsia="仿宋_GB2312" w:cs="仿宋_GB2312"/>
          <w:color w:val="auto"/>
          <w:sz w:val="32"/>
          <w:szCs w:val="32"/>
          <w:shd w:val="clear"/>
        </w:rPr>
        <w:t>推进财政管理精细化、标准化，规范财政运行行为。</w:t>
      </w:r>
      <w:r>
        <w:rPr>
          <w:rFonts w:hint="eastAsia" w:ascii="仿宋_GB2312" w:hAnsi="仿宋_GB2312" w:eastAsia="仿宋_GB2312" w:cs="仿宋_GB2312"/>
          <w:b/>
          <w:bCs/>
          <w:color w:val="auto"/>
          <w:sz w:val="32"/>
          <w:szCs w:val="32"/>
          <w:shd w:val="clear"/>
          <w:lang w:eastAsia="zh-CN"/>
        </w:rPr>
        <w:t>一是深化预算绩效管理。</w:t>
      </w:r>
      <w:r>
        <w:rPr>
          <w:rFonts w:hint="eastAsia" w:ascii="仿宋_GB2312" w:hAnsi="仿宋_GB2312" w:eastAsia="仿宋_GB2312" w:cs="仿宋_GB2312"/>
          <w:color w:val="auto"/>
          <w:sz w:val="32"/>
          <w:szCs w:val="32"/>
          <w:shd w:val="clear"/>
          <w:lang w:eastAsia="zh-CN"/>
        </w:rPr>
        <w:t>将绩效评价贯穿预算编制、执行、监督全过程，选取21个民生项目开展评价，涉及资金14.3亿元，提升资金使用效益；</w:t>
      </w:r>
      <w:r>
        <w:rPr>
          <w:rFonts w:hint="eastAsia" w:ascii="仿宋_GB2312" w:hAnsi="仿宋_GB2312" w:eastAsia="仿宋_GB2312" w:cs="仿宋_GB2312"/>
          <w:b/>
          <w:bCs/>
          <w:color w:val="auto"/>
          <w:sz w:val="32"/>
          <w:szCs w:val="32"/>
          <w:shd w:val="clear"/>
          <w:lang w:eastAsia="zh-CN"/>
        </w:rPr>
        <w:t>二是开展“强基固本”行动。</w:t>
      </w:r>
      <w:r>
        <w:rPr>
          <w:rFonts w:hint="eastAsia" w:ascii="仿宋_GB2312" w:hAnsi="仿宋_GB2312" w:eastAsia="仿宋_GB2312" w:cs="仿宋_GB2312"/>
          <w:color w:val="auto"/>
          <w:sz w:val="32"/>
          <w:szCs w:val="32"/>
          <w:shd w:val="clear"/>
          <w:lang w:eastAsia="zh-CN"/>
        </w:rPr>
        <w:t>四轮次核查财政账户、会计基础管理等工作，整改问题150个，撤销银行账户28个，追回违规资金11.51万元；</w:t>
      </w:r>
      <w:r>
        <w:rPr>
          <w:rFonts w:hint="eastAsia" w:ascii="仿宋_GB2312" w:hAnsi="仿宋_GB2312" w:eastAsia="仿宋_GB2312" w:cs="仿宋_GB2312"/>
          <w:b/>
          <w:bCs/>
          <w:color w:val="auto"/>
          <w:sz w:val="32"/>
          <w:szCs w:val="32"/>
          <w:shd w:val="clear"/>
          <w:lang w:eastAsia="zh-CN"/>
        </w:rPr>
        <w:t>三是整改重点项目财务问题。</w:t>
      </w:r>
      <w:r>
        <w:rPr>
          <w:rFonts w:hint="eastAsia" w:ascii="仿宋_GB2312" w:hAnsi="仿宋_GB2312" w:eastAsia="仿宋_GB2312" w:cs="仿宋_GB2312"/>
          <w:color w:val="auto"/>
          <w:sz w:val="32"/>
          <w:szCs w:val="32"/>
          <w:shd w:val="clear"/>
          <w:lang w:eastAsia="zh-CN"/>
        </w:rPr>
        <w:t>废止了</w:t>
      </w:r>
      <w:r>
        <w:rPr>
          <w:rFonts w:hint="eastAsia" w:ascii="仿宋_GB2312" w:hAnsi="仿宋_GB2312" w:eastAsia="仿宋_GB2312" w:cs="仿宋_GB2312"/>
          <w:b w:val="0"/>
          <w:bCs w:val="0"/>
          <w:color w:val="auto"/>
          <w:sz w:val="32"/>
          <w:szCs w:val="32"/>
          <w:highlight w:val="none"/>
          <w:shd w:val="clear"/>
          <w:lang w:val="en-US" w:eastAsia="zh-CN"/>
        </w:rPr>
        <w:t>《关于明确我区重点项目征地拆迁一线工作人员生活伙食补助发放标准的通知》</w:t>
      </w:r>
      <w:r>
        <w:rPr>
          <w:rFonts w:hint="eastAsia" w:ascii="仿宋_GB2312" w:hAnsi="仿宋_GB2312" w:eastAsia="仿宋_GB2312" w:cs="仿宋_GB2312"/>
          <w:color w:val="auto"/>
          <w:sz w:val="32"/>
          <w:szCs w:val="32"/>
          <w:shd w:val="clear"/>
          <w:lang w:eastAsia="zh-CN"/>
        </w:rPr>
        <w:t>文件，制定</w:t>
      </w:r>
      <w:r>
        <w:rPr>
          <w:rFonts w:hint="eastAsia" w:ascii="仿宋_GB2312" w:hAnsi="仿宋_GB2312" w:eastAsia="仿宋_GB2312" w:cs="仿宋_GB2312"/>
          <w:b w:val="0"/>
          <w:bCs w:val="0"/>
          <w:color w:val="auto"/>
          <w:sz w:val="32"/>
          <w:szCs w:val="32"/>
          <w:highlight w:val="none"/>
          <w:shd w:val="clear"/>
          <w:lang w:val="en-US" w:eastAsia="zh-CN"/>
        </w:rPr>
        <w:t>《鹤城区重点项目财务管理制度》等</w:t>
      </w:r>
      <w:r>
        <w:rPr>
          <w:rFonts w:hint="eastAsia" w:ascii="仿宋_GB2312" w:hAnsi="仿宋_GB2312" w:eastAsia="仿宋_GB2312" w:cs="仿宋_GB2312"/>
          <w:color w:val="auto"/>
          <w:sz w:val="32"/>
          <w:szCs w:val="32"/>
          <w:shd w:val="clear"/>
          <w:lang w:eastAsia="zh-CN"/>
        </w:rPr>
        <w:t>新规，清查清退重复领取津补贴及违规奖金142.05万元，规范项目资金管理；</w:t>
      </w:r>
      <w:r>
        <w:rPr>
          <w:rFonts w:hint="eastAsia" w:ascii="仿宋_GB2312" w:hAnsi="仿宋_GB2312" w:eastAsia="仿宋_GB2312" w:cs="仿宋_GB2312"/>
          <w:b/>
          <w:bCs/>
          <w:color w:val="auto"/>
          <w:sz w:val="32"/>
          <w:szCs w:val="32"/>
          <w:shd w:val="clear"/>
          <w:lang w:eastAsia="zh-CN"/>
        </w:rPr>
        <w:t>四是推进财评与信息化建设。</w:t>
      </w:r>
      <w:r>
        <w:rPr>
          <w:rFonts w:hint="eastAsia" w:ascii="仿宋_GB2312" w:hAnsi="仿宋_GB2312" w:eastAsia="仿宋_GB2312" w:cs="仿宋_GB2312"/>
          <w:color w:val="auto"/>
          <w:sz w:val="32"/>
          <w:szCs w:val="32"/>
          <w:shd w:val="clear"/>
          <w:lang w:eastAsia="zh-CN"/>
        </w:rPr>
        <w:t>完成223个项目审核，送审金额10.3亿元、核减1.31亿元，核减率12.73%，依托大数据、AI工具强化国资、社保监管，追回违规资金0.7万元。</w:t>
      </w:r>
    </w:p>
    <w:p w14:paraId="22F1223A">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rPr>
        <w:t>各位代表，过去的一年里，区财政</w:t>
      </w:r>
      <w:r>
        <w:rPr>
          <w:rFonts w:hint="eastAsia" w:ascii="仿宋_GB2312" w:hAnsi="仿宋_GB2312" w:eastAsia="仿宋_GB2312" w:cs="仿宋_GB2312"/>
          <w:color w:val="auto"/>
          <w:sz w:val="32"/>
          <w:szCs w:val="32"/>
          <w:highlight w:val="none"/>
          <w:lang w:eastAsia="zh-CN"/>
        </w:rPr>
        <w:t>局</w:t>
      </w:r>
      <w:r>
        <w:rPr>
          <w:rFonts w:hint="default" w:ascii="仿宋_GB2312" w:hAnsi="仿宋_GB2312" w:eastAsia="仿宋_GB2312" w:cs="仿宋_GB2312"/>
          <w:color w:val="auto"/>
          <w:sz w:val="32"/>
          <w:szCs w:val="32"/>
          <w:highlight w:val="none"/>
        </w:rPr>
        <w:t>认真执行区人大各项决议，统筹发展与安全，</w:t>
      </w:r>
      <w:r>
        <w:rPr>
          <w:rFonts w:hint="eastAsia" w:ascii="仿宋_GB2312" w:hAnsi="仿宋_GB2312" w:eastAsia="仿宋_GB2312" w:cs="仿宋_GB2312"/>
          <w:color w:val="auto"/>
          <w:sz w:val="32"/>
          <w:szCs w:val="32"/>
          <w:highlight w:val="none"/>
          <w:lang w:eastAsia="zh-CN"/>
        </w:rPr>
        <w:t>在财政收支矛盾异常尖锐，财政运行极度艰难的情况下，能确保财政平稳、有序</w:t>
      </w:r>
      <w:r>
        <w:rPr>
          <w:rFonts w:hint="default" w:ascii="仿宋_GB2312" w:hAnsi="仿宋_GB2312" w:eastAsia="仿宋_GB2312" w:cs="仿宋_GB2312"/>
          <w:color w:val="auto"/>
          <w:sz w:val="32"/>
          <w:szCs w:val="32"/>
          <w:highlight w:val="none"/>
        </w:rPr>
        <w:t>运行</w:t>
      </w:r>
      <w:r>
        <w:rPr>
          <w:rFonts w:hint="eastAsia" w:ascii="仿宋_GB2312" w:hAnsi="仿宋_GB2312" w:eastAsia="仿宋_GB2312" w:cs="仿宋_GB2312"/>
          <w:color w:val="auto"/>
          <w:sz w:val="32"/>
          <w:szCs w:val="32"/>
          <w:highlight w:val="none"/>
          <w:lang w:eastAsia="zh-CN"/>
        </w:rPr>
        <w:t>已实属不易、难能可贵。但是，我们也清醒认识财政运行存在问题和短板：收入结构不优、增幅放缓，刚性支出持续攀升，收支平衡难度加大；预算统筹能力有待加强，零基预算落实不够到位；化债任务艰巨，债务仍高位运行；财政管理仍有漏洞、短板等等。这些问题亟待切实加以解决。</w:t>
      </w:r>
    </w:p>
    <w:p w14:paraId="49AE8D9E">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eastAsia" w:ascii="黑体" w:hAnsi="黑体" w:eastAsia="黑体" w:cs="黑体"/>
          <w:color w:val="auto"/>
          <w:sz w:val="32"/>
          <w:szCs w:val="32"/>
        </w:rPr>
      </w:pPr>
      <w:r>
        <w:rPr>
          <w:rStyle w:val="11"/>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2026</w:t>
      </w:r>
      <w:r>
        <w:rPr>
          <w:rStyle w:val="11"/>
          <w:rFonts w:hint="eastAsia" w:ascii="黑体" w:hAnsi="黑体" w:eastAsia="黑体" w:cs="黑体"/>
          <w:color w:val="auto"/>
          <w:sz w:val="32"/>
          <w:szCs w:val="32"/>
        </w:rPr>
        <w:t>年预算草案</w:t>
      </w:r>
    </w:p>
    <w:p w14:paraId="067C34D3">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eastAsia" w:ascii="黑体" w:hAnsi="黑体" w:eastAsia="黑体" w:cs="黑体"/>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2026年我区财政工作的指导思想为：</w:t>
      </w:r>
      <w:r>
        <w:rPr>
          <w:rStyle w:val="11"/>
          <w:rFonts w:hint="eastAsia" w:ascii="黑体" w:hAnsi="黑体" w:eastAsia="黑体" w:cs="黑体"/>
          <w:color w:val="auto"/>
          <w:sz w:val="32"/>
          <w:szCs w:val="32"/>
          <w:highlight w:val="none"/>
        </w:rPr>
        <w:t>以习近平新时代中国特色社会主义思想为指导，全面贯彻党的二十大和二十届历次全会精神，锚定“十五五”规划中期推进关键目标</w:t>
      </w:r>
      <w:r>
        <w:rPr>
          <w:rStyle w:val="11"/>
          <w:rFonts w:hint="eastAsia" w:ascii="黑体" w:hAnsi="黑体" w:eastAsia="黑体" w:cs="黑体"/>
          <w:color w:val="auto"/>
          <w:sz w:val="32"/>
          <w:szCs w:val="32"/>
          <w:highlight w:val="none"/>
          <w:lang w:eastAsia="zh-CN"/>
        </w:rPr>
        <w:t>，</w:t>
      </w:r>
      <w:r>
        <w:rPr>
          <w:rFonts w:hint="eastAsia" w:ascii="黑体" w:hAnsi="黑体" w:eastAsia="黑体" w:cs="黑体"/>
          <w:i w:val="0"/>
          <w:iCs w:val="0"/>
          <w:caps w:val="0"/>
          <w:color w:val="auto"/>
          <w:spacing w:val="7"/>
          <w:sz w:val="32"/>
          <w:szCs w:val="32"/>
          <w:highlight w:val="none"/>
          <w:shd w:val="clear" w:fill="FFFFFF"/>
        </w:rPr>
        <w:t>完整准确全面贯彻新发展理念，加快构建新发展格局，坚持稳中求进工作总基调，坚持以经济建设为中心，以推动高质量发展为主题，以改革创新为根本动力，以满足人民日益增长的美好生活需要为根本目的，推动经济实现质的有效提升和量的合理增长，</w:t>
      </w:r>
      <w:r>
        <w:rPr>
          <w:rStyle w:val="11"/>
          <w:rFonts w:hint="eastAsia" w:ascii="黑体" w:hAnsi="黑体" w:eastAsia="黑体" w:cs="黑体"/>
          <w:color w:val="auto"/>
          <w:sz w:val="32"/>
          <w:szCs w:val="32"/>
          <w:highlight w:val="none"/>
          <w:lang w:eastAsia="zh-CN"/>
        </w:rPr>
        <w:t>加强</w:t>
      </w:r>
      <w:r>
        <w:rPr>
          <w:rStyle w:val="11"/>
          <w:rFonts w:hint="eastAsia" w:ascii="黑体" w:hAnsi="黑体" w:eastAsia="黑体" w:cs="黑体"/>
          <w:color w:val="auto"/>
          <w:sz w:val="32"/>
          <w:szCs w:val="32"/>
          <w:highlight w:val="none"/>
        </w:rPr>
        <w:t>收入预期管理，</w:t>
      </w:r>
      <w:r>
        <w:rPr>
          <w:rStyle w:val="11"/>
          <w:rFonts w:hint="eastAsia" w:ascii="黑体" w:hAnsi="黑体" w:eastAsia="黑体" w:cs="黑体"/>
          <w:color w:val="auto"/>
          <w:sz w:val="32"/>
          <w:szCs w:val="32"/>
          <w:highlight w:val="none"/>
          <w:lang w:eastAsia="zh-CN"/>
        </w:rPr>
        <w:t>优化支出结构，强化“三资”盘活，</w:t>
      </w:r>
      <w:r>
        <w:rPr>
          <w:rStyle w:val="11"/>
          <w:rFonts w:hint="eastAsia" w:ascii="黑体" w:hAnsi="黑体" w:eastAsia="黑体" w:cs="黑体"/>
          <w:color w:val="auto"/>
          <w:sz w:val="32"/>
          <w:szCs w:val="32"/>
          <w:highlight w:val="none"/>
        </w:rPr>
        <w:t>深化零基预算改革，兜牢“三保”底线</w:t>
      </w:r>
      <w:r>
        <w:rPr>
          <w:rStyle w:val="11"/>
          <w:rFonts w:hint="eastAsia" w:ascii="黑体" w:hAnsi="黑体" w:eastAsia="黑体" w:cs="黑体"/>
          <w:color w:val="auto"/>
          <w:sz w:val="32"/>
          <w:szCs w:val="32"/>
          <w:highlight w:val="none"/>
          <w:lang w:eastAsia="zh-CN"/>
        </w:rPr>
        <w:t>，</w:t>
      </w:r>
      <w:r>
        <w:rPr>
          <w:rStyle w:val="11"/>
          <w:rFonts w:hint="eastAsia" w:ascii="黑体" w:hAnsi="黑体" w:eastAsia="黑体" w:cs="黑体"/>
          <w:color w:val="auto"/>
          <w:sz w:val="32"/>
          <w:szCs w:val="32"/>
          <w:highlight w:val="none"/>
        </w:rPr>
        <w:t>防范</w:t>
      </w:r>
      <w:r>
        <w:rPr>
          <w:rStyle w:val="11"/>
          <w:rFonts w:hint="eastAsia" w:ascii="黑体" w:hAnsi="黑体" w:eastAsia="黑体" w:cs="黑体"/>
          <w:color w:val="auto"/>
          <w:sz w:val="32"/>
          <w:szCs w:val="32"/>
          <w:highlight w:val="none"/>
          <w:lang w:eastAsia="zh-CN"/>
        </w:rPr>
        <w:t>债务</w:t>
      </w:r>
      <w:r>
        <w:rPr>
          <w:rStyle w:val="11"/>
          <w:rFonts w:hint="eastAsia" w:ascii="黑体" w:hAnsi="黑体" w:eastAsia="黑体" w:cs="黑体"/>
          <w:color w:val="auto"/>
          <w:sz w:val="32"/>
          <w:szCs w:val="32"/>
          <w:highlight w:val="none"/>
        </w:rPr>
        <w:t>风险</w:t>
      </w:r>
      <w:r>
        <w:rPr>
          <w:rStyle w:val="11"/>
          <w:rFonts w:hint="eastAsia" w:ascii="黑体" w:hAnsi="黑体" w:eastAsia="黑体" w:cs="黑体"/>
          <w:color w:val="auto"/>
          <w:sz w:val="32"/>
          <w:szCs w:val="32"/>
          <w:highlight w:val="none"/>
          <w:lang w:eastAsia="zh-CN"/>
        </w:rPr>
        <w:t>，</w:t>
      </w:r>
      <w:r>
        <w:rPr>
          <w:rStyle w:val="11"/>
          <w:rFonts w:hint="eastAsia" w:ascii="黑体" w:hAnsi="黑体" w:eastAsia="黑体" w:cs="黑体"/>
          <w:color w:val="auto"/>
          <w:sz w:val="32"/>
          <w:szCs w:val="32"/>
          <w:highlight w:val="none"/>
        </w:rPr>
        <w:t>奋力当好推进“五新四城”战略的主力军与排头兵，为</w:t>
      </w:r>
      <w:r>
        <w:rPr>
          <w:rStyle w:val="11"/>
          <w:rFonts w:hint="eastAsia" w:ascii="黑体" w:hAnsi="黑体" w:eastAsia="黑体" w:cs="黑体"/>
          <w:color w:val="auto"/>
          <w:sz w:val="32"/>
          <w:szCs w:val="32"/>
          <w:highlight w:val="none"/>
          <w:lang w:eastAsia="zh-CN"/>
        </w:rPr>
        <w:t>“十五五”规划起好步、开好局，为</w:t>
      </w:r>
      <w:r>
        <w:rPr>
          <w:rStyle w:val="11"/>
          <w:rFonts w:hint="eastAsia" w:ascii="黑体" w:hAnsi="黑体" w:eastAsia="黑体" w:cs="黑体"/>
          <w:color w:val="auto"/>
          <w:sz w:val="32"/>
          <w:szCs w:val="32"/>
          <w:highlight w:val="none"/>
        </w:rPr>
        <w:t>全面建设社会主义现代化新鹤城提供坚实财力支撑与高质量财政保障。</w:t>
      </w:r>
    </w:p>
    <w:p w14:paraId="768E38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根据上述指导思想和要求，结合我区的实际，</w:t>
      </w:r>
      <w:r>
        <w:rPr>
          <w:rFonts w:hint="eastAsia" w:ascii="仿宋_GB2312" w:hAnsi="仿宋_GB2312" w:eastAsia="仿宋_GB2312" w:cs="仿宋_GB2312"/>
          <w:color w:val="auto"/>
          <w:sz w:val="32"/>
          <w:szCs w:val="32"/>
          <w:lang w:eastAsia="zh-CN"/>
        </w:rPr>
        <w:t>2026</w:t>
      </w:r>
      <w:r>
        <w:rPr>
          <w:rFonts w:hint="default" w:ascii="仿宋_GB2312" w:hAnsi="仿宋_GB2312" w:eastAsia="仿宋_GB2312" w:cs="仿宋_GB2312"/>
          <w:color w:val="auto"/>
          <w:sz w:val="32"/>
          <w:szCs w:val="32"/>
        </w:rPr>
        <w:t>年我们提出如下预算草案：</w:t>
      </w:r>
    </w:p>
    <w:p w14:paraId="4D6D944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（一）一般公共预算收支情况</w:t>
      </w:r>
      <w:bookmarkStart w:id="0" w:name="_GoBack"/>
      <w:bookmarkEnd w:id="0"/>
    </w:p>
    <w:p w14:paraId="6E9EAA0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仿宋_GB2312" w:hAnsi="仿宋_GB2312" w:eastAsia="仿宋_GB2312" w:cs="仿宋_GB2312"/>
          <w:color w:val="auto"/>
          <w:sz w:val="32"/>
          <w:szCs w:val="32"/>
        </w:rPr>
        <w:t>全区地方一般公共预算收入</w:t>
      </w:r>
      <w:r>
        <w:rPr>
          <w:rFonts w:hint="eastAsia" w:ascii="仿宋_GB2312" w:hAnsi="仿宋_GB2312" w:eastAsia="仿宋_GB2312" w:cs="仿宋_GB2312"/>
          <w:color w:val="auto"/>
          <w:sz w:val="32"/>
          <w:szCs w:val="32"/>
          <w:lang w:val="en-US" w:eastAsia="zh-CN"/>
        </w:rPr>
        <w:t>9.46</w:t>
      </w:r>
      <w:r>
        <w:rPr>
          <w:rFonts w:hint="default" w:ascii="仿宋_GB2312" w:hAnsi="仿宋_GB2312" w:eastAsia="仿宋_GB2312" w:cs="仿宋_GB2312"/>
          <w:color w:val="auto"/>
          <w:sz w:val="32"/>
          <w:szCs w:val="32"/>
        </w:rPr>
        <w:t>亿元，增长</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rPr>
        <w:t>%；加上上级补助收入</w:t>
      </w:r>
      <w:r>
        <w:rPr>
          <w:rFonts w:hint="eastAsia" w:ascii="仿宋_GB2312" w:hAnsi="仿宋_GB2312" w:eastAsia="仿宋_GB2312" w:cs="仿宋_GB2312"/>
          <w:color w:val="auto"/>
          <w:sz w:val="32"/>
          <w:szCs w:val="32"/>
          <w:lang w:val="en-US" w:eastAsia="zh-CN"/>
        </w:rPr>
        <w:t>18.27</w:t>
      </w:r>
      <w:r>
        <w:rPr>
          <w:rFonts w:hint="default" w:ascii="仿宋_GB2312" w:hAnsi="仿宋_GB2312" w:eastAsia="仿宋_GB2312" w:cs="仿宋_GB2312"/>
          <w:color w:val="auto"/>
          <w:sz w:val="32"/>
          <w:szCs w:val="32"/>
        </w:rPr>
        <w:t>亿元，调入资金</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rPr>
        <w:t>亿元，收入合计</w:t>
      </w:r>
      <w:r>
        <w:rPr>
          <w:rFonts w:hint="eastAsia" w:ascii="仿宋_GB2312" w:hAnsi="仿宋_GB2312" w:eastAsia="仿宋_GB2312" w:cs="仿宋_GB2312"/>
          <w:color w:val="auto"/>
          <w:sz w:val="32"/>
          <w:szCs w:val="32"/>
          <w:lang w:val="en-US" w:eastAsia="zh-CN"/>
        </w:rPr>
        <w:t>28.73</w:t>
      </w:r>
      <w:r>
        <w:rPr>
          <w:rFonts w:hint="default" w:ascii="仿宋_GB2312" w:hAnsi="仿宋_GB2312" w:eastAsia="仿宋_GB2312" w:cs="仿宋_GB2312"/>
          <w:color w:val="auto"/>
          <w:sz w:val="32"/>
          <w:szCs w:val="32"/>
        </w:rPr>
        <w:t>亿元。全区一般公共预算支出</w:t>
      </w:r>
      <w:r>
        <w:rPr>
          <w:rFonts w:hint="eastAsia" w:ascii="仿宋_GB2312" w:hAnsi="仿宋_GB2312" w:eastAsia="仿宋_GB2312" w:cs="仿宋_GB2312"/>
          <w:color w:val="auto"/>
          <w:sz w:val="32"/>
          <w:szCs w:val="32"/>
          <w:lang w:val="en-US" w:eastAsia="zh-CN"/>
        </w:rPr>
        <w:t>27.71</w:t>
      </w:r>
      <w:r>
        <w:rPr>
          <w:rFonts w:hint="default" w:ascii="仿宋_GB2312" w:hAnsi="仿宋_GB2312" w:eastAsia="仿宋_GB2312" w:cs="仿宋_GB2312"/>
          <w:color w:val="auto"/>
          <w:sz w:val="32"/>
          <w:szCs w:val="32"/>
        </w:rPr>
        <w:t>亿元，加上上解上级支出0.8亿元，</w:t>
      </w:r>
      <w:r>
        <w:rPr>
          <w:rFonts w:hint="eastAsia" w:ascii="仿宋_GB2312" w:hAnsi="仿宋_GB2312" w:eastAsia="仿宋_GB2312" w:cs="仿宋_GB2312"/>
          <w:color w:val="auto"/>
          <w:sz w:val="32"/>
          <w:szCs w:val="32"/>
          <w:lang w:eastAsia="zh-CN"/>
        </w:rPr>
        <w:t>债务还本支出</w:t>
      </w:r>
      <w:r>
        <w:rPr>
          <w:rFonts w:hint="eastAsia" w:ascii="仿宋_GB2312" w:hAnsi="仿宋_GB2312" w:eastAsia="仿宋_GB2312" w:cs="仿宋_GB2312"/>
          <w:color w:val="auto"/>
          <w:sz w:val="32"/>
          <w:szCs w:val="32"/>
          <w:lang w:val="en-US" w:eastAsia="zh-CN"/>
        </w:rPr>
        <w:t>0.22亿元</w:t>
      </w:r>
      <w:r>
        <w:rPr>
          <w:rFonts w:hint="default" w:ascii="仿宋_GB2312" w:hAnsi="仿宋_GB2312" w:eastAsia="仿宋_GB2312" w:cs="仿宋_GB2312"/>
          <w:color w:val="auto"/>
          <w:sz w:val="32"/>
          <w:szCs w:val="32"/>
        </w:rPr>
        <w:t>，支出合计</w:t>
      </w:r>
      <w:r>
        <w:rPr>
          <w:rFonts w:hint="eastAsia" w:ascii="仿宋_GB2312" w:hAnsi="仿宋_GB2312" w:eastAsia="仿宋_GB2312" w:cs="仿宋_GB2312"/>
          <w:color w:val="auto"/>
          <w:sz w:val="32"/>
          <w:szCs w:val="32"/>
          <w:lang w:val="en-US" w:eastAsia="zh-CN"/>
        </w:rPr>
        <w:t>28.73</w:t>
      </w:r>
      <w:r>
        <w:rPr>
          <w:rFonts w:hint="default" w:ascii="仿宋_GB2312" w:hAnsi="仿宋_GB2312" w:eastAsia="仿宋_GB2312" w:cs="仿宋_GB2312"/>
          <w:color w:val="auto"/>
          <w:sz w:val="32"/>
          <w:szCs w:val="32"/>
        </w:rPr>
        <w:t>亿元，当年收支平衡。</w:t>
      </w:r>
    </w:p>
    <w:p w14:paraId="1F80AB9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（二）政府性基金预算收支情况</w:t>
      </w:r>
    </w:p>
    <w:p w14:paraId="7C02F4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全区地方政府性基金预算收入</w:t>
      </w:r>
      <w:r>
        <w:rPr>
          <w:rFonts w:hint="eastAsia" w:ascii="仿宋_GB2312" w:hAnsi="仿宋_GB2312" w:eastAsia="仿宋_GB2312" w:cs="仿宋_GB2312"/>
          <w:color w:val="auto"/>
          <w:sz w:val="32"/>
          <w:szCs w:val="32"/>
          <w:highlight w:val="none"/>
          <w:lang w:val="en-US" w:eastAsia="zh-CN"/>
        </w:rPr>
        <w:t>3.37</w:t>
      </w:r>
      <w:r>
        <w:rPr>
          <w:rFonts w:hint="default" w:ascii="仿宋_GB2312" w:hAnsi="仿宋_GB2312" w:eastAsia="仿宋_GB2312" w:cs="仿宋_GB2312"/>
          <w:color w:val="auto"/>
          <w:sz w:val="32"/>
          <w:szCs w:val="32"/>
          <w:highlight w:val="none"/>
        </w:rPr>
        <w:t>亿元，</w:t>
      </w:r>
      <w:r>
        <w:rPr>
          <w:rFonts w:hint="default" w:ascii="仿宋_GB2312" w:hAnsi="仿宋_GB2312" w:eastAsia="仿宋_GB2312" w:cs="仿宋_GB2312"/>
          <w:color w:val="auto"/>
          <w:sz w:val="32"/>
          <w:szCs w:val="32"/>
        </w:rPr>
        <w:t>加上上级补助收入</w:t>
      </w:r>
      <w:r>
        <w:rPr>
          <w:rFonts w:hint="eastAsia" w:ascii="仿宋_GB2312" w:hAnsi="仿宋_GB2312" w:eastAsia="仿宋_GB2312" w:cs="仿宋_GB2312"/>
          <w:color w:val="auto"/>
          <w:sz w:val="32"/>
          <w:szCs w:val="32"/>
          <w:lang w:val="en-US" w:eastAsia="zh-CN"/>
        </w:rPr>
        <w:t>0.11</w:t>
      </w:r>
      <w:r>
        <w:rPr>
          <w:rFonts w:hint="default" w:ascii="仿宋_GB2312" w:hAnsi="仿宋_GB2312" w:eastAsia="仿宋_GB2312" w:cs="仿宋_GB2312"/>
          <w:color w:val="auto"/>
          <w:sz w:val="32"/>
          <w:szCs w:val="32"/>
        </w:rPr>
        <w:t>亿元，上年结转</w:t>
      </w:r>
      <w:r>
        <w:rPr>
          <w:rFonts w:hint="eastAsia" w:ascii="仿宋_GB2312" w:hAnsi="仿宋_GB2312" w:eastAsia="仿宋_GB2312" w:cs="仿宋_GB2312"/>
          <w:color w:val="auto"/>
          <w:sz w:val="32"/>
          <w:szCs w:val="32"/>
          <w:lang w:eastAsia="zh-CN"/>
        </w:rPr>
        <w:t>收入</w:t>
      </w:r>
      <w:r>
        <w:rPr>
          <w:rFonts w:hint="eastAsia" w:ascii="仿宋_GB2312" w:hAnsi="仿宋_GB2312" w:eastAsia="仿宋_GB2312" w:cs="仿宋_GB2312"/>
          <w:color w:val="auto"/>
          <w:sz w:val="32"/>
          <w:szCs w:val="32"/>
          <w:lang w:val="en-US" w:eastAsia="zh-CN"/>
        </w:rPr>
        <w:t>4.21</w:t>
      </w:r>
      <w:r>
        <w:rPr>
          <w:rFonts w:hint="default" w:ascii="仿宋_GB2312" w:hAnsi="仿宋_GB2312" w:eastAsia="仿宋_GB2312" w:cs="仿宋_GB2312"/>
          <w:color w:val="auto"/>
          <w:sz w:val="32"/>
          <w:szCs w:val="32"/>
        </w:rPr>
        <w:t>亿元，调入资金</w:t>
      </w:r>
      <w:r>
        <w:rPr>
          <w:rFonts w:hint="eastAsia" w:ascii="仿宋_GB2312" w:hAnsi="仿宋_GB2312" w:eastAsia="仿宋_GB2312" w:cs="仿宋_GB2312"/>
          <w:color w:val="auto"/>
          <w:sz w:val="32"/>
          <w:szCs w:val="32"/>
          <w:lang w:val="en-US" w:eastAsia="zh-CN"/>
        </w:rPr>
        <w:t>1.6</w:t>
      </w:r>
      <w:r>
        <w:rPr>
          <w:rFonts w:hint="default" w:ascii="仿宋_GB2312" w:hAnsi="仿宋_GB2312" w:eastAsia="仿宋_GB2312" w:cs="仿宋_GB2312"/>
          <w:color w:val="auto"/>
          <w:sz w:val="32"/>
          <w:szCs w:val="32"/>
        </w:rPr>
        <w:t>亿元，收入</w:t>
      </w:r>
      <w:r>
        <w:rPr>
          <w:rFonts w:hint="eastAsia" w:ascii="仿宋_GB2312" w:hAnsi="仿宋_GB2312" w:eastAsia="仿宋_GB2312" w:cs="仿宋_GB2312"/>
          <w:color w:val="auto"/>
          <w:sz w:val="32"/>
          <w:szCs w:val="32"/>
          <w:lang w:eastAsia="zh-CN"/>
        </w:rPr>
        <w:t>合计</w:t>
      </w:r>
      <w:r>
        <w:rPr>
          <w:rFonts w:hint="eastAsia" w:ascii="仿宋_GB2312" w:hAnsi="仿宋_GB2312" w:eastAsia="仿宋_GB2312" w:cs="仿宋_GB2312"/>
          <w:color w:val="auto"/>
          <w:sz w:val="32"/>
          <w:szCs w:val="32"/>
          <w:lang w:val="en-US" w:eastAsia="zh-CN"/>
        </w:rPr>
        <w:t>9.29</w:t>
      </w:r>
      <w:r>
        <w:rPr>
          <w:rFonts w:hint="default" w:ascii="仿宋_GB2312" w:hAnsi="仿宋_GB2312" w:eastAsia="仿宋_GB2312" w:cs="仿宋_GB2312"/>
          <w:color w:val="auto"/>
          <w:sz w:val="32"/>
          <w:szCs w:val="32"/>
        </w:rPr>
        <w:t>亿元。全区政府性基金预算支出</w:t>
      </w:r>
      <w:r>
        <w:rPr>
          <w:rFonts w:hint="eastAsia" w:ascii="仿宋_GB2312" w:hAnsi="仿宋_GB2312" w:eastAsia="仿宋_GB2312" w:cs="仿宋_GB2312"/>
          <w:color w:val="auto"/>
          <w:sz w:val="32"/>
          <w:szCs w:val="32"/>
          <w:lang w:val="en-US" w:eastAsia="zh-CN"/>
        </w:rPr>
        <w:t>6.9</w:t>
      </w:r>
      <w:r>
        <w:rPr>
          <w:rFonts w:hint="default" w:ascii="仿宋_GB2312" w:hAnsi="仿宋_GB2312" w:eastAsia="仿宋_GB2312" w:cs="仿宋_GB2312"/>
          <w:color w:val="auto"/>
          <w:sz w:val="32"/>
          <w:szCs w:val="32"/>
        </w:rPr>
        <w:t>亿元，加上专项债务还本支出</w:t>
      </w:r>
      <w:r>
        <w:rPr>
          <w:rFonts w:hint="eastAsia" w:ascii="仿宋_GB2312" w:hAnsi="仿宋_GB2312" w:eastAsia="仿宋_GB2312" w:cs="仿宋_GB2312"/>
          <w:color w:val="auto"/>
          <w:sz w:val="32"/>
          <w:szCs w:val="32"/>
          <w:lang w:val="en-US" w:eastAsia="zh-CN"/>
        </w:rPr>
        <w:t>2.29</w:t>
      </w:r>
      <w:r>
        <w:rPr>
          <w:rFonts w:hint="default" w:ascii="仿宋_GB2312" w:hAnsi="仿宋_GB2312" w:eastAsia="仿宋_GB2312" w:cs="仿宋_GB2312"/>
          <w:color w:val="auto"/>
          <w:sz w:val="32"/>
          <w:szCs w:val="32"/>
        </w:rPr>
        <w:t>亿元，调出资金</w:t>
      </w:r>
      <w:r>
        <w:rPr>
          <w:rFonts w:hint="eastAsia" w:ascii="仿宋_GB2312" w:hAnsi="仿宋_GB2312" w:eastAsia="仿宋_GB2312" w:cs="仿宋_GB2312"/>
          <w:color w:val="auto"/>
          <w:sz w:val="32"/>
          <w:szCs w:val="32"/>
          <w:lang w:val="en-US" w:eastAsia="zh-CN"/>
        </w:rPr>
        <w:t>0.1</w:t>
      </w:r>
      <w:r>
        <w:rPr>
          <w:rFonts w:hint="default" w:ascii="仿宋_GB2312" w:hAnsi="仿宋_GB2312" w:eastAsia="仿宋_GB2312" w:cs="仿宋_GB2312"/>
          <w:color w:val="auto"/>
          <w:sz w:val="32"/>
          <w:szCs w:val="32"/>
        </w:rPr>
        <w:t>亿元，支出合计</w:t>
      </w:r>
      <w:r>
        <w:rPr>
          <w:rFonts w:hint="eastAsia" w:ascii="仿宋_GB2312" w:hAnsi="仿宋_GB2312" w:eastAsia="仿宋_GB2312" w:cs="仿宋_GB2312"/>
          <w:color w:val="auto"/>
          <w:sz w:val="32"/>
          <w:szCs w:val="32"/>
          <w:lang w:val="en-US" w:eastAsia="zh-CN"/>
        </w:rPr>
        <w:t>9.29</w:t>
      </w:r>
      <w:r>
        <w:rPr>
          <w:rFonts w:hint="default" w:ascii="仿宋_GB2312" w:hAnsi="仿宋_GB2312" w:eastAsia="仿宋_GB2312" w:cs="仿宋_GB2312"/>
          <w:color w:val="auto"/>
          <w:sz w:val="32"/>
          <w:szCs w:val="32"/>
        </w:rPr>
        <w:t>亿元，当年收支平衡。</w:t>
      </w:r>
    </w:p>
    <w:p w14:paraId="754E866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（三）国有资本经营预算收支情况</w:t>
      </w:r>
    </w:p>
    <w:p w14:paraId="13995B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全区地方国有资本经营预算收入</w:t>
      </w:r>
      <w:r>
        <w:rPr>
          <w:rFonts w:hint="eastAsia" w:ascii="仿宋_GB2312" w:hAnsi="仿宋_GB2312" w:eastAsia="仿宋_GB2312" w:cs="仿宋_GB2312"/>
          <w:color w:val="auto"/>
          <w:sz w:val="32"/>
          <w:szCs w:val="32"/>
          <w:lang w:val="en-US" w:eastAsia="zh-CN"/>
        </w:rPr>
        <w:t>0.21</w:t>
      </w:r>
      <w:r>
        <w:rPr>
          <w:rFonts w:hint="default" w:ascii="仿宋_GB2312" w:hAnsi="仿宋_GB2312" w:eastAsia="仿宋_GB2312" w:cs="仿宋_GB2312"/>
          <w:color w:val="auto"/>
          <w:sz w:val="32"/>
          <w:szCs w:val="32"/>
        </w:rPr>
        <w:t>亿元，加上上级补助收入0.03亿元，上年结转</w:t>
      </w:r>
      <w:r>
        <w:rPr>
          <w:rFonts w:hint="eastAsia" w:ascii="仿宋_GB2312" w:hAnsi="仿宋_GB2312" w:eastAsia="仿宋_GB2312" w:cs="仿宋_GB2312"/>
          <w:color w:val="auto"/>
          <w:sz w:val="32"/>
          <w:szCs w:val="32"/>
          <w:lang w:eastAsia="zh-CN"/>
        </w:rPr>
        <w:t>收入</w:t>
      </w:r>
      <w:r>
        <w:rPr>
          <w:rFonts w:hint="eastAsia" w:ascii="仿宋_GB2312" w:hAnsi="仿宋_GB2312" w:eastAsia="仿宋_GB2312" w:cs="仿宋_GB2312"/>
          <w:color w:val="auto"/>
          <w:sz w:val="32"/>
          <w:szCs w:val="32"/>
          <w:lang w:val="en-US" w:eastAsia="zh-CN"/>
        </w:rPr>
        <w:t>0.1</w:t>
      </w:r>
      <w:r>
        <w:rPr>
          <w:rFonts w:hint="default" w:ascii="仿宋_GB2312" w:hAnsi="仿宋_GB2312" w:eastAsia="仿宋_GB2312" w:cs="仿宋_GB2312"/>
          <w:color w:val="auto"/>
          <w:sz w:val="32"/>
          <w:szCs w:val="32"/>
        </w:rPr>
        <w:t>亿元，收入合计0.</w:t>
      </w:r>
      <w:r>
        <w:rPr>
          <w:rFonts w:hint="eastAsia" w:ascii="仿宋_GB2312" w:hAnsi="仿宋_GB2312" w:eastAsia="仿宋_GB2312" w:cs="仿宋_GB2312"/>
          <w:color w:val="auto"/>
          <w:sz w:val="32"/>
          <w:szCs w:val="32"/>
          <w:lang w:val="en-US" w:eastAsia="zh-CN"/>
        </w:rPr>
        <w:t>34</w:t>
      </w:r>
      <w:r>
        <w:rPr>
          <w:rFonts w:hint="default" w:ascii="仿宋_GB2312" w:hAnsi="仿宋_GB2312" w:eastAsia="仿宋_GB2312" w:cs="仿宋_GB2312"/>
          <w:color w:val="auto"/>
          <w:sz w:val="32"/>
          <w:szCs w:val="32"/>
        </w:rPr>
        <w:t>亿元。全区国有资本经营预算支出0.18亿元，加上调出资金0.1</w:t>
      </w: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rPr>
        <w:t>亿元，支出合计0.3</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rPr>
        <w:t>亿元，当年收支平衡。</w:t>
      </w:r>
    </w:p>
    <w:p w14:paraId="122F2DF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（四）社会保险基金预算收支情况</w:t>
      </w:r>
    </w:p>
    <w:p w14:paraId="51564B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全区</w:t>
      </w:r>
      <w:r>
        <w:rPr>
          <w:rFonts w:hint="default" w:ascii="仿宋_GB2312" w:hAnsi="仿宋_GB2312" w:eastAsia="仿宋_GB2312" w:cs="仿宋_GB2312"/>
          <w:color w:val="auto"/>
          <w:sz w:val="32"/>
          <w:szCs w:val="32"/>
        </w:rPr>
        <w:t>社会保险基金预算收入合计</w:t>
      </w:r>
      <w:r>
        <w:rPr>
          <w:rFonts w:hint="eastAsia" w:ascii="仿宋_GB2312" w:hAnsi="仿宋_GB2312" w:eastAsia="仿宋_GB2312" w:cs="仿宋_GB2312"/>
          <w:color w:val="auto"/>
          <w:sz w:val="32"/>
          <w:szCs w:val="32"/>
          <w:lang w:val="en-US" w:eastAsia="zh-CN"/>
        </w:rPr>
        <w:t>4.72</w:t>
      </w:r>
      <w:r>
        <w:rPr>
          <w:rFonts w:hint="default" w:ascii="仿宋_GB2312" w:hAnsi="仿宋_GB2312" w:eastAsia="仿宋_GB2312" w:cs="仿宋_GB2312"/>
          <w:color w:val="auto"/>
          <w:sz w:val="32"/>
          <w:szCs w:val="32"/>
        </w:rPr>
        <w:t>亿元，其中：城乡居民基本养老保险基金收入</w:t>
      </w:r>
      <w:r>
        <w:rPr>
          <w:rFonts w:hint="eastAsia" w:ascii="仿宋_GB2312" w:hAnsi="仿宋_GB2312" w:eastAsia="仿宋_GB2312" w:cs="仿宋_GB2312"/>
          <w:color w:val="auto"/>
          <w:sz w:val="32"/>
          <w:szCs w:val="32"/>
          <w:lang w:val="en-US" w:eastAsia="zh-CN"/>
        </w:rPr>
        <w:t>1.28</w:t>
      </w:r>
      <w:r>
        <w:rPr>
          <w:rFonts w:hint="default" w:ascii="仿宋_GB2312" w:hAnsi="仿宋_GB2312" w:eastAsia="仿宋_GB2312" w:cs="仿宋_GB2312"/>
          <w:color w:val="auto"/>
          <w:sz w:val="32"/>
          <w:szCs w:val="32"/>
        </w:rPr>
        <w:t>亿元，机关事业单位养老保险基金收入3.4</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rPr>
        <w:t>亿元。社会保险基金预算支出合计</w:t>
      </w:r>
      <w:r>
        <w:rPr>
          <w:rFonts w:hint="eastAsia" w:ascii="仿宋_GB2312" w:hAnsi="仿宋_GB2312" w:eastAsia="仿宋_GB2312" w:cs="仿宋_GB2312"/>
          <w:color w:val="auto"/>
          <w:sz w:val="32"/>
          <w:szCs w:val="32"/>
          <w:lang w:val="en-US" w:eastAsia="zh-CN"/>
        </w:rPr>
        <w:t>4.23</w:t>
      </w:r>
      <w:r>
        <w:rPr>
          <w:rFonts w:hint="default" w:ascii="仿宋_GB2312" w:hAnsi="仿宋_GB2312" w:eastAsia="仿宋_GB2312" w:cs="仿宋_GB2312"/>
          <w:color w:val="auto"/>
          <w:sz w:val="32"/>
          <w:szCs w:val="32"/>
        </w:rPr>
        <w:t>亿元，其中：城乡居民基本养老保险基金支出</w:t>
      </w:r>
      <w:r>
        <w:rPr>
          <w:rFonts w:hint="eastAsia" w:ascii="仿宋_GB2312" w:hAnsi="仿宋_GB2312" w:eastAsia="仿宋_GB2312" w:cs="仿宋_GB2312"/>
          <w:color w:val="auto"/>
          <w:sz w:val="32"/>
          <w:szCs w:val="32"/>
          <w:lang w:val="en-US" w:eastAsia="zh-CN"/>
        </w:rPr>
        <w:t>0.79</w:t>
      </w:r>
      <w:r>
        <w:rPr>
          <w:rFonts w:hint="default" w:ascii="仿宋_GB2312" w:hAnsi="仿宋_GB2312" w:eastAsia="仿宋_GB2312" w:cs="仿宋_GB2312"/>
          <w:color w:val="auto"/>
          <w:sz w:val="32"/>
          <w:szCs w:val="32"/>
        </w:rPr>
        <w:t>亿元，机关事业单位养老保险基金</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lang w:val="en-US" w:eastAsia="zh-CN"/>
        </w:rPr>
        <w:t>3.44</w:t>
      </w:r>
      <w:r>
        <w:rPr>
          <w:rFonts w:hint="default" w:ascii="仿宋_GB2312" w:hAnsi="仿宋_GB2312" w:eastAsia="仿宋_GB2312" w:cs="仿宋_GB2312"/>
          <w:color w:val="auto"/>
          <w:sz w:val="32"/>
          <w:szCs w:val="32"/>
        </w:rPr>
        <w:t>亿元。社会保险基金预算当年</w:t>
      </w:r>
      <w:r>
        <w:rPr>
          <w:rFonts w:hint="default" w:ascii="仿宋_GB2312" w:hAnsi="仿宋_GB2312" w:eastAsia="仿宋_GB2312" w:cs="仿宋_GB2312"/>
          <w:color w:val="auto"/>
          <w:sz w:val="32"/>
          <w:szCs w:val="32"/>
          <w:highlight w:val="none"/>
        </w:rPr>
        <w:t>结余</w:t>
      </w:r>
      <w:r>
        <w:rPr>
          <w:rFonts w:hint="eastAsia" w:ascii="仿宋_GB2312" w:hAnsi="仿宋_GB2312" w:eastAsia="仿宋_GB2312" w:cs="仿宋_GB2312"/>
          <w:color w:val="auto"/>
          <w:sz w:val="32"/>
          <w:szCs w:val="32"/>
          <w:highlight w:val="none"/>
          <w:lang w:val="en-US" w:eastAsia="zh-CN"/>
        </w:rPr>
        <w:t>0.49</w:t>
      </w:r>
      <w:r>
        <w:rPr>
          <w:rFonts w:hint="default" w:ascii="仿宋_GB2312" w:hAnsi="仿宋_GB2312" w:eastAsia="仿宋_GB2312" w:cs="仿宋_GB2312"/>
          <w:color w:val="auto"/>
          <w:sz w:val="32"/>
          <w:szCs w:val="32"/>
        </w:rPr>
        <w:t>亿元，年末滚</w:t>
      </w:r>
      <w:r>
        <w:rPr>
          <w:rFonts w:hint="default" w:ascii="仿宋_GB2312" w:hAnsi="仿宋_GB2312" w:eastAsia="仿宋_GB2312" w:cs="仿宋_GB2312"/>
          <w:color w:val="auto"/>
          <w:sz w:val="32"/>
          <w:szCs w:val="32"/>
          <w:highlight w:val="none"/>
        </w:rPr>
        <w:t>存结余</w:t>
      </w:r>
      <w:r>
        <w:rPr>
          <w:rFonts w:hint="eastAsia" w:ascii="仿宋_GB2312" w:hAnsi="仿宋_GB2312" w:eastAsia="仿宋_GB2312" w:cs="仿宋_GB2312"/>
          <w:color w:val="auto"/>
          <w:sz w:val="32"/>
          <w:szCs w:val="32"/>
          <w:highlight w:val="none"/>
          <w:lang w:val="en-US" w:eastAsia="zh-CN"/>
        </w:rPr>
        <w:t>2.66</w:t>
      </w:r>
      <w:r>
        <w:rPr>
          <w:rFonts w:hint="default"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lang w:val="en-US" w:eastAsia="zh-CN"/>
        </w:rPr>
        <w:t xml:space="preserve"> </w:t>
      </w:r>
    </w:p>
    <w:p w14:paraId="076CE5B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（五）部门预算收支情况</w:t>
      </w:r>
    </w:p>
    <w:p w14:paraId="693FC01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全区</w:t>
      </w:r>
      <w:r>
        <w:rPr>
          <w:rFonts w:hint="eastAsia" w:ascii="仿宋_GB2312" w:hAnsi="仿宋_GB2312" w:eastAsia="仿宋_GB2312" w:cs="仿宋_GB2312"/>
          <w:color w:val="auto"/>
          <w:sz w:val="32"/>
          <w:szCs w:val="32"/>
          <w:highlight w:val="none"/>
          <w:lang w:val="en-US" w:eastAsia="zh-CN"/>
        </w:rPr>
        <w:t>127</w:t>
      </w:r>
      <w:r>
        <w:rPr>
          <w:rFonts w:hint="default" w:ascii="仿宋_GB2312" w:hAnsi="仿宋_GB2312" w:eastAsia="仿宋_GB2312" w:cs="仿宋_GB2312"/>
          <w:color w:val="auto"/>
          <w:sz w:val="32"/>
          <w:szCs w:val="32"/>
          <w:highlight w:val="none"/>
        </w:rPr>
        <w:t>个预算单位</w:t>
      </w:r>
      <w:r>
        <w:rPr>
          <w:rFonts w:hint="default"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rPr>
        <w:t>部门预算收入</w:t>
      </w:r>
      <w:r>
        <w:rPr>
          <w:rFonts w:hint="eastAsia" w:ascii="仿宋_GB2312" w:hAnsi="仿宋_GB2312" w:eastAsia="仿宋_GB2312" w:cs="仿宋_GB2312"/>
          <w:color w:val="auto"/>
          <w:sz w:val="32"/>
          <w:szCs w:val="32"/>
          <w:highlight w:val="none"/>
          <w:lang w:val="en-US" w:eastAsia="zh-CN"/>
        </w:rPr>
        <w:t>40.52</w:t>
      </w:r>
      <w:r>
        <w:rPr>
          <w:rFonts w:hint="default" w:ascii="仿宋_GB2312" w:hAnsi="仿宋_GB2312" w:eastAsia="仿宋_GB2312" w:cs="仿宋_GB2312"/>
          <w:color w:val="auto"/>
          <w:sz w:val="32"/>
          <w:szCs w:val="32"/>
          <w:highlight w:val="none"/>
        </w:rPr>
        <w:t>亿元，</w:t>
      </w:r>
      <w:r>
        <w:rPr>
          <w:rFonts w:hint="default" w:ascii="仿宋_GB2312" w:hAnsi="仿宋_GB2312" w:eastAsia="仿宋_GB2312" w:cs="仿宋_GB2312"/>
          <w:color w:val="auto"/>
          <w:sz w:val="32"/>
          <w:szCs w:val="32"/>
          <w:highlight w:val="none"/>
          <w:lang w:eastAsia="zh-CN"/>
        </w:rPr>
        <w:t>部门预算</w:t>
      </w:r>
      <w:r>
        <w:rPr>
          <w:rFonts w:hint="default"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40.52</w:t>
      </w:r>
      <w:r>
        <w:rPr>
          <w:rFonts w:hint="default" w:ascii="仿宋_GB2312" w:hAnsi="仿宋_GB2312" w:eastAsia="仿宋_GB2312" w:cs="仿宋_GB2312"/>
          <w:color w:val="auto"/>
          <w:sz w:val="32"/>
          <w:szCs w:val="32"/>
          <w:highlight w:val="none"/>
        </w:rPr>
        <w:t>亿元。</w:t>
      </w:r>
      <w:r>
        <w:rPr>
          <w:rFonts w:hint="default" w:ascii="仿宋_GB2312" w:hAnsi="仿宋_GB2312" w:eastAsia="仿宋_GB2312" w:cs="仿宋_GB2312"/>
          <w:color w:val="auto"/>
          <w:sz w:val="32"/>
          <w:szCs w:val="32"/>
          <w:highlight w:val="none"/>
          <w:lang w:eastAsia="zh-CN"/>
        </w:rPr>
        <w:t>当年</w:t>
      </w:r>
      <w:r>
        <w:rPr>
          <w:rFonts w:hint="default" w:ascii="仿宋_GB2312" w:hAnsi="仿宋_GB2312" w:eastAsia="仿宋_GB2312" w:cs="仿宋_GB2312"/>
          <w:color w:val="auto"/>
          <w:sz w:val="32"/>
          <w:szCs w:val="32"/>
          <w:highlight w:val="none"/>
        </w:rPr>
        <w:t>收支平衡。</w:t>
      </w:r>
    </w:p>
    <w:p w14:paraId="5E15C718">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eastAsia" w:ascii="黑体" w:hAnsi="黑体" w:eastAsia="黑体" w:cs="黑体"/>
          <w:color w:val="auto"/>
          <w:sz w:val="32"/>
          <w:szCs w:val="32"/>
        </w:rPr>
      </w:pPr>
      <w:r>
        <w:rPr>
          <w:rStyle w:val="11"/>
          <w:rFonts w:hint="eastAsia" w:ascii="黑体" w:hAnsi="黑体" w:eastAsia="黑体" w:cs="黑体"/>
          <w:color w:val="auto"/>
          <w:sz w:val="32"/>
          <w:szCs w:val="32"/>
        </w:rPr>
        <w:t>四、</w:t>
      </w:r>
      <w:r>
        <w:rPr>
          <w:rStyle w:val="11"/>
          <w:rFonts w:hint="eastAsia" w:ascii="黑体" w:hAnsi="黑体" w:eastAsia="黑体" w:cs="黑体"/>
          <w:color w:val="auto"/>
          <w:sz w:val="32"/>
          <w:szCs w:val="32"/>
          <w:lang w:eastAsia="zh-CN"/>
        </w:rPr>
        <w:t>2026</w:t>
      </w:r>
      <w:r>
        <w:rPr>
          <w:rStyle w:val="11"/>
          <w:rFonts w:hint="eastAsia" w:ascii="黑体" w:hAnsi="黑体" w:eastAsia="黑体" w:cs="黑体"/>
          <w:color w:val="auto"/>
          <w:sz w:val="32"/>
          <w:szCs w:val="32"/>
        </w:rPr>
        <w:t>年财政重点工作</w:t>
      </w:r>
    </w:p>
    <w:p w14:paraId="5A6EA27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区财政部门将坚决贯彻落实党的二十届四中全会精神，按照区委、区政府的决策部署，努力开源节流，在收入组织上长短结合、综合施策，在支出保障上区别急缓、精准调配，全力以赴保障财政平稳有序运行。</w:t>
      </w:r>
    </w:p>
    <w:p w14:paraId="25EBF4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（一）在收入组织上长短结合、综合施策。</w:t>
      </w:r>
      <w:r>
        <w:rPr>
          <w:rFonts w:hint="eastAsia" w:ascii="仿宋_GB2312" w:hAnsi="仿宋_GB2312" w:eastAsia="仿宋_GB2312" w:cs="仿宋_GB2312"/>
          <w:b/>
          <w:bCs/>
          <w:color w:val="auto"/>
          <w:sz w:val="32"/>
          <w:szCs w:val="32"/>
          <w:lang w:val="en-US" w:eastAsia="zh-CN"/>
        </w:rPr>
        <w:t>在短期方面，主要是抓见效快的收入：</w:t>
      </w:r>
      <w:r>
        <w:rPr>
          <w:rFonts w:hint="eastAsia" w:ascii="仿宋_GB2312" w:hAnsi="仿宋_GB2312" w:eastAsia="仿宋_GB2312" w:cs="仿宋_GB2312"/>
          <w:b/>
          <w:bCs/>
          <w:color w:val="auto"/>
          <w:sz w:val="32"/>
          <w:szCs w:val="32"/>
          <w:lang w:val="en-US" w:eastAsia="zh-CN"/>
        </w:rPr>
        <w:t>一是狠抓税收。</w:t>
      </w:r>
      <w:r>
        <w:rPr>
          <w:rFonts w:hint="eastAsia" w:ascii="仿宋_GB2312" w:hAnsi="仿宋_GB2312" w:eastAsia="仿宋_GB2312" w:cs="仿宋_GB2312"/>
          <w:b w:val="0"/>
          <w:bCs w:val="0"/>
          <w:color w:val="auto"/>
          <w:sz w:val="32"/>
          <w:szCs w:val="32"/>
          <w:lang w:val="en-US" w:eastAsia="zh-CN"/>
        </w:rPr>
        <w:t>加强与征收部门的沟通协调，进一步抓好大宗税源征收管理，严密跟踪增值税、所得税、房产税、耕地占用税等大宗主体税源，采取日常征收和稽查补缴相结合的征管手段，遏制收入流失，确保应纳税款及时足额入库；</w:t>
      </w:r>
      <w:r>
        <w:rPr>
          <w:rFonts w:hint="eastAsia" w:ascii="仿宋_GB2312" w:hAnsi="仿宋_GB2312" w:eastAsia="仿宋_GB2312" w:cs="仿宋_GB2312"/>
          <w:b/>
          <w:bCs/>
          <w:color w:val="auto"/>
          <w:sz w:val="32"/>
          <w:szCs w:val="32"/>
          <w:lang w:val="en-US" w:eastAsia="zh-CN"/>
        </w:rPr>
        <w:t>二是狠抓非税。</w:t>
      </w:r>
      <w:r>
        <w:rPr>
          <w:rFonts w:hint="eastAsia" w:ascii="仿宋_GB2312" w:hAnsi="仿宋_GB2312" w:eastAsia="仿宋_GB2312" w:cs="仿宋_GB2312"/>
          <w:b w:val="0"/>
          <w:bCs w:val="0"/>
          <w:color w:val="auto"/>
          <w:sz w:val="32"/>
          <w:szCs w:val="32"/>
          <w:lang w:val="en-US" w:eastAsia="zh-CN"/>
        </w:rPr>
        <w:t>科学预测2026年非税收入规模，将征收计划细化到行业部门，加强跟踪监测和调度，确保非税收入及时入库；</w:t>
      </w:r>
      <w:r>
        <w:rPr>
          <w:rFonts w:hint="eastAsia" w:ascii="仿宋_GB2312" w:hAnsi="仿宋_GB2312" w:eastAsia="仿宋_GB2312" w:cs="仿宋_GB2312"/>
          <w:b/>
          <w:bCs/>
          <w:color w:val="auto"/>
          <w:sz w:val="32"/>
          <w:szCs w:val="32"/>
          <w:lang w:val="en-US" w:eastAsia="zh-CN"/>
        </w:rPr>
        <w:t>三是狠抓“三资”盘活。</w:t>
      </w:r>
      <w:r>
        <w:rPr>
          <w:rFonts w:hint="eastAsia" w:ascii="仿宋_GB2312" w:hAnsi="仿宋_GB2312" w:eastAsia="仿宋_GB2312" w:cs="仿宋_GB2312"/>
          <w:color w:val="auto"/>
          <w:sz w:val="32"/>
          <w:szCs w:val="32"/>
          <w:lang w:val="en-US" w:eastAsia="zh-CN"/>
        </w:rPr>
        <w:t>认真做好清产核资工作，</w:t>
      </w:r>
      <w:r>
        <w:rPr>
          <w:rFonts w:hint="eastAsia" w:ascii="仿宋_GB2312" w:hAnsi="仿宋_GB2312" w:eastAsia="仿宋_GB2312" w:cs="仿宋_GB2312"/>
          <w:b w:val="0"/>
          <w:bCs w:val="0"/>
          <w:color w:val="auto"/>
          <w:sz w:val="32"/>
          <w:szCs w:val="32"/>
          <w:lang w:val="en-US" w:eastAsia="zh-CN"/>
        </w:rPr>
        <w:t>全面深化“三资”清查处置与管理改革，对国有资产进行全面调查摸底、汇总、整理、分析，建立详细的资源资产台账。通过公开招标、拍卖、租赁等市场化方式，提高国有资源资产的利用效率和收益水平，增加国有资源（资产）有偿使用收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在长期方面，主要是抓财源建设：</w:t>
      </w:r>
      <w:r>
        <w:rPr>
          <w:rFonts w:hint="eastAsia" w:ascii="仿宋_GB2312" w:hAnsi="仿宋_GB2312" w:eastAsia="仿宋_GB2312" w:cs="仿宋_GB2312"/>
          <w:b/>
          <w:bCs/>
          <w:color w:val="auto"/>
          <w:sz w:val="32"/>
          <w:szCs w:val="32"/>
          <w:lang w:eastAsia="zh-CN"/>
        </w:rPr>
        <w:t>一是支持</w:t>
      </w:r>
      <w:r>
        <w:rPr>
          <w:rFonts w:hint="eastAsia" w:ascii="仿宋_GB2312" w:hAnsi="仿宋_GB2312" w:eastAsia="仿宋_GB2312" w:cs="仿宋_GB2312"/>
          <w:b/>
          <w:bCs/>
          <w:color w:val="auto"/>
          <w:sz w:val="32"/>
          <w:szCs w:val="32"/>
          <w:lang w:val="en-US" w:eastAsia="zh-CN"/>
        </w:rPr>
        <w:t>产业升级。</w:t>
      </w:r>
      <w:r>
        <w:rPr>
          <w:rFonts w:hint="eastAsia" w:ascii="仿宋_GB2312" w:hAnsi="仿宋_GB2312" w:eastAsia="仿宋_GB2312" w:cs="仿宋_GB2312"/>
          <w:b w:val="0"/>
          <w:bCs w:val="0"/>
          <w:color w:val="auto"/>
          <w:sz w:val="32"/>
          <w:szCs w:val="32"/>
          <w:lang w:val="en-US" w:eastAsia="zh-CN"/>
        </w:rPr>
        <w:t>支持推动新能源、康养医药等主导产业向智能化、绿色化转型，提升产业附加值和税收贡献率；瞄准数字经济、新材料等新赛道培育新兴产业，支持加快形成新增长极；以现代物流为重点推动现代服务业升级，优化财源结构；向上争取技术改造专项资金，鼓励传统企业通过设备更新、工艺升级提升产出效益；</w:t>
      </w:r>
      <w:r>
        <w:rPr>
          <w:rFonts w:hint="eastAsia" w:ascii="仿宋_GB2312" w:hAnsi="仿宋_GB2312" w:eastAsia="仿宋_GB2312" w:cs="仿宋_GB2312"/>
          <w:b/>
          <w:bCs/>
          <w:color w:val="auto"/>
          <w:sz w:val="32"/>
          <w:szCs w:val="32"/>
          <w:lang w:val="en-US" w:eastAsia="zh-CN"/>
        </w:rPr>
        <w:t>二是支持招商引资。</w:t>
      </w:r>
      <w:r>
        <w:rPr>
          <w:rFonts w:hint="eastAsia" w:ascii="仿宋_GB2312" w:hAnsi="仿宋_GB2312" w:eastAsia="仿宋_GB2312" w:cs="仿宋_GB2312"/>
          <w:b w:val="0"/>
          <w:bCs w:val="0"/>
          <w:color w:val="auto"/>
          <w:sz w:val="32"/>
          <w:szCs w:val="32"/>
          <w:lang w:val="en-US" w:eastAsia="zh-CN"/>
        </w:rPr>
        <w:t>重点围绕阳塘国际粮食物流加工产业园项目以及怀仁大健康产业园、怀化国家骨干冷链物流基地开展项目招商，紧盯高新技术企业、专精特新企业等开展精准招商，完善项目全生命周期管理机制，推动签约项目快落地、投产项目快达效；</w:t>
      </w:r>
      <w:r>
        <w:rPr>
          <w:rFonts w:hint="eastAsia" w:ascii="仿宋_GB2312" w:hAnsi="仿宋_GB2312" w:eastAsia="仿宋_GB2312" w:cs="仿宋_GB2312"/>
          <w:b/>
          <w:bCs/>
          <w:color w:val="auto"/>
          <w:sz w:val="32"/>
          <w:szCs w:val="32"/>
          <w:lang w:val="en-US" w:eastAsia="zh-CN"/>
        </w:rPr>
        <w:t>三是支持企业发展。</w:t>
      </w:r>
      <w:r>
        <w:rPr>
          <w:rFonts w:hint="eastAsia" w:ascii="仿宋_GB2312" w:hAnsi="仿宋_GB2312" w:eastAsia="仿宋_GB2312" w:cs="仿宋_GB2312"/>
          <w:b w:val="0"/>
          <w:bCs w:val="0"/>
          <w:color w:val="auto"/>
          <w:sz w:val="32"/>
          <w:szCs w:val="32"/>
          <w:lang w:val="en-US" w:eastAsia="zh-CN"/>
        </w:rPr>
        <w:t>全面落实减税降费、融资支持等惠企政策，降低企业成本，激发企业创新活力；实施培优倍增计划，梯度培育中小微企业成长为规上企业和高新技术企业，壮大市场主体规模，夯实财源根基。</w:t>
      </w:r>
    </w:p>
    <w:p w14:paraId="6850FD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lang w:val="en-US" w:eastAsia="zh-CN"/>
        </w:rPr>
        <w:t>（二）在支出保障上区别急缓、精准调配。</w:t>
      </w:r>
      <w:r>
        <w:rPr>
          <w:rFonts w:hint="eastAsia" w:ascii="仿宋_GB2312" w:hAnsi="仿宋_GB2312" w:eastAsia="仿宋_GB2312" w:cs="仿宋_GB2312"/>
          <w:b/>
          <w:bCs/>
          <w:color w:val="auto"/>
          <w:sz w:val="32"/>
          <w:szCs w:val="32"/>
          <w:highlight w:val="none"/>
          <w:lang w:eastAsia="zh-CN"/>
        </w:rPr>
        <w:t>一是持续强化过紧日子。</w:t>
      </w:r>
      <w:r>
        <w:rPr>
          <w:rFonts w:hint="eastAsia" w:ascii="仿宋_GB2312" w:hAnsi="仿宋_GB2312" w:eastAsia="仿宋_GB2312" w:cs="仿宋_GB2312"/>
          <w:color w:val="auto"/>
          <w:sz w:val="32"/>
          <w:szCs w:val="32"/>
          <w:highlight w:val="none"/>
          <w:lang w:val="en-US" w:eastAsia="zh-CN"/>
        </w:rPr>
        <w:t>严控“三公”经费和行政运行成本，严控编外人员支出，全面清理区内人员聘用情况，将超出规定人数、无依据随意聘用等督促限期清退，逐步减少聘用人员，降低财政支出负担。同时，大力压减非急需、非刚性的项目支出，做到能省则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二是持续强化按序支出顺序。</w:t>
      </w:r>
      <w:r>
        <w:rPr>
          <w:rFonts w:hint="eastAsia" w:ascii="仿宋_GB2312" w:hAnsi="仿宋_GB2312" w:eastAsia="仿宋_GB2312" w:cs="仿宋_GB2312"/>
          <w:b w:val="0"/>
          <w:bCs w:val="0"/>
          <w:color w:val="auto"/>
          <w:sz w:val="32"/>
          <w:szCs w:val="32"/>
          <w:highlight w:val="none"/>
          <w:lang w:eastAsia="zh-CN"/>
        </w:rPr>
        <w:t>坚持“先有预算、后有支出”，严格按照“三保”支出、还本付息、大事要事、一般性事业支出、其他支出五级支出次序安排支出。除应急救灾等特殊情况外，原则上不办理预算追加。同时，优先下达拨付非税征管经费和向上争取的资金，预算内资金根据工作任务轻重缓急进行拨付。</w:t>
      </w:r>
      <w:r>
        <w:rPr>
          <w:rFonts w:hint="eastAsia" w:ascii="仿宋_GB2312" w:hAnsi="仿宋_GB2312" w:eastAsia="仿宋_GB2312" w:cs="仿宋_GB2312"/>
          <w:b/>
          <w:bCs/>
          <w:color w:val="auto"/>
          <w:sz w:val="32"/>
          <w:szCs w:val="32"/>
          <w:highlight w:val="none"/>
          <w:lang w:eastAsia="zh-CN"/>
        </w:rPr>
        <w:t>三是持续强化</w:t>
      </w:r>
      <w:r>
        <w:rPr>
          <w:rFonts w:hint="eastAsia" w:ascii="仿宋_GB2312" w:hAnsi="仿宋_GB2312" w:eastAsia="仿宋_GB2312" w:cs="仿宋_GB2312"/>
          <w:b/>
          <w:bCs/>
          <w:color w:val="auto"/>
          <w:sz w:val="32"/>
          <w:szCs w:val="32"/>
          <w:highlight w:val="none"/>
          <w:lang w:val="en-US" w:eastAsia="zh-CN"/>
        </w:rPr>
        <w:t>资金统筹力度。</w:t>
      </w:r>
      <w:r>
        <w:rPr>
          <w:rFonts w:hint="eastAsia" w:ascii="仿宋_GB2312" w:hAnsi="仿宋_GB2312" w:eastAsia="仿宋_GB2312" w:cs="仿宋_GB2312"/>
          <w:color w:val="auto"/>
          <w:sz w:val="32"/>
          <w:szCs w:val="32"/>
          <w:highlight w:val="none"/>
          <w:lang w:val="en-US" w:eastAsia="zh-CN"/>
        </w:rPr>
        <w:t>积极推进资金统筹使用，将跨部门、跨行业性质相类似的资金全部进行统筹整合，建立“大专项”及部门归口管理机制，集中财力办大事，提高资金使用效益。</w:t>
      </w:r>
    </w:p>
    <w:p w14:paraId="571662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84" w:firstLineChars="213"/>
        <w:textAlignment w:val="auto"/>
        <w:rPr>
          <w:rFonts w:hint="eastAsia" w:ascii="仿宋" w:hAnsi="仿宋" w:eastAsia="仿宋" w:cs="仿宋"/>
          <w:color w:val="auto"/>
          <w:sz w:val="32"/>
          <w:szCs w:val="32"/>
          <w:highlight w:val="none"/>
          <w:lang w:val="en-US" w:eastAsia="zh-CN"/>
        </w:rPr>
      </w:pPr>
      <w:r>
        <w:rPr>
          <w:rFonts w:hint="eastAsia" w:ascii="楷体_GB2312" w:hAnsi="楷体_GB2312" w:eastAsia="楷体_GB2312" w:cs="楷体_GB2312"/>
          <w:b/>
          <w:bCs/>
          <w:color w:val="auto"/>
          <w:sz w:val="32"/>
          <w:szCs w:val="32"/>
          <w:lang w:val="en-US" w:eastAsia="zh-CN"/>
        </w:rPr>
        <w:t>（三）在债务化解上多措筹资、穿透管理。</w:t>
      </w:r>
      <w:r>
        <w:rPr>
          <w:rFonts w:hint="eastAsia" w:ascii="仿宋_GB2312" w:hAnsi="仿宋_GB2312" w:eastAsia="仿宋_GB2312" w:cs="仿宋_GB2312"/>
          <w:color w:val="auto"/>
          <w:sz w:val="32"/>
          <w:szCs w:val="32"/>
          <w:highlight w:val="none"/>
          <w:lang w:val="en-US" w:eastAsia="zh-CN"/>
        </w:rPr>
        <w:t>2026年我区需化解全口径债务本息为5.25亿元，其中：政府债券本金0.39亿元，政府债券利息支出1.52亿元，隐性债务本息3.34亿元。为落实化债资金来源，防范债务风险向财政风险转嫁，主要完成三个方面的工作：</w:t>
      </w:r>
      <w:r>
        <w:rPr>
          <w:rFonts w:hint="eastAsia" w:ascii="仿宋_GB2312" w:hAnsi="仿宋_GB2312" w:eastAsia="仿宋_GB2312" w:cs="仿宋_GB2312"/>
          <w:b/>
          <w:bCs/>
          <w:color w:val="auto"/>
          <w:sz w:val="32"/>
          <w:szCs w:val="32"/>
          <w:highlight w:val="none"/>
          <w:lang w:val="en-US" w:eastAsia="zh-CN"/>
        </w:rPr>
        <w:t>一是多维度筹集化债资金。</w:t>
      </w:r>
      <w:r>
        <w:rPr>
          <w:rFonts w:hint="eastAsia" w:ascii="仿宋_GB2312" w:hAnsi="仿宋_GB2312" w:eastAsia="仿宋_GB2312" w:cs="仿宋_GB2312"/>
          <w:color w:val="auto"/>
          <w:sz w:val="32"/>
          <w:szCs w:val="32"/>
          <w:highlight w:val="none"/>
          <w:lang w:val="en-US" w:eastAsia="zh-CN"/>
        </w:rPr>
        <w:t>安排年度预算资金化解政府法定债务的本息、鼓励区属公司加快市场化转型通过经营产生的收益化债、全力争取和用好置换债券额度专项用于化解存量隐性债务。</w:t>
      </w:r>
      <w:r>
        <w:rPr>
          <w:rFonts w:hint="eastAsia" w:ascii="仿宋_GB2312" w:hAnsi="仿宋_GB2312" w:eastAsia="仿宋_GB2312" w:cs="仿宋_GB2312"/>
          <w:b/>
          <w:bCs/>
          <w:color w:val="auto"/>
          <w:sz w:val="32"/>
          <w:szCs w:val="32"/>
          <w:highlight w:val="none"/>
          <w:lang w:val="en-US" w:eastAsia="zh-CN"/>
        </w:rPr>
        <w:t>二是对债务穿透式监测。</w:t>
      </w:r>
      <w:r>
        <w:rPr>
          <w:rFonts w:hint="eastAsia" w:ascii="仿宋_GB2312" w:hAnsi="仿宋_GB2312" w:eastAsia="仿宋_GB2312" w:cs="仿宋_GB2312"/>
          <w:color w:val="auto"/>
          <w:sz w:val="32"/>
          <w:szCs w:val="32"/>
          <w:highlight w:val="none"/>
          <w:lang w:val="en-US" w:eastAsia="zh-CN"/>
        </w:rPr>
        <w:t>全面依托财政部的穿透式系统和已升级完成的监测平台，对专项债券项目和融资项目实行“穿透式”监测，及时掌握项目资金使用、建设进度、运营管理等情况。实施推行政府债券、银行融资等项目全周期、常态化风险监控，防范化解政府债务风险；</w:t>
      </w:r>
      <w:r>
        <w:rPr>
          <w:rFonts w:hint="eastAsia" w:ascii="仿宋_GB2312" w:hAnsi="仿宋_GB2312" w:eastAsia="仿宋_GB2312" w:cs="仿宋_GB2312"/>
          <w:b/>
          <w:bCs/>
          <w:color w:val="auto"/>
          <w:sz w:val="32"/>
          <w:szCs w:val="32"/>
          <w:highlight w:val="none"/>
          <w:lang w:val="en-US" w:eastAsia="zh-CN"/>
        </w:rPr>
        <w:t>三是完成区属公司退出平台工作</w:t>
      </w:r>
      <w:r>
        <w:rPr>
          <w:rFonts w:hint="eastAsia" w:ascii="仿宋_GB2312" w:hAnsi="仿宋_GB2312" w:eastAsia="仿宋_GB2312" w:cs="仿宋_GB2312"/>
          <w:color w:val="auto"/>
          <w:sz w:val="32"/>
          <w:szCs w:val="32"/>
          <w:highlight w:val="none"/>
          <w:lang w:val="en-US" w:eastAsia="zh-CN"/>
        </w:rPr>
        <w:t>。积极争取上级债务置换资金，确保2026年底化解完区城投公司名下的存量隐性债务，正式剥离区城投公司的融资职能，转型市场化运行。</w:t>
      </w:r>
    </w:p>
    <w:p w14:paraId="7EE379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（四）在财政管理上明确标准、实行零基。</w:t>
      </w:r>
      <w:r>
        <w:rPr>
          <w:rFonts w:hint="eastAsia" w:ascii="仿宋_GB2312" w:hAnsi="仿宋_GB2312" w:eastAsia="仿宋_GB2312" w:cs="仿宋_GB2312"/>
          <w:b w:val="0"/>
          <w:bCs w:val="0"/>
          <w:color w:val="auto"/>
          <w:sz w:val="32"/>
          <w:szCs w:val="32"/>
          <w:lang w:val="en-US" w:eastAsia="zh-CN"/>
        </w:rPr>
        <w:t>2026年将持续深化零基预算改革，重点在支出标准上下功夫、建机制。</w:t>
      </w:r>
      <w:r>
        <w:rPr>
          <w:rFonts w:hint="eastAsia" w:ascii="仿宋_GB2312" w:hAnsi="仿宋_GB2312" w:eastAsia="仿宋_GB2312" w:cs="仿宋_GB2312"/>
          <w:b/>
          <w:bCs/>
          <w:color w:val="auto"/>
          <w:spacing w:val="4"/>
          <w:sz w:val="32"/>
          <w:szCs w:val="32"/>
          <w:highlight w:val="none"/>
          <w:lang w:val="en-US" w:eastAsia="zh-CN"/>
        </w:rPr>
        <w:t>一是</w:t>
      </w:r>
      <w:r>
        <w:rPr>
          <w:rFonts w:hint="eastAsia" w:ascii="仿宋_GB2312" w:hAnsi="仿宋_GB2312" w:eastAsia="仿宋_GB2312" w:cs="仿宋_GB2312"/>
          <w:b/>
          <w:bCs/>
          <w:color w:val="auto"/>
          <w:sz w:val="32"/>
          <w:szCs w:val="32"/>
          <w:highlight w:val="none"/>
          <w:lang w:val="en-US" w:eastAsia="zh-CN"/>
        </w:rPr>
        <w:t>完善基本支出标准。</w:t>
      </w:r>
      <w:r>
        <w:rPr>
          <w:rFonts w:hint="eastAsia" w:ascii="仿宋_GB2312" w:hAnsi="仿宋_GB2312" w:eastAsia="仿宋_GB2312" w:cs="仿宋_GB2312"/>
          <w:b w:val="0"/>
          <w:bCs w:val="0"/>
          <w:color w:val="auto"/>
          <w:sz w:val="32"/>
          <w:szCs w:val="32"/>
          <w:highlight w:val="none"/>
          <w:lang w:val="en-US" w:eastAsia="zh-CN"/>
        </w:rPr>
        <w:t>在人员经费方面，严格执行国家和省、市统一规定的工资、津贴补贴、社保缴费等政策标准，确保合规准确；在公用经费方面，在现有定额标准基础上，根据经济发展、物价水平、单位职能变化等因素，进一步细化分类、优化定额，探索建立更为精准、差异化的公用经费综合定额标准体系。</w:t>
      </w:r>
      <w:r>
        <w:rPr>
          <w:rFonts w:hint="eastAsia" w:ascii="仿宋_GB2312" w:hAnsi="仿宋_GB2312" w:eastAsia="仿宋_GB2312" w:cs="仿宋_GB2312"/>
          <w:b/>
          <w:bCs/>
          <w:color w:val="auto"/>
          <w:sz w:val="32"/>
          <w:szCs w:val="32"/>
          <w:highlight w:val="none"/>
          <w:lang w:val="en-US" w:eastAsia="zh-CN"/>
        </w:rPr>
        <w:t>二是构建项目支出标准。</w:t>
      </w:r>
      <w:r>
        <w:rPr>
          <w:rFonts w:hint="eastAsia" w:ascii="仿宋_GB2312" w:hAnsi="仿宋_GB2312" w:eastAsia="仿宋_GB2312" w:cs="仿宋_GB2312"/>
          <w:b w:val="0"/>
          <w:bCs w:val="0"/>
          <w:color w:val="auto"/>
          <w:sz w:val="32"/>
          <w:szCs w:val="32"/>
          <w:highlight w:val="none"/>
          <w:lang w:val="en-US" w:eastAsia="zh-CN"/>
        </w:rPr>
        <w:t>聚焦重点领域先行先试，优先围绕教育、医疗、社保、农林水、基础设施建设等区委区政府确定的重点支出领域，选取典型性、代表性强的项目，率先研究制定或修订完善支出标准，为全面推开奠定基础。</w:t>
      </w:r>
      <w:r>
        <w:rPr>
          <w:rFonts w:hint="eastAsia" w:ascii="仿宋_GB2312" w:hAnsi="仿宋_GB2312" w:eastAsia="仿宋_GB2312" w:cs="仿宋_GB2312"/>
          <w:b/>
          <w:bCs/>
          <w:color w:val="auto"/>
          <w:sz w:val="32"/>
          <w:szCs w:val="32"/>
          <w:highlight w:val="none"/>
          <w:lang w:val="en-US" w:eastAsia="zh-CN"/>
        </w:rPr>
        <w:t>三是推进</w:t>
      </w:r>
      <w:r>
        <w:rPr>
          <w:rFonts w:hint="eastAsia" w:ascii="仿宋_GB2312" w:hAnsi="仿宋_GB2312" w:eastAsia="仿宋_GB2312" w:cs="仿宋_GB2312"/>
          <w:b/>
          <w:bCs/>
          <w:color w:val="auto"/>
          <w:sz w:val="32"/>
          <w:szCs w:val="32"/>
          <w:lang w:val="en-US" w:eastAsia="zh-CN"/>
        </w:rPr>
        <w:t>财评工作转型。</w:t>
      </w:r>
      <w:r>
        <w:rPr>
          <w:rFonts w:hint="eastAsia" w:ascii="仿宋_GB2312" w:hAnsi="仿宋_GB2312" w:eastAsia="仿宋_GB2312" w:cs="仿宋_GB2312"/>
          <w:b w:val="0"/>
          <w:bCs w:val="0"/>
          <w:color w:val="auto"/>
          <w:sz w:val="32"/>
          <w:szCs w:val="32"/>
          <w:lang w:val="en-US" w:eastAsia="zh-CN"/>
        </w:rPr>
        <w:t>在财政部、省财政厅先后出台的预算评审暂行办法和实施细则的基础上，出台区本级预算评审管理实施办法，强化评审关口前移，规范预算评审程序，提高预算评审的科学化、规范化、标准化水平，为全面推进零基预算改革提供制度基础。</w:t>
      </w:r>
    </w:p>
    <w:p w14:paraId="3E27AE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位代表，2026年是全面推进“十五五”规划实施的开局之年，财政工作使命光荣、任务艰巨、责任重大。我们将在区委、区政府的坚强领导下，自觉接受区人大依法监督和区政协民主监督，坚定信心、迎难而上，锐意进取、实干担当，全力以赴完成全年各项财政工作任务，为全面建设社会主义现代化新鹤城作出财政贡献！</w:t>
      </w:r>
    </w:p>
    <w:p w14:paraId="1657EBFD">
      <w:pPr>
        <w:rPr>
          <w:rFonts w:hint="default" w:ascii="仿宋" w:hAnsi="仿宋" w:eastAsia="仿宋" w:cs="仿宋_GB2312"/>
          <w:color w:val="auto"/>
          <w:sz w:val="32"/>
          <w:szCs w:val="32"/>
          <w:lang w:val="en-US" w:eastAsia="zh-CN"/>
        </w:rPr>
      </w:pPr>
      <w:r>
        <w:rPr>
          <w:rFonts w:hint="default" w:ascii="仿宋" w:hAnsi="仿宋" w:eastAsia="仿宋" w:cs="仿宋_GB2312"/>
          <w:color w:val="auto"/>
          <w:sz w:val="32"/>
          <w:szCs w:val="32"/>
          <w:lang w:val="en-US" w:eastAsia="zh-CN"/>
        </w:rPr>
        <w:br w:type="page"/>
      </w:r>
    </w:p>
    <w:tbl>
      <w:tblPr>
        <w:tblStyle w:val="8"/>
        <w:tblpPr w:leftFromText="180" w:rightFromText="180" w:vertAnchor="text" w:horzAnchor="page" w:tblpX="1627" w:tblpY="13282"/>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4DF9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880" w:type="dxa"/>
            <w:tcBorders>
              <w:top w:val="single" w:color="auto" w:sz="4" w:space="0"/>
              <w:left w:val="nil"/>
              <w:bottom w:val="single" w:color="auto" w:sz="4" w:space="0"/>
              <w:right w:val="nil"/>
            </w:tcBorders>
            <w:noWrap w:val="0"/>
            <w:vAlign w:val="center"/>
          </w:tcPr>
          <w:p w14:paraId="18E647C5">
            <w:pPr>
              <w:rPr>
                <w:rFonts w:hint="eastAsia" w:ascii="仿宋_GB2312" w:eastAsia="仿宋_GB2312"/>
                <w:color w:val="auto"/>
                <w:sz w:val="32"/>
                <w:szCs w:val="32"/>
                <w:lang w:eastAsia="zh-CN"/>
              </w:rPr>
            </w:pPr>
            <w:r>
              <w:rPr>
                <w:rFonts w:hint="eastAsia" w:ascii="仿宋_GB2312" w:eastAsia="仿宋_GB2312"/>
                <w:color w:val="auto"/>
                <w:sz w:val="32"/>
                <w:szCs w:val="32"/>
              </w:rPr>
              <w:t>区</w:t>
            </w:r>
            <w:r>
              <w:rPr>
                <w:rFonts w:hint="eastAsia" w:ascii="仿宋_GB2312" w:eastAsia="仿宋_GB2312"/>
                <w:color w:val="auto"/>
                <w:sz w:val="32"/>
                <w:szCs w:val="32"/>
                <w:lang w:eastAsia="zh-CN"/>
              </w:rPr>
              <w:t>六</w:t>
            </w:r>
            <w:r>
              <w:rPr>
                <w:rFonts w:hint="eastAsia" w:ascii="仿宋_GB2312" w:eastAsia="仿宋_GB2312"/>
                <w:color w:val="auto"/>
                <w:sz w:val="32"/>
                <w:szCs w:val="32"/>
              </w:rPr>
              <w:t>届人大</w:t>
            </w: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次会议秘书处</w:t>
            </w:r>
          </w:p>
        </w:tc>
      </w:tr>
    </w:tbl>
    <w:p w14:paraId="4DB75434">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_GB2312"/>
          <w:color w:val="auto"/>
          <w:sz w:val="32"/>
          <w:szCs w:val="32"/>
          <w:lang w:val="en-US" w:eastAsia="zh-CN"/>
        </w:rPr>
      </w:pPr>
    </w:p>
    <w:sectPr>
      <w:footerReference r:id="rId3" w:type="default"/>
      <w:pgSz w:w="11906" w:h="16838"/>
      <w:pgMar w:top="1440" w:right="1519" w:bottom="1440" w:left="151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ADDA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393C8">
                          <w:pPr>
                            <w:pStyle w:val="4"/>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7393C8">
                    <w:pPr>
                      <w:pStyle w:val="4"/>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ZGI0NTkyZDQ3YWUxNzBhZWQzNzljYWQ3NWI4YTQifQ=="/>
  </w:docVars>
  <w:rsids>
    <w:rsidRoot w:val="00000000"/>
    <w:rsid w:val="00D93A41"/>
    <w:rsid w:val="01796BBB"/>
    <w:rsid w:val="03EC63C9"/>
    <w:rsid w:val="03F628A3"/>
    <w:rsid w:val="04DF67C9"/>
    <w:rsid w:val="04EE7E90"/>
    <w:rsid w:val="04F87500"/>
    <w:rsid w:val="069A65B0"/>
    <w:rsid w:val="06C76C7A"/>
    <w:rsid w:val="073C081C"/>
    <w:rsid w:val="096E6888"/>
    <w:rsid w:val="09DF0839"/>
    <w:rsid w:val="0AE20526"/>
    <w:rsid w:val="0B163D2C"/>
    <w:rsid w:val="0C4E191B"/>
    <w:rsid w:val="0D845969"/>
    <w:rsid w:val="0D98311E"/>
    <w:rsid w:val="0DA73361"/>
    <w:rsid w:val="0EEA52DC"/>
    <w:rsid w:val="0F063180"/>
    <w:rsid w:val="0F744163"/>
    <w:rsid w:val="0F7FDDD7"/>
    <w:rsid w:val="121F5BBC"/>
    <w:rsid w:val="12EF558E"/>
    <w:rsid w:val="131A23F3"/>
    <w:rsid w:val="13A22600"/>
    <w:rsid w:val="13B90CB9"/>
    <w:rsid w:val="14CD7B51"/>
    <w:rsid w:val="163D4862"/>
    <w:rsid w:val="167C2613"/>
    <w:rsid w:val="17127A9D"/>
    <w:rsid w:val="188F22D4"/>
    <w:rsid w:val="190D676E"/>
    <w:rsid w:val="199F5233"/>
    <w:rsid w:val="1A8E1B30"/>
    <w:rsid w:val="1D03062F"/>
    <w:rsid w:val="1D036806"/>
    <w:rsid w:val="1D6F7060"/>
    <w:rsid w:val="1E37428D"/>
    <w:rsid w:val="1EC975DB"/>
    <w:rsid w:val="1F525822"/>
    <w:rsid w:val="1FB482B5"/>
    <w:rsid w:val="20AD0837"/>
    <w:rsid w:val="21F759A6"/>
    <w:rsid w:val="23CC35A5"/>
    <w:rsid w:val="23D53F3E"/>
    <w:rsid w:val="24A30ED6"/>
    <w:rsid w:val="24DD6502"/>
    <w:rsid w:val="25430834"/>
    <w:rsid w:val="256B59EC"/>
    <w:rsid w:val="257E1728"/>
    <w:rsid w:val="25E62821"/>
    <w:rsid w:val="25F20D49"/>
    <w:rsid w:val="264F6618"/>
    <w:rsid w:val="287C56BE"/>
    <w:rsid w:val="29A924E3"/>
    <w:rsid w:val="2A2F6883"/>
    <w:rsid w:val="2A9F38E6"/>
    <w:rsid w:val="2BA63B31"/>
    <w:rsid w:val="2C516CF6"/>
    <w:rsid w:val="2CAE1BBE"/>
    <w:rsid w:val="2F3445FD"/>
    <w:rsid w:val="2FFE030A"/>
    <w:rsid w:val="30931762"/>
    <w:rsid w:val="31FD077B"/>
    <w:rsid w:val="321B2990"/>
    <w:rsid w:val="326571C3"/>
    <w:rsid w:val="32C739DA"/>
    <w:rsid w:val="335A7738"/>
    <w:rsid w:val="35096C22"/>
    <w:rsid w:val="365BD638"/>
    <w:rsid w:val="36FF8F46"/>
    <w:rsid w:val="375A306E"/>
    <w:rsid w:val="378D4DBA"/>
    <w:rsid w:val="37DF5F11"/>
    <w:rsid w:val="37EE2EA3"/>
    <w:rsid w:val="37FFFAFD"/>
    <w:rsid w:val="38995374"/>
    <w:rsid w:val="39317DFF"/>
    <w:rsid w:val="393E3FC7"/>
    <w:rsid w:val="3B854432"/>
    <w:rsid w:val="3BA70603"/>
    <w:rsid w:val="3BF73D6F"/>
    <w:rsid w:val="3CA202DF"/>
    <w:rsid w:val="3F34FBC3"/>
    <w:rsid w:val="3F47C6DA"/>
    <w:rsid w:val="3F6D40F6"/>
    <w:rsid w:val="3FFF71A4"/>
    <w:rsid w:val="3FFFD167"/>
    <w:rsid w:val="4004626D"/>
    <w:rsid w:val="41111E88"/>
    <w:rsid w:val="41685EB4"/>
    <w:rsid w:val="41FA16D6"/>
    <w:rsid w:val="424D4A15"/>
    <w:rsid w:val="426923B8"/>
    <w:rsid w:val="42721F4D"/>
    <w:rsid w:val="429C09DF"/>
    <w:rsid w:val="44625310"/>
    <w:rsid w:val="44663053"/>
    <w:rsid w:val="44AB4F09"/>
    <w:rsid w:val="44C07B8A"/>
    <w:rsid w:val="44FC39B7"/>
    <w:rsid w:val="45AC718B"/>
    <w:rsid w:val="45BC4EF4"/>
    <w:rsid w:val="45F42EEF"/>
    <w:rsid w:val="465B2693"/>
    <w:rsid w:val="47FE6B56"/>
    <w:rsid w:val="48B00D40"/>
    <w:rsid w:val="4B907252"/>
    <w:rsid w:val="4B942AC7"/>
    <w:rsid w:val="4BD42F98"/>
    <w:rsid w:val="4BDF6F9A"/>
    <w:rsid w:val="4D783DF7"/>
    <w:rsid w:val="4E261AA5"/>
    <w:rsid w:val="4E6A373F"/>
    <w:rsid w:val="4ED17C62"/>
    <w:rsid w:val="4EEF0666"/>
    <w:rsid w:val="4F2D209F"/>
    <w:rsid w:val="4F38383D"/>
    <w:rsid w:val="4FDA078E"/>
    <w:rsid w:val="51EC53F1"/>
    <w:rsid w:val="52D576F4"/>
    <w:rsid w:val="533019A0"/>
    <w:rsid w:val="53400330"/>
    <w:rsid w:val="54CC5154"/>
    <w:rsid w:val="5503044A"/>
    <w:rsid w:val="5785783C"/>
    <w:rsid w:val="57883530"/>
    <w:rsid w:val="57F3DEC7"/>
    <w:rsid w:val="58B424B0"/>
    <w:rsid w:val="59034EBC"/>
    <w:rsid w:val="5A2516D3"/>
    <w:rsid w:val="5A8738CB"/>
    <w:rsid w:val="5ABD1400"/>
    <w:rsid w:val="5D8F31C2"/>
    <w:rsid w:val="5EB379E0"/>
    <w:rsid w:val="60385CED"/>
    <w:rsid w:val="609F5D58"/>
    <w:rsid w:val="61323F23"/>
    <w:rsid w:val="634C1E06"/>
    <w:rsid w:val="63A454EE"/>
    <w:rsid w:val="63F47449"/>
    <w:rsid w:val="64601415"/>
    <w:rsid w:val="64A55079"/>
    <w:rsid w:val="6794296C"/>
    <w:rsid w:val="67B7BCBF"/>
    <w:rsid w:val="67DF4D79"/>
    <w:rsid w:val="68347762"/>
    <w:rsid w:val="6882706E"/>
    <w:rsid w:val="68EB3A70"/>
    <w:rsid w:val="69B7C40B"/>
    <w:rsid w:val="6A853212"/>
    <w:rsid w:val="6ADC731B"/>
    <w:rsid w:val="6C450EF0"/>
    <w:rsid w:val="6C726189"/>
    <w:rsid w:val="6CDF01C2"/>
    <w:rsid w:val="6DEDC593"/>
    <w:rsid w:val="6E5A0C83"/>
    <w:rsid w:val="6EF306EA"/>
    <w:rsid w:val="6F85079C"/>
    <w:rsid w:val="6FF9593C"/>
    <w:rsid w:val="716A38D3"/>
    <w:rsid w:val="71F94C57"/>
    <w:rsid w:val="720E1013"/>
    <w:rsid w:val="73B96D6A"/>
    <w:rsid w:val="74036128"/>
    <w:rsid w:val="74400D22"/>
    <w:rsid w:val="74936C9D"/>
    <w:rsid w:val="75A9651B"/>
    <w:rsid w:val="75BF7F65"/>
    <w:rsid w:val="76305399"/>
    <w:rsid w:val="76EF3D99"/>
    <w:rsid w:val="76FECCAA"/>
    <w:rsid w:val="777FABE6"/>
    <w:rsid w:val="77BF6C8F"/>
    <w:rsid w:val="782B0BF7"/>
    <w:rsid w:val="795AE4D8"/>
    <w:rsid w:val="7A7F247F"/>
    <w:rsid w:val="7A9C3F12"/>
    <w:rsid w:val="7B3D3E06"/>
    <w:rsid w:val="7B811F45"/>
    <w:rsid w:val="7BFDC585"/>
    <w:rsid w:val="7D160926"/>
    <w:rsid w:val="7D6E02A7"/>
    <w:rsid w:val="7D7B0C16"/>
    <w:rsid w:val="7DAB751C"/>
    <w:rsid w:val="7E3E649D"/>
    <w:rsid w:val="7E450CC9"/>
    <w:rsid w:val="7ED56104"/>
    <w:rsid w:val="7EF50554"/>
    <w:rsid w:val="7F0D1FD5"/>
    <w:rsid w:val="7F9F75B9"/>
    <w:rsid w:val="7FBD1DB8"/>
    <w:rsid w:val="7FBF32B2"/>
    <w:rsid w:val="7FCD394F"/>
    <w:rsid w:val="7FEE7723"/>
    <w:rsid w:val="7FFF5F21"/>
    <w:rsid w:val="7FFF73BE"/>
    <w:rsid w:val="9AFBC691"/>
    <w:rsid w:val="9F7DD739"/>
    <w:rsid w:val="AF5F8711"/>
    <w:rsid w:val="AFBF3B35"/>
    <w:rsid w:val="B3F7CAC1"/>
    <w:rsid w:val="B7DFC2C3"/>
    <w:rsid w:val="BDF78CC3"/>
    <w:rsid w:val="BFE6DEC8"/>
    <w:rsid w:val="C1CF15A2"/>
    <w:rsid w:val="C7FF5ACD"/>
    <w:rsid w:val="CBBE7BC4"/>
    <w:rsid w:val="D7F98B14"/>
    <w:rsid w:val="DACBE418"/>
    <w:rsid w:val="DE362338"/>
    <w:rsid w:val="DF9FEBAD"/>
    <w:rsid w:val="DFF667DF"/>
    <w:rsid w:val="DFFF9523"/>
    <w:rsid w:val="E36FD7A9"/>
    <w:rsid w:val="E5DED3BE"/>
    <w:rsid w:val="E7F7380C"/>
    <w:rsid w:val="ED7995D0"/>
    <w:rsid w:val="EFCF4FE6"/>
    <w:rsid w:val="EFF7BC02"/>
    <w:rsid w:val="EFFBD1EC"/>
    <w:rsid w:val="F07E3269"/>
    <w:rsid w:val="F27F7E11"/>
    <w:rsid w:val="F3BFDE63"/>
    <w:rsid w:val="F6FF1FE4"/>
    <w:rsid w:val="F9E38EEF"/>
    <w:rsid w:val="FABF49A8"/>
    <w:rsid w:val="FB5FCC87"/>
    <w:rsid w:val="FBCF1D14"/>
    <w:rsid w:val="FDB5915F"/>
    <w:rsid w:val="FEB77ED5"/>
    <w:rsid w:val="FF0FD7EE"/>
    <w:rsid w:val="FF6B72FF"/>
    <w:rsid w:val="FF7BEAB7"/>
    <w:rsid w:val="FFF3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文字"/>
    <w:basedOn w:val="1"/>
    <w:next w:val="1"/>
    <w:qFormat/>
    <w:uiPriority w:val="99"/>
    <w:pPr>
      <w:spacing w:after="120"/>
      <w:jc w:val="center"/>
    </w:pPr>
    <w:rPr>
      <w:rFonts w:ascii="方正小标宋简体" w:eastAsia="方正小标宋简体"/>
      <w:sz w:val="44"/>
      <w:szCs w:val="44"/>
    </w:rPr>
  </w:style>
  <w:style w:type="character" w:customStyle="1" w:styleId="11">
    <w:name w:val="text-tag"/>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5790</Words>
  <Characters>6275</Characters>
  <Lines>0</Lines>
  <Paragraphs>0</Paragraphs>
  <TotalTime>3</TotalTime>
  <ScaleCrop>false</ScaleCrop>
  <LinksUpToDate>false</LinksUpToDate>
  <CharactersWithSpaces>6282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2024-11-12T00:23:00Z</dcterms:created>
  <dc:creator>Administrator</dc:creator>
  <cp:lastModifiedBy>倒影0年华</cp:lastModifiedBy>
  <cp:lastPrinted>2025-12-01T01:55:00Z</cp:lastPrinted>
  <dcterms:modified xsi:type="dcterms:W3CDTF">2025-12-14T15:22:38Z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DE6327395C0EB2705BF83B6991CD213E_43</vt:lpwstr>
  </property>
  <property fmtid="{D5CDD505-2E9C-101B-9397-08002B2CF9AE}" pid="4" name="KSOTemplateDocerSaveRecord">
    <vt:lpwstr>eyJoZGlkIjoiODUyZGI0NTkyZDQ3YWUxNzBhZWQzNzljYWQ3NWI4YTQifQ==</vt:lpwstr>
  </property>
</Properties>
</file>