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0"/>
        <w:jc w:val="left"/>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kern w:val="0"/>
          <w:sz w:val="24"/>
          <w:szCs w:val="24"/>
          <w:bdr w:val="none" w:color="auto" w:sz="0" w:space="0"/>
          <w:lang w:val="en-US" w:eastAsia="zh-CN" w:bidi="ar"/>
        </w:rPr>
        <w:t>附件</w:t>
      </w:r>
      <w:r>
        <w:rPr>
          <w:rFonts w:hint="default" w:ascii="仿宋_GB2312" w:hAnsi="宋体" w:eastAsia="仿宋_GB2312" w:cs="仿宋_GB2312"/>
          <w:i w:val="0"/>
          <w:iCs w:val="0"/>
          <w:caps w:val="0"/>
          <w:color w:val="000000"/>
          <w:spacing w:val="0"/>
          <w:kern w:val="0"/>
          <w:sz w:val="24"/>
          <w:szCs w:val="24"/>
          <w:bdr w:val="none" w:color="auto" w:sz="0" w:space="0"/>
          <w:lang w:val="en-US" w:eastAsia="zh-CN" w:bidi="ar"/>
        </w:rPr>
        <w:t>1</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kern w:val="0"/>
          <w:sz w:val="24"/>
          <w:szCs w:val="24"/>
          <w:bdr w:val="none" w:color="auto" w:sz="0" w:space="0"/>
          <w:lang w:val="en-US" w:eastAsia="zh-CN" w:bidi="ar"/>
        </w:rPr>
        <w:t>鹤城区涉及中央层面设定的涉企经营许可事项改革清单（</w:t>
      </w:r>
      <w:r>
        <w:rPr>
          <w:rFonts w:hint="eastAsia" w:ascii="方正小标宋简体" w:hAnsi="方正小标宋简体" w:eastAsia="方正小标宋简体" w:cs="方正小标宋简体"/>
          <w:i w:val="0"/>
          <w:iCs w:val="0"/>
          <w:caps w:val="0"/>
          <w:color w:val="000000"/>
          <w:spacing w:val="0"/>
          <w:kern w:val="0"/>
          <w:sz w:val="24"/>
          <w:szCs w:val="24"/>
          <w:bdr w:val="none" w:color="auto" w:sz="0" w:space="0"/>
          <w:lang w:val="en-US" w:eastAsia="zh-CN" w:bidi="ar"/>
        </w:rPr>
        <w:t>2022年湖南版）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firstLine="0"/>
        <w:jc w:val="center"/>
        <w:rPr>
          <w:rFonts w:hint="eastAsia" w:ascii="宋体" w:hAnsi="宋体" w:eastAsia="宋体" w:cs="宋体"/>
          <w:i w:val="0"/>
          <w:iCs w:val="0"/>
          <w:caps w:val="0"/>
          <w:color w:val="000000"/>
          <w:spacing w:val="0"/>
          <w:sz w:val="24"/>
          <w:szCs w:val="24"/>
        </w:rPr>
      </w:pPr>
      <w:r>
        <w:rPr>
          <w:rFonts w:ascii="方正楷体_GBK" w:hAnsi="方正楷体_GBK" w:eastAsia="方正楷体_GBK" w:cs="方正楷体_GBK"/>
          <w:i w:val="0"/>
          <w:iCs w:val="0"/>
          <w:caps w:val="0"/>
          <w:color w:val="000000"/>
          <w:spacing w:val="0"/>
          <w:kern w:val="0"/>
          <w:sz w:val="24"/>
          <w:szCs w:val="24"/>
          <w:bdr w:val="none" w:color="auto" w:sz="0" w:space="0"/>
          <w:lang w:val="en-US" w:eastAsia="zh-CN" w:bidi="ar"/>
        </w:rPr>
        <w:t>（共</w:t>
      </w:r>
      <w:r>
        <w:rPr>
          <w:rFonts w:hint="default" w:ascii="Times New Roman" w:hAnsi="Times New Roman" w:eastAsia="方正楷体_GBK" w:cs="Times New Roman"/>
          <w:i w:val="0"/>
          <w:iCs w:val="0"/>
          <w:caps w:val="0"/>
          <w:color w:val="000000"/>
          <w:spacing w:val="0"/>
          <w:kern w:val="0"/>
          <w:sz w:val="24"/>
          <w:szCs w:val="24"/>
          <w:bdr w:val="none" w:color="auto" w:sz="0" w:space="0"/>
          <w:lang w:val="en-US" w:eastAsia="zh-CN" w:bidi="ar"/>
        </w:rPr>
        <w:t>60</w:t>
      </w:r>
      <w:r>
        <w:rPr>
          <w:rFonts w:hint="eastAsia" w:ascii="方正楷体_GBK" w:hAnsi="方正楷体_GBK" w:eastAsia="方正楷体_GBK" w:cs="方正楷体_GBK"/>
          <w:i w:val="0"/>
          <w:iCs w:val="0"/>
          <w:caps w:val="0"/>
          <w:color w:val="000000"/>
          <w:spacing w:val="0"/>
          <w:kern w:val="0"/>
          <w:sz w:val="24"/>
          <w:szCs w:val="24"/>
          <w:bdr w:val="none" w:color="auto" w:sz="0" w:space="0"/>
          <w:lang w:val="en-US" w:eastAsia="zh-CN" w:bidi="ar"/>
        </w:rPr>
        <w:t>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88"/>
        <w:gridCol w:w="585"/>
        <w:gridCol w:w="1691"/>
        <w:gridCol w:w="994"/>
        <w:gridCol w:w="1535"/>
        <w:gridCol w:w="599"/>
        <w:gridCol w:w="528"/>
        <w:gridCol w:w="528"/>
        <w:gridCol w:w="439"/>
        <w:gridCol w:w="506"/>
        <w:gridCol w:w="1837"/>
        <w:gridCol w:w="4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88" w:type="dxa"/>
            <w:vMerge w:val="restart"/>
            <w:tcBorders>
              <w:top w:val="single" w:color="auto" w:sz="8" w:space="0"/>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rPr>
                <w:b/>
                <w:bCs/>
              </w:rPr>
            </w:pPr>
            <w:r>
              <w:rPr>
                <w:rFonts w:hint="default" w:ascii="仿宋_GB2312" w:hAnsi="宋体" w:eastAsia="仿宋_GB2312" w:cs="仿宋_GB2312"/>
                <w:b/>
                <w:bCs/>
                <w:caps w:val="0"/>
                <w:color w:val="000000"/>
                <w:spacing w:val="0"/>
                <w:kern w:val="0"/>
                <w:sz w:val="24"/>
                <w:szCs w:val="24"/>
                <w:bdr w:val="none" w:color="auto" w:sz="0" w:space="0"/>
                <w:lang w:val="en-US" w:eastAsia="zh-CN" w:bidi="ar"/>
              </w:rPr>
              <w:t>序号</w:t>
            </w:r>
          </w:p>
        </w:tc>
        <w:tc>
          <w:tcPr>
            <w:tcW w:w="585" w:type="dxa"/>
            <w:vMerge w:val="restart"/>
            <w:tcBorders>
              <w:top w:val="single" w:color="auto" w:sz="8"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rPr>
                <w:b/>
                <w:bCs/>
              </w:rPr>
            </w:pPr>
            <w:r>
              <w:rPr>
                <w:rFonts w:hint="default" w:ascii="仿宋_GB2312" w:hAnsi="宋体" w:eastAsia="仿宋_GB2312" w:cs="仿宋_GB2312"/>
                <w:b/>
                <w:bCs/>
                <w:caps w:val="0"/>
                <w:color w:val="000000"/>
                <w:spacing w:val="0"/>
                <w:kern w:val="0"/>
                <w:sz w:val="24"/>
                <w:szCs w:val="24"/>
                <w:bdr w:val="none" w:color="auto" w:sz="0" w:space="0"/>
                <w:lang w:val="en-US" w:eastAsia="zh-CN" w:bidi="ar"/>
              </w:rPr>
              <w:t>主管部门</w:t>
            </w:r>
          </w:p>
        </w:tc>
        <w:tc>
          <w:tcPr>
            <w:tcW w:w="1691"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rPr>
                <w:b/>
                <w:bCs/>
              </w:rPr>
            </w:pPr>
            <w:r>
              <w:rPr>
                <w:rFonts w:hint="default" w:ascii="仿宋_GB2312" w:hAnsi="宋体" w:eastAsia="仿宋_GB2312" w:cs="仿宋_GB2312"/>
                <w:b/>
                <w:bCs/>
                <w:caps w:val="0"/>
                <w:color w:val="000000"/>
                <w:spacing w:val="0"/>
                <w:kern w:val="0"/>
                <w:sz w:val="24"/>
                <w:szCs w:val="24"/>
                <w:bdr w:val="none" w:color="auto" w:sz="0" w:space="0"/>
                <w:lang w:val="en-US" w:eastAsia="zh-CN" w:bidi="ar"/>
              </w:rPr>
              <w:t>改革事项</w:t>
            </w:r>
          </w:p>
        </w:tc>
        <w:tc>
          <w:tcPr>
            <w:tcW w:w="994"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rPr>
                <w:b/>
                <w:bCs/>
              </w:rPr>
            </w:pPr>
            <w:r>
              <w:rPr>
                <w:rFonts w:hint="default" w:ascii="仿宋_GB2312" w:hAnsi="宋体" w:eastAsia="仿宋_GB2312" w:cs="仿宋_GB2312"/>
                <w:b/>
                <w:bCs/>
                <w:caps w:val="0"/>
                <w:color w:val="000000"/>
                <w:spacing w:val="0"/>
                <w:kern w:val="0"/>
                <w:sz w:val="24"/>
                <w:szCs w:val="24"/>
                <w:bdr w:val="none" w:color="auto" w:sz="0" w:space="0"/>
                <w:lang w:val="en-US" w:eastAsia="zh-CN" w:bidi="ar"/>
              </w:rPr>
              <w:t>许可证件名称</w:t>
            </w:r>
          </w:p>
        </w:tc>
        <w:tc>
          <w:tcPr>
            <w:tcW w:w="153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rPr>
                <w:b/>
                <w:bCs/>
              </w:rPr>
            </w:pPr>
            <w:r>
              <w:rPr>
                <w:rFonts w:hint="default" w:ascii="仿宋_GB2312" w:hAnsi="宋体" w:eastAsia="仿宋_GB2312" w:cs="仿宋_GB2312"/>
                <w:b/>
                <w:bCs/>
                <w:caps w:val="0"/>
                <w:color w:val="000000"/>
                <w:spacing w:val="0"/>
                <w:kern w:val="0"/>
                <w:sz w:val="24"/>
                <w:szCs w:val="24"/>
                <w:bdr w:val="none" w:color="auto" w:sz="0" w:space="0"/>
                <w:lang w:val="en-US" w:eastAsia="zh-CN" w:bidi="ar"/>
              </w:rPr>
              <w:t>设定依据</w:t>
            </w:r>
          </w:p>
        </w:tc>
        <w:tc>
          <w:tcPr>
            <w:tcW w:w="599"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rPr>
                <w:b/>
                <w:bCs/>
              </w:rPr>
            </w:pPr>
            <w:r>
              <w:rPr>
                <w:rFonts w:hint="default" w:ascii="仿宋_GB2312" w:hAnsi="宋体" w:eastAsia="仿宋_GB2312" w:cs="仿宋_GB2312"/>
                <w:b/>
                <w:bCs/>
                <w:caps w:val="0"/>
                <w:color w:val="000000"/>
                <w:spacing w:val="0"/>
                <w:kern w:val="0"/>
                <w:sz w:val="24"/>
                <w:szCs w:val="24"/>
                <w:bdr w:val="none" w:color="auto" w:sz="0" w:space="0"/>
                <w:lang w:val="en-US" w:eastAsia="zh-CN" w:bidi="ar"/>
              </w:rPr>
              <w:t>审批层级和部门</w:t>
            </w:r>
          </w:p>
        </w:tc>
        <w:tc>
          <w:tcPr>
            <w:tcW w:w="2001" w:type="dxa"/>
            <w:gridSpan w:val="4"/>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rPr>
                <w:b/>
                <w:bCs/>
              </w:rPr>
            </w:pPr>
            <w:r>
              <w:rPr>
                <w:rFonts w:hint="default" w:ascii="仿宋_GB2312" w:hAnsi="宋体" w:eastAsia="仿宋_GB2312" w:cs="仿宋_GB2312"/>
                <w:b/>
                <w:bCs/>
                <w:caps w:val="0"/>
                <w:color w:val="000000"/>
                <w:spacing w:val="0"/>
                <w:kern w:val="0"/>
                <w:sz w:val="24"/>
                <w:szCs w:val="24"/>
                <w:bdr w:val="none" w:color="auto" w:sz="0" w:space="0"/>
                <w:lang w:val="en-US" w:eastAsia="zh-CN" w:bidi="ar"/>
              </w:rPr>
              <w:t>改革方式</w:t>
            </w:r>
          </w:p>
        </w:tc>
        <w:tc>
          <w:tcPr>
            <w:tcW w:w="1837" w:type="dxa"/>
            <w:vMerge w:val="restart"/>
            <w:tcBorders>
              <w:top w:val="single" w:color="auto" w:sz="8"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rPr>
                <w:b/>
                <w:bCs/>
              </w:rPr>
            </w:pPr>
            <w:r>
              <w:rPr>
                <w:rFonts w:hint="default" w:ascii="仿宋_GB2312" w:hAnsi="宋体" w:eastAsia="仿宋_GB2312" w:cs="仿宋_GB2312"/>
                <w:b/>
                <w:bCs/>
                <w:caps w:val="0"/>
                <w:color w:val="000000"/>
                <w:spacing w:val="0"/>
                <w:kern w:val="0"/>
                <w:sz w:val="24"/>
                <w:szCs w:val="24"/>
                <w:bdr w:val="none" w:color="auto" w:sz="0" w:space="0"/>
                <w:lang w:val="en-US" w:eastAsia="zh-CN" w:bidi="ar"/>
              </w:rPr>
              <w:t>具体改革举措</w:t>
            </w:r>
          </w:p>
        </w:tc>
        <w:tc>
          <w:tcPr>
            <w:tcW w:w="4409" w:type="dxa"/>
            <w:vMerge w:val="restart"/>
            <w:tcBorders>
              <w:top w:val="single" w:color="auto" w:sz="8"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rPr>
                <w:b/>
                <w:bCs/>
              </w:rPr>
            </w:pPr>
            <w:r>
              <w:rPr>
                <w:rFonts w:hint="default" w:ascii="仿宋_GB2312" w:hAnsi="宋体" w:eastAsia="仿宋_GB2312" w:cs="仿宋_GB2312"/>
                <w:b/>
                <w:bCs/>
                <w:caps w:val="0"/>
                <w:color w:val="000000"/>
                <w:spacing w:val="0"/>
                <w:kern w:val="0"/>
                <w:sz w:val="24"/>
                <w:szCs w:val="24"/>
                <w:bdr w:val="none" w:color="auto" w:sz="0" w:space="0"/>
                <w:lang w:val="en-US" w:eastAsia="zh-CN" w:bidi="ar"/>
              </w:rPr>
              <w:t>加强事中事后监管措施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88" w:type="dxa"/>
            <w:vMerge w:val="continue"/>
            <w:tcBorders>
              <w:top w:val="single" w:color="auto" w:sz="8" w:space="0"/>
              <w:left w:val="single" w:color="auto" w:sz="8" w:space="0"/>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300" w:lineRule="exact"/>
              <w:textAlignment w:val="auto"/>
              <w:rPr>
                <w:rFonts w:hint="eastAsia" w:ascii="宋体" w:hAnsi="宋体" w:eastAsia="宋体" w:cs="宋体"/>
                <w:caps w:val="0"/>
                <w:spacing w:val="0"/>
                <w:sz w:val="24"/>
                <w:szCs w:val="24"/>
              </w:rPr>
            </w:pPr>
          </w:p>
        </w:tc>
        <w:tc>
          <w:tcPr>
            <w:tcW w:w="585" w:type="dxa"/>
            <w:vMerge w:val="continue"/>
            <w:tcBorders>
              <w:top w:val="single" w:color="auto" w:sz="8"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300" w:lineRule="exact"/>
              <w:textAlignment w:val="auto"/>
              <w:rPr>
                <w:rFonts w:hint="eastAsia" w:ascii="宋体" w:hAnsi="宋体" w:eastAsia="宋体" w:cs="宋体"/>
                <w:caps w:val="0"/>
                <w:spacing w:val="0"/>
                <w:sz w:val="24"/>
                <w:szCs w:val="24"/>
              </w:rPr>
            </w:pPr>
          </w:p>
        </w:tc>
        <w:tc>
          <w:tcPr>
            <w:tcW w:w="1691"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300" w:lineRule="exact"/>
              <w:textAlignment w:val="auto"/>
              <w:rPr>
                <w:rFonts w:hint="eastAsia" w:ascii="宋体" w:hAnsi="宋体" w:eastAsia="宋体" w:cs="宋体"/>
                <w:caps w:val="0"/>
                <w:spacing w:val="0"/>
                <w:sz w:val="24"/>
                <w:szCs w:val="24"/>
              </w:rPr>
            </w:pPr>
          </w:p>
        </w:tc>
        <w:tc>
          <w:tcPr>
            <w:tcW w:w="994"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300" w:lineRule="exact"/>
              <w:textAlignment w:val="auto"/>
              <w:rPr>
                <w:rFonts w:hint="eastAsia" w:ascii="宋体" w:hAnsi="宋体" w:eastAsia="宋体" w:cs="宋体"/>
                <w:caps w:val="0"/>
                <w:spacing w:val="0"/>
                <w:sz w:val="24"/>
                <w:szCs w:val="24"/>
              </w:rPr>
            </w:pPr>
          </w:p>
        </w:tc>
        <w:tc>
          <w:tcPr>
            <w:tcW w:w="153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300" w:lineRule="exact"/>
              <w:textAlignment w:val="auto"/>
              <w:rPr>
                <w:rFonts w:hint="eastAsia" w:ascii="宋体" w:hAnsi="宋体" w:eastAsia="宋体" w:cs="宋体"/>
                <w:caps w:val="0"/>
                <w:spacing w:val="0"/>
                <w:sz w:val="24"/>
                <w:szCs w:val="24"/>
              </w:rPr>
            </w:pPr>
          </w:p>
        </w:tc>
        <w:tc>
          <w:tcPr>
            <w:tcW w:w="599"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300" w:lineRule="exact"/>
              <w:textAlignment w:val="auto"/>
              <w:rPr>
                <w:rFonts w:hint="eastAsia" w:ascii="宋体" w:hAnsi="宋体" w:eastAsia="宋体" w:cs="宋体"/>
                <w:b/>
                <w:bCs/>
                <w:caps w:val="0"/>
                <w:spacing w:val="0"/>
                <w:sz w:val="24"/>
                <w:szCs w:val="24"/>
              </w:rPr>
            </w:pP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rPr>
                <w:b/>
                <w:bCs/>
              </w:rPr>
            </w:pPr>
            <w:r>
              <w:rPr>
                <w:rFonts w:hint="default" w:ascii="仿宋_GB2312" w:hAnsi="宋体" w:eastAsia="仿宋_GB2312" w:cs="仿宋_GB2312"/>
                <w:b/>
                <w:bCs/>
                <w:caps w:val="0"/>
                <w:color w:val="000000"/>
                <w:spacing w:val="0"/>
                <w:kern w:val="0"/>
                <w:sz w:val="24"/>
                <w:szCs w:val="24"/>
                <w:bdr w:val="none" w:color="auto" w:sz="0" w:space="0"/>
                <w:lang w:val="en-US" w:eastAsia="zh-CN" w:bidi="ar"/>
              </w:rPr>
              <w:t>直接取消审批</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rPr>
                <w:b/>
                <w:bCs/>
              </w:rPr>
            </w:pPr>
            <w:r>
              <w:rPr>
                <w:rFonts w:hint="default" w:ascii="仿宋_GB2312" w:hAnsi="宋体" w:eastAsia="仿宋_GB2312" w:cs="仿宋_GB2312"/>
                <w:b/>
                <w:bCs/>
                <w:caps w:val="0"/>
                <w:color w:val="000000"/>
                <w:spacing w:val="0"/>
                <w:kern w:val="0"/>
                <w:sz w:val="24"/>
                <w:szCs w:val="24"/>
                <w:bdr w:val="none" w:color="auto" w:sz="0" w:space="0"/>
                <w:lang w:val="en-US" w:eastAsia="zh-CN" w:bidi="ar"/>
              </w:rPr>
              <w:t>审批改为备案</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rPr>
                <w:b/>
                <w:bCs/>
              </w:rPr>
            </w:pPr>
            <w:r>
              <w:rPr>
                <w:rFonts w:hint="default" w:ascii="仿宋_GB2312" w:hAnsi="宋体" w:eastAsia="仿宋_GB2312" w:cs="仿宋_GB2312"/>
                <w:b/>
                <w:bCs/>
                <w:caps w:val="0"/>
                <w:color w:val="000000"/>
                <w:spacing w:val="0"/>
                <w:kern w:val="0"/>
                <w:sz w:val="24"/>
                <w:szCs w:val="24"/>
                <w:bdr w:val="none" w:color="auto" w:sz="0" w:space="0"/>
                <w:lang w:val="en-US" w:eastAsia="zh-CN" w:bidi="ar"/>
              </w:rPr>
              <w:t>实行告知承诺</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rPr>
                <w:b/>
                <w:bCs/>
              </w:rPr>
            </w:pPr>
            <w:r>
              <w:rPr>
                <w:rFonts w:hint="default" w:ascii="仿宋_GB2312" w:hAnsi="宋体" w:eastAsia="仿宋_GB2312" w:cs="仿宋_GB2312"/>
                <w:b/>
                <w:bCs/>
                <w:caps w:val="0"/>
                <w:color w:val="000000"/>
                <w:spacing w:val="0"/>
                <w:kern w:val="0"/>
                <w:sz w:val="24"/>
                <w:szCs w:val="24"/>
                <w:bdr w:val="none" w:color="auto" w:sz="0" w:space="0"/>
                <w:lang w:val="en-US" w:eastAsia="zh-CN" w:bidi="ar"/>
              </w:rPr>
              <w:t>优化审批服务</w:t>
            </w:r>
          </w:p>
        </w:tc>
        <w:tc>
          <w:tcPr>
            <w:tcW w:w="1837" w:type="dxa"/>
            <w:vMerge w:val="continue"/>
            <w:tcBorders>
              <w:top w:val="single" w:color="auto" w:sz="8"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300" w:lineRule="exact"/>
              <w:textAlignment w:val="auto"/>
              <w:rPr>
                <w:rFonts w:hint="eastAsia" w:ascii="宋体" w:hAnsi="宋体" w:eastAsia="宋体" w:cs="宋体"/>
                <w:caps w:val="0"/>
                <w:spacing w:val="0"/>
                <w:sz w:val="24"/>
                <w:szCs w:val="24"/>
              </w:rPr>
            </w:pPr>
          </w:p>
        </w:tc>
        <w:tc>
          <w:tcPr>
            <w:tcW w:w="4409" w:type="dxa"/>
            <w:vMerge w:val="continue"/>
            <w:tcBorders>
              <w:top w:val="single" w:color="auto" w:sz="8"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0" w:line="300" w:lineRule="exact"/>
              <w:textAlignment w:val="auto"/>
              <w:rPr>
                <w:rFonts w:hint="eastAsia" w:ascii="宋体" w:hAnsi="宋体" w:eastAsia="宋体" w:cs="宋体"/>
                <w:caps w:val="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43"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公安部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典当业特种行业许可证核发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典当业特种行业许可证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《国务院对确需保留的行政审批项目设定行政许可的决定》</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公安局鹤城分局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取消“典当业特种行业许可证核发”。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textAlignment w:val="auto"/>
            </w:pPr>
            <w:r>
              <w:rPr>
                <w:rFonts w:hint="default" w:ascii="仿宋_GB2312" w:hAnsi="宋体" w:eastAsia="仿宋_GB2312" w:cs="仿宋_GB2312"/>
                <w:caps w:val="0"/>
                <w:spacing w:val="0"/>
                <w:sz w:val="24"/>
                <w:szCs w:val="24"/>
                <w:bdr w:val="none" w:color="auto" w:sz="0" w:space="0"/>
              </w:rPr>
              <w:t> </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加强部门间信息共享，省级地方金融监管部门在实施“设立典当行及分支机构审批”后及时将有关信息推送至公安机关，公安机关及时将典当行及其分支机构纳入监管范围。2.开展“双随机、一公开”监管，发现违法违规行为要依法查处并公开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28"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2</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国家卫生健康委</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诊所设置审批</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无</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《医疗机构管理条例》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区卫生健康局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开办诊所不再向卫生健康部门申办设置审批，直接办理诊所执业备案。</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完善医疗服务监管信息系统，要求诊所将诊疗信息及时上传信息系统。2.加强监督管理，根据相关管理规定，发现问题依法严肃处理。3.将诊所执业状况记入诊所主要负责人个人诚信记录，强化信用约束。4.向社会公开诊所有关信息和医师、护士注册信息，加强行业自律和社会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5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3</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国家卫生健康委</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计划生育技术服务机构设立许可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计划生育技术服务机构执业许可证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《计划生育技术服务管理条例》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区卫生健康局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取消“计划生育技术服务机构设立许可”，纳入“母婴保健专项技术服务许可”进行统一审批管理。</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1.加强监督管理，发现违法违规行为要依法查处并公开结果。2.加强信用监管，将计划生育技术服务机构执业状况记入信用记录并依法向社会公布。3.依法及时处理投诉举报。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55"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4</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国家卫生健康委</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部分医疗机构（除三级医院、三级妇幼保健院、急救中心、急救站、临床检验中心、中外合资合作医疗机构、港澳台独资医疗机构外）《设置医疗机构批准书》核发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设置医疗机构批准书</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《医疗机构管理条例》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区卫生健康局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1.对医疗机构开展定期校验，加强对医疗机构执业活动的监管，发现违法违规行为要依法查处并公开结果。2.组织开展医疗机构评审。3.依法及时处理投诉举报。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5</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市场监管总局</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广告发布登记</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关于准予广告发布登记的通知书</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《中华人民共和国广告法》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区市场监管局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取消“广告发布登记”。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textAlignment w:val="auto"/>
            </w:pPr>
            <w:r>
              <w:rPr>
                <w:rFonts w:hint="default" w:ascii="仿宋_GB2312" w:hAnsi="宋体" w:eastAsia="仿宋_GB2312" w:cs="仿宋_GB2312"/>
                <w:caps w:val="0"/>
                <w:spacing w:val="0"/>
                <w:sz w:val="24"/>
                <w:szCs w:val="24"/>
                <w:bdr w:val="none" w:color="auto" w:sz="0" w:space="0"/>
              </w:rPr>
              <w:t> </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1.加大广告监测力度，发现广告发布机构发布虚假违法广告要依法查处。2.加强协同监管，联合有关部门共同做好广告发布机构监管工作。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91"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6</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国家林草局</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在草原上开展经营性旅游活动审批</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草原作业许可证（草原经营性旅游活动）</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《中华人民共和国草原法》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区林业局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取消“在草原上开展经营性旅游活动审批”。</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开展“双随机、一公开”监管，在草原征占用行为监管过程中，一并对有关经营性旅游活动进行检查，发现违法违规行为要依法查处并公开结果。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7</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交通运输部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机动车驾驶员培训许可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道路运输经营许可证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《中华人民共和国道路交通安全法》《中华人民共和国道路运输条例》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区交通运输局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取消“机动车驾驶员培训许可”，改为备案管理。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textAlignment w:val="auto"/>
            </w:pPr>
            <w:r>
              <w:rPr>
                <w:rFonts w:hint="default" w:ascii="仿宋_GB2312" w:hAnsi="宋体" w:eastAsia="仿宋_GB2312" w:cs="仿宋_GB2312"/>
                <w:caps w:val="0"/>
                <w:spacing w:val="0"/>
                <w:sz w:val="24"/>
                <w:szCs w:val="24"/>
                <w:bdr w:val="none" w:color="auto" w:sz="0" w:space="0"/>
              </w:rPr>
              <w:t> </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健全信用管理制度，强化对驾驶培训机构和教练员的信用监管。2.加强与公安、市场监管部门的信息共享，实施跨部门联合监管。3.开展“双随机、一公开”监管，对培训学时造假等违法违规行为依法查处并公开结果。4.严厉打击虚假备案行为，对弄虚作假的培训机构依法处理，情节严重的实行行业禁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12"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8</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商务部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对外贸易经营者备案登记</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对外贸易经营者备案登记表</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《中华人民共和国对外贸易法》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区商务局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取消对外贸易经营者的许可准入管理，改为备案管理。</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等事中事后监管，发现违法违规行为要依法查处并公开结果，对严重违法违规的企业要依法联合实施市场禁入措施。2.加强信用监管，建立经营主体信用记录，依法依规实施失信惩戒。3.支持行业协会发挥自律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48"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9</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国家卫生健康委</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诊所执业登记</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医疗机构执业许可证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《医疗机构管理条例》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区卫生健康局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取消对诊所执业的许可准入管理，改为备案管理。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textAlignment w:val="auto"/>
            </w:pPr>
            <w:r>
              <w:rPr>
                <w:rFonts w:hint="default" w:ascii="仿宋_GB2312" w:hAnsi="宋体" w:eastAsia="仿宋_GB2312" w:cs="仿宋_GB2312"/>
                <w:caps w:val="0"/>
                <w:spacing w:val="0"/>
                <w:sz w:val="24"/>
                <w:szCs w:val="24"/>
                <w:bdr w:val="none" w:color="auto" w:sz="0" w:space="0"/>
              </w:rPr>
              <w:t> </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依法将诊所执业状况记入诊所主要负责人个人诚信记录，强化信用约束。5.向社会公开诊所备案信息和医师、护士注册信息，加强行业自律和社会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10</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市场监管总局</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食品经营许可（仅销售预包装食品）</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食品经营许可证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《中华人民共和国食品安全法》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区市场监管局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1.对仅销售预包装食品的企业，取消食品经营许可，改为备案管理。2.将“食品经营备案（仅销售预包装食品）”纳入“多证合一”范围，在企业登记注册环节一并办理备案手续。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textAlignment w:val="auto"/>
            </w:pPr>
            <w:r>
              <w:rPr>
                <w:rFonts w:hint="default" w:ascii="仿宋_GB2312" w:hAnsi="宋体" w:eastAsia="仿宋_GB2312" w:cs="仿宋_GB2312"/>
                <w:caps w:val="0"/>
                <w:spacing w:val="0"/>
                <w:sz w:val="24"/>
                <w:szCs w:val="24"/>
                <w:bdr w:val="none" w:color="auto" w:sz="0" w:space="0"/>
              </w:rPr>
              <w:t> </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对备案企业加强监督检查，重点检查备案信息与实际情况是否相符、备案企业是否经营预包装食品以外的其他食品，依法严厉打击违规经营行为。2.加强食品销售风险分级管理和信用监管，将虚假备案、违规经营等信息记入企业食品安全信用记录，依法依规对失信主体开展失信惩戒，依法查处违法违规行为。3.畅通投诉举报渠道，强化社会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9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11</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公安部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旅馆业特种行业许可证核发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旅馆业特种行业许可证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《国务院对确需保留的行政审批项目设定行政许可的决定》《旅馆业治安管理办法》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公安局鹤城分局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1.加强对承诺内容真实性的核查，发现虚假承诺、承诺严重不实的要依法处理。2.开展“双随机、一公开”监管，依法查处违法违规行为。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88"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12</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公安部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公章刻制业特种行业许可证核发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公章刻制业特种行业许可证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《国务院对确需保留的行政审批项目设定行政许可的决定》《印铸刻字业暂行管理规则》</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公安局鹤城分局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加强对承诺内容真实性的核查，发现虚假承诺、承诺严重不实的要依法处理。2.开展“双随机、一公开”监管，依法查处违法违规行为。3.加强公章刻制备案管理，督促公章刻制企业严格落实公章刻制备案管理要求，及时规范上传、报送公章刻制备案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67"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13</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财政部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中介机构从事代理记账业务审批</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代理记账许可证书</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《中华人民共和国会计法》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区财政局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依法向社会公布中介机构信用状况和违法中介机构名单，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9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14</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人力资源和社会保障部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民办职业培训学校设立、分立、合并、变更及终止审批</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民办学校办学许可证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《中华人民共和国民办教育促进法》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区人力资源和社会保障局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1.开展“双随机、一公开”监管，发现违法违规行为要依法查处并公开结果。2.加强信用监管，依法向社会公布民办职业培训学校信用状况，依法依规对失信主体开展失信惩戒。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3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15</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人力资源和社会保障部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人力资源服务许可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人力资源服务许可证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《中华人民共和国就业促进法》《人力资源市场暂行条例》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区人力资源和社会保障局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1.开展“双随机、一公开”监管，发现违法违规行为要依法查处并公开结果。2.加强信用监管，依法向社会公布人力资源服务机构信用状况，依法依规对失信主体开展失信惩戒。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22"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16</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交通运输部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道路货运经营许可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道路运输经营许可证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《中华人民共和国道路运输条例》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区交通运输局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52"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17</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交通运输部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道路旅客运输站经营许可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道路运输经营许可证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《中华人民共和国道路运输条例》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区交通运输局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17"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18</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国家卫生健康委</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公共场所卫生许可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卫生许可证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《公共场所卫生管理条例》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区卫生健康局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1.开展“双随机、一公开”监管，发现违法违规行为要依法查处并公开结果。2.加强信用监管，向社会公布卫生状况存在严重问题的公共场所信息。3.畅通投诉举报渠道，依法及时处理投诉举报。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19</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应急管理部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公众聚集场所投入使用、营业前消防安全检查</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公众聚集场所投入使用、营业前消防安全检查意见书</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《中华人民共和国消防法》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区消防救援大队</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制作并公布告知承诺书格式文本，一次性告知申请人许可条件和所需材料。对到消防业务受理窗口提出申请的, 应当当场作出决定; 对通过消防在线政务服务平台提出申请的, 应当自收到申请之日起一个工作日内办结。对申请人选择不采用告知承诺方式办理的, 可以通过场所所在地的消防业务受理窗口或者消防在线政务服务平台进行办理。</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对投诉举报多的场所实施重点监管。2.公众聚集场所发生造成人员死亡或重大社会影响的火灾，倒查使用管理方主体责任，依法严肃查处。3.加强信用监管，依法向社会公布公众聚集场所消防安全检查情况，依法依规对失信主体加大抽查比例并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17"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20</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国家林草局</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林草种子（普通）生产经营许可证核发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林草种子生产经营许可证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《中华人民共和国种子法》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区林业局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1.开展“双随机、一公开”监管，发现违法违规行为要依法查处并公开结果。2.制定核查办法，明确核查时间、标准、方式，优化现场检查程序。3.加强信用监管，建立企业信用记录并依法向社会公开。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0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21</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教育部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实施中等及中等以下学历教育、学前教育、自学考试助学及其他文化教育的民办学校设立、变更和终止审批</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中华人民共和国民办学校办学许可证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《中华人民共和国民办教育促进法》《中华人民共和国民办教育促进法实施条例》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区教育局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审批时限均由20个工作日压减至15个工作日。4.对民办学校申请许可证到期延续的，若许可条件基本不变且无违法违规或失信记录，在各学段原有许可证期限基础上延长1年有效期。5.每半年1次公布营利性民办学校存量情况。</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依法依规建立违规失信惩戒机制，并将违规办学的学校及其举办者和负责人纳入黑名单，依法向社会公开，并对其今后在民办教育领域的许可申请实施重点监管。4.健全联合执法机制，通过跨部门的实时数据对接和信息共享，及时掌握和研判民办教育领域出现的新问题，积极主动予以应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22</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人力资源和社会保障部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劳务派遣经营许可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劳务派遣经营许可证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《中华人民共和国劳动合同法》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区人力资源和社会保障局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有条件的地区将省、设区的区级人力资源社会保障部门的审批权限下放至县级人力资源社会保障部门。2.加快实现申请、审批全程网上办理。3.不再要求申请人提供营业执照、企业名称预先核准通知书、法定代表人身份证明等材料。</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1.开展“双随机、一公开”监管，发现违法违规行为要依法查处。2.加强信用监管，依法向社会公布劳务派遣企业信用状况，依法依规对失信主体开展失信惩戒。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spacing w:val="0"/>
                <w:kern w:val="0"/>
                <w:sz w:val="24"/>
                <w:szCs w:val="24"/>
                <w:bdr w:val="none" w:color="auto" w:sz="0" w:space="0"/>
                <w:lang w:val="en-US" w:eastAsia="zh-CN" w:bidi="ar"/>
              </w:rPr>
              <w:t>23</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spacing w:val="0"/>
                <w:kern w:val="0"/>
                <w:sz w:val="24"/>
                <w:szCs w:val="24"/>
                <w:bdr w:val="none" w:color="auto" w:sz="0" w:space="0"/>
                <w:lang w:val="en-US" w:eastAsia="zh-CN" w:bidi="ar"/>
              </w:rPr>
              <w:t>自然资源部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spacing w:val="0"/>
                <w:kern w:val="0"/>
                <w:sz w:val="24"/>
                <w:szCs w:val="24"/>
                <w:bdr w:val="none" w:color="auto" w:sz="0" w:space="0"/>
                <w:lang w:val="en-US" w:eastAsia="zh-CN" w:bidi="ar"/>
              </w:rPr>
              <w:t>开采矿产资源审批</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spacing w:val="0"/>
                <w:kern w:val="0"/>
                <w:sz w:val="24"/>
                <w:szCs w:val="24"/>
                <w:bdr w:val="none" w:color="auto" w:sz="0" w:space="0"/>
                <w:lang w:val="en-US" w:eastAsia="zh-CN" w:bidi="ar"/>
              </w:rPr>
              <w:t>采矿许可证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spacing w:val="0"/>
                <w:kern w:val="0"/>
                <w:sz w:val="24"/>
                <w:szCs w:val="24"/>
                <w:bdr w:val="none" w:color="auto" w:sz="0" w:space="0"/>
                <w:lang w:val="en-US" w:eastAsia="zh-CN" w:bidi="ar"/>
              </w:rPr>
              <w:t>《中华人民共和国矿产资源法》《中华人民共和国矿产资源法实施细则》《矿产资源开采登记管理办法》《探矿权采矿权转让管理办法》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spacing w:val="0"/>
                <w:kern w:val="0"/>
                <w:sz w:val="24"/>
                <w:szCs w:val="24"/>
                <w:bdr w:val="none" w:color="auto" w:sz="0" w:space="0"/>
                <w:lang w:val="en-US" w:eastAsia="zh-CN" w:bidi="ar"/>
              </w:rPr>
              <w:t>区自然资源局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spacing w:val="0"/>
                <w:kern w:val="0"/>
                <w:sz w:val="24"/>
                <w:szCs w:val="24"/>
                <w:bdr w:val="none" w:color="auto" w:sz="0" w:space="0"/>
                <w:lang w:val="en-US" w:eastAsia="zh-CN" w:bidi="ar"/>
              </w:rPr>
              <w:t>不再要求申请人提供符合国家限制及政策调控申请条件等材料。按照有关授权，将省级自然资源部门负责的部分矿产采矿权延续、变更、注销登记等事项的审批权限下放至设区的区、县级自然资源部门。</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spacing w:val="0"/>
                <w:kern w:val="0"/>
                <w:sz w:val="24"/>
                <w:szCs w:val="24"/>
                <w:bdr w:val="none" w:color="auto" w:sz="0" w:space="0"/>
                <w:lang w:val="en-US" w:eastAsia="zh-CN" w:bidi="ar"/>
              </w:rPr>
              <w:t>1.开展“双随机、一公开”监管，对违法违规采矿的要依法查处并公开结果。2.利用有关信息系统实现矿业权人勘查开采信息公示等，加强对采矿权人行为的监管。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6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24</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生态环境部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危险废物综合经营许可证核发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危险废物经营许可证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《中华人民共和国固体废物污染环境防治法》《危险废物经营许可证管理办法》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生态环境局鹤城分局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合理确定抽查比例。2.畅通投诉举报渠道，依法及时处理有关投诉举报，并公开结果。3.要求危险废物经营单位定期报告有关经营活动环境污染防治情况，将违规经营情况纳入企业信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1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25</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生态环境部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排污许可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排污许可证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《中华人民共和国环境保护法》《中华人民共和国大气污染防治法》《中华人民共和国水污染防治法》《中华人民共和国土壤污染防治法》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生态环境局鹤城分局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通过建设项目行业特征表实现有关信息系统的衔接，推动环境影响评价与排污许可之间的信息共享，不再要求企业重复填报有关信息。</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依法查处无证排污行为和未按证排污行为。2.畅通投诉举报渠道，对反映问题多的排污单位实施重点监管。3.加强信用监管，将企业环境信用信息通过有关信息共享平台向各部门各地区共享，依法向社会公开信用信息，并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12"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26</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交通运输部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道路旅客运输经营许可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道路运输经营许可证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《中华人民共和国道路运输条例》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区交通运输局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不再要求申请人提供企业章程，现有营运客车行驶证、车辆技术等级评定结论、客车类型等级评定证明，已聘用或者拟聘用驾驶人员的3年内无重大以上交通责任事故证明等材料。</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1.强化部门间信息共享。2.加强社会监督，向社会公开道路旅客运输企业的运输服务质量承诺，依法及时处理投诉举报。3.加强对道路旅客运输活动的监督检查，发现违法违规行为要依法查处。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12"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27</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交通运输部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出租汽车经营许可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道路运输经营许可证、网络预约出租汽车经营许可证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《国务院对确需保留的行政审批项目设定行政许可的决定》</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区交通运输局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将审批时限由20个工作日压减至15个工作日。</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1.开展服务质量信誉考核测评，建立出租汽车经营者信用档案并依法向社会公开信用记录，依法依规对失信主体开展失信惩戒。2.依法及时处理投诉举报。3.发挥行业协会自律作用。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47"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28</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交通运输部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出租汽车车辆运营证核发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道路运输证、网络预约出租汽车运输证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《国务院对确需保留的行政审批项目设定行政许可的决定》</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区交通运输局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对开展出租汽车技术等级评定的地区，不再要求申请人提供技术等级评定相关材料，直接向检测机构获取车辆技术等级评定信息。</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1.开展服务质量信誉考核测评，建立出租汽车经营者信用档案并依法向社会公开信用记录，依法依规对失信主体开展失信惩戒。2.依法及时处理投诉举报。3.发挥行业协会自律作用。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77"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29</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水利部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河道（含长江）采砂许可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河道采砂许可证、长江河道采砂许可证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《中华人民共和国水法》《中华人民共和国河道管理条例》《长江河道采砂管理条例》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区水利局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加强河道采砂规划编制审批，实行年度采量控制，及时向社会公布可采区、可采期、可采量。2.对公益性采砂减少审批环节，对符合相关工程建设项目程序的，不再同时开展河道（含长江）采砂行政许可。3.采取灵活的许可实施方式，各地可结合实际采取招标等公平竞争的方式实施许可。4.鼓励和支持河砂统一开采管理。</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落实河道采砂管理河长、水行政主管部门、现场监管和行政执法四方责任。2.开展“四不两直”暗访，加强对采砂情况的监督检查。3.长江干流实行砂石采运管理单制度，加强采砂现场及运输环节监管。4.运用卫星遥感、卫星导航定位、视频监控、无人机等技术手段进行动态监控。5.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30</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水利部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取水许可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取水许可证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《中华人民共和国水法》《取水许可和水资源费征收管理条例》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区水利局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在各类开发区、工业园区、新区和其他有条件的区域，推行水资源论证区域评估，对已实施水资源论证区域评估范围内的建设项目推行取水许可告知承诺制。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不含报告书修改时间）。对报告表实行备案承诺制，不再组织技术审查，由水利部门直接审核。</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取水单位和个人取用水、有关技术单位编制报告中存在违法行为的，要依法查处并向社会公开。2.加强信用监管，将取水单位和个人的相关违法信息纳入社会征信体系，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13"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31</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农业农村部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生鲜乳准运证明核发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生鲜乳准运证明</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《乳品质量安全监督管理条例》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区农业农村局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1.开展“双随机、一公开”监管，发现违法违规行为要依法查处并公开结果。2.加强对生鲜乳运输车辆的监管，将车辆全部纳入监管监测信息系统，实时掌握运营情况。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57"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32</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农业农村部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生鲜乳收购站许可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生鲜乳收购许可证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《乳品质量安全监督管理条例》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区农业农村局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将审批时限由20个工作日压减至10个工作日。</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1.开展“双随机、一公开”监管，发现违法违规行为要依法查处并公开结果。2.加强对生鲜乳收购站的监管，将其全部纳入监管监测信息系统，实时掌握收购、运营情况。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33</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农业农村部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农作物种子、食用菌菌种生产经营许可证核发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农作物种子、食用菌菌种生产经营许可证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《中华人民共和国种子法》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区农业农村局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√食用菌菌种生产经营许可证核发</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√农作物种子生产经营许可证核发</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对食用菌菌种生产经营许可证核发实行告知承诺：制作并公布告知承诺书格式文本，一次性告知申请人许可条件和所需材料。对申请人自愿承诺符合许可条件并按要求提交材料的，当场作出许可决定。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textAlignment w:val="auto"/>
            </w:pPr>
            <w:r>
              <w:rPr>
                <w:rFonts w:hint="default" w:ascii="仿宋_GB2312" w:hAnsi="宋体" w:eastAsia="仿宋_GB2312" w:cs="仿宋_GB2312"/>
                <w:caps w:val="0"/>
                <w:color w:val="000000"/>
                <w:spacing w:val="0"/>
                <w:sz w:val="24"/>
                <w:szCs w:val="24"/>
                <w:bdr w:val="none" w:color="auto" w:sz="0" w:space="0"/>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对农作物种子生产经营许可证核发采取优化审批服务：1.实现申请、审批网上办理。2.不再要求申请人提供营业执照、法定代表人身份证等材料，通过部门间信息共享获取相关信息。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textAlignment w:val="auto"/>
            </w:pPr>
            <w:r>
              <w:rPr>
                <w:rFonts w:hint="default" w:ascii="仿宋_GB2312" w:hAnsi="宋体" w:eastAsia="仿宋_GB2312" w:cs="仿宋_GB2312"/>
                <w:caps w:val="0"/>
                <w:spacing w:val="0"/>
                <w:sz w:val="24"/>
                <w:szCs w:val="24"/>
                <w:bdr w:val="none" w:color="auto" w:sz="0" w:space="0"/>
              </w:rPr>
              <w:t> </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对食用菌菌种生产经营许可证核发：1.开展“双随机、一公开”监管，严肃查处虚假承诺行为。2.加强信用监管，依法向社会公布种业企业信用状况，依法依规对失信主体开展失信惩戒。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textAlignment w:val="auto"/>
            </w:pPr>
            <w:r>
              <w:rPr>
                <w:rFonts w:hint="default" w:ascii="仿宋_GB2312" w:hAnsi="宋体" w:eastAsia="仿宋_GB2312" w:cs="仿宋_GB2312"/>
                <w:caps w:val="0"/>
                <w:color w:val="000000"/>
                <w:spacing w:val="0"/>
                <w:sz w:val="24"/>
                <w:szCs w:val="24"/>
                <w:bdr w:val="none" w:color="auto" w:sz="0" w:space="0"/>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对农作物种子生产经营许可证核发：1.开展“双随机、一公开”监管，根据风险程度，合理确定抽查比例，对风险等级高的领域、投诉举报多的企业实施重点监管。2.强化社会监督，依法及时处理举报、投诉问题，调查处理结果向社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94"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34</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农业农村部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种畜禽生产经营许可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种畜禽生产经营许可证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《中华人民共和国畜牧法》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区农业农村局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1.开展“双随机、一公开”监管，严肃查处虚假承诺行为。2.加强信用监管，依法向社会公布种业企业信用状况，依法依规对失信主体开展失信惩戒。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56"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35</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农业农村部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蜂种生产经营许可证核发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蜂种生产经营许可证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《中华人民共和国畜牧法》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区农业农村局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1.开展“双随机、一公开”监管，严肃查处虚假承诺行为。2.加强信用监管，依法向社会公布种业企业信用状况，依法依规对失信主体开展失信惩戒。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91"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36</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农业农村部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蚕种生产经营许可证核发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蚕种生产经营许可证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《中华人民共和国畜牧法》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区农业农村局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1.开展“双随机、一公开”监管，加强对企业承诺内容真实性的核查，发现虚假承诺或者承诺严重不实的要依法处理。2.加强信用监管，依法向社会公布种业企业信用状况，依法依规对失信主体开展失信惩戒。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25"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37</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农业农村部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兽药经营许可证核发（非生物制品类）</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兽药经营许可证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《兽药管理条例》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区农业农村局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对以告知承诺方式取得经营许可证的企业，加强对其承诺内容真实性的核查，发现虚假承诺或承诺严重不实的要依法处理。2.开展“双随机、一公开”监管，对风险等级高、投诉举报多的企业增加抽检数量和频次，实施重点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16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38</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农业农村部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动物诊疗许可证核发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动物诊疗许可证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《中华人民共和国动物防疫法》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区农业农村局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1.开展“双随机、一公开”监管，发现违法违规行为要依法查处并公开结果。2.对以告知承诺方式取得经营许可证的企业，加强对其承诺内容真实性的核查，发现虚假承诺或承诺严重不实的要依法处理。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352"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39</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农业农村部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农药经营许可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农药经营许可证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《农药管理条例》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区农业农村局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1.实现申请、审批网上办理。2.不再要求申请人同时提供申请材料的纸质文件和电子文档。</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并公开结果。2.加强行业监测，畅通投诉举报渠道，将风险隐患、投诉举报较多的企业列入重点监管对象。3.加强信用监管，依法向社会公布农药经营企业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1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40</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农业农村部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动物防疫条件合格证核发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动物防疫条件合格证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《中华人民共和国动物防疫法》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区农业农村局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1.实现申请、审批网上办理。2.将审批时限由20个工作日压减至15个工作日。</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1.开展“双随机、一公开”监管，发现违法违规行为要依法查处并公开结果。2.针对行业突出问题和重大风险点，开展安全风险预警监测，及时发现隐患并处置。3.强化社会监督，依法及时处理投诉举报。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79"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41</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农业农村部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渔业捕捞许可证审批</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渔业捕捞许可证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《中华人民共和国渔业法》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区农业农村局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1.加强对企业承诺内容真实性的核查，发现虚假承诺或者承诺严重不实的要依法处理。2.开展“双随机、一公开”监管，及时处理投诉举报，依法查处违法违规行为。3.加强信用监管。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772"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42</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农业农村部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水域滩涂养殖证核发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水域滩涂养殖证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《中华人民共和国渔业法》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区农业农村局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1.实现全国一网通办，申请人“最多跑一次”。2.不再要求申请人提供营业执照、法定代表人身份证等材料，通过部门间信息共享获取相关信息。</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1.开展“双随机、一公开”监管，发现违法违规行为要依法查处。2.对风险等级高、投诉举报多的企业实施重点监管。3.依法及时处理投诉举报，处理结果依法向社会公开并记入企业信用记录。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637"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43</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农业农村部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水产苗种场（不含原种场）的水产苗种生产许可证核发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水产苗种生产许可证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《中华人民共和国渔业法》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区农业农村局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1.加强对企业承诺内容真实性的核查，发现虚假承诺或者承诺严重不实的要依法处理。2.开展“双随机、一公开”监管，及时处理投诉举报，依法查处违法违规行为。3.加强信用监管。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44</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文化和旅游部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互联网上网服务营业场所经营单位设立审批</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网络文化经营许可证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《互联网上网服务营业场所管理条例》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区文化旅游广电体育局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1.取消总量限制和布局要求。2.取消对互联网上网服务营业场所的计算机数量限制。3.不再要求申请人提供资金信用证明等材料。4.将审批时限由20个工作日压减至13个工作日。</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1.开展“双随机、一公开”监管，发现违法违规行为要依法查处。2.加强信用监管，依法依规对失信主体开展失信惩戒。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45</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文化和旅游部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游艺娱乐场所设立审批</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娱乐经营许可证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《娱乐场所管理条例》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区文化旅游广电体育局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1.取消总量限制和布局要求。2.将审批时限由20个工作日压减至13个工作日。</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1.开展“双随机、一公开”监管，发现违法违规行为要依法查处。2.加强信用监管，依法依规对失信主体开展失信惩戒。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46</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文化和旅游部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歌舞娱乐场所设立审批</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娱乐经营许可证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《娱乐场所管理条例》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区文化旅游广电体育局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将审批时限由20个工作日压减至13个工作日。</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1.开展“双随机、一公开”监管，发现违法违规行为要依法查处。2.加强信用监管，依法依规对失信主体开展失信惩戒。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47"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47</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国家卫生健康委</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饮用水供水单位卫生许可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卫生许可证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《中华人民共和国传染病防治法》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区卫生健康局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不再要求申请人提供从业人员健康体检合格证明。</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1.开展“双随机、一公开”监管，发现违法违规行为要依法查处。2.强化部门协同监管，卫生健康部门向供水主管部门通报饮用水供水单位监督检查情况。3.畅通投诉举报渠道，依法及时处理投诉举报。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48</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国家卫生健康委</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放射源诊疗技术和医用辐射机构许可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放射诊疗许可证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《中华人民共和国职业病防治法》《放射性同位素与射线装置安全和防护条例》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区卫生健康局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将审批时限由20个工作日压减至10个工作日。</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1.开展“双随机、一公开”监管，发现违法违规行为要依法查处并公开结果。2.依法及时处理投诉举报。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49</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国家卫生健康委</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母婴保健专项技术服务许可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母婴保健技术服务执业许可证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《中华人民共和国母婴保健法》《中华人民共和国母婴保健法实施办法》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区卫生健康局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将开展婚前医学检查、产前筛查的母婴保健专项技术服务机构的审批权限下放至县级卫生健康部门。</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加强母婴保健专项技术质量控制。2.开展“双随机、一公开”监管，发现违法违规行为要依法查处并公开结果。3.加强产前诊断机构对产前筛查机构的人员培训、技术指导和质量控制。4.加强信用监管，依法向社会公布母婴保健专项技术服务机构信用状况。5.依法及时处理投诉举报。6.加强母婴保健专项技术服务行业自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50</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国家卫生健康委</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医疗机构（三级医院、三级妇幼保健院、急救中心、急救站、临床检验中心、中外合资合作医疗机构、港澳台独资医疗机构）设置审批</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设置医疗机构批准书</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《医疗机构管理条例》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区卫生健康局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加快推广电子化审批。</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1.对医疗机构开展定期校验，加强对医疗机构执业活动的监管，发现违法违规行为要依法查处并公开结果。2.组织开展医疗机构评审。3.依法及时处理投诉举报。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51</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国家卫生健康委</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医疗机构（不含诊所）执业登记</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医疗机构执业许可证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《医疗机构管理条例》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区卫生健康局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1.取消医疗机构验资证明。2.实现医疗机构电子化注册登记。</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1.对医疗机构开展定期校验，加强对医疗机构执业活动的监管，发现违法违规行为要依法查处并公开结果。2.组织开展医疗机构评审。3.依法及时处理投诉举报。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52</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应急管理部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烟花爆竹经营（零售）许可证核发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烟花爆竹经营（零售）许可证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《烟花爆竹安全管理条例》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区应急管理局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1.实现申请、审批全程网上办理。2.将审批时限由20个工作日压减至15个工作日。</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1.开展“双随机、一公开”监管，发现违法违规行为要依法严查重处并公开结果。2.加强信用监管，依法向社会公布烟花爆竹经营（零售）企业信用状况，依法依规对失信主体开展失信惩戒。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4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53</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应急管理部</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危险化学品经营许可证核发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危险化学品经营许可证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《危险化学品安全管理条例》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区应急管理局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√危险化学品（无储存）经营许可证核发</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√其他危险化学品经营许可证核发</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textAlignment w:val="auto"/>
            </w:pPr>
            <w:r>
              <w:rPr>
                <w:rFonts w:hint="default" w:ascii="仿宋_GB2312" w:hAnsi="宋体" w:eastAsia="仿宋_GB2312" w:cs="仿宋_GB2312"/>
                <w:caps w:val="0"/>
                <w:color w:val="000000"/>
                <w:spacing w:val="0"/>
                <w:sz w:val="24"/>
                <w:szCs w:val="24"/>
                <w:bdr w:val="none" w:color="auto" w:sz="0" w:space="0"/>
              </w:rPr>
              <w:t>对危险化学品（无存储）经营许可证核发实行告知承诺: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textAlignment w:val="auto"/>
            </w:pPr>
            <w:r>
              <w:rPr>
                <w:rFonts w:hint="default" w:ascii="仿宋_GB2312" w:hAnsi="宋体" w:eastAsia="仿宋_GB2312" w:cs="仿宋_GB2312"/>
                <w:caps w:val="0"/>
                <w:color w:val="000000"/>
                <w:spacing w:val="0"/>
                <w:sz w:val="24"/>
                <w:szCs w:val="24"/>
                <w:bdr w:val="none" w:color="auto" w:sz="0" w:space="0"/>
              </w:rPr>
              <w:t>制订并公布告知承诺书格式文本，一次性告知申请人许可条件和所需材料。对申请人自愿承诺符合许可条件并按要求提交材料的，当场作出许可决定。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textAlignment w:val="auto"/>
            </w:pPr>
            <w:r>
              <w:rPr>
                <w:rFonts w:hint="default" w:ascii="仿宋_GB2312" w:hAnsi="宋体" w:eastAsia="仿宋_GB2312" w:cs="仿宋_GB2312"/>
                <w:caps w:val="0"/>
                <w:color w:val="000000"/>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textAlignment w:val="auto"/>
            </w:pPr>
            <w:r>
              <w:rPr>
                <w:rFonts w:hint="default" w:ascii="仿宋_GB2312" w:hAnsi="宋体" w:eastAsia="仿宋_GB2312" w:cs="仿宋_GB2312"/>
                <w:caps w:val="0"/>
                <w:color w:val="000000"/>
                <w:spacing w:val="0"/>
                <w:sz w:val="24"/>
                <w:szCs w:val="24"/>
                <w:bdr w:val="none" w:color="auto" w:sz="0" w:space="0"/>
              </w:rPr>
              <w:t>对其他危险化学品经营许可证核发采取优化审批服务：1.实现申请、审批全程网上办理。2.将审批时限由30个工作日压减至20个工作日。</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1. 开展“双随机、一公开”监管，发现违法违规行为要依法查处并公开结果。2.加强信用监管，依法向社会公布危险化学品经营企业信用状况，依法依规对失信主体开展失信惩戒。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942"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54</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市场监管总局</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食品经营许可（除仅销售预包装食品外）</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食品经营许可证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《中华人民共和国食品安全法》</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区市场监管局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1.餐饮服务经营者销售预包装食品的，不需要申请在许可证上标注销售类食品经营项目。2.不再要求申请人提供营业执照复印件。</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1.严格执行有关法律法规和标准，发挥网格化管理的优势，发现违法违规行为要依法严查重处并公开结果。2.加强信用监管，依法向社会公布食品经营企业信用状况，依法依规对失信主体开展失信惩戒。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54"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55</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体育总局</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经营高危险性体育项目许可</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经营高危险性体育项目许可证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《全民健身条例》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区文化旅游广电体育局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并公开结果。2.建立健全跨区域、跨层级、跨部门协同监管制度，推进联合执法。3.加强信用监管，将有严重违法违规行为的机构列入黑名单，依法依规对相关经营主体和从业人员实施信用约束和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54"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56</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体育总局</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设立健身气功站点审批</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健身气功站点注册证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《国务院对确需保留的行政审批项目设定行政许可的决定》</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区文化旅游广电体育局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1.推广全程网上办理，推进体育领域信息数据共享应用。2.将审批时限由20个工作日压减至15个工作日。</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并公开结果。2.建立健全跨区域、跨层级、跨部门协同监管制度，推进联合执法。3.加强信用监管，依法依规将有严重违法违规行为的机构列入黑名单，对相关经营主体和从业人员实施信用约束和失信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57</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国家新闻出版署</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出版物零售单位设立、变更审批</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出版物经营许可证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《出版管理条例》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区文化旅游广电体育局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√出版物零售个体工商户设立、变更审批</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√其他出版物零售单位设立、变更审批</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出版物零售个体工商户设立、变更审批实行告知承诺：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其他出版物零售单位设立、变更审批采取优化审批服务：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对出版物零售个体工商户设立、变更审批：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开展“双随机、一公开”监管，发现违法违规行为要依法查处并公开结果。2.发现企业不符合承诺条件开展经营的责令限期整改，逾期不整改或整改后仍达不到要求的依法撤销许可证件。3.依法及时处理投诉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对其他出版物零售单位设立、变更审批：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1.开展“双随机、一公开”监管，发现违法违规行为要依法查处并公开结果。2.依法及时处理投诉举报。3.推进部门间信息共享应用。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58</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国家烟草局</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烟草专卖零售许可证核发</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烟草专卖零售许可证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《中华人民共和国烟草专卖法》《中华人民共和国烟草专卖法实施条例》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区烟草局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将审批时限由15个工作日压减至8个工作日。</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1.开展“双随机、一公开”监管，加强对持证主体合规经营的监管，发现违法违规行为要依法查处并公开结果。2.取缔无证经营主体。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545"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59</w:t>
            </w:r>
          </w:p>
        </w:tc>
        <w:tc>
          <w:tcPr>
            <w:tcW w:w="58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国家药监局</w:t>
            </w:r>
          </w:p>
        </w:tc>
        <w:tc>
          <w:tcPr>
            <w:tcW w:w="16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药品零售企业许可</w:t>
            </w:r>
          </w:p>
        </w:tc>
        <w:tc>
          <w:tcPr>
            <w:tcW w:w="99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药品经营许可证</w:t>
            </w:r>
          </w:p>
        </w:tc>
        <w:tc>
          <w:tcPr>
            <w:tcW w:w="15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《中华人民共和国药品管理法》《中华人民共和国药品管理法实施条例》</w:t>
            </w:r>
          </w:p>
        </w:tc>
        <w:tc>
          <w:tcPr>
            <w:tcW w:w="59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区市场监管局</w:t>
            </w:r>
          </w:p>
        </w:tc>
        <w:tc>
          <w:tcPr>
            <w:tcW w:w="52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1837"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不再要求申请人提供营业执照等材料。</w:t>
            </w:r>
          </w:p>
        </w:tc>
        <w:tc>
          <w:tcPr>
            <w:tcW w:w="44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1.落实“四个最严”要求，制定年度监管计划，突出监管重点，强化风险控制。2.通过日常监管督促企业不断完善、改进质量管理体系，持续合法合规经营。3.对违法违规行为，依法严厉查处并公开曝光。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48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60</w:t>
            </w:r>
          </w:p>
        </w:tc>
        <w:tc>
          <w:tcPr>
            <w:tcW w:w="58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国家电影局</w:t>
            </w:r>
          </w:p>
        </w:tc>
        <w:tc>
          <w:tcPr>
            <w:tcW w:w="16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电影放映单位设立审批</w:t>
            </w:r>
          </w:p>
        </w:tc>
        <w:tc>
          <w:tcPr>
            <w:tcW w:w="99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电影放映经营许可证</w:t>
            </w:r>
          </w:p>
        </w:tc>
        <w:tc>
          <w:tcPr>
            <w:tcW w:w="153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《中华人民共和国电影产业促进法》《电影管理条例》</w:t>
            </w:r>
          </w:p>
        </w:tc>
        <w:tc>
          <w:tcPr>
            <w:tcW w:w="59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区文化旅游广电体育局</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52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4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w:t>
            </w:r>
          </w:p>
        </w:tc>
        <w:tc>
          <w:tcPr>
            <w:tcW w:w="5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center"/>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 </w:t>
            </w:r>
          </w:p>
        </w:tc>
        <w:tc>
          <w:tcPr>
            <w:tcW w:w="183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制作并公布告知承诺书格式文本，一次性告知申请人许可条件和所需材料。对申请人自愿承诺符合许可条件并按要求提交材料的，当场作出许可决定。</w:t>
            </w:r>
          </w:p>
        </w:tc>
        <w:tc>
          <w:tcPr>
            <w:tcW w:w="44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00" w:lineRule="exact"/>
              <w:ind w:left="0" w:right="0"/>
              <w:jc w:val="left"/>
              <w:textAlignment w:val="auto"/>
            </w:pPr>
            <w:r>
              <w:rPr>
                <w:rFonts w:hint="default" w:ascii="仿宋_GB2312" w:hAnsi="宋体" w:eastAsia="仿宋_GB2312" w:cs="仿宋_GB2312"/>
                <w:caps w:val="0"/>
                <w:color w:val="000000"/>
                <w:spacing w:val="0"/>
                <w:kern w:val="0"/>
                <w:sz w:val="24"/>
                <w:szCs w:val="24"/>
                <w:bdr w:val="none" w:color="auto" w:sz="0" w:space="0"/>
                <w:lang w:val="en-US" w:eastAsia="zh-CN" w:bidi="ar"/>
              </w:rPr>
              <w:t>1.对以告知承诺方式取得经营许可证的企业，加强对其承诺内容真实性的核查，发现虚假承诺或承诺严重不实的要依法处理。2.开展“双随机、一公开”监管，对风险等级高、投诉举报多的企业增加抽检数量和频次，实施重点监管。</w:t>
            </w:r>
          </w:p>
        </w:tc>
      </w:tr>
    </w:tbl>
    <w:p>
      <w:pPr>
        <w:keepNext w:val="0"/>
        <w:keepLines w:val="0"/>
        <w:widowControl/>
        <w:suppressLineNumbers w:val="0"/>
        <w:jc w:val="left"/>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6DE3B22"/>
    <w:rsid w:val="B6DE3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2024-11-26T09:05:00Z</dcterms:created>
  <dc:creator>hhroot</dc:creator>
  <cp:lastModifiedBy>hhroot</cp:lastModifiedBy>
  <dcterms:modified xsi:type="dcterms:W3CDTF">2024-11-26T09:08:47Z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