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widowControl w:val="0"/>
        <w:numPr>
          <w:ilvl w:val="0"/>
          <w:numId w:val="0"/>
        </w:numPr>
        <w:jc w:val="left"/>
        <w:rPr>
          <w:rFonts w:hint="eastAsia" w:ascii="黑体" w:hAnsi="黑体" w:eastAsia="黑体" w:cs="黑体"/>
          <w:b w:val="0"/>
          <w:bCs w:val="0"/>
          <w:sz w:val="32"/>
          <w:szCs w:val="32"/>
          <w:lang w:val="en-US" w:eastAsia="zh-CN"/>
        </w:rPr>
      </w:pPr>
    </w:p>
    <w:p>
      <w:pPr>
        <w:widowControl w:val="0"/>
        <w:numPr>
          <w:ilvl w:val="0"/>
          <w:numId w:val="0"/>
        </w:num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怀化市鹤城区工程建设项目审批制度改革工作任务责任分解表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900"/>
        <w:gridCol w:w="930"/>
        <w:gridCol w:w="7377"/>
        <w:gridCol w:w="2223"/>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593" w:type="dxa"/>
            <w:vAlign w:val="center"/>
          </w:tcPr>
          <w:p>
            <w:pPr>
              <w:widowControl w:val="0"/>
              <w:numPr>
                <w:ilvl w:val="0"/>
                <w:numId w:val="0"/>
              </w:numPr>
              <w:jc w:val="center"/>
              <w:rPr>
                <w:rFonts w:hint="eastAsia" w:ascii="宋体" w:hAnsi="宋体" w:eastAsia="宋体" w:cs="宋体"/>
                <w:b/>
                <w:bCs/>
                <w:sz w:val="44"/>
                <w:szCs w:val="44"/>
                <w:vertAlign w:val="baseline"/>
                <w:lang w:val="en-US" w:eastAsia="zh-CN"/>
              </w:rPr>
            </w:pPr>
            <w:r>
              <w:rPr>
                <w:rFonts w:hint="eastAsia" w:ascii="宋体" w:hAnsi="宋体" w:eastAsia="宋体" w:cs="宋体"/>
                <w:b w:val="0"/>
                <w:bCs w:val="0"/>
                <w:sz w:val="28"/>
                <w:szCs w:val="28"/>
                <w:vertAlign w:val="baseline"/>
                <w:lang w:val="en-US" w:eastAsia="zh-CN"/>
              </w:rPr>
              <w:t>序号</w:t>
            </w:r>
          </w:p>
        </w:tc>
        <w:tc>
          <w:tcPr>
            <w:tcW w:w="900" w:type="dxa"/>
            <w:vAlign w:val="center"/>
          </w:tcPr>
          <w:p>
            <w:pPr>
              <w:widowControl w:val="0"/>
              <w:numPr>
                <w:ilvl w:val="0"/>
                <w:numId w:val="0"/>
              </w:numPr>
              <w:jc w:val="center"/>
              <w:rPr>
                <w:rFonts w:hint="eastAsia" w:ascii="宋体" w:hAnsi="宋体" w:eastAsia="宋体" w:cs="宋体"/>
                <w:b/>
                <w:bCs/>
                <w:sz w:val="44"/>
                <w:szCs w:val="44"/>
                <w:vertAlign w:val="baseline"/>
                <w:lang w:val="en-US" w:eastAsia="zh-CN"/>
              </w:rPr>
            </w:pPr>
            <w:r>
              <w:rPr>
                <w:rFonts w:hint="eastAsia" w:ascii="宋体" w:hAnsi="宋体" w:eastAsia="宋体" w:cs="宋体"/>
                <w:b w:val="0"/>
                <w:bCs w:val="0"/>
                <w:sz w:val="28"/>
                <w:szCs w:val="28"/>
                <w:vertAlign w:val="baseline"/>
                <w:lang w:val="en-US" w:eastAsia="zh-CN"/>
              </w:rPr>
              <w:t>总体要求</w:t>
            </w:r>
          </w:p>
        </w:tc>
        <w:tc>
          <w:tcPr>
            <w:tcW w:w="930" w:type="dxa"/>
            <w:vAlign w:val="center"/>
          </w:tcPr>
          <w:p>
            <w:pPr>
              <w:widowControl w:val="0"/>
              <w:numPr>
                <w:ilvl w:val="0"/>
                <w:numId w:val="0"/>
              </w:num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主要任务</w:t>
            </w:r>
          </w:p>
        </w:tc>
        <w:tc>
          <w:tcPr>
            <w:tcW w:w="7377" w:type="dxa"/>
            <w:vAlign w:val="center"/>
          </w:tcPr>
          <w:p>
            <w:pPr>
              <w:widowControl w:val="0"/>
              <w:numPr>
                <w:ilvl w:val="0"/>
                <w:numId w:val="0"/>
              </w:num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落实措施</w:t>
            </w:r>
          </w:p>
        </w:tc>
        <w:tc>
          <w:tcPr>
            <w:tcW w:w="2223" w:type="dxa"/>
            <w:vAlign w:val="center"/>
          </w:tcPr>
          <w:p>
            <w:pPr>
              <w:widowControl w:val="0"/>
              <w:numPr>
                <w:ilvl w:val="0"/>
                <w:numId w:val="0"/>
              </w:num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责任部门</w:t>
            </w:r>
          </w:p>
        </w:tc>
        <w:tc>
          <w:tcPr>
            <w:tcW w:w="2151" w:type="dxa"/>
            <w:vAlign w:val="center"/>
          </w:tcPr>
          <w:p>
            <w:pPr>
              <w:widowControl w:val="0"/>
              <w:numPr>
                <w:ilvl w:val="0"/>
                <w:numId w:val="0"/>
              </w:num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1</w:t>
            </w:r>
          </w:p>
        </w:tc>
        <w:tc>
          <w:tcPr>
            <w:tcW w:w="900" w:type="dxa"/>
            <w:vMerge w:val="restart"/>
            <w:vAlign w:val="center"/>
          </w:tcPr>
          <w:p>
            <w:pPr>
              <w:bidi w:val="0"/>
              <w:jc w:val="center"/>
              <w:rPr>
                <w:rFonts w:hint="eastAsia"/>
                <w:lang w:val="en-US" w:eastAsia="zh-CN"/>
              </w:rPr>
            </w:pPr>
            <w:r>
              <w:rPr>
                <w:rFonts w:hint="eastAsia"/>
                <w:lang w:val="en-US" w:eastAsia="zh-CN"/>
              </w:rPr>
              <w:t>统一审批流程</w:t>
            </w:r>
          </w:p>
        </w:tc>
        <w:tc>
          <w:tcPr>
            <w:tcW w:w="930" w:type="dxa"/>
            <w:vMerge w:val="restart"/>
            <w:vAlign w:val="center"/>
          </w:tcPr>
          <w:p>
            <w:pPr>
              <w:bidi w:val="0"/>
              <w:jc w:val="center"/>
              <w:rPr>
                <w:rFonts w:hint="eastAsia"/>
                <w:lang w:val="en-US" w:eastAsia="zh-CN"/>
              </w:rPr>
            </w:pPr>
            <w:r>
              <w:rPr>
                <w:rFonts w:hint="eastAsia"/>
                <w:lang w:val="en-US" w:eastAsia="zh-CN"/>
              </w:rPr>
              <w:t>精简审批流程</w:t>
            </w:r>
          </w:p>
        </w:tc>
        <w:tc>
          <w:tcPr>
            <w:tcW w:w="7377" w:type="dxa"/>
            <w:vAlign w:val="center"/>
          </w:tcPr>
          <w:p>
            <w:pPr>
              <w:bidi w:val="0"/>
              <w:jc w:val="center"/>
              <w:rPr>
                <w:rFonts w:hint="eastAsia"/>
                <w:lang w:val="en-US" w:eastAsia="zh-CN"/>
              </w:rPr>
            </w:pPr>
            <w:r>
              <w:rPr>
                <w:rFonts w:hint="eastAsia"/>
                <w:lang w:val="en-US" w:eastAsia="zh-CN"/>
              </w:rPr>
              <w:t>取消施工和监理合同备案</w:t>
            </w:r>
          </w:p>
        </w:tc>
        <w:tc>
          <w:tcPr>
            <w:tcW w:w="2223" w:type="dxa"/>
            <w:vAlign w:val="center"/>
          </w:tcPr>
          <w:p>
            <w:pPr>
              <w:bidi w:val="0"/>
              <w:jc w:val="center"/>
              <w:rPr>
                <w:rFonts w:hint="eastAsia"/>
                <w:lang w:val="en-US" w:eastAsia="zh-CN"/>
              </w:rPr>
            </w:pPr>
            <w:r>
              <w:rPr>
                <w:rFonts w:hint="eastAsia"/>
                <w:lang w:val="en-US" w:eastAsia="zh-CN"/>
              </w:rPr>
              <w:t>区住房和城乡建设局</w:t>
            </w:r>
          </w:p>
        </w:tc>
        <w:tc>
          <w:tcPr>
            <w:tcW w:w="2151" w:type="dxa"/>
            <w:vAlign w:val="center"/>
          </w:tcPr>
          <w:p>
            <w:pPr>
              <w:widowControl w:val="0"/>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2</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取消建筑节能设计审查备案</w:t>
            </w:r>
          </w:p>
        </w:tc>
        <w:tc>
          <w:tcPr>
            <w:tcW w:w="2223" w:type="dxa"/>
            <w:vAlign w:val="center"/>
          </w:tcPr>
          <w:p>
            <w:pPr>
              <w:bidi w:val="0"/>
              <w:jc w:val="center"/>
              <w:rPr>
                <w:rFonts w:hint="eastAsia"/>
                <w:lang w:val="en-US" w:eastAsia="zh-CN"/>
              </w:rPr>
            </w:pPr>
            <w:r>
              <w:rPr>
                <w:rFonts w:hint="eastAsia"/>
                <w:lang w:val="en-US" w:eastAsia="zh-CN"/>
              </w:rPr>
              <w:t>区住房和城乡建设局</w:t>
            </w:r>
          </w:p>
        </w:tc>
        <w:tc>
          <w:tcPr>
            <w:tcW w:w="2151" w:type="dxa"/>
            <w:vAlign w:val="center"/>
          </w:tcPr>
          <w:p>
            <w:pPr>
              <w:widowControl w:val="0"/>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593" w:type="dxa"/>
            <w:vAlign w:val="center"/>
          </w:tcPr>
          <w:p>
            <w:pPr>
              <w:bidi w:val="0"/>
              <w:jc w:val="center"/>
              <w:rPr>
                <w:rFonts w:hint="default"/>
                <w:lang w:val="en-US" w:eastAsia="zh-CN"/>
              </w:rPr>
            </w:pPr>
            <w:r>
              <w:rPr>
                <w:rFonts w:hint="eastAsia"/>
                <w:lang w:val="en-US" w:eastAsia="zh-CN"/>
              </w:rPr>
              <w:t>3</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取消必须通过招投标方式选定招标代理机构的要求</w:t>
            </w:r>
          </w:p>
        </w:tc>
        <w:tc>
          <w:tcPr>
            <w:tcW w:w="2223" w:type="dxa"/>
            <w:vAlign w:val="center"/>
          </w:tcPr>
          <w:p>
            <w:pPr>
              <w:bidi w:val="0"/>
              <w:jc w:val="center"/>
              <w:rPr>
                <w:rFonts w:hint="eastAsia"/>
                <w:lang w:val="en-US" w:eastAsia="zh-CN"/>
              </w:rPr>
            </w:pPr>
            <w:r>
              <w:rPr>
                <w:rFonts w:hint="eastAsia"/>
                <w:lang w:val="en-US" w:eastAsia="zh-CN"/>
              </w:rPr>
              <w:t>区住房和城乡建设局、区发改局</w:t>
            </w:r>
          </w:p>
        </w:tc>
        <w:tc>
          <w:tcPr>
            <w:tcW w:w="2151" w:type="dxa"/>
            <w:vAlign w:val="center"/>
          </w:tcPr>
          <w:p>
            <w:pPr>
              <w:widowControl w:val="0"/>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4</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取消申请施工许可证时需提交的资金到位证明</w:t>
            </w:r>
          </w:p>
        </w:tc>
        <w:tc>
          <w:tcPr>
            <w:tcW w:w="2223" w:type="dxa"/>
            <w:vAlign w:val="center"/>
          </w:tcPr>
          <w:p>
            <w:pPr>
              <w:bidi w:val="0"/>
              <w:jc w:val="center"/>
              <w:rPr>
                <w:rFonts w:hint="eastAsia"/>
                <w:lang w:val="en-US" w:eastAsia="zh-CN"/>
              </w:rPr>
            </w:pPr>
            <w:r>
              <w:rPr>
                <w:rFonts w:hint="eastAsia"/>
                <w:lang w:val="en-US" w:eastAsia="zh-CN"/>
              </w:rPr>
              <w:t>区住房和城乡建设局</w:t>
            </w:r>
          </w:p>
        </w:tc>
        <w:tc>
          <w:tcPr>
            <w:tcW w:w="2151" w:type="dxa"/>
            <w:vAlign w:val="center"/>
          </w:tcPr>
          <w:p>
            <w:pPr>
              <w:widowControl w:val="0"/>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5</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政府投资建设项目在招标上限值审核通过后，即可组织施工和监理招标</w:t>
            </w:r>
          </w:p>
        </w:tc>
        <w:tc>
          <w:tcPr>
            <w:tcW w:w="2223" w:type="dxa"/>
            <w:vAlign w:val="center"/>
          </w:tcPr>
          <w:p>
            <w:pPr>
              <w:bidi w:val="0"/>
              <w:jc w:val="center"/>
              <w:rPr>
                <w:rFonts w:hint="eastAsia"/>
                <w:lang w:val="en-US" w:eastAsia="zh-CN"/>
              </w:rPr>
            </w:pPr>
            <w:r>
              <w:rPr>
                <w:rFonts w:hint="eastAsia"/>
                <w:lang w:val="en-US" w:eastAsia="zh-CN"/>
              </w:rPr>
              <w:t>区住房和城乡建设局、区发改局</w:t>
            </w:r>
          </w:p>
        </w:tc>
        <w:tc>
          <w:tcPr>
            <w:tcW w:w="2151" w:type="dxa"/>
            <w:vAlign w:val="center"/>
          </w:tcPr>
          <w:p>
            <w:pPr>
              <w:widowControl w:val="0"/>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6</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社会投资建设项目且不在依法依规必须招标的基础设</w:t>
            </w:r>
          </w:p>
          <w:p>
            <w:pPr>
              <w:bidi w:val="0"/>
              <w:jc w:val="center"/>
              <w:rPr>
                <w:rFonts w:hint="eastAsia"/>
                <w:lang w:val="en-US" w:eastAsia="zh-CN"/>
              </w:rPr>
            </w:pPr>
            <w:r>
              <w:rPr>
                <w:rFonts w:hint="eastAsia"/>
                <w:lang w:val="en-US" w:eastAsia="zh-CN"/>
              </w:rPr>
              <w:t>施和公用事业项目范围内的，由建设单位自主决定招标方式，可以直接发包给具有相应资质等级的勘察、设计、施工、监理单位</w:t>
            </w:r>
          </w:p>
        </w:tc>
        <w:tc>
          <w:tcPr>
            <w:tcW w:w="2223" w:type="dxa"/>
            <w:vAlign w:val="center"/>
          </w:tcPr>
          <w:p>
            <w:pPr>
              <w:bidi w:val="0"/>
              <w:jc w:val="center"/>
              <w:rPr>
                <w:rFonts w:hint="eastAsia"/>
                <w:lang w:val="en-US" w:eastAsia="zh-CN"/>
              </w:rPr>
            </w:pPr>
            <w:r>
              <w:rPr>
                <w:rFonts w:hint="eastAsia"/>
                <w:lang w:val="en-US" w:eastAsia="zh-CN"/>
              </w:rPr>
              <w:t>区住房和城乡建设局、区发改局</w:t>
            </w:r>
          </w:p>
        </w:tc>
        <w:tc>
          <w:tcPr>
            <w:tcW w:w="2151" w:type="dxa"/>
            <w:vAlign w:val="center"/>
          </w:tcPr>
          <w:p>
            <w:pPr>
              <w:widowControl w:val="0"/>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593" w:type="dxa"/>
            <w:vAlign w:val="center"/>
          </w:tcPr>
          <w:p>
            <w:pPr>
              <w:bidi w:val="0"/>
              <w:jc w:val="center"/>
              <w:rPr>
                <w:rFonts w:hint="default"/>
                <w:lang w:val="en-US" w:eastAsia="zh-CN"/>
              </w:rPr>
            </w:pPr>
            <w:r>
              <w:rPr>
                <w:rFonts w:hint="eastAsia"/>
                <w:lang w:val="en-US" w:eastAsia="zh-CN"/>
              </w:rPr>
              <w:t>7</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工程质量安全监督手续与施工许可证合并办理</w:t>
            </w:r>
          </w:p>
        </w:tc>
        <w:tc>
          <w:tcPr>
            <w:tcW w:w="2223" w:type="dxa"/>
            <w:vAlign w:val="center"/>
          </w:tcPr>
          <w:p>
            <w:pPr>
              <w:bidi w:val="0"/>
              <w:jc w:val="center"/>
              <w:rPr>
                <w:rFonts w:hint="eastAsia"/>
                <w:lang w:val="en-US" w:eastAsia="zh-CN"/>
              </w:rPr>
            </w:pPr>
            <w:r>
              <w:rPr>
                <w:rFonts w:hint="eastAsia"/>
                <w:lang w:val="en-US" w:eastAsia="zh-CN"/>
              </w:rPr>
              <w:t>区住房和城乡建设局</w:t>
            </w:r>
          </w:p>
        </w:tc>
        <w:tc>
          <w:tcPr>
            <w:tcW w:w="2151" w:type="dxa"/>
            <w:vAlign w:val="center"/>
          </w:tcPr>
          <w:p>
            <w:pPr>
              <w:widowControl w:val="0"/>
              <w:numPr>
                <w:ilvl w:val="0"/>
                <w:numId w:val="0"/>
              </w:numPr>
              <w:jc w:val="center"/>
              <w:rPr>
                <w:rFonts w:hint="eastAsia" w:ascii="宋体" w:hAnsi="宋体" w:eastAsia="宋体" w:cs="宋体"/>
                <w:b/>
                <w:bCs/>
                <w:sz w:val="21"/>
                <w:szCs w:val="21"/>
                <w:vertAlign w:val="baseline"/>
                <w:lang w:val="en-US" w:eastAsia="zh-CN"/>
              </w:rPr>
            </w:pPr>
            <w:r>
              <w:rPr>
                <w:rFonts w:hint="eastAsia" w:ascii="宋体" w:hAnsi="宋体" w:eastAsia="宋体" w:cs="宋体"/>
                <w:b w:val="0"/>
                <w:bCs w:val="0"/>
                <w:sz w:val="21"/>
                <w:szCs w:val="21"/>
                <w:vertAlign w:val="baseline"/>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593" w:type="dxa"/>
            <w:vAlign w:val="center"/>
          </w:tcPr>
          <w:p>
            <w:pPr>
              <w:widowControl w:val="0"/>
              <w:numPr>
                <w:ilvl w:val="0"/>
                <w:numId w:val="0"/>
              </w:numPr>
              <w:ind w:left="0" w:leftChars="0" w:firstLine="0" w:firstLineChars="0"/>
              <w:jc w:val="center"/>
              <w:rPr>
                <w:rFonts w:hint="eastAsia" w:ascii="宋体" w:hAnsi="宋体" w:eastAsia="宋体" w:cs="宋体"/>
                <w:b/>
                <w:bCs/>
                <w:kern w:val="2"/>
                <w:sz w:val="44"/>
                <w:szCs w:val="44"/>
                <w:vertAlign w:val="baseline"/>
                <w:lang w:val="en-US" w:eastAsia="zh-CN" w:bidi="ar-SA"/>
              </w:rPr>
            </w:pPr>
            <w:r>
              <w:rPr>
                <w:rFonts w:hint="eastAsia" w:ascii="宋体" w:hAnsi="宋体" w:eastAsia="宋体" w:cs="宋体"/>
                <w:b w:val="0"/>
                <w:bCs w:val="0"/>
                <w:sz w:val="28"/>
                <w:szCs w:val="28"/>
                <w:vertAlign w:val="baseline"/>
                <w:lang w:val="en-US" w:eastAsia="zh-CN"/>
              </w:rPr>
              <w:t>序号</w:t>
            </w:r>
          </w:p>
        </w:tc>
        <w:tc>
          <w:tcPr>
            <w:tcW w:w="900" w:type="dxa"/>
            <w:vAlign w:val="center"/>
          </w:tcPr>
          <w:p>
            <w:pPr>
              <w:widowControl w:val="0"/>
              <w:numPr>
                <w:ilvl w:val="0"/>
                <w:numId w:val="0"/>
              </w:numPr>
              <w:ind w:left="0" w:leftChars="0" w:firstLine="0" w:firstLineChars="0"/>
              <w:jc w:val="center"/>
              <w:rPr>
                <w:rFonts w:hint="eastAsia" w:ascii="宋体" w:hAnsi="宋体" w:eastAsia="宋体" w:cs="宋体"/>
                <w:b/>
                <w:bCs/>
                <w:kern w:val="2"/>
                <w:sz w:val="44"/>
                <w:szCs w:val="44"/>
                <w:vertAlign w:val="baseline"/>
                <w:lang w:val="en-US" w:eastAsia="zh-CN" w:bidi="ar-SA"/>
              </w:rPr>
            </w:pPr>
            <w:r>
              <w:rPr>
                <w:rFonts w:hint="eastAsia" w:ascii="宋体" w:hAnsi="宋体" w:eastAsia="宋体" w:cs="宋体"/>
                <w:b w:val="0"/>
                <w:bCs w:val="0"/>
                <w:sz w:val="28"/>
                <w:szCs w:val="28"/>
                <w:vertAlign w:val="baseline"/>
                <w:lang w:val="en-US" w:eastAsia="zh-CN"/>
              </w:rPr>
              <w:t>总体要求</w:t>
            </w:r>
          </w:p>
        </w:tc>
        <w:tc>
          <w:tcPr>
            <w:tcW w:w="930"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主要任务</w:t>
            </w:r>
          </w:p>
        </w:tc>
        <w:tc>
          <w:tcPr>
            <w:tcW w:w="7377"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落实措施</w:t>
            </w:r>
          </w:p>
        </w:tc>
        <w:tc>
          <w:tcPr>
            <w:tcW w:w="2223"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责任部门</w:t>
            </w:r>
          </w:p>
        </w:tc>
        <w:tc>
          <w:tcPr>
            <w:tcW w:w="2151"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93" w:type="dxa"/>
            <w:vAlign w:val="center"/>
          </w:tcPr>
          <w:p>
            <w:pPr>
              <w:bidi w:val="0"/>
              <w:jc w:val="center"/>
              <w:rPr>
                <w:rFonts w:hint="default"/>
                <w:lang w:val="en-US" w:eastAsia="zh-CN"/>
              </w:rPr>
            </w:pPr>
            <w:r>
              <w:rPr>
                <w:rFonts w:hint="eastAsia"/>
                <w:lang w:val="en-US" w:eastAsia="zh-CN"/>
              </w:rPr>
              <w:t>8</w:t>
            </w:r>
          </w:p>
        </w:tc>
        <w:tc>
          <w:tcPr>
            <w:tcW w:w="900" w:type="dxa"/>
            <w:vMerge w:val="restart"/>
            <w:vAlign w:val="center"/>
          </w:tcPr>
          <w:p>
            <w:pPr>
              <w:bidi w:val="0"/>
              <w:jc w:val="center"/>
              <w:rPr>
                <w:rFonts w:hint="eastAsia"/>
                <w:lang w:val="en-US" w:eastAsia="zh-CN"/>
              </w:rPr>
            </w:pPr>
            <w:r>
              <w:rPr>
                <w:rFonts w:hint="eastAsia"/>
                <w:lang w:val="en-US" w:eastAsia="zh-CN"/>
              </w:rPr>
              <w:t>统一审批流程</w:t>
            </w:r>
          </w:p>
        </w:tc>
        <w:tc>
          <w:tcPr>
            <w:tcW w:w="930" w:type="dxa"/>
            <w:vMerge w:val="restart"/>
            <w:vAlign w:val="center"/>
          </w:tcPr>
          <w:p>
            <w:pPr>
              <w:bidi w:val="0"/>
              <w:jc w:val="center"/>
              <w:rPr>
                <w:rFonts w:hint="eastAsia"/>
                <w:lang w:val="en-US" w:eastAsia="zh-CN"/>
              </w:rPr>
            </w:pPr>
            <w:r>
              <w:rPr>
                <w:rFonts w:hint="eastAsia"/>
                <w:lang w:val="en-US" w:eastAsia="zh-CN"/>
              </w:rPr>
              <w:t>合并审批事项</w:t>
            </w:r>
          </w:p>
        </w:tc>
        <w:tc>
          <w:tcPr>
            <w:tcW w:w="7377" w:type="dxa"/>
            <w:vAlign w:val="center"/>
          </w:tcPr>
          <w:p>
            <w:pPr>
              <w:bidi w:val="0"/>
              <w:jc w:val="center"/>
              <w:rPr>
                <w:rFonts w:hint="eastAsia"/>
                <w:lang w:val="en-US" w:eastAsia="zh-CN"/>
              </w:rPr>
            </w:pPr>
            <w:r>
              <w:rPr>
                <w:rFonts w:hint="eastAsia"/>
                <w:lang w:val="en-US" w:eastAsia="zh-CN"/>
              </w:rPr>
              <w:t>用地预审意见或国有建设用地使用权出让合同及缴清</w:t>
            </w:r>
          </w:p>
          <w:p>
            <w:pPr>
              <w:bidi w:val="0"/>
              <w:jc w:val="center"/>
              <w:rPr>
                <w:rFonts w:hint="eastAsia"/>
                <w:lang w:val="en-US" w:eastAsia="zh-CN"/>
              </w:rPr>
            </w:pPr>
            <w:r>
              <w:rPr>
                <w:rFonts w:hint="eastAsia"/>
                <w:lang w:val="en-US" w:eastAsia="zh-CN"/>
              </w:rPr>
              <w:t>地价款证明可作为使用土地证明文件申请办理建设工程规划许可证</w:t>
            </w:r>
          </w:p>
        </w:tc>
        <w:tc>
          <w:tcPr>
            <w:tcW w:w="2223" w:type="dxa"/>
            <w:vAlign w:val="center"/>
          </w:tcPr>
          <w:p>
            <w:pPr>
              <w:bidi w:val="0"/>
              <w:jc w:val="center"/>
              <w:rPr>
                <w:rFonts w:hint="eastAsia"/>
                <w:lang w:val="en-US" w:eastAsia="zh-CN"/>
              </w:rPr>
            </w:pPr>
            <w:r>
              <w:rPr>
                <w:rFonts w:hint="eastAsia"/>
                <w:lang w:val="en-US" w:eastAsia="zh-CN"/>
              </w:rPr>
              <w:t>区自然资源局</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593" w:type="dxa"/>
            <w:vAlign w:val="center"/>
          </w:tcPr>
          <w:p>
            <w:pPr>
              <w:bidi w:val="0"/>
              <w:jc w:val="center"/>
              <w:rPr>
                <w:rFonts w:hint="default"/>
                <w:lang w:val="en-US" w:eastAsia="zh-CN"/>
              </w:rPr>
            </w:pPr>
            <w:r>
              <w:rPr>
                <w:rFonts w:hint="eastAsia"/>
                <w:lang w:val="en-US" w:eastAsia="zh-CN"/>
              </w:rPr>
              <w:t>9</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对于带方案出让土地的项目，不再对设计方案进行审</w:t>
            </w:r>
          </w:p>
          <w:p>
            <w:pPr>
              <w:bidi w:val="0"/>
              <w:jc w:val="center"/>
              <w:rPr>
                <w:rFonts w:hint="eastAsia"/>
                <w:lang w:val="en-US" w:eastAsia="zh-CN"/>
              </w:rPr>
            </w:pPr>
            <w:r>
              <w:rPr>
                <w:rFonts w:hint="eastAsia"/>
                <w:lang w:val="en-US" w:eastAsia="zh-CN"/>
              </w:rPr>
              <w:t>核，申请人凭土地出让合同及缴清地价款证明申报建设工程规划许可</w:t>
            </w:r>
          </w:p>
        </w:tc>
        <w:tc>
          <w:tcPr>
            <w:tcW w:w="2223" w:type="dxa"/>
            <w:vAlign w:val="center"/>
          </w:tcPr>
          <w:p>
            <w:pPr>
              <w:bidi w:val="0"/>
              <w:jc w:val="center"/>
              <w:rPr>
                <w:rFonts w:hint="eastAsia"/>
                <w:lang w:val="en-US" w:eastAsia="zh-CN"/>
              </w:rPr>
            </w:pPr>
            <w:r>
              <w:rPr>
                <w:rFonts w:hint="eastAsia"/>
                <w:lang w:val="en-US" w:eastAsia="zh-CN"/>
              </w:rPr>
              <w:t>区自然资源局</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10</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建设工程规划许可证核发前，区自然资源局征求人防、消防、教育、环保等相关部门意见，相关部门不再对设计方案进行单独审查</w:t>
            </w:r>
          </w:p>
        </w:tc>
        <w:tc>
          <w:tcPr>
            <w:tcW w:w="2223" w:type="dxa"/>
            <w:vAlign w:val="center"/>
          </w:tcPr>
          <w:p>
            <w:pPr>
              <w:bidi w:val="0"/>
              <w:jc w:val="center"/>
              <w:rPr>
                <w:rFonts w:hint="eastAsia"/>
                <w:lang w:val="en-US" w:eastAsia="zh-CN"/>
              </w:rPr>
            </w:pPr>
            <w:r>
              <w:rPr>
                <w:rFonts w:hint="eastAsia"/>
                <w:lang w:val="en-US" w:eastAsia="zh-CN"/>
              </w:rPr>
              <w:t xml:space="preserve">区自然资源局、区应急管理局、区教育局、区城市管理和综合执法局    </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593" w:type="dxa"/>
            <w:vAlign w:val="center"/>
          </w:tcPr>
          <w:p>
            <w:pPr>
              <w:bidi w:val="0"/>
              <w:jc w:val="center"/>
              <w:rPr>
                <w:rFonts w:hint="default"/>
                <w:lang w:val="en-US" w:eastAsia="zh-CN"/>
              </w:rPr>
            </w:pPr>
            <w:r>
              <w:rPr>
                <w:rFonts w:hint="eastAsia"/>
                <w:lang w:val="en-US" w:eastAsia="zh-CN"/>
              </w:rPr>
              <w:t>11</w:t>
            </w:r>
          </w:p>
        </w:tc>
        <w:tc>
          <w:tcPr>
            <w:tcW w:w="900" w:type="dxa"/>
            <w:vMerge w:val="continue"/>
            <w:vAlign w:val="center"/>
          </w:tcPr>
          <w:p>
            <w:pPr>
              <w:bidi w:val="0"/>
              <w:jc w:val="center"/>
              <w:rPr>
                <w:rFonts w:hint="eastAsia"/>
                <w:lang w:val="en-US" w:eastAsia="zh-CN"/>
              </w:rPr>
            </w:pPr>
          </w:p>
        </w:tc>
        <w:tc>
          <w:tcPr>
            <w:tcW w:w="930" w:type="dxa"/>
            <w:vMerge w:val="restart"/>
            <w:vAlign w:val="center"/>
          </w:tcPr>
          <w:p>
            <w:pPr>
              <w:bidi w:val="0"/>
              <w:jc w:val="center"/>
              <w:rPr>
                <w:rFonts w:hint="eastAsia"/>
                <w:lang w:val="en-US" w:eastAsia="zh-CN"/>
              </w:rPr>
            </w:pPr>
            <w:r>
              <w:rPr>
                <w:rFonts w:hint="eastAsia"/>
                <w:lang w:val="en-US" w:eastAsia="zh-CN"/>
              </w:rPr>
              <w:t>调整审批时序</w:t>
            </w:r>
          </w:p>
        </w:tc>
        <w:tc>
          <w:tcPr>
            <w:tcW w:w="7377" w:type="dxa"/>
            <w:vAlign w:val="center"/>
          </w:tcPr>
          <w:p>
            <w:pPr>
              <w:bidi w:val="0"/>
              <w:jc w:val="center"/>
              <w:rPr>
                <w:rFonts w:hint="eastAsia"/>
                <w:lang w:val="en-US" w:eastAsia="zh-CN"/>
              </w:rPr>
            </w:pPr>
            <w:r>
              <w:rPr>
                <w:rFonts w:hint="eastAsia"/>
                <w:lang w:val="en-US" w:eastAsia="zh-CN"/>
              </w:rPr>
              <w:t>评价事项如压覆重要矿产资源、环境影响评价、节能评价、地质灾害危险性评价、地震安全性评价、水资源论证、雷击风险评估、水土保持方案、取水许可、洪水影响评价、重大工程气候可行性论证、建设项目安全预评价等，除地震安全性评价、雷击风险评估在工程设计前完成，其它事项在开工前完成即可</w:t>
            </w:r>
          </w:p>
        </w:tc>
        <w:tc>
          <w:tcPr>
            <w:tcW w:w="2223" w:type="dxa"/>
            <w:vAlign w:val="center"/>
          </w:tcPr>
          <w:p>
            <w:pPr>
              <w:bidi w:val="0"/>
              <w:jc w:val="center"/>
              <w:rPr>
                <w:rFonts w:hint="eastAsia"/>
                <w:lang w:val="en-US" w:eastAsia="zh-CN"/>
              </w:rPr>
            </w:pPr>
            <w:r>
              <w:rPr>
                <w:rFonts w:hint="eastAsia"/>
                <w:lang w:val="en-US" w:eastAsia="zh-CN"/>
              </w:rPr>
              <w:t>区住房和城乡建设局、区自然资源局、各相关单位</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593" w:type="dxa"/>
            <w:vAlign w:val="center"/>
          </w:tcPr>
          <w:p>
            <w:pPr>
              <w:bidi w:val="0"/>
              <w:jc w:val="center"/>
              <w:rPr>
                <w:rFonts w:hint="default"/>
                <w:lang w:val="en-US" w:eastAsia="zh-CN"/>
              </w:rPr>
            </w:pPr>
            <w:r>
              <w:rPr>
                <w:rFonts w:hint="eastAsia"/>
                <w:lang w:val="en-US" w:eastAsia="zh-CN"/>
              </w:rPr>
              <w:t>12</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供水、供电、燃气、排水、通信等市政公用服务报装在核发施工许可前督促落实到位，在工程施工阶段完成相关设施建设，竣工验收后直接办理接入事宜</w:t>
            </w:r>
          </w:p>
        </w:tc>
        <w:tc>
          <w:tcPr>
            <w:tcW w:w="2223" w:type="dxa"/>
            <w:vAlign w:val="center"/>
          </w:tcPr>
          <w:p>
            <w:pPr>
              <w:bidi w:val="0"/>
              <w:jc w:val="center"/>
              <w:rPr>
                <w:rFonts w:hint="eastAsia"/>
                <w:lang w:val="en-US" w:eastAsia="zh-CN"/>
              </w:rPr>
            </w:pPr>
            <w:r>
              <w:rPr>
                <w:rFonts w:hint="eastAsia"/>
                <w:lang w:val="en-US" w:eastAsia="zh-CN"/>
              </w:rPr>
              <w:t>区住房和城乡建设局、各相关单位</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widowControl w:val="0"/>
              <w:numPr>
                <w:ilvl w:val="0"/>
                <w:numId w:val="0"/>
              </w:numPr>
              <w:ind w:left="0" w:leftChars="0" w:firstLine="0" w:firstLineChars="0"/>
              <w:jc w:val="center"/>
              <w:rPr>
                <w:rFonts w:hint="eastAsia" w:ascii="宋体" w:hAnsi="宋体" w:eastAsia="宋体" w:cs="宋体"/>
                <w:b/>
                <w:bCs/>
                <w:kern w:val="2"/>
                <w:sz w:val="44"/>
                <w:szCs w:val="44"/>
                <w:vertAlign w:val="baseline"/>
                <w:lang w:val="en-US" w:eastAsia="zh-CN" w:bidi="ar-SA"/>
              </w:rPr>
            </w:pPr>
            <w:r>
              <w:rPr>
                <w:rFonts w:hint="eastAsia" w:ascii="宋体" w:hAnsi="宋体" w:eastAsia="宋体" w:cs="宋体"/>
                <w:b w:val="0"/>
                <w:bCs w:val="0"/>
                <w:sz w:val="28"/>
                <w:szCs w:val="28"/>
                <w:vertAlign w:val="baseline"/>
                <w:lang w:val="en-US" w:eastAsia="zh-CN"/>
              </w:rPr>
              <w:t>序号</w:t>
            </w:r>
          </w:p>
        </w:tc>
        <w:tc>
          <w:tcPr>
            <w:tcW w:w="900" w:type="dxa"/>
            <w:vAlign w:val="center"/>
          </w:tcPr>
          <w:p>
            <w:pPr>
              <w:widowControl w:val="0"/>
              <w:numPr>
                <w:ilvl w:val="0"/>
                <w:numId w:val="0"/>
              </w:numPr>
              <w:ind w:left="0" w:leftChars="0" w:firstLine="0" w:firstLineChars="0"/>
              <w:jc w:val="center"/>
              <w:rPr>
                <w:rFonts w:hint="eastAsia" w:ascii="宋体" w:hAnsi="宋体" w:eastAsia="宋体" w:cs="宋体"/>
                <w:b/>
                <w:bCs/>
                <w:kern w:val="2"/>
                <w:sz w:val="44"/>
                <w:szCs w:val="44"/>
                <w:vertAlign w:val="baseline"/>
                <w:lang w:val="en-US" w:eastAsia="zh-CN" w:bidi="ar-SA"/>
              </w:rPr>
            </w:pPr>
            <w:r>
              <w:rPr>
                <w:rFonts w:hint="eastAsia" w:ascii="宋体" w:hAnsi="宋体" w:eastAsia="宋体" w:cs="宋体"/>
                <w:b w:val="0"/>
                <w:bCs w:val="0"/>
                <w:sz w:val="28"/>
                <w:szCs w:val="28"/>
                <w:vertAlign w:val="baseline"/>
                <w:lang w:val="en-US" w:eastAsia="zh-CN"/>
              </w:rPr>
              <w:t>总体要求</w:t>
            </w:r>
          </w:p>
        </w:tc>
        <w:tc>
          <w:tcPr>
            <w:tcW w:w="930"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主要任务</w:t>
            </w:r>
          </w:p>
        </w:tc>
        <w:tc>
          <w:tcPr>
            <w:tcW w:w="7377"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落实措施</w:t>
            </w:r>
          </w:p>
        </w:tc>
        <w:tc>
          <w:tcPr>
            <w:tcW w:w="2223"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责任部门</w:t>
            </w:r>
          </w:p>
        </w:tc>
        <w:tc>
          <w:tcPr>
            <w:tcW w:w="2151"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13</w:t>
            </w:r>
          </w:p>
        </w:tc>
        <w:tc>
          <w:tcPr>
            <w:tcW w:w="900" w:type="dxa"/>
            <w:vMerge w:val="restart"/>
            <w:vAlign w:val="center"/>
          </w:tcPr>
          <w:p>
            <w:pPr>
              <w:bidi w:val="0"/>
              <w:jc w:val="center"/>
              <w:rPr>
                <w:rFonts w:hint="eastAsia"/>
                <w:lang w:val="en-US" w:eastAsia="zh-CN"/>
              </w:rPr>
            </w:pPr>
            <w:r>
              <w:rPr>
                <w:rFonts w:hint="eastAsia"/>
                <w:lang w:val="en-US" w:eastAsia="zh-CN"/>
              </w:rPr>
              <w:t>统一审批流程</w:t>
            </w:r>
          </w:p>
        </w:tc>
        <w:tc>
          <w:tcPr>
            <w:tcW w:w="930" w:type="dxa"/>
            <w:vAlign w:val="center"/>
          </w:tcPr>
          <w:p>
            <w:pPr>
              <w:bidi w:val="0"/>
              <w:jc w:val="center"/>
              <w:rPr>
                <w:rFonts w:hint="eastAsia"/>
                <w:lang w:val="en-US" w:eastAsia="zh-CN"/>
              </w:rPr>
            </w:pPr>
            <w:r>
              <w:rPr>
                <w:rFonts w:hint="eastAsia"/>
                <w:lang w:val="en-US" w:eastAsia="zh-CN"/>
              </w:rPr>
              <w:t>规范审批事项</w:t>
            </w:r>
          </w:p>
        </w:tc>
        <w:tc>
          <w:tcPr>
            <w:tcW w:w="7377" w:type="dxa"/>
            <w:vAlign w:val="center"/>
          </w:tcPr>
          <w:p>
            <w:pPr>
              <w:bidi w:val="0"/>
              <w:jc w:val="center"/>
              <w:rPr>
                <w:rFonts w:hint="eastAsia"/>
                <w:lang w:val="en-US" w:eastAsia="zh-CN"/>
              </w:rPr>
            </w:pPr>
            <w:r>
              <w:rPr>
                <w:rFonts w:hint="eastAsia"/>
                <w:lang w:val="en-US" w:eastAsia="zh-CN"/>
              </w:rPr>
              <w:t>对工程建设项目审批事项进行全面清理，制定我区审批事项清单，明确各项审批事项的适用范围和前置条件，并实行动态管理。制定的审批事项清单原则上应与省、市人民政府事项清单一致，确需超出省、市人民政府事项清单范围的， 报市人民政府备案并说明理由</w:t>
            </w:r>
          </w:p>
        </w:tc>
        <w:tc>
          <w:tcPr>
            <w:tcW w:w="2223" w:type="dxa"/>
            <w:vAlign w:val="center"/>
          </w:tcPr>
          <w:p>
            <w:pPr>
              <w:bidi w:val="0"/>
              <w:jc w:val="center"/>
              <w:rPr>
                <w:rFonts w:hint="eastAsia"/>
                <w:lang w:val="en-US" w:eastAsia="zh-CN"/>
              </w:rPr>
            </w:pPr>
            <w:r>
              <w:rPr>
                <w:rFonts w:hint="eastAsia"/>
                <w:lang w:val="en-US" w:eastAsia="zh-CN"/>
              </w:rPr>
              <w:t>区政府办</w:t>
            </w:r>
          </w:p>
          <w:p>
            <w:pPr>
              <w:bidi w:val="0"/>
              <w:jc w:val="center"/>
              <w:rPr>
                <w:rFonts w:hint="eastAsia"/>
                <w:lang w:val="en-US" w:eastAsia="zh-CN"/>
              </w:rPr>
            </w:pPr>
            <w:r>
              <w:rPr>
                <w:rFonts w:hint="eastAsia"/>
                <w:lang w:val="en-US" w:eastAsia="zh-CN"/>
              </w:rPr>
              <w:t>区政务服务中心</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14</w:t>
            </w:r>
          </w:p>
        </w:tc>
        <w:tc>
          <w:tcPr>
            <w:tcW w:w="900" w:type="dxa"/>
            <w:vMerge w:val="continue"/>
            <w:vAlign w:val="center"/>
          </w:tcPr>
          <w:p>
            <w:pPr>
              <w:bidi w:val="0"/>
              <w:jc w:val="center"/>
              <w:rPr>
                <w:rFonts w:hint="eastAsia"/>
                <w:lang w:val="en-US" w:eastAsia="zh-CN"/>
              </w:rPr>
            </w:pPr>
          </w:p>
        </w:tc>
        <w:tc>
          <w:tcPr>
            <w:tcW w:w="930" w:type="dxa"/>
            <w:vAlign w:val="center"/>
          </w:tcPr>
          <w:p>
            <w:pPr>
              <w:bidi w:val="0"/>
              <w:jc w:val="center"/>
              <w:rPr>
                <w:rFonts w:hint="eastAsia"/>
                <w:lang w:val="en-US" w:eastAsia="zh-CN"/>
              </w:rPr>
            </w:pPr>
            <w:r>
              <w:rPr>
                <w:rFonts w:hint="eastAsia"/>
                <w:lang w:val="en-US" w:eastAsia="zh-CN"/>
              </w:rPr>
              <w:t>细化审批流程</w:t>
            </w:r>
          </w:p>
        </w:tc>
        <w:tc>
          <w:tcPr>
            <w:tcW w:w="7377" w:type="dxa"/>
            <w:vAlign w:val="center"/>
          </w:tcPr>
          <w:p>
            <w:pPr>
              <w:bidi w:val="0"/>
              <w:jc w:val="center"/>
              <w:rPr>
                <w:rFonts w:hint="eastAsia"/>
                <w:lang w:val="en-US" w:eastAsia="zh-CN"/>
              </w:rPr>
            </w:pPr>
            <w:r>
              <w:rPr>
                <w:rFonts w:hint="eastAsia"/>
                <w:lang w:val="en-US" w:eastAsia="zh-CN"/>
              </w:rPr>
              <w:t>各阶段牵头单位参照省里审批流程图，制作各审批阶段的流程图，明确责任单位、时间节点等要求</w:t>
            </w:r>
          </w:p>
        </w:tc>
        <w:tc>
          <w:tcPr>
            <w:tcW w:w="2223" w:type="dxa"/>
            <w:vAlign w:val="center"/>
          </w:tcPr>
          <w:p>
            <w:pPr>
              <w:bidi w:val="0"/>
              <w:jc w:val="center"/>
              <w:rPr>
                <w:rFonts w:hint="eastAsia"/>
                <w:lang w:val="en-US" w:eastAsia="zh-CN"/>
              </w:rPr>
            </w:pPr>
            <w:r>
              <w:rPr>
                <w:rFonts w:hint="eastAsia"/>
                <w:lang w:val="en-US" w:eastAsia="zh-CN"/>
              </w:rPr>
              <w:t>区发改局、区自然资源局、区住房和城乡建设局</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1" w:hRule="atLeast"/>
        </w:trPr>
        <w:tc>
          <w:tcPr>
            <w:tcW w:w="593" w:type="dxa"/>
            <w:vAlign w:val="center"/>
          </w:tcPr>
          <w:p>
            <w:pPr>
              <w:bidi w:val="0"/>
              <w:jc w:val="center"/>
              <w:rPr>
                <w:rFonts w:hint="default"/>
                <w:lang w:val="en-US" w:eastAsia="zh-CN"/>
              </w:rPr>
            </w:pPr>
            <w:r>
              <w:rPr>
                <w:rFonts w:hint="eastAsia"/>
                <w:lang w:val="en-US" w:eastAsia="zh-CN"/>
              </w:rPr>
              <w:t>15</w:t>
            </w:r>
          </w:p>
        </w:tc>
        <w:tc>
          <w:tcPr>
            <w:tcW w:w="900" w:type="dxa"/>
            <w:vMerge w:val="continue"/>
            <w:vAlign w:val="center"/>
          </w:tcPr>
          <w:p>
            <w:pPr>
              <w:bidi w:val="0"/>
              <w:jc w:val="center"/>
              <w:rPr>
                <w:rFonts w:hint="eastAsia"/>
                <w:lang w:val="en-US" w:eastAsia="zh-CN"/>
              </w:rPr>
            </w:pPr>
          </w:p>
        </w:tc>
        <w:tc>
          <w:tcPr>
            <w:tcW w:w="930" w:type="dxa"/>
            <w:vAlign w:val="center"/>
          </w:tcPr>
          <w:p>
            <w:pPr>
              <w:bidi w:val="0"/>
              <w:jc w:val="center"/>
              <w:rPr>
                <w:rFonts w:hint="eastAsia"/>
                <w:lang w:val="en-US" w:eastAsia="zh-CN"/>
              </w:rPr>
            </w:pPr>
            <w:r>
              <w:rPr>
                <w:rFonts w:hint="eastAsia"/>
                <w:lang w:val="en-US" w:eastAsia="zh-CN"/>
              </w:rPr>
              <w:t>实行联合审图</w:t>
            </w:r>
          </w:p>
        </w:tc>
        <w:tc>
          <w:tcPr>
            <w:tcW w:w="7377" w:type="dxa"/>
            <w:vAlign w:val="center"/>
          </w:tcPr>
          <w:p>
            <w:pPr>
              <w:bidi w:val="0"/>
              <w:jc w:val="center"/>
              <w:rPr>
                <w:rFonts w:hint="eastAsia"/>
                <w:lang w:val="en-US" w:eastAsia="zh-CN"/>
              </w:rPr>
            </w:pPr>
            <w:r>
              <w:rPr>
                <w:rFonts w:hint="eastAsia"/>
                <w:lang w:val="en-US" w:eastAsia="zh-CN"/>
              </w:rPr>
              <w:t>将消防、人防、技防等技术审查并入施工图设计文件审查，相关部门不再单独进行技术审查。按照施工图设计文件联合审查管理办法要求，制定施工图设计文件联合审查实施细则</w:t>
            </w:r>
          </w:p>
        </w:tc>
        <w:tc>
          <w:tcPr>
            <w:tcW w:w="2223" w:type="dxa"/>
            <w:vAlign w:val="center"/>
          </w:tcPr>
          <w:p>
            <w:pPr>
              <w:bidi w:val="0"/>
              <w:jc w:val="center"/>
              <w:rPr>
                <w:rFonts w:hint="eastAsia"/>
                <w:lang w:val="en-US" w:eastAsia="zh-CN"/>
              </w:rPr>
            </w:pPr>
            <w:r>
              <w:rPr>
                <w:rFonts w:hint="eastAsia"/>
                <w:lang w:val="en-US" w:eastAsia="zh-CN"/>
              </w:rPr>
              <w:t>区住房和城乡建设局</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593" w:type="dxa"/>
            <w:vAlign w:val="center"/>
          </w:tcPr>
          <w:p>
            <w:pPr>
              <w:bidi w:val="0"/>
              <w:jc w:val="center"/>
              <w:rPr>
                <w:rFonts w:hint="default"/>
                <w:lang w:val="en-US" w:eastAsia="zh-CN"/>
              </w:rPr>
            </w:pPr>
            <w:r>
              <w:rPr>
                <w:rFonts w:hint="eastAsia"/>
                <w:lang w:val="en-US" w:eastAsia="zh-CN"/>
              </w:rPr>
              <w:t>16</w:t>
            </w:r>
          </w:p>
        </w:tc>
        <w:tc>
          <w:tcPr>
            <w:tcW w:w="900" w:type="dxa"/>
            <w:vMerge w:val="continue"/>
            <w:vAlign w:val="center"/>
          </w:tcPr>
          <w:p>
            <w:pPr>
              <w:bidi w:val="0"/>
              <w:jc w:val="center"/>
              <w:rPr>
                <w:rFonts w:hint="eastAsia"/>
                <w:lang w:val="en-US" w:eastAsia="zh-CN"/>
              </w:rPr>
            </w:pPr>
          </w:p>
        </w:tc>
        <w:tc>
          <w:tcPr>
            <w:tcW w:w="930" w:type="dxa"/>
            <w:vMerge w:val="restart"/>
            <w:vAlign w:val="center"/>
          </w:tcPr>
          <w:p>
            <w:pPr>
              <w:bidi w:val="0"/>
              <w:jc w:val="center"/>
              <w:rPr>
                <w:rFonts w:hint="eastAsia"/>
                <w:lang w:val="en-US" w:eastAsia="zh-CN"/>
              </w:rPr>
            </w:pPr>
            <w:r>
              <w:rPr>
                <w:rFonts w:hint="eastAsia"/>
                <w:lang w:val="en-US" w:eastAsia="zh-CN"/>
              </w:rPr>
              <w:t>实行联合验收</w:t>
            </w:r>
          </w:p>
        </w:tc>
        <w:tc>
          <w:tcPr>
            <w:tcW w:w="7377" w:type="dxa"/>
            <w:vAlign w:val="center"/>
          </w:tcPr>
          <w:p>
            <w:pPr>
              <w:bidi w:val="0"/>
              <w:jc w:val="center"/>
              <w:rPr>
                <w:rFonts w:hint="eastAsia"/>
                <w:lang w:val="en-US" w:eastAsia="zh-CN"/>
              </w:rPr>
            </w:pPr>
            <w:r>
              <w:rPr>
                <w:rFonts w:hint="eastAsia"/>
                <w:lang w:val="en-US" w:eastAsia="zh-CN"/>
              </w:rPr>
              <w:t>实行规划、土地、消防、人防、档案等事项限时联合验收，统一竣工验收图纸和验收标准，统一出具验收意见。制定工程建设项目限时联合验收实施细则</w:t>
            </w:r>
          </w:p>
        </w:tc>
        <w:tc>
          <w:tcPr>
            <w:tcW w:w="2223" w:type="dxa"/>
            <w:vAlign w:val="center"/>
          </w:tcPr>
          <w:p>
            <w:pPr>
              <w:bidi w:val="0"/>
              <w:jc w:val="center"/>
              <w:rPr>
                <w:rFonts w:hint="eastAsia"/>
                <w:lang w:val="en-US" w:eastAsia="zh-CN"/>
              </w:rPr>
            </w:pPr>
            <w:r>
              <w:rPr>
                <w:rFonts w:hint="eastAsia"/>
                <w:lang w:val="en-US" w:eastAsia="zh-CN"/>
              </w:rPr>
              <w:t>区住房和城乡建设局、区自然资源局、区档案馆</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17</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验收涉及的测量工作，实行“一次委托、联合测绘、成果共享”</w:t>
            </w:r>
          </w:p>
        </w:tc>
        <w:tc>
          <w:tcPr>
            <w:tcW w:w="2223" w:type="dxa"/>
            <w:vAlign w:val="center"/>
          </w:tcPr>
          <w:p>
            <w:pPr>
              <w:bidi w:val="0"/>
              <w:jc w:val="center"/>
              <w:rPr>
                <w:rFonts w:hint="eastAsia"/>
                <w:lang w:val="en-US" w:eastAsia="zh-CN"/>
              </w:rPr>
            </w:pPr>
            <w:r>
              <w:rPr>
                <w:rFonts w:hint="eastAsia"/>
                <w:lang w:val="en-US" w:eastAsia="zh-CN"/>
              </w:rPr>
              <w:t>区住房和城乡建设局、区自然资源局、区档案馆</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widowControl w:val="0"/>
              <w:numPr>
                <w:ilvl w:val="0"/>
                <w:numId w:val="0"/>
              </w:numPr>
              <w:ind w:left="0" w:leftChars="0" w:firstLine="0" w:firstLineChars="0"/>
              <w:jc w:val="center"/>
              <w:rPr>
                <w:rFonts w:hint="eastAsia" w:ascii="宋体" w:hAnsi="宋体" w:eastAsia="宋体" w:cs="宋体"/>
                <w:b/>
                <w:bCs/>
                <w:kern w:val="2"/>
                <w:sz w:val="44"/>
                <w:szCs w:val="44"/>
                <w:vertAlign w:val="baseline"/>
                <w:lang w:val="en-US" w:eastAsia="zh-CN" w:bidi="ar-SA"/>
              </w:rPr>
            </w:pPr>
            <w:r>
              <w:rPr>
                <w:rFonts w:hint="eastAsia" w:ascii="宋体" w:hAnsi="宋体" w:eastAsia="宋体" w:cs="宋体"/>
                <w:b w:val="0"/>
                <w:bCs w:val="0"/>
                <w:sz w:val="28"/>
                <w:szCs w:val="28"/>
                <w:vertAlign w:val="baseline"/>
                <w:lang w:val="en-US" w:eastAsia="zh-CN"/>
              </w:rPr>
              <w:t>序号</w:t>
            </w:r>
          </w:p>
        </w:tc>
        <w:tc>
          <w:tcPr>
            <w:tcW w:w="900" w:type="dxa"/>
            <w:vAlign w:val="center"/>
          </w:tcPr>
          <w:p>
            <w:pPr>
              <w:widowControl w:val="0"/>
              <w:numPr>
                <w:ilvl w:val="0"/>
                <w:numId w:val="0"/>
              </w:numPr>
              <w:ind w:left="0" w:leftChars="0" w:firstLine="0" w:firstLineChars="0"/>
              <w:jc w:val="center"/>
              <w:rPr>
                <w:rFonts w:hint="eastAsia" w:ascii="宋体" w:hAnsi="宋体" w:eastAsia="宋体" w:cs="宋体"/>
                <w:b/>
                <w:bCs/>
                <w:kern w:val="2"/>
                <w:sz w:val="44"/>
                <w:szCs w:val="44"/>
                <w:vertAlign w:val="baseline"/>
                <w:lang w:val="en-US" w:eastAsia="zh-CN" w:bidi="ar-SA"/>
              </w:rPr>
            </w:pPr>
            <w:r>
              <w:rPr>
                <w:rFonts w:hint="eastAsia" w:ascii="宋体" w:hAnsi="宋体" w:eastAsia="宋体" w:cs="宋体"/>
                <w:b w:val="0"/>
                <w:bCs w:val="0"/>
                <w:sz w:val="28"/>
                <w:szCs w:val="28"/>
                <w:vertAlign w:val="baseline"/>
                <w:lang w:val="en-US" w:eastAsia="zh-CN"/>
              </w:rPr>
              <w:t>总体要求</w:t>
            </w:r>
          </w:p>
        </w:tc>
        <w:tc>
          <w:tcPr>
            <w:tcW w:w="930"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主要任务</w:t>
            </w:r>
          </w:p>
        </w:tc>
        <w:tc>
          <w:tcPr>
            <w:tcW w:w="7377"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落实措施</w:t>
            </w:r>
          </w:p>
        </w:tc>
        <w:tc>
          <w:tcPr>
            <w:tcW w:w="2223"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责任部门</w:t>
            </w:r>
          </w:p>
        </w:tc>
        <w:tc>
          <w:tcPr>
            <w:tcW w:w="2151"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18</w:t>
            </w:r>
          </w:p>
        </w:tc>
        <w:tc>
          <w:tcPr>
            <w:tcW w:w="900" w:type="dxa"/>
            <w:vMerge w:val="restart"/>
            <w:vAlign w:val="center"/>
          </w:tcPr>
          <w:p>
            <w:pPr>
              <w:bidi w:val="0"/>
              <w:jc w:val="center"/>
              <w:rPr>
                <w:rFonts w:hint="eastAsia"/>
                <w:lang w:val="en-US" w:eastAsia="zh-CN"/>
              </w:rPr>
            </w:pPr>
            <w:r>
              <w:rPr>
                <w:rFonts w:hint="eastAsia"/>
                <w:lang w:val="en-US" w:eastAsia="zh-CN"/>
              </w:rPr>
              <w:t>统一审批流程</w:t>
            </w:r>
          </w:p>
        </w:tc>
        <w:tc>
          <w:tcPr>
            <w:tcW w:w="930" w:type="dxa"/>
            <w:vMerge w:val="restart"/>
            <w:vAlign w:val="center"/>
          </w:tcPr>
          <w:p>
            <w:pPr>
              <w:bidi w:val="0"/>
              <w:jc w:val="center"/>
              <w:rPr>
                <w:rFonts w:hint="eastAsia"/>
                <w:lang w:val="en-US" w:eastAsia="zh-CN"/>
              </w:rPr>
            </w:pPr>
            <w:r>
              <w:rPr>
                <w:rFonts w:hint="eastAsia"/>
                <w:lang w:val="en-US" w:eastAsia="zh-CN"/>
              </w:rPr>
              <w:t>推行区域评估</w:t>
            </w:r>
          </w:p>
        </w:tc>
        <w:tc>
          <w:tcPr>
            <w:tcW w:w="7377" w:type="dxa"/>
            <w:vAlign w:val="center"/>
          </w:tcPr>
          <w:p>
            <w:pPr>
              <w:bidi w:val="0"/>
              <w:jc w:val="center"/>
              <w:rPr>
                <w:rFonts w:hint="eastAsia"/>
                <w:lang w:val="en-US" w:eastAsia="zh-CN"/>
              </w:rPr>
            </w:pPr>
            <w:r>
              <w:rPr>
                <w:rFonts w:hint="eastAsia"/>
                <w:lang w:val="en-US" w:eastAsia="zh-CN"/>
              </w:rPr>
              <w:t>在区工业园先行开展区域评估试点，制定实施细则，对范围内建设项目评估评价事项实行统一评估</w:t>
            </w:r>
          </w:p>
        </w:tc>
        <w:tc>
          <w:tcPr>
            <w:tcW w:w="2223" w:type="dxa"/>
            <w:vAlign w:val="center"/>
          </w:tcPr>
          <w:p>
            <w:pPr>
              <w:bidi w:val="0"/>
              <w:jc w:val="center"/>
              <w:rPr>
                <w:rFonts w:hint="eastAsia"/>
                <w:lang w:val="en-US" w:eastAsia="zh-CN"/>
              </w:rPr>
            </w:pPr>
            <w:r>
              <w:rPr>
                <w:rFonts w:hint="eastAsia"/>
                <w:lang w:val="en-US" w:eastAsia="zh-CN"/>
              </w:rPr>
              <w:t>区工业和信息化局</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93" w:type="dxa"/>
            <w:vAlign w:val="center"/>
          </w:tcPr>
          <w:p>
            <w:pPr>
              <w:bidi w:val="0"/>
              <w:jc w:val="center"/>
              <w:rPr>
                <w:rFonts w:hint="default"/>
                <w:lang w:val="en-US" w:eastAsia="zh-CN"/>
              </w:rPr>
            </w:pPr>
            <w:r>
              <w:rPr>
                <w:rFonts w:hint="eastAsia"/>
                <w:lang w:val="en-US" w:eastAsia="zh-CN"/>
              </w:rPr>
              <w:t>19</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实施区域评估范围内的工程建设项目共享区域评估评审结果，无需单独编报评估评审</w:t>
            </w:r>
          </w:p>
        </w:tc>
        <w:tc>
          <w:tcPr>
            <w:tcW w:w="2223" w:type="dxa"/>
            <w:vAlign w:val="center"/>
          </w:tcPr>
          <w:p>
            <w:pPr>
              <w:bidi w:val="0"/>
              <w:jc w:val="center"/>
              <w:rPr>
                <w:rFonts w:hint="eastAsia"/>
                <w:lang w:val="en-US" w:eastAsia="zh-CN"/>
              </w:rPr>
            </w:pPr>
            <w:r>
              <w:rPr>
                <w:rFonts w:hint="eastAsia"/>
                <w:lang w:val="en-US" w:eastAsia="zh-CN"/>
              </w:rPr>
              <w:t>区工业和信息化局</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593" w:type="dxa"/>
            <w:vAlign w:val="center"/>
          </w:tcPr>
          <w:p>
            <w:pPr>
              <w:bidi w:val="0"/>
              <w:jc w:val="center"/>
              <w:rPr>
                <w:rFonts w:hint="default"/>
                <w:lang w:val="en-US" w:eastAsia="zh-CN"/>
              </w:rPr>
            </w:pPr>
            <w:r>
              <w:rPr>
                <w:rFonts w:hint="eastAsia"/>
                <w:lang w:val="en-US" w:eastAsia="zh-CN"/>
              </w:rPr>
              <w:t>20</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待模式成熟后，推广至全区范围施行</w:t>
            </w:r>
          </w:p>
        </w:tc>
        <w:tc>
          <w:tcPr>
            <w:tcW w:w="2223" w:type="dxa"/>
            <w:vAlign w:val="center"/>
          </w:tcPr>
          <w:p>
            <w:pPr>
              <w:bidi w:val="0"/>
              <w:jc w:val="center"/>
              <w:rPr>
                <w:rFonts w:hint="eastAsia"/>
                <w:lang w:val="en-US" w:eastAsia="zh-CN"/>
              </w:rPr>
            </w:pPr>
            <w:r>
              <w:rPr>
                <w:rFonts w:hint="eastAsia"/>
                <w:lang w:val="en-US" w:eastAsia="zh-CN"/>
              </w:rPr>
              <w:t>区工业和信息化局、区发改局、各相关单位</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Align w:val="center"/>
          </w:tcPr>
          <w:p>
            <w:pPr>
              <w:bidi w:val="0"/>
              <w:jc w:val="center"/>
              <w:rPr>
                <w:rFonts w:hint="default"/>
                <w:lang w:val="en-US" w:eastAsia="zh-CN"/>
              </w:rPr>
            </w:pPr>
            <w:r>
              <w:rPr>
                <w:rFonts w:hint="eastAsia"/>
                <w:lang w:val="en-US" w:eastAsia="zh-CN"/>
              </w:rPr>
              <w:t>21</w:t>
            </w:r>
          </w:p>
        </w:tc>
        <w:tc>
          <w:tcPr>
            <w:tcW w:w="900" w:type="dxa"/>
            <w:vMerge w:val="continue"/>
            <w:vAlign w:val="center"/>
          </w:tcPr>
          <w:p>
            <w:pPr>
              <w:bidi w:val="0"/>
              <w:jc w:val="center"/>
              <w:rPr>
                <w:rFonts w:hint="eastAsia"/>
                <w:lang w:val="en-US" w:eastAsia="zh-CN"/>
              </w:rPr>
            </w:pPr>
          </w:p>
        </w:tc>
        <w:tc>
          <w:tcPr>
            <w:tcW w:w="930" w:type="dxa"/>
            <w:vMerge w:val="restart"/>
            <w:vAlign w:val="center"/>
          </w:tcPr>
          <w:p>
            <w:pPr>
              <w:bidi w:val="0"/>
              <w:jc w:val="center"/>
              <w:rPr>
                <w:rFonts w:hint="eastAsia"/>
                <w:lang w:val="en-US" w:eastAsia="zh-CN"/>
              </w:rPr>
            </w:pPr>
            <w:r>
              <w:rPr>
                <w:rFonts w:hint="eastAsia"/>
                <w:lang w:val="en-US" w:eastAsia="zh-CN"/>
              </w:rPr>
              <w:t>推行告知承诺制</w:t>
            </w:r>
          </w:p>
        </w:tc>
        <w:tc>
          <w:tcPr>
            <w:tcW w:w="7377" w:type="dxa"/>
            <w:vAlign w:val="center"/>
          </w:tcPr>
          <w:p>
            <w:pPr>
              <w:bidi w:val="0"/>
              <w:jc w:val="center"/>
              <w:rPr>
                <w:rFonts w:hint="eastAsia"/>
                <w:lang w:val="en-US" w:eastAsia="zh-CN"/>
              </w:rPr>
            </w:pPr>
            <w:r>
              <w:rPr>
                <w:rFonts w:hint="eastAsia"/>
                <w:lang w:val="en-US" w:eastAsia="zh-CN"/>
              </w:rPr>
              <w:t>对通过事中事后监管能够纠正不符合审批条件的行为且不会产生严重后果的审批事项、已实施区域评估的审批事项、确定有条件的审批事项等实行告知承诺制</w:t>
            </w:r>
          </w:p>
        </w:tc>
        <w:tc>
          <w:tcPr>
            <w:tcW w:w="2223" w:type="dxa"/>
            <w:vAlign w:val="center"/>
          </w:tcPr>
          <w:p>
            <w:pPr>
              <w:bidi w:val="0"/>
              <w:jc w:val="center"/>
              <w:rPr>
                <w:rFonts w:hint="eastAsia"/>
                <w:lang w:val="en-US" w:eastAsia="zh-CN"/>
              </w:rPr>
            </w:pPr>
            <w:r>
              <w:rPr>
                <w:rFonts w:hint="eastAsia"/>
                <w:lang w:val="en-US" w:eastAsia="zh-CN"/>
              </w:rPr>
              <w:t>区自然资源局、区发改局、区住房和城乡建设局、各相关单位</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trPr>
        <w:tc>
          <w:tcPr>
            <w:tcW w:w="593" w:type="dxa"/>
            <w:vAlign w:val="center"/>
          </w:tcPr>
          <w:p>
            <w:pPr>
              <w:bidi w:val="0"/>
              <w:jc w:val="center"/>
              <w:rPr>
                <w:rFonts w:hint="default"/>
                <w:lang w:val="en-US" w:eastAsia="zh-CN"/>
              </w:rPr>
            </w:pPr>
            <w:r>
              <w:rPr>
                <w:rFonts w:hint="eastAsia"/>
                <w:lang w:val="en-US" w:eastAsia="zh-CN"/>
              </w:rPr>
              <w:t>22</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工业企业不涉及新增建设用地的技术改造项目，实行审批负面清单管理，审批负面清单以外的项目，政府部门不再审批，实行承诺验收制</w:t>
            </w:r>
          </w:p>
        </w:tc>
        <w:tc>
          <w:tcPr>
            <w:tcW w:w="2223" w:type="dxa"/>
            <w:vAlign w:val="center"/>
          </w:tcPr>
          <w:p>
            <w:pPr>
              <w:bidi w:val="0"/>
              <w:jc w:val="center"/>
              <w:rPr>
                <w:rFonts w:hint="eastAsia"/>
                <w:lang w:val="en-US" w:eastAsia="zh-CN"/>
              </w:rPr>
            </w:pPr>
            <w:r>
              <w:rPr>
                <w:rFonts w:hint="eastAsia"/>
                <w:lang w:val="en-US" w:eastAsia="zh-CN"/>
              </w:rPr>
              <w:t>区自然资源局、区发改局、区住房和城乡建设局、各相关单位</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widowControl w:val="0"/>
              <w:numPr>
                <w:ilvl w:val="0"/>
                <w:numId w:val="0"/>
              </w:numPr>
              <w:ind w:left="0" w:leftChars="0" w:firstLine="0" w:firstLineChars="0"/>
              <w:jc w:val="center"/>
              <w:rPr>
                <w:rFonts w:hint="eastAsia" w:ascii="宋体" w:hAnsi="宋体" w:eastAsia="宋体" w:cs="宋体"/>
                <w:b/>
                <w:bCs/>
                <w:kern w:val="2"/>
                <w:sz w:val="44"/>
                <w:szCs w:val="44"/>
                <w:vertAlign w:val="baseline"/>
                <w:lang w:val="en-US" w:eastAsia="zh-CN" w:bidi="ar-SA"/>
              </w:rPr>
            </w:pPr>
            <w:r>
              <w:rPr>
                <w:rFonts w:hint="eastAsia" w:ascii="宋体" w:hAnsi="宋体" w:eastAsia="宋体" w:cs="宋体"/>
                <w:b w:val="0"/>
                <w:bCs w:val="0"/>
                <w:sz w:val="28"/>
                <w:szCs w:val="28"/>
                <w:vertAlign w:val="baseline"/>
                <w:lang w:val="en-US" w:eastAsia="zh-CN"/>
              </w:rPr>
              <w:t>序号</w:t>
            </w:r>
          </w:p>
        </w:tc>
        <w:tc>
          <w:tcPr>
            <w:tcW w:w="900" w:type="dxa"/>
            <w:vAlign w:val="center"/>
          </w:tcPr>
          <w:p>
            <w:pPr>
              <w:widowControl w:val="0"/>
              <w:numPr>
                <w:ilvl w:val="0"/>
                <w:numId w:val="0"/>
              </w:numPr>
              <w:ind w:left="0" w:leftChars="0" w:firstLine="0" w:firstLineChars="0"/>
              <w:jc w:val="center"/>
              <w:rPr>
                <w:rFonts w:hint="eastAsia" w:ascii="宋体" w:hAnsi="宋体" w:eastAsia="宋体" w:cs="宋体"/>
                <w:b/>
                <w:bCs/>
                <w:kern w:val="2"/>
                <w:sz w:val="44"/>
                <w:szCs w:val="44"/>
                <w:vertAlign w:val="baseline"/>
                <w:lang w:val="en-US" w:eastAsia="zh-CN" w:bidi="ar-SA"/>
              </w:rPr>
            </w:pPr>
            <w:r>
              <w:rPr>
                <w:rFonts w:hint="eastAsia" w:ascii="宋体" w:hAnsi="宋体" w:eastAsia="宋体" w:cs="宋体"/>
                <w:b w:val="0"/>
                <w:bCs w:val="0"/>
                <w:sz w:val="28"/>
                <w:szCs w:val="28"/>
                <w:vertAlign w:val="baseline"/>
                <w:lang w:val="en-US" w:eastAsia="zh-CN"/>
              </w:rPr>
              <w:t>总体要求</w:t>
            </w:r>
          </w:p>
        </w:tc>
        <w:tc>
          <w:tcPr>
            <w:tcW w:w="930"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主要任务</w:t>
            </w:r>
          </w:p>
        </w:tc>
        <w:tc>
          <w:tcPr>
            <w:tcW w:w="7377"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落实措施</w:t>
            </w:r>
          </w:p>
        </w:tc>
        <w:tc>
          <w:tcPr>
            <w:tcW w:w="2223"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责任部门</w:t>
            </w:r>
          </w:p>
        </w:tc>
        <w:tc>
          <w:tcPr>
            <w:tcW w:w="2151"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3" w:type="dxa"/>
            <w:vAlign w:val="center"/>
          </w:tcPr>
          <w:p>
            <w:pPr>
              <w:bidi w:val="0"/>
              <w:jc w:val="center"/>
              <w:rPr>
                <w:rFonts w:hint="default"/>
                <w:lang w:val="en-US" w:eastAsia="zh-CN"/>
              </w:rPr>
            </w:pPr>
            <w:r>
              <w:rPr>
                <w:rFonts w:hint="eastAsia"/>
                <w:lang w:val="en-US" w:eastAsia="zh-CN"/>
              </w:rPr>
              <w:t>23</w:t>
            </w:r>
          </w:p>
        </w:tc>
        <w:tc>
          <w:tcPr>
            <w:tcW w:w="900" w:type="dxa"/>
            <w:vMerge w:val="restart"/>
            <w:vAlign w:val="center"/>
          </w:tcPr>
          <w:p>
            <w:pPr>
              <w:bidi w:val="0"/>
              <w:jc w:val="center"/>
              <w:rPr>
                <w:rFonts w:hint="eastAsia"/>
                <w:lang w:val="en-US" w:eastAsia="zh-CN"/>
              </w:rPr>
            </w:pPr>
            <w:r>
              <w:rPr>
                <w:rFonts w:hint="eastAsia"/>
                <w:lang w:val="en-US" w:eastAsia="zh-CN"/>
              </w:rPr>
              <w:t>统一信息数据平台</w:t>
            </w:r>
          </w:p>
        </w:tc>
        <w:tc>
          <w:tcPr>
            <w:tcW w:w="930" w:type="dxa"/>
            <w:vMerge w:val="restart"/>
            <w:vAlign w:val="center"/>
          </w:tcPr>
          <w:p>
            <w:pPr>
              <w:bidi w:val="0"/>
              <w:jc w:val="center"/>
              <w:rPr>
                <w:rFonts w:hint="eastAsia"/>
                <w:lang w:val="en-US" w:eastAsia="zh-CN"/>
              </w:rPr>
            </w:pPr>
            <w:r>
              <w:rPr>
                <w:rFonts w:hint="eastAsia"/>
                <w:lang w:val="en-US" w:eastAsia="zh-CN"/>
              </w:rPr>
              <w:t>建立完善工程建设项目审批管理系统配套系统</w:t>
            </w:r>
          </w:p>
        </w:tc>
        <w:tc>
          <w:tcPr>
            <w:tcW w:w="7377" w:type="dxa"/>
            <w:vAlign w:val="center"/>
          </w:tcPr>
          <w:p>
            <w:pPr>
              <w:bidi w:val="0"/>
              <w:jc w:val="center"/>
              <w:rPr>
                <w:rFonts w:hint="eastAsia"/>
                <w:lang w:val="en-US" w:eastAsia="zh-CN"/>
              </w:rPr>
            </w:pPr>
            <w:r>
              <w:rPr>
                <w:rFonts w:hint="eastAsia"/>
                <w:lang w:val="en-US" w:eastAsia="zh-CN"/>
              </w:rPr>
              <w:t>待省工程建设项目审批管理系统上线后，我区工程建设项目审批在该系统上操作完成，原则上不再接受纸质资料</w:t>
            </w:r>
          </w:p>
        </w:tc>
        <w:tc>
          <w:tcPr>
            <w:tcW w:w="2223" w:type="dxa"/>
            <w:vAlign w:val="center"/>
          </w:tcPr>
          <w:p>
            <w:pPr>
              <w:bidi w:val="0"/>
              <w:jc w:val="center"/>
              <w:rPr>
                <w:rFonts w:hint="eastAsia"/>
                <w:lang w:val="en-US" w:eastAsia="zh-CN"/>
              </w:rPr>
            </w:pPr>
            <w:r>
              <w:rPr>
                <w:rFonts w:hint="eastAsia"/>
                <w:lang w:val="en-US" w:eastAsia="zh-CN"/>
              </w:rPr>
              <w:t>区工业和信息化局、区政务服务中心、各相关单位</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24</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加快建设我区“多规合一”业务协同平台并与省工程建设项目审批管理系统有机衔接</w:t>
            </w:r>
          </w:p>
        </w:tc>
        <w:tc>
          <w:tcPr>
            <w:tcW w:w="2223" w:type="dxa"/>
            <w:vAlign w:val="center"/>
          </w:tcPr>
          <w:p>
            <w:pPr>
              <w:bidi w:val="0"/>
              <w:jc w:val="center"/>
              <w:rPr>
                <w:rFonts w:hint="eastAsia"/>
                <w:lang w:val="en-US" w:eastAsia="zh-CN"/>
              </w:rPr>
            </w:pPr>
            <w:r>
              <w:rPr>
                <w:rFonts w:hint="eastAsia"/>
                <w:lang w:val="en-US" w:eastAsia="zh-CN"/>
              </w:rPr>
              <w:t>区自然资源局、区工业和信息化局</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25</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全面梳理全区自建的相关信息系统， 并做好与省、市工程建设项目审批管理系统的对接</w:t>
            </w:r>
          </w:p>
        </w:tc>
        <w:tc>
          <w:tcPr>
            <w:tcW w:w="2223" w:type="dxa"/>
            <w:vAlign w:val="center"/>
          </w:tcPr>
          <w:p>
            <w:pPr>
              <w:bidi w:val="0"/>
              <w:jc w:val="center"/>
              <w:rPr>
                <w:rFonts w:hint="eastAsia"/>
                <w:lang w:val="en-US" w:eastAsia="zh-CN"/>
              </w:rPr>
            </w:pPr>
            <w:r>
              <w:rPr>
                <w:rFonts w:hint="eastAsia"/>
                <w:lang w:val="en-US" w:eastAsia="zh-CN"/>
              </w:rPr>
              <w:t>区工业和信息化局</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26</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在“多规合一”业务协同平台建设、相关自建系统整合的资金安排上给予保障</w:t>
            </w:r>
          </w:p>
        </w:tc>
        <w:tc>
          <w:tcPr>
            <w:tcW w:w="2223" w:type="dxa"/>
            <w:vAlign w:val="center"/>
          </w:tcPr>
          <w:p>
            <w:pPr>
              <w:bidi w:val="0"/>
              <w:jc w:val="center"/>
              <w:rPr>
                <w:rFonts w:hint="eastAsia"/>
                <w:lang w:val="en-US" w:eastAsia="zh-CN"/>
              </w:rPr>
            </w:pPr>
            <w:r>
              <w:rPr>
                <w:rFonts w:hint="eastAsia"/>
                <w:lang w:val="en-US" w:eastAsia="zh-CN"/>
              </w:rPr>
              <w:t>区财政局、区工业和信息化局、各相关单位</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满足系统建设需要、持续落实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trPr>
        <w:tc>
          <w:tcPr>
            <w:tcW w:w="593" w:type="dxa"/>
            <w:vAlign w:val="center"/>
          </w:tcPr>
          <w:p>
            <w:pPr>
              <w:bidi w:val="0"/>
              <w:jc w:val="center"/>
              <w:rPr>
                <w:rFonts w:hint="default"/>
                <w:lang w:val="en-US" w:eastAsia="zh-CN"/>
              </w:rPr>
            </w:pPr>
            <w:r>
              <w:rPr>
                <w:rFonts w:hint="eastAsia"/>
                <w:lang w:val="en-US" w:eastAsia="zh-CN"/>
              </w:rPr>
              <w:t>27</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完善项目统代码管理制度，以项目立项阶段赋予的统一主代码贯穿各审批阶段，立项后被划分为若干子项目的，以“项目主代码+子代码”进行标识，推动“项目代码全程流转”</w:t>
            </w:r>
          </w:p>
        </w:tc>
        <w:tc>
          <w:tcPr>
            <w:tcW w:w="2223" w:type="dxa"/>
            <w:vAlign w:val="center"/>
          </w:tcPr>
          <w:p>
            <w:pPr>
              <w:bidi w:val="0"/>
              <w:jc w:val="center"/>
              <w:rPr>
                <w:rFonts w:hint="eastAsia"/>
                <w:lang w:val="en-US" w:eastAsia="zh-CN"/>
              </w:rPr>
            </w:pPr>
            <w:r>
              <w:rPr>
                <w:rFonts w:hint="eastAsia"/>
                <w:lang w:val="en-US" w:eastAsia="zh-CN"/>
              </w:rPr>
              <w:t>区发改局</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593" w:type="dxa"/>
            <w:vAlign w:val="center"/>
          </w:tcPr>
          <w:p>
            <w:pPr>
              <w:bidi w:val="0"/>
              <w:jc w:val="center"/>
              <w:rPr>
                <w:rFonts w:hint="default"/>
                <w:lang w:val="en-US" w:eastAsia="zh-CN"/>
              </w:rPr>
            </w:pPr>
            <w:r>
              <w:rPr>
                <w:rFonts w:hint="eastAsia"/>
                <w:lang w:val="en-US" w:eastAsia="zh-CN"/>
              </w:rPr>
              <w:t>28</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探索建立我区工程建设项目审批相关费用在线支付系统</w:t>
            </w:r>
          </w:p>
        </w:tc>
        <w:tc>
          <w:tcPr>
            <w:tcW w:w="2223" w:type="dxa"/>
            <w:vAlign w:val="center"/>
          </w:tcPr>
          <w:p>
            <w:pPr>
              <w:bidi w:val="0"/>
              <w:jc w:val="center"/>
              <w:rPr>
                <w:rFonts w:hint="eastAsia"/>
                <w:lang w:val="en-US" w:eastAsia="zh-CN"/>
              </w:rPr>
            </w:pPr>
            <w:r>
              <w:rPr>
                <w:rFonts w:hint="eastAsia"/>
                <w:lang w:val="en-US" w:eastAsia="zh-CN"/>
              </w:rPr>
              <w:t>区财政局、区工业和信息化局</w:t>
            </w:r>
          </w:p>
        </w:tc>
        <w:tc>
          <w:tcPr>
            <w:tcW w:w="2151" w:type="dxa"/>
            <w:vAlign w:val="center"/>
          </w:tcPr>
          <w:p>
            <w:pPr>
              <w:widowControl w:val="0"/>
              <w:numPr>
                <w:ilvl w:val="0"/>
                <w:numId w:val="0"/>
              </w:numPr>
              <w:jc w:val="center"/>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紧跟</w:t>
            </w:r>
            <w:r>
              <w:rPr>
                <w:rFonts w:hint="eastAsia" w:ascii="宋体" w:hAnsi="宋体" w:eastAsia="宋体" w:cs="宋体"/>
                <w:b w:val="0"/>
                <w:bCs w:val="0"/>
                <w:sz w:val="21"/>
                <w:szCs w:val="21"/>
                <w:vertAlign w:val="baseline"/>
                <w:lang w:val="en-US" w:eastAsia="zh-CN"/>
              </w:rPr>
              <w:t>市</w:t>
            </w:r>
            <w:r>
              <w:rPr>
                <w:rFonts w:hint="default" w:ascii="宋体" w:hAnsi="宋体" w:eastAsia="宋体" w:cs="宋体"/>
                <w:b w:val="0"/>
                <w:bCs w:val="0"/>
                <w:sz w:val="21"/>
                <w:szCs w:val="21"/>
                <w:vertAlign w:val="baseline"/>
                <w:lang w:val="en-US" w:eastAsia="zh-CN"/>
              </w:rPr>
              <w:t>里进度，持续推动落实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widowControl w:val="0"/>
              <w:numPr>
                <w:ilvl w:val="0"/>
                <w:numId w:val="0"/>
              </w:numPr>
              <w:ind w:left="0" w:leftChars="0" w:firstLine="0" w:firstLineChars="0"/>
              <w:jc w:val="center"/>
              <w:rPr>
                <w:rFonts w:hint="eastAsia" w:ascii="宋体" w:hAnsi="宋体" w:eastAsia="宋体" w:cs="宋体"/>
                <w:b/>
                <w:bCs/>
                <w:kern w:val="2"/>
                <w:sz w:val="44"/>
                <w:szCs w:val="44"/>
                <w:vertAlign w:val="baseline"/>
                <w:lang w:val="en-US" w:eastAsia="zh-CN" w:bidi="ar-SA"/>
              </w:rPr>
            </w:pPr>
            <w:r>
              <w:rPr>
                <w:rFonts w:hint="eastAsia" w:ascii="宋体" w:hAnsi="宋体" w:eastAsia="宋体" w:cs="宋体"/>
                <w:b w:val="0"/>
                <w:bCs w:val="0"/>
                <w:sz w:val="28"/>
                <w:szCs w:val="28"/>
                <w:vertAlign w:val="baseline"/>
                <w:lang w:val="en-US" w:eastAsia="zh-CN"/>
              </w:rPr>
              <w:t>序号</w:t>
            </w:r>
          </w:p>
        </w:tc>
        <w:tc>
          <w:tcPr>
            <w:tcW w:w="900" w:type="dxa"/>
            <w:vAlign w:val="center"/>
          </w:tcPr>
          <w:p>
            <w:pPr>
              <w:widowControl w:val="0"/>
              <w:numPr>
                <w:ilvl w:val="0"/>
                <w:numId w:val="0"/>
              </w:numPr>
              <w:ind w:left="0" w:leftChars="0" w:firstLine="0" w:firstLineChars="0"/>
              <w:jc w:val="center"/>
              <w:rPr>
                <w:rFonts w:hint="eastAsia" w:ascii="宋体" w:hAnsi="宋体" w:eastAsia="宋体" w:cs="宋体"/>
                <w:b/>
                <w:bCs/>
                <w:kern w:val="2"/>
                <w:sz w:val="44"/>
                <w:szCs w:val="44"/>
                <w:vertAlign w:val="baseline"/>
                <w:lang w:val="en-US" w:eastAsia="zh-CN" w:bidi="ar-SA"/>
              </w:rPr>
            </w:pPr>
            <w:r>
              <w:rPr>
                <w:rFonts w:hint="eastAsia" w:ascii="宋体" w:hAnsi="宋体" w:eastAsia="宋体" w:cs="宋体"/>
                <w:b w:val="0"/>
                <w:bCs w:val="0"/>
                <w:sz w:val="28"/>
                <w:szCs w:val="28"/>
                <w:vertAlign w:val="baseline"/>
                <w:lang w:val="en-US" w:eastAsia="zh-CN"/>
              </w:rPr>
              <w:t>总体要求</w:t>
            </w:r>
          </w:p>
        </w:tc>
        <w:tc>
          <w:tcPr>
            <w:tcW w:w="930"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主要任务</w:t>
            </w:r>
          </w:p>
        </w:tc>
        <w:tc>
          <w:tcPr>
            <w:tcW w:w="7377"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落实措施</w:t>
            </w:r>
          </w:p>
        </w:tc>
        <w:tc>
          <w:tcPr>
            <w:tcW w:w="2223"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责任部门</w:t>
            </w:r>
          </w:p>
        </w:tc>
        <w:tc>
          <w:tcPr>
            <w:tcW w:w="2151"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93" w:type="dxa"/>
            <w:vAlign w:val="center"/>
          </w:tcPr>
          <w:p>
            <w:pPr>
              <w:bidi w:val="0"/>
              <w:jc w:val="center"/>
              <w:rPr>
                <w:rFonts w:hint="default"/>
                <w:lang w:val="en-US" w:eastAsia="zh-CN"/>
              </w:rPr>
            </w:pPr>
            <w:r>
              <w:rPr>
                <w:rFonts w:hint="eastAsia"/>
                <w:lang w:val="en-US" w:eastAsia="zh-CN"/>
              </w:rPr>
              <w:t>29</w:t>
            </w:r>
          </w:p>
        </w:tc>
        <w:tc>
          <w:tcPr>
            <w:tcW w:w="900" w:type="dxa"/>
            <w:vMerge w:val="restart"/>
            <w:vAlign w:val="center"/>
          </w:tcPr>
          <w:p>
            <w:pPr>
              <w:bidi w:val="0"/>
              <w:jc w:val="center"/>
              <w:rPr>
                <w:rFonts w:hint="eastAsia"/>
                <w:lang w:val="en-US" w:eastAsia="zh-CN"/>
              </w:rPr>
            </w:pPr>
            <w:r>
              <w:rPr>
                <w:rFonts w:hint="eastAsia"/>
                <w:lang w:val="en-US" w:eastAsia="zh-CN"/>
              </w:rPr>
              <w:t>统一审批管理体系</w:t>
            </w:r>
          </w:p>
        </w:tc>
        <w:tc>
          <w:tcPr>
            <w:tcW w:w="930" w:type="dxa"/>
            <w:vMerge w:val="restart"/>
            <w:vAlign w:val="center"/>
          </w:tcPr>
          <w:p>
            <w:pPr>
              <w:bidi w:val="0"/>
              <w:jc w:val="center"/>
              <w:rPr>
                <w:rFonts w:hint="eastAsia"/>
                <w:lang w:val="en-US" w:eastAsia="zh-CN"/>
              </w:rPr>
            </w:pPr>
            <w:r>
              <w:rPr>
                <w:rFonts w:hint="eastAsia"/>
                <w:lang w:val="en-US" w:eastAsia="zh-CN"/>
              </w:rPr>
              <w:t>“一张蓝图”统筹项目实施</w:t>
            </w:r>
          </w:p>
        </w:tc>
        <w:tc>
          <w:tcPr>
            <w:tcW w:w="7377" w:type="dxa"/>
            <w:vAlign w:val="center"/>
          </w:tcPr>
          <w:p>
            <w:pPr>
              <w:bidi w:val="0"/>
              <w:jc w:val="center"/>
              <w:rPr>
                <w:rFonts w:hint="eastAsia"/>
                <w:lang w:val="en-US" w:eastAsia="zh-CN"/>
              </w:rPr>
            </w:pPr>
            <w:r>
              <w:rPr>
                <w:rFonts w:hint="eastAsia"/>
                <w:lang w:val="en-US" w:eastAsia="zh-CN"/>
              </w:rPr>
              <w:t>全面梳理我区各类规划与空间管控要素，形成“一张蓝图”基本框架</w:t>
            </w:r>
          </w:p>
        </w:tc>
        <w:tc>
          <w:tcPr>
            <w:tcW w:w="2223" w:type="dxa"/>
            <w:vAlign w:val="center"/>
          </w:tcPr>
          <w:p>
            <w:pPr>
              <w:bidi w:val="0"/>
              <w:jc w:val="center"/>
              <w:rPr>
                <w:rFonts w:hint="eastAsia"/>
                <w:lang w:val="en-US" w:eastAsia="zh-CN"/>
              </w:rPr>
            </w:pPr>
            <w:r>
              <w:rPr>
                <w:rFonts w:hint="eastAsia"/>
                <w:lang w:val="en-US" w:eastAsia="zh-CN"/>
              </w:rPr>
              <w:t>区自然资源局、各相关单位</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30</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制定我区项目生成管理办法， 统筹安排年度项目，制定我区工程建设项目年度实施计划</w:t>
            </w:r>
          </w:p>
        </w:tc>
        <w:tc>
          <w:tcPr>
            <w:tcW w:w="2223" w:type="dxa"/>
            <w:vAlign w:val="center"/>
          </w:tcPr>
          <w:p>
            <w:pPr>
              <w:bidi w:val="0"/>
              <w:jc w:val="center"/>
              <w:rPr>
                <w:rFonts w:hint="eastAsia"/>
                <w:lang w:val="en-US" w:eastAsia="zh-CN"/>
              </w:rPr>
            </w:pPr>
            <w:r>
              <w:rPr>
                <w:rFonts w:hint="eastAsia"/>
                <w:lang w:val="en-US" w:eastAsia="zh-CN"/>
              </w:rPr>
              <w:t>区发改局</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593" w:type="dxa"/>
            <w:vAlign w:val="center"/>
          </w:tcPr>
          <w:p>
            <w:pPr>
              <w:bidi w:val="0"/>
              <w:jc w:val="center"/>
              <w:rPr>
                <w:rFonts w:hint="default"/>
                <w:lang w:val="en-US" w:eastAsia="zh-CN"/>
              </w:rPr>
            </w:pPr>
            <w:r>
              <w:rPr>
                <w:rFonts w:hint="eastAsia"/>
                <w:lang w:val="en-US" w:eastAsia="zh-CN"/>
              </w:rPr>
              <w:t>31</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依托自建的“多规合一”业务协同平台，整合我区空间管控各项数据，明确生态保护红线、永久基本农田、城镇开发边界等控制线， 形成管控边界清晰、责任主体明确和管控规则明晰的城市空间规划图；同时，建立“多规合一”联席会议制度，及时消除主要空间规划矛盾和差异， 不断提高“一张蓝图”统筹项目实施效率</w:t>
            </w:r>
          </w:p>
        </w:tc>
        <w:tc>
          <w:tcPr>
            <w:tcW w:w="2223" w:type="dxa"/>
            <w:vAlign w:val="center"/>
          </w:tcPr>
          <w:p>
            <w:pPr>
              <w:bidi w:val="0"/>
              <w:jc w:val="center"/>
              <w:rPr>
                <w:rFonts w:hint="eastAsia"/>
                <w:lang w:val="en-US" w:eastAsia="zh-CN"/>
              </w:rPr>
            </w:pPr>
            <w:r>
              <w:rPr>
                <w:rFonts w:hint="eastAsia"/>
                <w:lang w:val="en-US" w:eastAsia="zh-CN"/>
              </w:rPr>
              <w:t>区自然资源局、各相关单位</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2020年10月底前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32</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划拨用地项目提前开展农用地转用、征地拆迁、国有土地上的房屋征收等工作；经策划生成的项目督促其落实建设条件</w:t>
            </w:r>
          </w:p>
        </w:tc>
        <w:tc>
          <w:tcPr>
            <w:tcW w:w="2223" w:type="dxa"/>
            <w:vAlign w:val="center"/>
          </w:tcPr>
          <w:p>
            <w:pPr>
              <w:bidi w:val="0"/>
              <w:jc w:val="center"/>
              <w:rPr>
                <w:rFonts w:hint="eastAsia"/>
                <w:lang w:val="en-US" w:eastAsia="zh-CN"/>
              </w:rPr>
            </w:pPr>
            <w:r>
              <w:rPr>
                <w:rFonts w:hint="eastAsia"/>
                <w:lang w:val="en-US" w:eastAsia="zh-CN"/>
              </w:rPr>
              <w:t>区自然资源局、区发改局</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33</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公开出让土地的项目，在土地出让前，将城乡规划、基础设施配套、园林绿化指标、人防配套建设指标等用地建设条件一次性集成公布，并纳入土地出让合同，同时在土地出让合同中明确受让人应接受相应行政主管部门监管</w:t>
            </w:r>
          </w:p>
        </w:tc>
        <w:tc>
          <w:tcPr>
            <w:tcW w:w="2223" w:type="dxa"/>
            <w:vAlign w:val="center"/>
          </w:tcPr>
          <w:p>
            <w:pPr>
              <w:bidi w:val="0"/>
              <w:jc w:val="center"/>
              <w:rPr>
                <w:rFonts w:hint="eastAsia"/>
                <w:lang w:val="en-US" w:eastAsia="zh-CN"/>
              </w:rPr>
            </w:pPr>
            <w:r>
              <w:rPr>
                <w:rFonts w:hint="eastAsia"/>
                <w:lang w:val="en-US" w:eastAsia="zh-CN"/>
              </w:rPr>
              <w:t>区自然资源局、区城市管理和综合执法局</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trPr>
        <w:tc>
          <w:tcPr>
            <w:tcW w:w="593" w:type="dxa"/>
            <w:vAlign w:val="center"/>
          </w:tcPr>
          <w:p>
            <w:pPr>
              <w:bidi w:val="0"/>
              <w:jc w:val="center"/>
              <w:rPr>
                <w:rFonts w:hint="default"/>
                <w:lang w:val="en-US" w:eastAsia="zh-CN"/>
              </w:rPr>
            </w:pPr>
            <w:r>
              <w:rPr>
                <w:rFonts w:hint="eastAsia"/>
                <w:lang w:val="en-US" w:eastAsia="zh-CN"/>
              </w:rPr>
              <w:t>34</w:t>
            </w:r>
          </w:p>
        </w:tc>
        <w:tc>
          <w:tcPr>
            <w:tcW w:w="900" w:type="dxa"/>
            <w:vMerge w:val="continue"/>
            <w:vAlign w:val="center"/>
          </w:tcPr>
          <w:p>
            <w:pPr>
              <w:bidi w:val="0"/>
              <w:jc w:val="center"/>
              <w:rPr>
                <w:rFonts w:hint="eastAsia"/>
                <w:lang w:val="en-US" w:eastAsia="zh-CN"/>
              </w:rPr>
            </w:pPr>
          </w:p>
        </w:tc>
        <w:tc>
          <w:tcPr>
            <w:tcW w:w="930" w:type="dxa"/>
            <w:vAlign w:val="center"/>
          </w:tcPr>
          <w:p>
            <w:pPr>
              <w:bidi w:val="0"/>
              <w:jc w:val="center"/>
              <w:rPr>
                <w:rFonts w:hint="eastAsia"/>
                <w:lang w:val="en-US" w:eastAsia="zh-CN"/>
              </w:rPr>
            </w:pPr>
            <w:r>
              <w:rPr>
                <w:rFonts w:hint="eastAsia"/>
                <w:lang w:val="en-US" w:eastAsia="zh-CN"/>
              </w:rPr>
              <w:t>“一个窗口”提供综合服务</w:t>
            </w:r>
          </w:p>
        </w:tc>
        <w:tc>
          <w:tcPr>
            <w:tcW w:w="7377" w:type="dxa"/>
            <w:vAlign w:val="center"/>
          </w:tcPr>
          <w:p>
            <w:pPr>
              <w:bidi w:val="0"/>
              <w:jc w:val="center"/>
              <w:rPr>
                <w:rFonts w:hint="eastAsia"/>
                <w:lang w:val="en-US" w:eastAsia="zh-CN"/>
              </w:rPr>
            </w:pPr>
            <w:r>
              <w:rPr>
                <w:rFonts w:hint="eastAsia"/>
                <w:lang w:val="en-US" w:eastAsia="zh-CN"/>
              </w:rPr>
              <w:t>设立我区工程建设项目审批综合服务窗口，利用信息数据平台搭建工程建设项目审批“虚拟一窗”</w:t>
            </w:r>
          </w:p>
        </w:tc>
        <w:tc>
          <w:tcPr>
            <w:tcW w:w="2223" w:type="dxa"/>
            <w:vAlign w:val="center"/>
          </w:tcPr>
          <w:p>
            <w:pPr>
              <w:bidi w:val="0"/>
              <w:jc w:val="center"/>
              <w:rPr>
                <w:rFonts w:hint="eastAsia"/>
                <w:lang w:val="en-US" w:eastAsia="zh-CN"/>
              </w:rPr>
            </w:pPr>
            <w:r>
              <w:rPr>
                <w:rFonts w:hint="eastAsia"/>
                <w:lang w:val="en-US" w:eastAsia="zh-CN"/>
              </w:rPr>
              <w:t>区政务服务中心、各相关单位</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2020年5月底前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widowControl w:val="0"/>
              <w:numPr>
                <w:ilvl w:val="0"/>
                <w:numId w:val="0"/>
              </w:numPr>
              <w:ind w:left="0" w:leftChars="0" w:firstLine="0" w:firstLineChars="0"/>
              <w:jc w:val="center"/>
              <w:rPr>
                <w:rFonts w:hint="eastAsia" w:ascii="宋体" w:hAnsi="宋体" w:eastAsia="宋体" w:cs="宋体"/>
                <w:b/>
                <w:bCs/>
                <w:kern w:val="2"/>
                <w:sz w:val="44"/>
                <w:szCs w:val="44"/>
                <w:vertAlign w:val="baseline"/>
                <w:lang w:val="en-US" w:eastAsia="zh-CN" w:bidi="ar-SA"/>
              </w:rPr>
            </w:pPr>
            <w:r>
              <w:rPr>
                <w:rFonts w:hint="eastAsia" w:ascii="宋体" w:hAnsi="宋体" w:eastAsia="宋体" w:cs="宋体"/>
                <w:b w:val="0"/>
                <w:bCs w:val="0"/>
                <w:sz w:val="28"/>
                <w:szCs w:val="28"/>
                <w:vertAlign w:val="baseline"/>
                <w:lang w:val="en-US" w:eastAsia="zh-CN"/>
              </w:rPr>
              <w:t>序号</w:t>
            </w:r>
          </w:p>
        </w:tc>
        <w:tc>
          <w:tcPr>
            <w:tcW w:w="900" w:type="dxa"/>
            <w:vAlign w:val="center"/>
          </w:tcPr>
          <w:p>
            <w:pPr>
              <w:widowControl w:val="0"/>
              <w:numPr>
                <w:ilvl w:val="0"/>
                <w:numId w:val="0"/>
              </w:numPr>
              <w:ind w:left="0" w:leftChars="0" w:firstLine="0" w:firstLineChars="0"/>
              <w:jc w:val="center"/>
              <w:rPr>
                <w:rFonts w:hint="eastAsia" w:ascii="宋体" w:hAnsi="宋体" w:eastAsia="宋体" w:cs="宋体"/>
                <w:b/>
                <w:bCs/>
                <w:kern w:val="2"/>
                <w:sz w:val="44"/>
                <w:szCs w:val="44"/>
                <w:vertAlign w:val="baseline"/>
                <w:lang w:val="en-US" w:eastAsia="zh-CN" w:bidi="ar-SA"/>
              </w:rPr>
            </w:pPr>
            <w:r>
              <w:rPr>
                <w:rFonts w:hint="eastAsia" w:ascii="宋体" w:hAnsi="宋体" w:eastAsia="宋体" w:cs="宋体"/>
                <w:b w:val="0"/>
                <w:bCs w:val="0"/>
                <w:sz w:val="28"/>
                <w:szCs w:val="28"/>
                <w:vertAlign w:val="baseline"/>
                <w:lang w:val="en-US" w:eastAsia="zh-CN"/>
              </w:rPr>
              <w:t>总体要求</w:t>
            </w:r>
          </w:p>
        </w:tc>
        <w:tc>
          <w:tcPr>
            <w:tcW w:w="930"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主要任务</w:t>
            </w:r>
          </w:p>
        </w:tc>
        <w:tc>
          <w:tcPr>
            <w:tcW w:w="7377"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落实措施</w:t>
            </w:r>
          </w:p>
        </w:tc>
        <w:tc>
          <w:tcPr>
            <w:tcW w:w="2223"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责任部门</w:t>
            </w:r>
          </w:p>
        </w:tc>
        <w:tc>
          <w:tcPr>
            <w:tcW w:w="2151"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35</w:t>
            </w:r>
          </w:p>
        </w:tc>
        <w:tc>
          <w:tcPr>
            <w:tcW w:w="900" w:type="dxa"/>
            <w:vMerge w:val="restart"/>
            <w:vAlign w:val="center"/>
          </w:tcPr>
          <w:p>
            <w:pPr>
              <w:bidi w:val="0"/>
              <w:jc w:val="center"/>
              <w:rPr>
                <w:rFonts w:hint="eastAsia"/>
                <w:lang w:val="en-US" w:eastAsia="zh-CN"/>
              </w:rPr>
            </w:pPr>
            <w:r>
              <w:rPr>
                <w:rFonts w:hint="eastAsia"/>
                <w:lang w:val="en-US" w:eastAsia="zh-CN"/>
              </w:rPr>
              <w:t>统一审批管理体系</w:t>
            </w:r>
          </w:p>
        </w:tc>
        <w:tc>
          <w:tcPr>
            <w:tcW w:w="930" w:type="dxa"/>
            <w:vMerge w:val="restart"/>
            <w:vAlign w:val="center"/>
          </w:tcPr>
          <w:p>
            <w:pPr>
              <w:bidi w:val="0"/>
              <w:jc w:val="center"/>
              <w:rPr>
                <w:rFonts w:hint="eastAsia"/>
                <w:lang w:val="en-US" w:eastAsia="zh-CN"/>
              </w:rPr>
            </w:pPr>
            <w:r>
              <w:rPr>
                <w:rFonts w:hint="eastAsia"/>
                <w:lang w:val="en-US" w:eastAsia="zh-CN"/>
              </w:rPr>
              <w:t>“一个窗口”提供综合服务</w:t>
            </w:r>
          </w:p>
        </w:tc>
        <w:tc>
          <w:tcPr>
            <w:tcW w:w="7377" w:type="dxa"/>
            <w:vAlign w:val="center"/>
          </w:tcPr>
          <w:p>
            <w:pPr>
              <w:bidi w:val="0"/>
              <w:jc w:val="center"/>
              <w:rPr>
                <w:rFonts w:hint="eastAsia"/>
                <w:lang w:val="en-US" w:eastAsia="zh-CN"/>
              </w:rPr>
            </w:pPr>
            <w:r>
              <w:rPr>
                <w:rFonts w:hint="eastAsia"/>
                <w:lang w:val="en-US" w:eastAsia="zh-CN"/>
              </w:rPr>
              <w:t>制定我区《工程建设项目审批咨询辅导服务规定》，为申请人提供工程建设项目审批咨询、指导、协调和代办等服务</w:t>
            </w:r>
          </w:p>
        </w:tc>
        <w:tc>
          <w:tcPr>
            <w:tcW w:w="2223" w:type="dxa"/>
            <w:vAlign w:val="center"/>
          </w:tcPr>
          <w:p>
            <w:pPr>
              <w:bidi w:val="0"/>
              <w:jc w:val="center"/>
              <w:rPr>
                <w:rFonts w:hint="eastAsia"/>
                <w:lang w:val="en-US" w:eastAsia="zh-CN"/>
              </w:rPr>
            </w:pPr>
            <w:r>
              <w:rPr>
                <w:rFonts w:hint="eastAsia"/>
                <w:lang w:val="en-US" w:eastAsia="zh-CN"/>
              </w:rPr>
              <w:t>区政务服务中心、各相关单位</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36</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梳理工程建设项目审批涉及的收费事项，建立“一窗集中收费”工作机制</w:t>
            </w:r>
          </w:p>
        </w:tc>
        <w:tc>
          <w:tcPr>
            <w:tcW w:w="2223" w:type="dxa"/>
            <w:vAlign w:val="center"/>
          </w:tcPr>
          <w:p>
            <w:pPr>
              <w:bidi w:val="0"/>
              <w:jc w:val="center"/>
              <w:rPr>
                <w:rFonts w:hint="eastAsia"/>
                <w:lang w:val="en-US" w:eastAsia="zh-CN"/>
              </w:rPr>
            </w:pPr>
            <w:r>
              <w:rPr>
                <w:rFonts w:hint="eastAsia"/>
                <w:lang w:val="en-US" w:eastAsia="zh-CN"/>
              </w:rPr>
              <w:t>区财政局、区政务服务中心</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紧跟</w:t>
            </w:r>
            <w:r>
              <w:rPr>
                <w:rFonts w:hint="eastAsia" w:ascii="宋体" w:hAnsi="宋体" w:eastAsia="宋体" w:cs="宋体"/>
                <w:b w:val="0"/>
                <w:bCs w:val="0"/>
                <w:sz w:val="21"/>
                <w:szCs w:val="21"/>
                <w:vertAlign w:val="baseline"/>
                <w:lang w:val="en-US" w:eastAsia="zh-CN"/>
              </w:rPr>
              <w:t>市</w:t>
            </w:r>
            <w:r>
              <w:rPr>
                <w:rFonts w:hint="default" w:ascii="宋体" w:hAnsi="宋体" w:eastAsia="宋体" w:cs="宋体"/>
                <w:b w:val="0"/>
                <w:bCs w:val="0"/>
                <w:sz w:val="21"/>
                <w:szCs w:val="21"/>
                <w:vertAlign w:val="baseline"/>
                <w:lang w:val="en-US" w:eastAsia="zh-CN"/>
              </w:rPr>
              <w:t>里进度，持续推动落实</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bidi w:val="0"/>
              <w:jc w:val="center"/>
              <w:rPr>
                <w:rFonts w:hint="default"/>
                <w:lang w:val="en-US" w:eastAsia="zh-CN"/>
              </w:rPr>
            </w:pPr>
            <w:r>
              <w:rPr>
                <w:rFonts w:hint="eastAsia"/>
                <w:lang w:val="en-US" w:eastAsia="zh-CN"/>
              </w:rPr>
              <w:t>37</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四个阶段明确专人主动与办事单位对接，提供帮办代办审批服务</w:t>
            </w:r>
          </w:p>
        </w:tc>
        <w:tc>
          <w:tcPr>
            <w:tcW w:w="2223" w:type="dxa"/>
            <w:vAlign w:val="center"/>
          </w:tcPr>
          <w:p>
            <w:pPr>
              <w:bidi w:val="0"/>
              <w:jc w:val="center"/>
              <w:rPr>
                <w:rFonts w:hint="eastAsia"/>
                <w:lang w:val="en-US" w:eastAsia="zh-CN"/>
              </w:rPr>
            </w:pPr>
            <w:r>
              <w:rPr>
                <w:rFonts w:hint="eastAsia"/>
                <w:lang w:val="en-US" w:eastAsia="zh-CN"/>
              </w:rPr>
              <w:t>区政务服务中心、区发改局、区自然资源局、区住房和城乡建设局</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Align w:val="center"/>
          </w:tcPr>
          <w:p>
            <w:pPr>
              <w:bidi w:val="0"/>
              <w:jc w:val="center"/>
              <w:rPr>
                <w:rFonts w:hint="default"/>
                <w:lang w:val="en-US" w:eastAsia="zh-CN"/>
              </w:rPr>
            </w:pPr>
            <w:r>
              <w:rPr>
                <w:rFonts w:hint="eastAsia"/>
                <w:lang w:val="en-US" w:eastAsia="zh-CN"/>
              </w:rPr>
              <w:t>38</w:t>
            </w:r>
          </w:p>
        </w:tc>
        <w:tc>
          <w:tcPr>
            <w:tcW w:w="900" w:type="dxa"/>
            <w:vMerge w:val="continue"/>
            <w:vAlign w:val="center"/>
          </w:tcPr>
          <w:p>
            <w:pPr>
              <w:bidi w:val="0"/>
              <w:jc w:val="center"/>
              <w:rPr>
                <w:rFonts w:hint="eastAsia"/>
                <w:lang w:val="en-US" w:eastAsia="zh-CN"/>
              </w:rPr>
            </w:pPr>
          </w:p>
        </w:tc>
        <w:tc>
          <w:tcPr>
            <w:tcW w:w="930" w:type="dxa"/>
            <w:vAlign w:val="center"/>
          </w:tcPr>
          <w:p>
            <w:pPr>
              <w:bidi w:val="0"/>
              <w:jc w:val="center"/>
              <w:rPr>
                <w:rFonts w:hint="eastAsia"/>
                <w:lang w:val="en-US" w:eastAsia="zh-CN"/>
              </w:rPr>
            </w:pPr>
            <w:r>
              <w:rPr>
                <w:rFonts w:hint="eastAsia"/>
                <w:lang w:val="en-US" w:eastAsia="zh-CN"/>
              </w:rPr>
              <w:t>“一张表单”整合申报材料</w:t>
            </w:r>
          </w:p>
        </w:tc>
        <w:tc>
          <w:tcPr>
            <w:tcW w:w="7377" w:type="dxa"/>
            <w:vAlign w:val="center"/>
          </w:tcPr>
          <w:p>
            <w:pPr>
              <w:bidi w:val="0"/>
              <w:jc w:val="center"/>
              <w:rPr>
                <w:rFonts w:hint="eastAsia"/>
                <w:lang w:val="en-US" w:eastAsia="zh-CN"/>
              </w:rPr>
            </w:pPr>
            <w:r>
              <w:rPr>
                <w:rFonts w:hint="eastAsia"/>
                <w:lang w:val="en-US" w:eastAsia="zh-CN"/>
              </w:rPr>
              <w:t>实行各审批阶段全省统的“一份办事指南、一张申请表单、一套申报材料，完成多项审批”的运作模式。工程建设项目审批综合服务窗口应建立对申请表单和申报材料清单的填报服务机制，主动告知申请人填报要求，不同审批阶段的审批部门依托全省工程建设项目审批系统共享申报材料，不得要求申请人重复提交</w:t>
            </w:r>
          </w:p>
        </w:tc>
        <w:tc>
          <w:tcPr>
            <w:tcW w:w="2223" w:type="dxa"/>
            <w:vAlign w:val="center"/>
          </w:tcPr>
          <w:p>
            <w:pPr>
              <w:bidi w:val="0"/>
              <w:jc w:val="center"/>
              <w:rPr>
                <w:rFonts w:hint="eastAsia"/>
                <w:lang w:val="en-US" w:eastAsia="zh-CN"/>
              </w:rPr>
            </w:pPr>
            <w:r>
              <w:rPr>
                <w:rFonts w:hint="eastAsia"/>
                <w:lang w:val="en-US" w:eastAsia="zh-CN"/>
              </w:rPr>
              <w:t>区政务服务中心、区发改局、区自然资源局、区住房和城乡建设局</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2020年5月底前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8" w:hRule="atLeast"/>
        </w:trPr>
        <w:tc>
          <w:tcPr>
            <w:tcW w:w="593" w:type="dxa"/>
            <w:vAlign w:val="center"/>
          </w:tcPr>
          <w:p>
            <w:pPr>
              <w:bidi w:val="0"/>
              <w:jc w:val="center"/>
              <w:rPr>
                <w:rFonts w:hint="default"/>
                <w:lang w:val="en-US" w:eastAsia="zh-CN"/>
              </w:rPr>
            </w:pPr>
            <w:r>
              <w:rPr>
                <w:rFonts w:hint="eastAsia"/>
                <w:lang w:val="en-US" w:eastAsia="zh-CN"/>
              </w:rPr>
              <w:t>39</w:t>
            </w:r>
          </w:p>
        </w:tc>
        <w:tc>
          <w:tcPr>
            <w:tcW w:w="900" w:type="dxa"/>
            <w:vMerge w:val="continue"/>
            <w:vAlign w:val="center"/>
          </w:tcPr>
          <w:p>
            <w:pPr>
              <w:bidi w:val="0"/>
              <w:jc w:val="center"/>
              <w:rPr>
                <w:rFonts w:hint="eastAsia"/>
                <w:lang w:val="en-US" w:eastAsia="zh-CN"/>
              </w:rPr>
            </w:pPr>
          </w:p>
        </w:tc>
        <w:tc>
          <w:tcPr>
            <w:tcW w:w="930" w:type="dxa"/>
            <w:vAlign w:val="center"/>
          </w:tcPr>
          <w:p>
            <w:pPr>
              <w:bidi w:val="0"/>
              <w:jc w:val="center"/>
              <w:rPr>
                <w:rFonts w:hint="eastAsia"/>
                <w:lang w:val="en-US" w:eastAsia="zh-CN"/>
              </w:rPr>
            </w:pPr>
            <w:r>
              <w:rPr>
                <w:rFonts w:hint="eastAsia"/>
                <w:lang w:val="en-US" w:eastAsia="zh-CN"/>
              </w:rPr>
              <w:t>“一套机制”规范审批运行</w:t>
            </w:r>
          </w:p>
        </w:tc>
        <w:tc>
          <w:tcPr>
            <w:tcW w:w="7377" w:type="dxa"/>
            <w:vAlign w:val="center"/>
          </w:tcPr>
          <w:p>
            <w:pPr>
              <w:bidi w:val="0"/>
              <w:jc w:val="center"/>
              <w:rPr>
                <w:rFonts w:hint="eastAsia"/>
                <w:lang w:val="en-US" w:eastAsia="zh-CN"/>
              </w:rPr>
            </w:pPr>
            <w:r>
              <w:rPr>
                <w:rFonts w:hint="eastAsia"/>
                <w:lang w:val="en-US" w:eastAsia="zh-CN"/>
              </w:rPr>
              <w:t>基本建立工程建设项目审批配套制度，包括立项用地规划许可、工程建设许可、施工许可、竣工验收各阶段的配套制度，以及牵头部门负责制、协调机制、督查制度、“多规合一”协同规则、加强事中事后监管制度等。</w:t>
            </w:r>
          </w:p>
        </w:tc>
        <w:tc>
          <w:tcPr>
            <w:tcW w:w="2223" w:type="dxa"/>
            <w:vAlign w:val="center"/>
          </w:tcPr>
          <w:p>
            <w:pPr>
              <w:bidi w:val="0"/>
              <w:jc w:val="center"/>
              <w:rPr>
                <w:rFonts w:hint="eastAsia"/>
                <w:lang w:val="en-US" w:eastAsia="zh-CN"/>
              </w:rPr>
            </w:pPr>
            <w:r>
              <w:rPr>
                <w:rFonts w:hint="eastAsia"/>
                <w:lang w:val="en-US" w:eastAsia="zh-CN"/>
              </w:rPr>
              <w:t>区政务服务中心、区发改局、区自然资源局、区住房和城乡建设局</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Align w:val="center"/>
          </w:tcPr>
          <w:p>
            <w:pPr>
              <w:widowControl w:val="0"/>
              <w:numPr>
                <w:ilvl w:val="0"/>
                <w:numId w:val="0"/>
              </w:numPr>
              <w:ind w:left="0" w:leftChars="0" w:firstLine="0" w:firstLineChars="0"/>
              <w:jc w:val="center"/>
              <w:rPr>
                <w:rFonts w:hint="eastAsia" w:ascii="宋体" w:hAnsi="宋体" w:eastAsia="宋体" w:cs="宋体"/>
                <w:b/>
                <w:bCs/>
                <w:kern w:val="2"/>
                <w:sz w:val="44"/>
                <w:szCs w:val="44"/>
                <w:vertAlign w:val="baseline"/>
                <w:lang w:val="en-US" w:eastAsia="zh-CN" w:bidi="ar-SA"/>
              </w:rPr>
            </w:pPr>
            <w:r>
              <w:rPr>
                <w:rFonts w:hint="eastAsia" w:ascii="宋体" w:hAnsi="宋体" w:eastAsia="宋体" w:cs="宋体"/>
                <w:b w:val="0"/>
                <w:bCs w:val="0"/>
                <w:sz w:val="28"/>
                <w:szCs w:val="28"/>
                <w:vertAlign w:val="baseline"/>
                <w:lang w:val="en-US" w:eastAsia="zh-CN"/>
              </w:rPr>
              <w:t>序号</w:t>
            </w:r>
          </w:p>
        </w:tc>
        <w:tc>
          <w:tcPr>
            <w:tcW w:w="900" w:type="dxa"/>
            <w:vAlign w:val="center"/>
          </w:tcPr>
          <w:p>
            <w:pPr>
              <w:widowControl w:val="0"/>
              <w:numPr>
                <w:ilvl w:val="0"/>
                <w:numId w:val="0"/>
              </w:numPr>
              <w:ind w:left="0" w:leftChars="0" w:firstLine="0" w:firstLineChars="0"/>
              <w:jc w:val="center"/>
              <w:rPr>
                <w:rFonts w:hint="eastAsia" w:ascii="宋体" w:hAnsi="宋体" w:eastAsia="宋体" w:cs="宋体"/>
                <w:b/>
                <w:bCs/>
                <w:kern w:val="2"/>
                <w:sz w:val="44"/>
                <w:szCs w:val="44"/>
                <w:vertAlign w:val="baseline"/>
                <w:lang w:val="en-US" w:eastAsia="zh-CN" w:bidi="ar-SA"/>
              </w:rPr>
            </w:pPr>
            <w:r>
              <w:rPr>
                <w:rFonts w:hint="eastAsia" w:ascii="宋体" w:hAnsi="宋体" w:eastAsia="宋体" w:cs="宋体"/>
                <w:b w:val="0"/>
                <w:bCs w:val="0"/>
                <w:sz w:val="28"/>
                <w:szCs w:val="28"/>
                <w:vertAlign w:val="baseline"/>
                <w:lang w:val="en-US" w:eastAsia="zh-CN"/>
              </w:rPr>
              <w:t>总体要求</w:t>
            </w:r>
          </w:p>
        </w:tc>
        <w:tc>
          <w:tcPr>
            <w:tcW w:w="930"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主要任务</w:t>
            </w:r>
          </w:p>
        </w:tc>
        <w:tc>
          <w:tcPr>
            <w:tcW w:w="7377"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落实措施</w:t>
            </w:r>
          </w:p>
        </w:tc>
        <w:tc>
          <w:tcPr>
            <w:tcW w:w="2223"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责任部门</w:t>
            </w:r>
          </w:p>
        </w:tc>
        <w:tc>
          <w:tcPr>
            <w:tcW w:w="2151"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Align w:val="center"/>
          </w:tcPr>
          <w:p>
            <w:pPr>
              <w:bidi w:val="0"/>
              <w:jc w:val="center"/>
              <w:rPr>
                <w:rFonts w:hint="default"/>
                <w:lang w:val="en-US" w:eastAsia="zh-CN"/>
              </w:rPr>
            </w:pPr>
            <w:r>
              <w:rPr>
                <w:rFonts w:hint="eastAsia"/>
                <w:lang w:val="en-US" w:eastAsia="zh-CN"/>
              </w:rPr>
              <w:t>40</w:t>
            </w:r>
          </w:p>
        </w:tc>
        <w:tc>
          <w:tcPr>
            <w:tcW w:w="900" w:type="dxa"/>
            <w:vMerge w:val="restart"/>
            <w:vAlign w:val="center"/>
          </w:tcPr>
          <w:p>
            <w:pPr>
              <w:bidi w:val="0"/>
              <w:jc w:val="center"/>
              <w:rPr>
                <w:rFonts w:hint="eastAsia"/>
                <w:lang w:val="en-US" w:eastAsia="zh-CN"/>
              </w:rPr>
            </w:pPr>
            <w:r>
              <w:rPr>
                <w:rFonts w:hint="eastAsia"/>
                <w:lang w:val="en-US" w:eastAsia="zh-CN"/>
              </w:rPr>
              <w:t>统一监管方式</w:t>
            </w:r>
          </w:p>
        </w:tc>
        <w:tc>
          <w:tcPr>
            <w:tcW w:w="930" w:type="dxa"/>
            <w:vAlign w:val="center"/>
          </w:tcPr>
          <w:p>
            <w:pPr>
              <w:bidi w:val="0"/>
              <w:jc w:val="center"/>
              <w:rPr>
                <w:rFonts w:hint="eastAsia"/>
                <w:lang w:val="en-US" w:eastAsia="zh-CN"/>
              </w:rPr>
            </w:pPr>
            <w:r>
              <w:rPr>
                <w:rFonts w:hint="eastAsia"/>
                <w:lang w:val="en-US" w:eastAsia="zh-CN"/>
              </w:rPr>
              <w:t>加强事中事后监管</w:t>
            </w:r>
          </w:p>
        </w:tc>
        <w:tc>
          <w:tcPr>
            <w:tcW w:w="7377" w:type="dxa"/>
            <w:vAlign w:val="center"/>
          </w:tcPr>
          <w:p>
            <w:pPr>
              <w:bidi w:val="0"/>
              <w:jc w:val="center"/>
              <w:rPr>
                <w:rFonts w:hint="eastAsia"/>
                <w:lang w:val="en-US" w:eastAsia="zh-CN"/>
              </w:rPr>
            </w:pPr>
            <w:r>
              <w:rPr>
                <w:rFonts w:hint="eastAsia"/>
                <w:lang w:val="en-US" w:eastAsia="zh-CN"/>
              </w:rPr>
              <w:t>制定事中事后监管管理办法，建立与之相适应的监管体系</w:t>
            </w:r>
          </w:p>
        </w:tc>
        <w:tc>
          <w:tcPr>
            <w:tcW w:w="2223" w:type="dxa"/>
            <w:vAlign w:val="center"/>
          </w:tcPr>
          <w:p>
            <w:pPr>
              <w:bidi w:val="0"/>
              <w:jc w:val="center"/>
              <w:rPr>
                <w:rFonts w:hint="eastAsia"/>
                <w:lang w:val="en-US" w:eastAsia="zh-CN"/>
              </w:rPr>
            </w:pPr>
            <w:r>
              <w:rPr>
                <w:rFonts w:hint="eastAsia"/>
                <w:lang w:val="en-US" w:eastAsia="zh-CN"/>
              </w:rPr>
              <w:t>各相关单位</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03" w:hRule="atLeast"/>
        </w:trPr>
        <w:tc>
          <w:tcPr>
            <w:tcW w:w="593" w:type="dxa"/>
            <w:vAlign w:val="center"/>
          </w:tcPr>
          <w:p>
            <w:pPr>
              <w:bidi w:val="0"/>
              <w:jc w:val="center"/>
              <w:rPr>
                <w:rFonts w:hint="default"/>
                <w:lang w:val="en-US" w:eastAsia="zh-CN"/>
              </w:rPr>
            </w:pPr>
            <w:r>
              <w:rPr>
                <w:rFonts w:hint="eastAsia"/>
                <w:lang w:val="en-US" w:eastAsia="zh-CN"/>
              </w:rPr>
              <w:t>41</w:t>
            </w:r>
          </w:p>
        </w:tc>
        <w:tc>
          <w:tcPr>
            <w:tcW w:w="900" w:type="dxa"/>
            <w:vMerge w:val="continue"/>
            <w:vAlign w:val="center"/>
          </w:tcPr>
          <w:p>
            <w:pPr>
              <w:bidi w:val="0"/>
              <w:jc w:val="center"/>
              <w:rPr>
                <w:rFonts w:hint="eastAsia"/>
                <w:lang w:val="en-US" w:eastAsia="zh-CN"/>
              </w:rPr>
            </w:pPr>
          </w:p>
        </w:tc>
        <w:tc>
          <w:tcPr>
            <w:tcW w:w="930" w:type="dxa"/>
            <w:vAlign w:val="center"/>
          </w:tcPr>
          <w:p>
            <w:pPr>
              <w:bidi w:val="0"/>
              <w:jc w:val="center"/>
              <w:rPr>
                <w:rFonts w:hint="eastAsia"/>
                <w:lang w:val="en-US" w:eastAsia="zh-CN"/>
              </w:rPr>
            </w:pPr>
            <w:r>
              <w:rPr>
                <w:rFonts w:hint="eastAsia"/>
                <w:lang w:val="en-US" w:eastAsia="zh-CN"/>
              </w:rPr>
              <w:t>加强信用体系建设</w:t>
            </w:r>
          </w:p>
        </w:tc>
        <w:tc>
          <w:tcPr>
            <w:tcW w:w="7377" w:type="dxa"/>
            <w:vAlign w:val="center"/>
          </w:tcPr>
          <w:p>
            <w:pPr>
              <w:bidi w:val="0"/>
              <w:jc w:val="center"/>
              <w:rPr>
                <w:rFonts w:hint="eastAsia"/>
                <w:lang w:val="en-US" w:eastAsia="zh-CN"/>
              </w:rPr>
            </w:pPr>
            <w:r>
              <w:rPr>
                <w:rFonts w:hint="eastAsia"/>
                <w:lang w:val="en-US" w:eastAsia="zh-CN"/>
              </w:rPr>
              <w:t>建立工程建设项目审批红黑名单制度，并向社会公布应当列入红黑名单的情形，实行信用分级分类管理模式，构建“一处失信、处处受限”的联合惩戒机制。同时，及时将企业和从业人员违法违规、不履行承诺的失信行为录入“信用怀化”平台、登入省工程建设项目审批信用信息平台</w:t>
            </w:r>
          </w:p>
        </w:tc>
        <w:tc>
          <w:tcPr>
            <w:tcW w:w="2223" w:type="dxa"/>
            <w:vAlign w:val="center"/>
          </w:tcPr>
          <w:p>
            <w:pPr>
              <w:bidi w:val="0"/>
              <w:jc w:val="center"/>
              <w:rPr>
                <w:rFonts w:hint="eastAsia"/>
                <w:lang w:val="en-US" w:eastAsia="zh-CN"/>
              </w:rPr>
            </w:pPr>
            <w:r>
              <w:rPr>
                <w:rFonts w:hint="eastAsia"/>
                <w:lang w:val="en-US" w:eastAsia="zh-CN"/>
              </w:rPr>
              <w:t>各相关单位</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9" w:hRule="atLeast"/>
        </w:trPr>
        <w:tc>
          <w:tcPr>
            <w:tcW w:w="593" w:type="dxa"/>
            <w:vAlign w:val="center"/>
          </w:tcPr>
          <w:p>
            <w:pPr>
              <w:bidi w:val="0"/>
              <w:jc w:val="center"/>
              <w:rPr>
                <w:rFonts w:hint="default"/>
                <w:lang w:val="en-US" w:eastAsia="zh-CN"/>
              </w:rPr>
            </w:pPr>
            <w:r>
              <w:rPr>
                <w:rFonts w:hint="eastAsia"/>
                <w:lang w:val="en-US" w:eastAsia="zh-CN"/>
              </w:rPr>
              <w:t>42</w:t>
            </w:r>
          </w:p>
        </w:tc>
        <w:tc>
          <w:tcPr>
            <w:tcW w:w="900" w:type="dxa"/>
            <w:vMerge w:val="continue"/>
            <w:vAlign w:val="center"/>
          </w:tcPr>
          <w:p>
            <w:pPr>
              <w:bidi w:val="0"/>
              <w:jc w:val="center"/>
              <w:rPr>
                <w:rFonts w:hint="eastAsia"/>
                <w:lang w:val="en-US" w:eastAsia="zh-CN"/>
              </w:rPr>
            </w:pPr>
          </w:p>
        </w:tc>
        <w:tc>
          <w:tcPr>
            <w:tcW w:w="930" w:type="dxa"/>
            <w:vMerge w:val="restart"/>
            <w:vAlign w:val="center"/>
          </w:tcPr>
          <w:p>
            <w:pPr>
              <w:bidi w:val="0"/>
              <w:jc w:val="center"/>
              <w:rPr>
                <w:rFonts w:hint="eastAsia"/>
                <w:lang w:val="en-US" w:eastAsia="zh-CN"/>
              </w:rPr>
            </w:pPr>
            <w:r>
              <w:rPr>
                <w:rFonts w:hint="eastAsia"/>
                <w:lang w:val="en-US" w:eastAsia="zh-CN"/>
              </w:rPr>
              <w:t>规范中介和市政公用服务</w:t>
            </w:r>
          </w:p>
        </w:tc>
        <w:tc>
          <w:tcPr>
            <w:tcW w:w="7377" w:type="dxa"/>
            <w:vAlign w:val="center"/>
          </w:tcPr>
          <w:p>
            <w:pPr>
              <w:bidi w:val="0"/>
              <w:jc w:val="center"/>
              <w:rPr>
                <w:rFonts w:hint="eastAsia"/>
                <w:lang w:val="en-US" w:eastAsia="zh-CN"/>
              </w:rPr>
            </w:pPr>
            <w:r>
              <w:rPr>
                <w:rFonts w:hint="eastAsia"/>
                <w:lang w:val="en-US" w:eastAsia="zh-CN"/>
              </w:rPr>
              <w:t>市政公用服务全面入驻区政务服务中心，保障入驻人员的审批受理及相应技术力量支撑</w:t>
            </w:r>
          </w:p>
        </w:tc>
        <w:tc>
          <w:tcPr>
            <w:tcW w:w="2223" w:type="dxa"/>
            <w:vAlign w:val="center"/>
          </w:tcPr>
          <w:p>
            <w:pPr>
              <w:bidi w:val="0"/>
              <w:jc w:val="center"/>
              <w:rPr>
                <w:rFonts w:hint="eastAsia"/>
                <w:lang w:val="en-US" w:eastAsia="zh-CN"/>
              </w:rPr>
            </w:pPr>
            <w:r>
              <w:rPr>
                <w:rFonts w:hint="eastAsia"/>
                <w:lang w:val="en-US" w:eastAsia="zh-CN"/>
              </w:rPr>
              <w:t>区市政服务中心</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6" w:hRule="atLeast"/>
        </w:trPr>
        <w:tc>
          <w:tcPr>
            <w:tcW w:w="593" w:type="dxa"/>
            <w:vAlign w:val="center"/>
          </w:tcPr>
          <w:p>
            <w:pPr>
              <w:bidi w:val="0"/>
              <w:jc w:val="center"/>
              <w:rPr>
                <w:rFonts w:hint="default"/>
                <w:lang w:val="en-US" w:eastAsia="zh-CN"/>
              </w:rPr>
            </w:pPr>
            <w:r>
              <w:rPr>
                <w:rFonts w:hint="eastAsia"/>
                <w:lang w:val="en-US" w:eastAsia="zh-CN"/>
              </w:rPr>
              <w:t>43</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进一步清理工程建设项目审批涉及的中介服务事项，建立审批中介服务事项清单，对未纳入清单的事项，审批部门不得以任何形式要求申请人委托中介机构开展服务</w:t>
            </w:r>
          </w:p>
        </w:tc>
        <w:tc>
          <w:tcPr>
            <w:tcW w:w="2223" w:type="dxa"/>
            <w:vAlign w:val="center"/>
          </w:tcPr>
          <w:p>
            <w:pPr>
              <w:bidi w:val="0"/>
              <w:jc w:val="center"/>
              <w:rPr>
                <w:rFonts w:hint="eastAsia"/>
                <w:lang w:val="en-US" w:eastAsia="zh-CN"/>
              </w:rPr>
            </w:pPr>
            <w:r>
              <w:rPr>
                <w:rFonts w:hint="eastAsia"/>
                <w:lang w:val="en-US" w:eastAsia="zh-CN"/>
              </w:rPr>
              <w:t>各相关单位</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Align w:val="center"/>
          </w:tcPr>
          <w:p>
            <w:pPr>
              <w:widowControl w:val="0"/>
              <w:numPr>
                <w:ilvl w:val="0"/>
                <w:numId w:val="0"/>
              </w:numPr>
              <w:ind w:left="0" w:leftChars="0" w:firstLine="0" w:firstLineChars="0"/>
              <w:jc w:val="center"/>
              <w:rPr>
                <w:rFonts w:hint="eastAsia" w:ascii="宋体" w:hAnsi="宋体" w:eastAsia="宋体" w:cs="宋体"/>
                <w:b/>
                <w:bCs/>
                <w:kern w:val="2"/>
                <w:sz w:val="44"/>
                <w:szCs w:val="44"/>
                <w:vertAlign w:val="baseline"/>
                <w:lang w:val="en-US" w:eastAsia="zh-CN" w:bidi="ar-SA"/>
              </w:rPr>
            </w:pPr>
            <w:r>
              <w:rPr>
                <w:rFonts w:hint="eastAsia" w:ascii="宋体" w:hAnsi="宋体" w:eastAsia="宋体" w:cs="宋体"/>
                <w:b w:val="0"/>
                <w:bCs w:val="0"/>
                <w:sz w:val="28"/>
                <w:szCs w:val="28"/>
                <w:vertAlign w:val="baseline"/>
                <w:lang w:val="en-US" w:eastAsia="zh-CN"/>
              </w:rPr>
              <w:t>序号</w:t>
            </w:r>
          </w:p>
        </w:tc>
        <w:tc>
          <w:tcPr>
            <w:tcW w:w="900" w:type="dxa"/>
            <w:vAlign w:val="center"/>
          </w:tcPr>
          <w:p>
            <w:pPr>
              <w:widowControl w:val="0"/>
              <w:numPr>
                <w:ilvl w:val="0"/>
                <w:numId w:val="0"/>
              </w:numPr>
              <w:ind w:left="0" w:leftChars="0" w:firstLine="0" w:firstLineChars="0"/>
              <w:jc w:val="center"/>
              <w:rPr>
                <w:rFonts w:hint="eastAsia" w:ascii="宋体" w:hAnsi="宋体" w:eastAsia="宋体" w:cs="宋体"/>
                <w:b/>
                <w:bCs/>
                <w:kern w:val="2"/>
                <w:sz w:val="44"/>
                <w:szCs w:val="44"/>
                <w:vertAlign w:val="baseline"/>
                <w:lang w:val="en-US" w:eastAsia="zh-CN" w:bidi="ar-SA"/>
              </w:rPr>
            </w:pPr>
            <w:r>
              <w:rPr>
                <w:rFonts w:hint="eastAsia" w:ascii="宋体" w:hAnsi="宋体" w:eastAsia="宋体" w:cs="宋体"/>
                <w:b w:val="0"/>
                <w:bCs w:val="0"/>
                <w:sz w:val="28"/>
                <w:szCs w:val="28"/>
                <w:vertAlign w:val="baseline"/>
                <w:lang w:val="en-US" w:eastAsia="zh-CN"/>
              </w:rPr>
              <w:t>总体要求</w:t>
            </w:r>
          </w:p>
        </w:tc>
        <w:tc>
          <w:tcPr>
            <w:tcW w:w="930"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主要任务</w:t>
            </w:r>
          </w:p>
        </w:tc>
        <w:tc>
          <w:tcPr>
            <w:tcW w:w="7377"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落实措施</w:t>
            </w:r>
          </w:p>
        </w:tc>
        <w:tc>
          <w:tcPr>
            <w:tcW w:w="2223"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责任部门</w:t>
            </w:r>
          </w:p>
        </w:tc>
        <w:tc>
          <w:tcPr>
            <w:tcW w:w="2151" w:type="dxa"/>
            <w:vAlign w:val="center"/>
          </w:tcPr>
          <w:p>
            <w:pPr>
              <w:widowControl w:val="0"/>
              <w:numPr>
                <w:ilvl w:val="0"/>
                <w:numId w:val="0"/>
              </w:numPr>
              <w:ind w:left="0" w:leftChars="0" w:firstLine="0" w:firstLineChars="0"/>
              <w:jc w:val="center"/>
              <w:rPr>
                <w:rFonts w:hint="eastAsia" w:ascii="宋体" w:hAnsi="宋体" w:eastAsia="宋体" w:cs="宋体"/>
                <w:b w:val="0"/>
                <w:bCs w:val="0"/>
                <w:kern w:val="2"/>
                <w:sz w:val="28"/>
                <w:szCs w:val="28"/>
                <w:vertAlign w:val="baseline"/>
                <w:lang w:val="en-US" w:eastAsia="zh-CN" w:bidi="ar-SA"/>
              </w:rPr>
            </w:pPr>
            <w:r>
              <w:rPr>
                <w:rFonts w:hint="eastAsia" w:ascii="宋体" w:hAnsi="宋体" w:eastAsia="宋体" w:cs="宋体"/>
                <w:b w:val="0"/>
                <w:bCs w:val="0"/>
                <w:sz w:val="28"/>
                <w:szCs w:val="28"/>
                <w:vertAlign w:val="baseline"/>
                <w:lang w:val="en-US"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593" w:type="dxa"/>
            <w:vAlign w:val="center"/>
          </w:tcPr>
          <w:p>
            <w:pPr>
              <w:bidi w:val="0"/>
              <w:jc w:val="center"/>
              <w:rPr>
                <w:rFonts w:hint="default"/>
                <w:lang w:val="en-US" w:eastAsia="zh-CN"/>
              </w:rPr>
            </w:pPr>
            <w:r>
              <w:rPr>
                <w:rFonts w:hint="eastAsia"/>
                <w:lang w:val="en-US" w:eastAsia="zh-CN"/>
              </w:rPr>
              <w:t>44</w:t>
            </w:r>
          </w:p>
        </w:tc>
        <w:tc>
          <w:tcPr>
            <w:tcW w:w="900" w:type="dxa"/>
            <w:vMerge w:val="restart"/>
            <w:vAlign w:val="center"/>
          </w:tcPr>
          <w:p>
            <w:pPr>
              <w:bidi w:val="0"/>
              <w:jc w:val="center"/>
              <w:rPr>
                <w:rFonts w:hint="eastAsia"/>
                <w:lang w:val="en-US" w:eastAsia="zh-CN"/>
              </w:rPr>
            </w:pPr>
            <w:r>
              <w:rPr>
                <w:rFonts w:hint="eastAsia"/>
                <w:lang w:val="en-US" w:eastAsia="zh-CN"/>
              </w:rPr>
              <w:t>加强组织实施</w:t>
            </w:r>
          </w:p>
        </w:tc>
        <w:tc>
          <w:tcPr>
            <w:tcW w:w="930" w:type="dxa"/>
            <w:vAlign w:val="center"/>
          </w:tcPr>
          <w:p>
            <w:pPr>
              <w:bidi w:val="0"/>
              <w:jc w:val="center"/>
              <w:rPr>
                <w:rFonts w:hint="eastAsia"/>
                <w:lang w:val="en-US" w:eastAsia="zh-CN"/>
              </w:rPr>
            </w:pPr>
            <w:r>
              <w:rPr>
                <w:rFonts w:hint="eastAsia"/>
                <w:lang w:val="en-US" w:eastAsia="zh-CN"/>
              </w:rPr>
              <w:t>加强组织领导</w:t>
            </w:r>
          </w:p>
        </w:tc>
        <w:tc>
          <w:tcPr>
            <w:tcW w:w="7377" w:type="dxa"/>
            <w:vAlign w:val="center"/>
          </w:tcPr>
          <w:p>
            <w:pPr>
              <w:bidi w:val="0"/>
              <w:jc w:val="center"/>
              <w:rPr>
                <w:rFonts w:hint="eastAsia"/>
                <w:lang w:val="en-US" w:eastAsia="zh-CN"/>
              </w:rPr>
            </w:pPr>
            <w:r>
              <w:rPr>
                <w:rFonts w:hint="eastAsia"/>
                <w:lang w:val="en-US" w:eastAsia="zh-CN"/>
              </w:rPr>
              <w:t>成立以区政府主要负责人为组长的工程建设项目审批制度改革工作领导小组并设办公室，负责改革工作的协调组织和具体实施</w:t>
            </w:r>
          </w:p>
        </w:tc>
        <w:tc>
          <w:tcPr>
            <w:tcW w:w="2223" w:type="dxa"/>
            <w:vAlign w:val="center"/>
          </w:tcPr>
          <w:p>
            <w:pPr>
              <w:bidi w:val="0"/>
              <w:jc w:val="center"/>
              <w:rPr>
                <w:rFonts w:hint="eastAsia"/>
                <w:lang w:val="en-US" w:eastAsia="zh-CN"/>
              </w:rPr>
            </w:pPr>
            <w:r>
              <w:rPr>
                <w:rFonts w:hint="eastAsia"/>
                <w:lang w:val="en-US" w:eastAsia="zh-CN"/>
              </w:rPr>
              <w:t>区政府办</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2020年5月底前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trPr>
        <w:tc>
          <w:tcPr>
            <w:tcW w:w="593" w:type="dxa"/>
            <w:vAlign w:val="center"/>
          </w:tcPr>
          <w:p>
            <w:pPr>
              <w:bidi w:val="0"/>
              <w:jc w:val="center"/>
              <w:rPr>
                <w:rFonts w:hint="default"/>
                <w:lang w:val="en-US" w:eastAsia="zh-CN"/>
              </w:rPr>
            </w:pPr>
            <w:r>
              <w:rPr>
                <w:rFonts w:hint="eastAsia"/>
                <w:lang w:val="en-US" w:eastAsia="zh-CN"/>
              </w:rPr>
              <w:t>45</w:t>
            </w:r>
          </w:p>
        </w:tc>
        <w:tc>
          <w:tcPr>
            <w:tcW w:w="900" w:type="dxa"/>
            <w:vMerge w:val="continue"/>
            <w:vAlign w:val="center"/>
          </w:tcPr>
          <w:p>
            <w:pPr>
              <w:bidi w:val="0"/>
              <w:jc w:val="center"/>
              <w:rPr>
                <w:rFonts w:hint="eastAsia"/>
                <w:lang w:val="en-US" w:eastAsia="zh-CN"/>
              </w:rPr>
            </w:pPr>
          </w:p>
        </w:tc>
        <w:tc>
          <w:tcPr>
            <w:tcW w:w="930" w:type="dxa"/>
            <w:vAlign w:val="center"/>
          </w:tcPr>
          <w:p>
            <w:pPr>
              <w:bidi w:val="0"/>
              <w:jc w:val="center"/>
              <w:rPr>
                <w:rFonts w:hint="eastAsia"/>
                <w:lang w:val="en-US" w:eastAsia="zh-CN"/>
              </w:rPr>
            </w:pPr>
            <w:r>
              <w:rPr>
                <w:rFonts w:hint="eastAsia"/>
                <w:lang w:val="en-US" w:eastAsia="zh-CN"/>
              </w:rPr>
              <w:t>加强沟通反馈和学习培训</w:t>
            </w:r>
          </w:p>
        </w:tc>
        <w:tc>
          <w:tcPr>
            <w:tcW w:w="7377" w:type="dxa"/>
            <w:vAlign w:val="center"/>
          </w:tcPr>
          <w:p>
            <w:pPr>
              <w:bidi w:val="0"/>
              <w:jc w:val="center"/>
              <w:rPr>
                <w:rFonts w:hint="eastAsia"/>
                <w:lang w:val="en-US" w:eastAsia="zh-CN"/>
              </w:rPr>
            </w:pPr>
            <w:r>
              <w:rPr>
                <w:rFonts w:hint="eastAsia"/>
                <w:lang w:val="en-US" w:eastAsia="zh-CN"/>
              </w:rPr>
              <w:t>建立上下联动的沟通反馈机制，及时了解各部门工程建设项目审批制度改革工作情况并向上级部门汇报，研究解决改革中遇到的问题。改革过程中积极学习省、市级部门改革经验，加强对工作人员和申请人的业务培训，提高改革能力和业务水平</w:t>
            </w:r>
          </w:p>
        </w:tc>
        <w:tc>
          <w:tcPr>
            <w:tcW w:w="2223" w:type="dxa"/>
            <w:vAlign w:val="center"/>
          </w:tcPr>
          <w:p>
            <w:pPr>
              <w:bidi w:val="0"/>
              <w:jc w:val="center"/>
              <w:rPr>
                <w:rFonts w:hint="eastAsia"/>
                <w:lang w:val="en-US" w:eastAsia="zh-CN"/>
              </w:rPr>
            </w:pPr>
            <w:r>
              <w:rPr>
                <w:rFonts w:hint="eastAsia"/>
                <w:lang w:val="en-US" w:eastAsia="zh-CN"/>
              </w:rPr>
              <w:t>各相关单位</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持续推动落实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593" w:type="dxa"/>
            <w:vAlign w:val="center"/>
          </w:tcPr>
          <w:p>
            <w:pPr>
              <w:bidi w:val="0"/>
              <w:jc w:val="center"/>
              <w:rPr>
                <w:rFonts w:hint="default"/>
                <w:lang w:val="en-US" w:eastAsia="zh-CN"/>
              </w:rPr>
            </w:pPr>
            <w:r>
              <w:rPr>
                <w:rFonts w:hint="eastAsia"/>
                <w:lang w:val="en-US" w:eastAsia="zh-CN"/>
              </w:rPr>
              <w:t>46</w:t>
            </w:r>
          </w:p>
        </w:tc>
        <w:tc>
          <w:tcPr>
            <w:tcW w:w="900" w:type="dxa"/>
            <w:vMerge w:val="continue"/>
            <w:vAlign w:val="center"/>
          </w:tcPr>
          <w:p>
            <w:pPr>
              <w:bidi w:val="0"/>
              <w:jc w:val="center"/>
              <w:rPr>
                <w:rFonts w:hint="eastAsia"/>
                <w:lang w:val="en-US" w:eastAsia="zh-CN"/>
              </w:rPr>
            </w:pPr>
          </w:p>
        </w:tc>
        <w:tc>
          <w:tcPr>
            <w:tcW w:w="930" w:type="dxa"/>
            <w:vMerge w:val="restart"/>
            <w:vAlign w:val="center"/>
          </w:tcPr>
          <w:p>
            <w:pPr>
              <w:bidi w:val="0"/>
              <w:jc w:val="center"/>
              <w:rPr>
                <w:rFonts w:hint="eastAsia"/>
                <w:lang w:val="en-US" w:eastAsia="zh-CN"/>
              </w:rPr>
            </w:pPr>
            <w:r>
              <w:rPr>
                <w:rFonts w:hint="eastAsia"/>
                <w:lang w:val="en-US" w:eastAsia="zh-CN"/>
              </w:rPr>
              <w:t>严格督促落实</w:t>
            </w:r>
          </w:p>
        </w:tc>
        <w:tc>
          <w:tcPr>
            <w:tcW w:w="7377" w:type="dxa"/>
            <w:vAlign w:val="center"/>
          </w:tcPr>
          <w:p>
            <w:pPr>
              <w:bidi w:val="0"/>
              <w:jc w:val="center"/>
              <w:rPr>
                <w:rFonts w:hint="eastAsia"/>
                <w:lang w:val="en-US" w:eastAsia="zh-CN"/>
              </w:rPr>
            </w:pPr>
            <w:r>
              <w:rPr>
                <w:rFonts w:hint="eastAsia"/>
                <w:lang w:val="en-US" w:eastAsia="zh-CN"/>
              </w:rPr>
              <w:t>加强对改革任务落实情况督查</w:t>
            </w:r>
          </w:p>
        </w:tc>
        <w:tc>
          <w:tcPr>
            <w:tcW w:w="2223" w:type="dxa"/>
            <w:vAlign w:val="center"/>
          </w:tcPr>
          <w:p>
            <w:pPr>
              <w:bidi w:val="0"/>
              <w:jc w:val="center"/>
              <w:rPr>
                <w:rFonts w:hint="eastAsia"/>
                <w:lang w:val="en-US" w:eastAsia="zh-CN"/>
              </w:rPr>
            </w:pPr>
            <w:r>
              <w:rPr>
                <w:rFonts w:hint="eastAsia"/>
                <w:lang w:val="en-US" w:eastAsia="zh-CN"/>
              </w:rPr>
              <w:t>区政府督查室</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持续推动落实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593" w:type="dxa"/>
            <w:vAlign w:val="center"/>
          </w:tcPr>
          <w:p>
            <w:pPr>
              <w:bidi w:val="0"/>
              <w:jc w:val="center"/>
              <w:rPr>
                <w:rFonts w:hint="default"/>
                <w:lang w:val="en-US" w:eastAsia="zh-CN"/>
              </w:rPr>
            </w:pPr>
            <w:r>
              <w:rPr>
                <w:rFonts w:hint="eastAsia"/>
                <w:lang w:val="en-US" w:eastAsia="zh-CN"/>
              </w:rPr>
              <w:t>47</w:t>
            </w:r>
          </w:p>
        </w:tc>
        <w:tc>
          <w:tcPr>
            <w:tcW w:w="900" w:type="dxa"/>
            <w:vMerge w:val="continue"/>
            <w:vAlign w:val="center"/>
          </w:tcPr>
          <w:p>
            <w:pPr>
              <w:bidi w:val="0"/>
              <w:jc w:val="center"/>
              <w:rPr>
                <w:rFonts w:hint="eastAsia"/>
                <w:lang w:val="en-US" w:eastAsia="zh-CN"/>
              </w:rPr>
            </w:pPr>
          </w:p>
        </w:tc>
        <w:tc>
          <w:tcPr>
            <w:tcW w:w="930" w:type="dxa"/>
            <w:vMerge w:val="continue"/>
            <w:vAlign w:val="center"/>
          </w:tcPr>
          <w:p>
            <w:pPr>
              <w:bidi w:val="0"/>
              <w:jc w:val="center"/>
              <w:rPr>
                <w:rFonts w:hint="eastAsia"/>
                <w:lang w:val="en-US" w:eastAsia="zh-CN"/>
              </w:rPr>
            </w:pPr>
          </w:p>
        </w:tc>
        <w:tc>
          <w:tcPr>
            <w:tcW w:w="7377" w:type="dxa"/>
            <w:vAlign w:val="center"/>
          </w:tcPr>
          <w:p>
            <w:pPr>
              <w:bidi w:val="0"/>
              <w:jc w:val="center"/>
              <w:rPr>
                <w:rFonts w:hint="eastAsia"/>
                <w:lang w:val="en-US" w:eastAsia="zh-CN"/>
              </w:rPr>
            </w:pPr>
            <w:r>
              <w:rPr>
                <w:rFonts w:hint="eastAsia"/>
                <w:lang w:val="en-US" w:eastAsia="zh-CN"/>
              </w:rPr>
              <w:t>积极向上级机关报送工作进展情况。同时，通过区政府官网等方式定期向社会公开改革进展</w:t>
            </w:r>
          </w:p>
        </w:tc>
        <w:tc>
          <w:tcPr>
            <w:tcW w:w="2223" w:type="dxa"/>
            <w:vAlign w:val="center"/>
          </w:tcPr>
          <w:p>
            <w:pPr>
              <w:bidi w:val="0"/>
              <w:jc w:val="center"/>
              <w:rPr>
                <w:rFonts w:hint="eastAsia"/>
                <w:lang w:val="en-US" w:eastAsia="zh-CN"/>
              </w:rPr>
            </w:pPr>
            <w:r>
              <w:rPr>
                <w:rFonts w:hint="eastAsia"/>
                <w:lang w:val="en-US" w:eastAsia="zh-CN"/>
              </w:rPr>
              <w:t>各相关单位</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持续推动落实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593" w:type="dxa"/>
            <w:vAlign w:val="center"/>
          </w:tcPr>
          <w:p>
            <w:pPr>
              <w:bidi w:val="0"/>
              <w:jc w:val="center"/>
              <w:rPr>
                <w:rFonts w:hint="default"/>
                <w:lang w:val="en-US" w:eastAsia="zh-CN"/>
              </w:rPr>
            </w:pPr>
            <w:r>
              <w:rPr>
                <w:rFonts w:hint="eastAsia"/>
                <w:lang w:val="en-US" w:eastAsia="zh-CN"/>
              </w:rPr>
              <w:t>48</w:t>
            </w:r>
          </w:p>
        </w:tc>
        <w:tc>
          <w:tcPr>
            <w:tcW w:w="900" w:type="dxa"/>
            <w:vMerge w:val="continue"/>
            <w:vAlign w:val="center"/>
          </w:tcPr>
          <w:p>
            <w:pPr>
              <w:bidi w:val="0"/>
              <w:jc w:val="center"/>
              <w:rPr>
                <w:rFonts w:hint="eastAsia"/>
                <w:lang w:val="en-US" w:eastAsia="zh-CN"/>
              </w:rPr>
            </w:pPr>
          </w:p>
        </w:tc>
        <w:tc>
          <w:tcPr>
            <w:tcW w:w="930" w:type="dxa"/>
            <w:vAlign w:val="center"/>
          </w:tcPr>
          <w:p>
            <w:pPr>
              <w:bidi w:val="0"/>
              <w:jc w:val="center"/>
              <w:rPr>
                <w:rFonts w:hint="eastAsia"/>
                <w:lang w:val="en-US" w:eastAsia="zh-CN"/>
              </w:rPr>
            </w:pPr>
            <w:r>
              <w:rPr>
                <w:rFonts w:hint="eastAsia"/>
                <w:lang w:val="en-US" w:eastAsia="zh-CN"/>
              </w:rPr>
              <w:t>做好宣传引导</w:t>
            </w:r>
          </w:p>
        </w:tc>
        <w:tc>
          <w:tcPr>
            <w:tcW w:w="7377" w:type="dxa"/>
            <w:vAlign w:val="center"/>
          </w:tcPr>
          <w:p>
            <w:pPr>
              <w:bidi w:val="0"/>
              <w:jc w:val="center"/>
              <w:rPr>
                <w:rFonts w:hint="eastAsia"/>
                <w:lang w:val="en-US" w:eastAsia="zh-CN"/>
              </w:rPr>
            </w:pPr>
            <w:r>
              <w:rPr>
                <w:rFonts w:hint="eastAsia"/>
                <w:lang w:val="en-US" w:eastAsia="zh-CN"/>
              </w:rPr>
              <w:t>通过报刊、广播、电视、互联网等多种方式，广泛宣传工程建设项目审批制度改革的重要意义和经验做法，征求公众建议意见，让企业和群众满意</w:t>
            </w:r>
          </w:p>
        </w:tc>
        <w:tc>
          <w:tcPr>
            <w:tcW w:w="2223" w:type="dxa"/>
            <w:vAlign w:val="center"/>
          </w:tcPr>
          <w:p>
            <w:pPr>
              <w:bidi w:val="0"/>
              <w:jc w:val="center"/>
              <w:rPr>
                <w:rFonts w:hint="eastAsia"/>
                <w:lang w:val="en-US" w:eastAsia="zh-CN"/>
              </w:rPr>
            </w:pPr>
            <w:r>
              <w:rPr>
                <w:rFonts w:hint="eastAsia"/>
                <w:lang w:val="en-US" w:eastAsia="zh-CN"/>
              </w:rPr>
              <w:t>各相关单位</w:t>
            </w:r>
          </w:p>
        </w:tc>
        <w:tc>
          <w:tcPr>
            <w:tcW w:w="2151" w:type="dxa"/>
            <w:vAlign w:val="center"/>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持续推动落实</w:t>
            </w:r>
          </w:p>
        </w:tc>
      </w:tr>
    </w:tbl>
    <w:p>
      <w:pPr>
        <w:widowControl w:val="0"/>
        <w:numPr>
          <w:ilvl w:val="0"/>
          <w:numId w:val="0"/>
        </w:numPr>
        <w:jc w:val="center"/>
        <w:rPr>
          <w:rFonts w:hint="eastAsia" w:ascii="宋体" w:hAnsi="宋体" w:eastAsia="宋体" w:cs="宋体"/>
          <w:b/>
          <w:bCs/>
          <w:sz w:val="44"/>
          <w:szCs w:val="44"/>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5770A"/>
    <w:rsid w:val="0215770A"/>
    <w:rsid w:val="041821FF"/>
    <w:rsid w:val="0AE87C93"/>
    <w:rsid w:val="15852772"/>
    <w:rsid w:val="1BB207DE"/>
    <w:rsid w:val="1DD542F6"/>
    <w:rsid w:val="206864E4"/>
    <w:rsid w:val="21733264"/>
    <w:rsid w:val="21813B69"/>
    <w:rsid w:val="248511E0"/>
    <w:rsid w:val="2AE2796E"/>
    <w:rsid w:val="31862590"/>
    <w:rsid w:val="377741B0"/>
    <w:rsid w:val="3A074953"/>
    <w:rsid w:val="3ED7134D"/>
    <w:rsid w:val="42ED6C41"/>
    <w:rsid w:val="42EE07B8"/>
    <w:rsid w:val="448C14FE"/>
    <w:rsid w:val="54F0410E"/>
    <w:rsid w:val="552A2FAC"/>
    <w:rsid w:val="5BB77142"/>
    <w:rsid w:val="5E6063CF"/>
    <w:rsid w:val="62641577"/>
    <w:rsid w:val="6431213A"/>
    <w:rsid w:val="69502A68"/>
    <w:rsid w:val="6DF0028A"/>
    <w:rsid w:val="74655A5B"/>
    <w:rsid w:val="7D921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2020-05-05T12:06:00Z</dcterms:created>
  <dc:creator>雨浥轻尘1378715977</dc:creator>
  <cp:lastModifiedBy>adminn</cp:lastModifiedBy>
  <dcterms:modified xsi:type="dcterms:W3CDTF">2020-05-19T01:54:48Z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