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怀化市鹤城区人力资源和社会保障局</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重大行政执法决定法制审核办法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700" w:lineRule="exact"/>
        <w:ind w:left="0" w:right="0" w:firstLine="64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i w:val="0"/>
          <w:caps w:val="0"/>
          <w:color w:val="3D3D3D"/>
          <w:spacing w:val="0"/>
          <w:sz w:val="32"/>
          <w:szCs w:val="32"/>
          <w:shd w:val="clear" w:fill="FFFFFF"/>
          <w:lang w:val="en-US" w:eastAsia="zh-CN"/>
        </w:rPr>
      </w:pPr>
      <w:r>
        <w:rPr>
          <w:rFonts w:hint="eastAsia" w:ascii="黑体" w:hAnsi="黑体" w:eastAsia="黑体" w:cs="黑体"/>
          <w:color w:val="333333"/>
          <w:kern w:val="0"/>
          <w:sz w:val="32"/>
          <w:szCs w:val="32"/>
          <w:lang w:val="en-US" w:eastAsia="zh-CN" w:bidi="ar"/>
        </w:rPr>
        <w:t>第一条</w:t>
      </w:r>
      <w:r>
        <w:rPr>
          <w:rFonts w:hint="eastAsia" w:ascii="仿宋" w:hAnsi="仿宋" w:eastAsia="仿宋" w:cs="仿宋"/>
          <w:color w:val="333333"/>
          <w:kern w:val="0"/>
          <w:sz w:val="32"/>
          <w:szCs w:val="32"/>
          <w:lang w:val="en-US" w:eastAsia="zh-CN" w:bidi="ar"/>
        </w:rPr>
        <w:t>  为了加强对重大行政执法行为的监督，保护公民、法人和其他组织的合法权益，促进严格规范公正文明执法，根据</w:t>
      </w:r>
      <w:r>
        <w:rPr>
          <w:rFonts w:hint="eastAsia" w:ascii="仿宋" w:hAnsi="仿宋" w:eastAsia="仿宋" w:cs="仿宋"/>
          <w:i w:val="0"/>
          <w:caps w:val="0"/>
          <w:color w:val="3D3D3D"/>
          <w:spacing w:val="0"/>
          <w:sz w:val="32"/>
          <w:szCs w:val="32"/>
          <w:shd w:val="clear" w:fill="FFFFFF"/>
        </w:rPr>
        <w:t>根据《中华人民共和国行政处罚法》、《中华人民共和国行政许可法》、《中华人民共和国行政强制法》和</w:t>
      </w:r>
      <w:r>
        <w:rPr>
          <w:rFonts w:hint="eastAsia" w:ascii="仿宋" w:hAnsi="仿宋" w:eastAsia="仿宋" w:cs="仿宋"/>
          <w:i w:val="0"/>
          <w:caps w:val="0"/>
          <w:color w:val="3D3D3D"/>
          <w:spacing w:val="0"/>
          <w:sz w:val="32"/>
          <w:szCs w:val="32"/>
          <w:shd w:val="clear" w:fill="FFFFFF"/>
          <w:lang w:val="en-US" w:eastAsia="zh-CN"/>
        </w:rPr>
        <w:t xml:space="preserve">《湖南省行政程序规定》及国家有关规定，结合全区人力资源和社会保障执法工作实际，制定本办法。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 xml:space="preserve">第二条 </w:t>
      </w:r>
      <w:r>
        <w:rPr>
          <w:rFonts w:hint="eastAsia" w:ascii="仿宋" w:hAnsi="仿宋" w:eastAsia="仿宋" w:cs="仿宋"/>
          <w:color w:val="333333"/>
          <w:kern w:val="0"/>
          <w:sz w:val="32"/>
          <w:szCs w:val="32"/>
          <w:lang w:val="en-US" w:eastAsia="zh-CN" w:bidi="ar"/>
        </w:rPr>
        <w:t>本行政区域内人力资源和社会保障部门（以下简称行政执法机关）以本部门名义作出的重大行政执法决定的法制审核适用本规定。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sz w:val="32"/>
          <w:szCs w:val="32"/>
        </w:rPr>
      </w:pPr>
      <w:r>
        <w:rPr>
          <w:rFonts w:hint="eastAsia" w:ascii="黑体" w:hAnsi="黑体" w:eastAsia="黑体" w:cs="黑体"/>
          <w:color w:val="333333"/>
          <w:kern w:val="0"/>
          <w:sz w:val="32"/>
          <w:szCs w:val="32"/>
          <w:lang w:val="en-US" w:eastAsia="zh-CN" w:bidi="ar"/>
        </w:rPr>
        <w:t xml:space="preserve">第三条 </w:t>
      </w:r>
      <w:r>
        <w:rPr>
          <w:rFonts w:hint="eastAsia" w:ascii="仿宋" w:hAnsi="仿宋" w:eastAsia="仿宋" w:cs="仿宋"/>
          <w:color w:val="333333"/>
          <w:kern w:val="0"/>
          <w:sz w:val="32"/>
          <w:szCs w:val="32"/>
          <w:lang w:val="en-US" w:eastAsia="zh-CN" w:bidi="ar"/>
        </w:rPr>
        <w:t xml:space="preserve"> 本办法所称重大行政执法决定，是指行政执法机关依法作出的重大、复杂、疑难或者在本辖区范围内有重大社会影响的行政执法决定，主要包括行政许可、行政处罚、行政强制和其他重大行政执法决定。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sz w:val="32"/>
          <w:szCs w:val="32"/>
        </w:rPr>
      </w:pPr>
      <w:r>
        <w:rPr>
          <w:rFonts w:hint="eastAsia" w:ascii="仿宋" w:hAnsi="仿宋" w:eastAsia="仿宋" w:cs="仿宋"/>
          <w:color w:val="333333"/>
          <w:kern w:val="0"/>
          <w:sz w:val="32"/>
          <w:szCs w:val="32"/>
          <w:lang w:val="en-US" w:eastAsia="zh-CN" w:bidi="ar"/>
        </w:rPr>
        <w:t xml:space="preserve">本办法所称重大行政执法决定法制审核，是指行政执法机关作出重大行政执法决定前，由该行政执法机关负责法制工作的机构（以下简称法制机构）对拟作出的决定的合法性、适当性进行审核，提出书面审核意见或者建议的内部行政执法监督活动。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 w:hAnsi="仿宋" w:eastAsia="仿宋" w:cs="仿宋"/>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 xml:space="preserve">第四条 </w:t>
      </w:r>
      <w:r>
        <w:rPr>
          <w:rFonts w:hint="eastAsia" w:ascii="仿宋" w:hAnsi="仿宋" w:eastAsia="仿宋" w:cs="仿宋"/>
          <w:color w:val="333333"/>
          <w:kern w:val="0"/>
          <w:sz w:val="32"/>
          <w:szCs w:val="32"/>
          <w:lang w:val="en-US" w:eastAsia="zh-CN" w:bidi="ar"/>
        </w:rPr>
        <w:t>下列情形属于本办法规定的重大行政许可决定：</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640" w:leftChars="0" w:right="0" w:rightChars="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拟做出的直接涉及申请人与他人之间有重大利益关系或者涉及重大公共利益的行政许可决定；</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640" w:leftChars="0" w:right="0" w:rightChars="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拟作出的不予行政许可决定或者撤销行政许可决定；</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640" w:leftChars="0" w:right="0" w:rightChars="0"/>
        <w:jc w:val="left"/>
        <w:textAlignment w:val="auto"/>
        <w:rPr>
          <w:rFonts w:hint="eastAsia" w:ascii="仿宋" w:hAnsi="仿宋" w:eastAsia="仿宋" w:cs="仿宋"/>
          <w:sz w:val="32"/>
          <w:szCs w:val="32"/>
        </w:rPr>
      </w:pPr>
      <w:r>
        <w:rPr>
          <w:rFonts w:hint="eastAsia" w:ascii="仿宋" w:hAnsi="仿宋" w:eastAsia="仿宋" w:cs="仿宋"/>
          <w:b w:val="0"/>
          <w:bCs w:val="0"/>
          <w:color w:val="333333"/>
          <w:kern w:val="0"/>
          <w:sz w:val="32"/>
          <w:szCs w:val="32"/>
          <w:lang w:val="en-US" w:eastAsia="zh-CN" w:bidi="ar"/>
        </w:rPr>
        <w:t>行政许可利害关系人提出陈述、申辩的行政许可决定；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（四）拟作出的其他重大、复杂、疑难的行政许可决定。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w:t>
      </w:r>
      <w:r>
        <w:rPr>
          <w:rFonts w:hint="eastAsia" w:ascii="黑体" w:hAnsi="黑体" w:eastAsia="黑体" w:cs="黑体"/>
          <w:color w:val="333333"/>
          <w:kern w:val="0"/>
          <w:sz w:val="32"/>
          <w:szCs w:val="32"/>
          <w:lang w:val="en-US" w:eastAsia="zh-CN" w:bidi="ar"/>
        </w:rPr>
        <w:t xml:space="preserve">第五条 </w:t>
      </w:r>
      <w:r>
        <w:rPr>
          <w:rFonts w:hint="eastAsia" w:ascii="仿宋" w:hAnsi="仿宋" w:eastAsia="仿宋" w:cs="仿宋"/>
          <w:color w:val="333333"/>
          <w:kern w:val="0"/>
          <w:sz w:val="32"/>
          <w:szCs w:val="32"/>
          <w:lang w:val="en-US" w:eastAsia="zh-CN" w:bidi="ar"/>
        </w:rPr>
        <w:t xml:space="preserve"> 下列情形属于本办法规定的重大行政处罚决定：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（一）拟对公民处以1000元以上罚款，对法人或者其他组织处以1万元以上罚款的行政处罚决定；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（二）拟作出没收违法所得或没收非法财物的行政处罚决定；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（三）拟作出责令停产、停业决定的；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（四）拟作出给予暂扣或者吊销许可证决定的；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（五）经听证程序后作出的行政处罚决定；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（六）低于或高于自由裁量权标准，拟作出减轻或者加重处罚的；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（七）拟作出的其他重大、复杂、疑难的行政处罚决定。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 w:hAnsi="仿宋" w:eastAsia="仿宋" w:cs="仿宋"/>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 xml:space="preserve">第六条 </w:t>
      </w:r>
      <w:r>
        <w:rPr>
          <w:rFonts w:hint="eastAsia" w:ascii="仿宋" w:hAnsi="仿宋" w:eastAsia="仿宋" w:cs="仿宋"/>
          <w:color w:val="333333"/>
          <w:kern w:val="0"/>
          <w:sz w:val="32"/>
          <w:szCs w:val="32"/>
          <w:lang w:val="en-US" w:eastAsia="zh-CN" w:bidi="ar"/>
        </w:rPr>
        <w:t xml:space="preserve"> 下列情形属于本办法规定的重大行政强制决定：</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640" w:leftChars="0" w:right="0" w:rightChars="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拟作出封存决定的；</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640" w:leftChars="0" w:right="0" w:rightChars="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拟作出划拨决定的；</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640" w:leftChars="0" w:right="0" w:rightChars="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拟作出加处罚款决定的；</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640" w:leftChars="0" w:right="0" w:rightChars="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拟作出的其他重大、复杂、疑难的行政强制决定。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 w:hAnsi="仿宋" w:eastAsia="仿宋" w:cs="仿宋"/>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第七条</w:t>
      </w:r>
      <w:r>
        <w:rPr>
          <w:rFonts w:hint="eastAsia" w:ascii="仿宋" w:hAnsi="仿宋" w:eastAsia="仿宋" w:cs="仿宋"/>
          <w:color w:val="333333"/>
          <w:kern w:val="0"/>
          <w:sz w:val="32"/>
          <w:szCs w:val="32"/>
          <w:lang w:val="en-US" w:eastAsia="zh-CN" w:bidi="ar"/>
        </w:rPr>
        <w:t xml:space="preserve"> 涉嫌犯罪需要移送司法机关的行政执法案件应当依照本规定进行法制审核。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sz w:val="32"/>
          <w:szCs w:val="32"/>
        </w:rPr>
      </w:pPr>
      <w:r>
        <w:rPr>
          <w:rFonts w:hint="eastAsia" w:ascii="黑体" w:hAnsi="黑体" w:eastAsia="黑体" w:cs="黑体"/>
          <w:color w:val="333333"/>
          <w:kern w:val="0"/>
          <w:sz w:val="32"/>
          <w:szCs w:val="32"/>
          <w:lang w:val="en-US" w:eastAsia="zh-CN" w:bidi="ar"/>
        </w:rPr>
        <w:t xml:space="preserve">第八条 </w:t>
      </w:r>
      <w:r>
        <w:rPr>
          <w:rFonts w:hint="eastAsia" w:ascii="仿宋" w:hAnsi="仿宋" w:eastAsia="仿宋" w:cs="仿宋"/>
          <w:color w:val="333333"/>
          <w:kern w:val="0"/>
          <w:sz w:val="32"/>
          <w:szCs w:val="32"/>
          <w:lang w:val="en-US" w:eastAsia="zh-CN" w:bidi="ar"/>
        </w:rPr>
        <w:t xml:space="preserve"> 行政执法机关可以根据本地实际对本办法规定的重大行政执法决定法制审核标准进行细化。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 w:hAnsi="仿宋" w:eastAsia="仿宋" w:cs="仿宋"/>
          <w:sz w:val="32"/>
          <w:szCs w:val="32"/>
        </w:rPr>
      </w:pPr>
      <w:r>
        <w:rPr>
          <w:rFonts w:hint="eastAsia" w:ascii="黑体" w:hAnsi="黑体" w:eastAsia="黑体" w:cs="黑体"/>
          <w:color w:val="333333"/>
          <w:kern w:val="0"/>
          <w:sz w:val="32"/>
          <w:szCs w:val="32"/>
          <w:lang w:val="en-US" w:eastAsia="zh-CN" w:bidi="ar"/>
        </w:rPr>
        <w:t xml:space="preserve">第九条 </w:t>
      </w:r>
      <w:r>
        <w:rPr>
          <w:rFonts w:hint="eastAsia" w:ascii="仿宋" w:hAnsi="仿宋" w:eastAsia="仿宋" w:cs="仿宋"/>
          <w:color w:val="333333"/>
          <w:kern w:val="0"/>
          <w:sz w:val="32"/>
          <w:szCs w:val="32"/>
          <w:lang w:val="en-US" w:eastAsia="zh-CN" w:bidi="ar"/>
        </w:rPr>
        <w:t xml:space="preserve"> 重大行政执法决定作出前须经法制审核或者审核未通过的，不得作出决定。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 xml:space="preserve">第十条 </w:t>
      </w:r>
      <w:r>
        <w:rPr>
          <w:rFonts w:hint="eastAsia" w:ascii="仿宋" w:hAnsi="仿宋" w:eastAsia="仿宋" w:cs="仿宋"/>
          <w:color w:val="333333"/>
          <w:kern w:val="0"/>
          <w:sz w:val="32"/>
          <w:szCs w:val="32"/>
          <w:lang w:val="en-US" w:eastAsia="zh-CN" w:bidi="ar"/>
        </w:rPr>
        <w:t>案件承办机构对送法制审核的重大执法决定必须有明确的拟办意见，并报分管领导同意后送审；应当提交行政执法机关负责人集体讨论的，集体讨论前送审。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需要征求执法机关内设机构或其他部门意见的，案件承办机构应当在送审前征求意见。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案件承办机构应当预留法制审核的合理时间。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sz w:val="32"/>
          <w:szCs w:val="32"/>
        </w:rPr>
      </w:pPr>
      <w:r>
        <w:rPr>
          <w:rFonts w:hint="eastAsia" w:ascii="黑体" w:hAnsi="黑体" w:eastAsia="黑体" w:cs="黑体"/>
          <w:color w:val="333333"/>
          <w:kern w:val="0"/>
          <w:sz w:val="32"/>
          <w:szCs w:val="32"/>
          <w:lang w:val="en-US" w:eastAsia="zh-CN" w:bidi="ar"/>
        </w:rPr>
        <w:t xml:space="preserve">第十一条 </w:t>
      </w:r>
      <w:r>
        <w:rPr>
          <w:rFonts w:hint="eastAsia" w:ascii="仿宋" w:hAnsi="仿宋" w:eastAsia="仿宋" w:cs="仿宋"/>
          <w:color w:val="333333"/>
          <w:kern w:val="0"/>
          <w:sz w:val="32"/>
          <w:szCs w:val="32"/>
          <w:lang w:val="en-US" w:eastAsia="zh-CN" w:bidi="ar"/>
        </w:rPr>
        <w:t xml:space="preserve">案件承办机构在送审时应当提交一下材料，并对材料的客观性、真实性负责：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sz w:val="32"/>
          <w:szCs w:val="32"/>
        </w:rPr>
      </w:pPr>
      <w:r>
        <w:rPr>
          <w:rFonts w:hint="eastAsia" w:ascii="仿宋" w:hAnsi="仿宋" w:eastAsia="仿宋" w:cs="仿宋"/>
          <w:color w:val="333333"/>
          <w:kern w:val="0"/>
          <w:sz w:val="32"/>
          <w:szCs w:val="32"/>
          <w:lang w:val="en-US" w:eastAsia="zh-CN" w:bidi="ar"/>
        </w:rPr>
        <w:t xml:space="preserve">（一）拟作出重大行政执法决定的情况说明；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sz w:val="32"/>
          <w:szCs w:val="32"/>
        </w:rPr>
      </w:pPr>
      <w:r>
        <w:rPr>
          <w:rFonts w:hint="eastAsia" w:ascii="仿宋" w:hAnsi="仿宋" w:eastAsia="仿宋" w:cs="仿宋"/>
          <w:color w:val="333333"/>
          <w:kern w:val="0"/>
          <w:sz w:val="32"/>
          <w:szCs w:val="32"/>
          <w:lang w:val="en-US" w:eastAsia="zh-CN" w:bidi="ar"/>
        </w:rPr>
        <w:t xml:space="preserve">（二）拟作出的重大行政执法决定书文本；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sz w:val="32"/>
          <w:szCs w:val="32"/>
        </w:rPr>
      </w:pPr>
      <w:r>
        <w:rPr>
          <w:rFonts w:hint="eastAsia" w:ascii="仿宋" w:hAnsi="仿宋" w:eastAsia="仿宋" w:cs="仿宋"/>
          <w:color w:val="333333"/>
          <w:kern w:val="0"/>
          <w:sz w:val="32"/>
          <w:szCs w:val="32"/>
          <w:lang w:val="en-US" w:eastAsia="zh-CN" w:bidi="ar"/>
        </w:rPr>
        <w:t xml:space="preserve">（三）与拟作出的重大行政执法决定相关的证据材料；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sz w:val="32"/>
          <w:szCs w:val="32"/>
        </w:rPr>
      </w:pPr>
      <w:r>
        <w:rPr>
          <w:rFonts w:hint="eastAsia" w:ascii="仿宋" w:hAnsi="仿宋" w:eastAsia="仿宋" w:cs="仿宋"/>
          <w:color w:val="333333"/>
          <w:kern w:val="0"/>
          <w:sz w:val="32"/>
          <w:szCs w:val="32"/>
          <w:lang w:val="en-US" w:eastAsia="zh-CN" w:bidi="ar"/>
        </w:rPr>
        <w:t xml:space="preserve">（四）经过听证程序的，应当提交听证笔录；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sz w:val="32"/>
          <w:szCs w:val="32"/>
        </w:rPr>
      </w:pPr>
      <w:r>
        <w:rPr>
          <w:rFonts w:hint="eastAsia" w:ascii="仿宋" w:hAnsi="仿宋" w:eastAsia="仿宋" w:cs="仿宋"/>
          <w:color w:val="333333"/>
          <w:kern w:val="0"/>
          <w:sz w:val="32"/>
          <w:szCs w:val="32"/>
          <w:lang w:val="en-US" w:eastAsia="zh-CN" w:bidi="ar"/>
        </w:rPr>
        <w:t xml:space="preserve">（五）经过评估、鉴定程序的，应当提交评估、鉴定报告；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sz w:val="32"/>
          <w:szCs w:val="32"/>
        </w:rPr>
      </w:pPr>
      <w:r>
        <w:rPr>
          <w:rFonts w:hint="eastAsia" w:ascii="仿宋" w:hAnsi="仿宋" w:eastAsia="仿宋" w:cs="仿宋"/>
          <w:color w:val="333333"/>
          <w:kern w:val="0"/>
          <w:sz w:val="32"/>
          <w:szCs w:val="32"/>
          <w:lang w:val="en-US" w:eastAsia="zh-CN" w:bidi="ar"/>
        </w:rPr>
        <w:t xml:space="preserve">（六）法制机构认为需要提交的其他材料。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前款第一项所指的情况说明，包括基本案情，适用法律法规规章的情况，适用行政自由裁量权的情况，调查取证情况，听证、评估、鉴定的情况，以及其他需要说明的情况。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sz w:val="32"/>
          <w:szCs w:val="32"/>
        </w:rPr>
      </w:pPr>
      <w:r>
        <w:rPr>
          <w:rFonts w:hint="eastAsia" w:ascii="黑体" w:hAnsi="黑体" w:eastAsia="黑体" w:cs="黑体"/>
          <w:color w:val="333333"/>
          <w:kern w:val="0"/>
          <w:sz w:val="32"/>
          <w:szCs w:val="32"/>
          <w:lang w:val="en-US" w:eastAsia="zh-CN" w:bidi="ar"/>
        </w:rPr>
        <w:t>第十二条  </w:t>
      </w:r>
      <w:r>
        <w:rPr>
          <w:rFonts w:hint="eastAsia" w:ascii="仿宋" w:hAnsi="仿宋" w:eastAsia="仿宋" w:cs="仿宋"/>
          <w:color w:val="333333"/>
          <w:kern w:val="0"/>
          <w:sz w:val="32"/>
          <w:szCs w:val="32"/>
          <w:lang w:val="en-US" w:eastAsia="zh-CN" w:bidi="ar"/>
        </w:rPr>
        <w:t xml:space="preserve">法制机构收到案件承办机构送审的材料后，应当及时进行审查；材料不齐全的，可以要求案件承办机构在指定时间内予以补充。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 xml:space="preserve">第十三条 </w:t>
      </w:r>
      <w:r>
        <w:rPr>
          <w:rFonts w:hint="eastAsia" w:ascii="仿宋" w:hAnsi="仿宋" w:eastAsia="仿宋" w:cs="仿宋"/>
          <w:color w:val="333333"/>
          <w:kern w:val="0"/>
          <w:sz w:val="32"/>
          <w:szCs w:val="32"/>
          <w:lang w:val="en-US" w:eastAsia="zh-CN" w:bidi="ar"/>
        </w:rPr>
        <w:t>法制机构审核拟作出的重大行政执法决定，以书面审核为主。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法制机构在审核过程中，有权调阅行政执法活动相关材料，向案件承办人员了解情况，听取意见建议；必要时，对重大、复杂、疑难案件可以征询上级部门的意见。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sz w:val="32"/>
          <w:szCs w:val="32"/>
        </w:rPr>
      </w:pPr>
      <w:r>
        <w:rPr>
          <w:rFonts w:hint="eastAsia" w:ascii="黑体" w:hAnsi="黑体" w:eastAsia="黑体" w:cs="黑体"/>
          <w:color w:val="333333"/>
          <w:kern w:val="0"/>
          <w:sz w:val="32"/>
          <w:szCs w:val="32"/>
          <w:lang w:val="en-US" w:eastAsia="zh-CN" w:bidi="ar"/>
        </w:rPr>
        <w:t xml:space="preserve">第十四条 </w:t>
      </w:r>
      <w:r>
        <w:rPr>
          <w:rFonts w:hint="eastAsia" w:ascii="仿宋" w:hAnsi="仿宋" w:eastAsia="仿宋" w:cs="仿宋"/>
          <w:color w:val="333333"/>
          <w:kern w:val="0"/>
          <w:sz w:val="32"/>
          <w:szCs w:val="32"/>
          <w:lang w:val="en-US" w:eastAsia="zh-CN" w:bidi="ar"/>
        </w:rPr>
        <w:t xml:space="preserve"> 法制机构对拟作出的重大行政执法决定从以下几个方面进行审核：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sz w:val="32"/>
          <w:szCs w:val="32"/>
        </w:rPr>
      </w:pPr>
      <w:r>
        <w:rPr>
          <w:rFonts w:hint="eastAsia" w:ascii="仿宋" w:hAnsi="仿宋" w:eastAsia="仿宋" w:cs="仿宋"/>
          <w:color w:val="333333"/>
          <w:kern w:val="0"/>
          <w:sz w:val="32"/>
          <w:szCs w:val="32"/>
          <w:lang w:val="en-US" w:eastAsia="zh-CN" w:bidi="ar"/>
        </w:rPr>
        <w:t xml:space="preserve">（一）是否超越本机关执法权限；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sz w:val="32"/>
          <w:szCs w:val="32"/>
        </w:rPr>
      </w:pPr>
      <w:r>
        <w:rPr>
          <w:rFonts w:hint="eastAsia" w:ascii="仿宋" w:hAnsi="仿宋" w:eastAsia="仿宋" w:cs="仿宋"/>
          <w:color w:val="333333"/>
          <w:kern w:val="0"/>
          <w:sz w:val="32"/>
          <w:szCs w:val="32"/>
          <w:lang w:val="en-US" w:eastAsia="zh-CN" w:bidi="ar"/>
        </w:rPr>
        <w:t xml:space="preserve">（二）事实是否清楚，证据是否确凿，适用依据是否准确；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sz w:val="32"/>
          <w:szCs w:val="32"/>
        </w:rPr>
      </w:pPr>
      <w:r>
        <w:rPr>
          <w:rFonts w:hint="eastAsia" w:ascii="仿宋" w:hAnsi="仿宋" w:eastAsia="仿宋" w:cs="仿宋"/>
          <w:color w:val="333333"/>
          <w:kern w:val="0"/>
          <w:sz w:val="32"/>
          <w:szCs w:val="32"/>
          <w:lang w:val="en-US" w:eastAsia="zh-CN" w:bidi="ar"/>
        </w:rPr>
        <w:t xml:space="preserve">（三）行政自由裁量权行使是否适当；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sz w:val="32"/>
          <w:szCs w:val="32"/>
        </w:rPr>
      </w:pPr>
      <w:r>
        <w:rPr>
          <w:rFonts w:hint="eastAsia" w:ascii="仿宋" w:hAnsi="仿宋" w:eastAsia="仿宋" w:cs="仿宋"/>
          <w:color w:val="333333"/>
          <w:kern w:val="0"/>
          <w:sz w:val="32"/>
          <w:szCs w:val="32"/>
          <w:lang w:val="en-US" w:eastAsia="zh-CN" w:bidi="ar"/>
        </w:rPr>
        <w:t xml:space="preserve">（四）程序是否合法；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sz w:val="32"/>
          <w:szCs w:val="32"/>
        </w:rPr>
      </w:pPr>
      <w:r>
        <w:rPr>
          <w:rFonts w:hint="eastAsia" w:ascii="仿宋" w:hAnsi="仿宋" w:eastAsia="仿宋" w:cs="仿宋"/>
          <w:color w:val="333333"/>
          <w:kern w:val="0"/>
          <w:sz w:val="32"/>
          <w:szCs w:val="32"/>
          <w:lang w:val="en-US" w:eastAsia="zh-CN" w:bidi="ar"/>
        </w:rPr>
        <w:t xml:space="preserve">（五）法律文书制作是否规范；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sz w:val="32"/>
          <w:szCs w:val="32"/>
        </w:rPr>
      </w:pPr>
      <w:r>
        <w:rPr>
          <w:rFonts w:hint="eastAsia" w:ascii="仿宋" w:hAnsi="仿宋" w:eastAsia="仿宋" w:cs="仿宋"/>
          <w:color w:val="333333"/>
          <w:kern w:val="0"/>
          <w:sz w:val="32"/>
          <w:szCs w:val="32"/>
          <w:lang w:val="en-US" w:eastAsia="zh-CN" w:bidi="ar"/>
        </w:rPr>
        <w:t xml:space="preserve">（六）其他依法应当审核的内容。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sz w:val="32"/>
          <w:szCs w:val="32"/>
        </w:rPr>
      </w:pPr>
      <w:r>
        <w:rPr>
          <w:rFonts w:hint="eastAsia" w:ascii="黑体" w:hAnsi="黑体" w:eastAsia="黑体" w:cs="黑体"/>
          <w:color w:val="333333"/>
          <w:kern w:val="0"/>
          <w:sz w:val="32"/>
          <w:szCs w:val="32"/>
          <w:lang w:val="en-US" w:eastAsia="zh-CN" w:bidi="ar"/>
        </w:rPr>
        <w:t xml:space="preserve">第十五条  </w:t>
      </w:r>
      <w:r>
        <w:rPr>
          <w:rFonts w:hint="eastAsia" w:ascii="仿宋" w:hAnsi="仿宋" w:eastAsia="仿宋" w:cs="仿宋"/>
          <w:color w:val="333333"/>
          <w:kern w:val="0"/>
          <w:sz w:val="32"/>
          <w:szCs w:val="32"/>
          <w:lang w:val="en-US" w:eastAsia="zh-CN" w:bidi="ar"/>
        </w:rPr>
        <w:t xml:space="preserve">法制机构对拟作出的重大行政执法决定进行审核后，应当根据下列不同情况分别作出处理：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sz w:val="32"/>
          <w:szCs w:val="32"/>
        </w:rPr>
      </w:pPr>
      <w:r>
        <w:rPr>
          <w:rFonts w:hint="eastAsia" w:ascii="仿宋" w:hAnsi="仿宋" w:eastAsia="仿宋" w:cs="仿宋"/>
          <w:color w:val="333333"/>
          <w:kern w:val="0"/>
          <w:sz w:val="32"/>
          <w:szCs w:val="32"/>
          <w:lang w:val="en-US" w:eastAsia="zh-CN" w:bidi="ar"/>
        </w:rPr>
        <w:t xml:space="preserve">（一）认为符合本机关执法权限，事实清楚，证据确凿，适用依据准确，行政裁量权行使适当，程序合法，法律文书制作规范的，出具同意的审核意见；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（二）认为存在事实认定不清、证据不足的，提出继续调查或不予作出行政执法决定的建议；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（三）认为定性不准、适用依据错误、裁量基准不当、法律文书制作不规范的，提出变更意见；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sz w:val="32"/>
          <w:szCs w:val="32"/>
        </w:rPr>
      </w:pPr>
      <w:r>
        <w:rPr>
          <w:rFonts w:hint="eastAsia" w:ascii="仿宋" w:hAnsi="仿宋" w:eastAsia="仿宋" w:cs="仿宋"/>
          <w:color w:val="333333"/>
          <w:kern w:val="0"/>
          <w:sz w:val="32"/>
          <w:szCs w:val="32"/>
          <w:lang w:val="en-US" w:eastAsia="zh-CN" w:bidi="ar"/>
        </w:rPr>
        <w:t xml:space="preserve">（四）认为违反法定程序的，提出纠正意见或者不作出行政执法决定的建议；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sz w:val="32"/>
          <w:szCs w:val="32"/>
        </w:rPr>
      </w:pPr>
      <w:r>
        <w:rPr>
          <w:rFonts w:hint="eastAsia" w:ascii="仿宋" w:hAnsi="仿宋" w:eastAsia="仿宋" w:cs="仿宋"/>
          <w:color w:val="333333"/>
          <w:kern w:val="0"/>
          <w:sz w:val="32"/>
          <w:szCs w:val="32"/>
          <w:lang w:val="en-US" w:eastAsia="zh-CN" w:bidi="ar"/>
        </w:rPr>
        <w:t xml:space="preserve">（五）认为超越本机关执法权限或涉嫌犯罪的，提出移送意见。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 w:hAnsi="仿宋" w:eastAsia="仿宋" w:cs="仿宋"/>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 xml:space="preserve">第十六条  </w:t>
      </w:r>
      <w:r>
        <w:rPr>
          <w:rFonts w:hint="eastAsia" w:ascii="仿宋" w:hAnsi="仿宋" w:eastAsia="仿宋" w:cs="仿宋"/>
          <w:color w:val="333333"/>
          <w:kern w:val="0"/>
          <w:sz w:val="32"/>
          <w:szCs w:val="32"/>
          <w:lang w:val="en-US" w:eastAsia="zh-CN" w:bidi="ar"/>
        </w:rPr>
        <w:t>法制机构在收到重大行政执法决定送审材料后，应当在5个工作日内出具《重大行政执法决定法制审核意见表》。情况复杂的，经行政执法机关负责人批准可以延长2个工作日。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前款所列审核期限自执法承办机构提交完备的送审材料之日起计算。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640" w:leftChars="0" w:right="0" w:rightChars="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补充材料、征询意见期间不计入审核期限。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sz w:val="32"/>
          <w:szCs w:val="32"/>
        </w:rPr>
      </w:pPr>
      <w:r>
        <w:rPr>
          <w:rFonts w:hint="eastAsia" w:ascii="黑体" w:hAnsi="黑体" w:eastAsia="黑体" w:cs="黑体"/>
          <w:color w:val="333333"/>
          <w:kern w:val="0"/>
          <w:sz w:val="32"/>
          <w:szCs w:val="32"/>
          <w:lang w:val="en-US" w:eastAsia="zh-CN" w:bidi="ar"/>
        </w:rPr>
        <w:t>第十七条</w:t>
      </w:r>
      <w:r>
        <w:rPr>
          <w:rFonts w:hint="eastAsia" w:ascii="仿宋" w:hAnsi="仿宋" w:eastAsia="仿宋" w:cs="仿宋"/>
          <w:color w:val="333333"/>
          <w:kern w:val="0"/>
          <w:sz w:val="32"/>
          <w:szCs w:val="32"/>
          <w:lang w:val="en-US" w:eastAsia="zh-CN" w:bidi="ar"/>
        </w:rPr>
        <w:t xml:space="preserve">  法制机构提出对继续调查或者程序纠正意见的，由案件承办机构调查、纠正后重新送审。案件承办机构对法制机构的审核意见有异议的，可以应当与法制机构协商沟通或书面提请法制机构复审。法制机构应当自收到书面复审申请之日起3个工作日内提出书面复审意见。经沟通达不成一致意见的或对复审意见仍有异议的，应当提请行政执法机关负责人研究决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 xml:space="preserve">第十八条  </w:t>
      </w:r>
      <w:r>
        <w:rPr>
          <w:rFonts w:hint="eastAsia" w:ascii="仿宋" w:hAnsi="仿宋" w:eastAsia="仿宋" w:cs="仿宋"/>
          <w:color w:val="333333"/>
          <w:kern w:val="0"/>
          <w:sz w:val="32"/>
          <w:szCs w:val="32"/>
          <w:lang w:val="en-US" w:eastAsia="zh-CN" w:bidi="ar"/>
        </w:rPr>
        <w:t xml:space="preserve">重大行政执法决定作出后，由案件承办机构负责执行并做好立卷归档工作；需要备案的按规定办理报备手续。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 xml:space="preserve">第十九条 </w:t>
      </w:r>
      <w:r>
        <w:rPr>
          <w:rFonts w:hint="eastAsia" w:ascii="仿宋" w:hAnsi="仿宋" w:eastAsia="仿宋" w:cs="仿宋"/>
          <w:color w:val="333333"/>
          <w:kern w:val="0"/>
          <w:sz w:val="32"/>
          <w:szCs w:val="32"/>
          <w:lang w:val="en-US" w:eastAsia="zh-CN" w:bidi="ar"/>
        </w:rPr>
        <w:t xml:space="preserve"> 案件承办机构对送审材料的真实性、准确性、完整性，以及执法的事实、证据、法律适用、程序的合法性负责。法制审核机构对重大执法决定的法制审核意见负责。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 xml:space="preserve">第二十条 </w:t>
      </w:r>
      <w:r>
        <w:rPr>
          <w:rFonts w:hint="eastAsia" w:ascii="仿宋" w:hAnsi="仿宋" w:eastAsia="仿宋" w:cs="仿宋"/>
          <w:color w:val="333333"/>
          <w:kern w:val="0"/>
          <w:sz w:val="32"/>
          <w:szCs w:val="32"/>
          <w:lang w:val="en-US" w:eastAsia="zh-CN" w:bidi="ar"/>
        </w:rPr>
        <w:t xml:space="preserve"> 法制机构结合法制审核工作实际情况，可以就存在的普遍性问题或者重复出现的问题对案件承办机构提出执法建议。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法制机构可以结合法制审核工作实际情况编制典型案例等，案件承办机构应予配合。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 xml:space="preserve">第二十一条 </w:t>
      </w:r>
      <w:r>
        <w:rPr>
          <w:rFonts w:hint="eastAsia" w:ascii="仿宋" w:hAnsi="仿宋" w:eastAsia="仿宋" w:cs="仿宋"/>
          <w:color w:val="333333"/>
          <w:kern w:val="0"/>
          <w:sz w:val="32"/>
          <w:szCs w:val="32"/>
          <w:lang w:val="en-US" w:eastAsia="zh-CN" w:bidi="ar"/>
        </w:rPr>
        <w:t xml:space="preserve"> 行政执法机关应当对下级行政执法机关执行本规定的情况进行指导。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行政执法机关可以根据本办法细化审核范围、优化审核流程、提高审核质量。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sz w:val="32"/>
          <w:szCs w:val="32"/>
        </w:rPr>
      </w:pPr>
      <w:r>
        <w:rPr>
          <w:rFonts w:hint="eastAsia" w:ascii="黑体" w:hAnsi="黑体" w:eastAsia="黑体" w:cs="黑体"/>
          <w:color w:val="333333"/>
          <w:kern w:val="0"/>
          <w:sz w:val="32"/>
          <w:szCs w:val="32"/>
          <w:lang w:val="en-US" w:eastAsia="zh-CN" w:bidi="ar"/>
        </w:rPr>
        <w:t>第二十二条 </w:t>
      </w:r>
      <w:r>
        <w:rPr>
          <w:rFonts w:hint="eastAsia" w:ascii="仿宋" w:hAnsi="仿宋" w:eastAsia="仿宋" w:cs="仿宋"/>
          <w:color w:val="333333"/>
          <w:kern w:val="0"/>
          <w:sz w:val="32"/>
          <w:szCs w:val="32"/>
          <w:lang w:val="en-US" w:eastAsia="zh-CN" w:bidi="ar"/>
        </w:rPr>
        <w:t xml:space="preserve"> 行政执法机关的执法机构、法制机构违反本办法，不执行重大行政执法决定法制审核制度，导致重大行政执法决定错误，造成重大损失或者严重不良社会影响的，对负有领导责任的人员和其他直接责任人员依法依纪予以追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第二十三条 </w:t>
      </w:r>
      <w:r>
        <w:rPr>
          <w:rFonts w:hint="eastAsia" w:ascii="仿宋" w:hAnsi="仿宋" w:eastAsia="仿宋" w:cs="仿宋"/>
          <w:color w:val="333333"/>
          <w:kern w:val="0"/>
          <w:sz w:val="32"/>
          <w:szCs w:val="32"/>
          <w:lang w:val="en-US" w:eastAsia="zh-CN" w:bidi="ar"/>
        </w:rPr>
        <w:t xml:space="preserve"> 行政执法机关应当把政治素质高、业务能力强、具有法律专业背景的人员调整充实到法制审核岗位，配强工作力量，使法制审核人员的配置与形势任务相适应。原则上，各级行政执法机关的法制审核人员不少于本单位执法人员总数的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行政执法机关中初次从事法制审核的人员，应当通过国家统一法律职业资格考试取得法律职业资格，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第二十四条</w:t>
      </w:r>
      <w:r>
        <w:rPr>
          <w:rFonts w:hint="eastAsia" w:ascii="仿宋" w:hAnsi="仿宋" w:eastAsia="仿宋" w:cs="仿宋"/>
          <w:color w:val="333333"/>
          <w:kern w:val="0"/>
          <w:sz w:val="32"/>
          <w:szCs w:val="32"/>
          <w:lang w:val="en-US" w:eastAsia="zh-CN" w:bidi="ar"/>
        </w:rPr>
        <w:t xml:space="preserve">  本办法自2021年10月15日起施行。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color w:val="333333"/>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附件：1、重大行政执法决定法制审核意见表；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2、重大行政执法决定法制审核目录清单。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640"/>
        <w:jc w:val="left"/>
        <w:rPr>
          <w:rFonts w:hint="eastAsia" w:ascii="仿宋" w:hAnsi="仿宋" w:eastAsia="仿宋" w:cs="仿宋"/>
          <w:color w:val="333333"/>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right="0"/>
        <w:jc w:val="left"/>
        <w:rPr>
          <w:rFonts w:hint="eastAsia" w:ascii="仿宋" w:hAnsi="仿宋" w:eastAsia="仿宋" w:cs="仿宋"/>
          <w:color w:val="333333"/>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right="0"/>
        <w:jc w:val="center"/>
        <w:rPr>
          <w:rFonts w:hint="eastAsia" w:ascii="方正小标宋简体" w:hAnsi="方正小标宋简体" w:eastAsia="方正小标宋简体" w:cs="方正小标宋简体"/>
          <w:color w:val="333333"/>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right="0"/>
        <w:jc w:val="center"/>
        <w:rPr>
          <w:rFonts w:hint="eastAsia" w:ascii="方正小标宋简体" w:hAnsi="方正小标宋简体" w:eastAsia="方正小标宋简体" w:cs="方正小标宋简体"/>
          <w:color w:val="333333"/>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right="0"/>
        <w:jc w:val="center"/>
        <w:rPr>
          <w:rFonts w:hint="eastAsia" w:ascii="方正小标宋简体" w:hAnsi="方正小标宋简体" w:eastAsia="方正小标宋简体" w:cs="方正小标宋简体"/>
          <w:color w:val="333333"/>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right="0"/>
        <w:jc w:val="center"/>
        <w:rPr>
          <w:rFonts w:hint="eastAsia" w:ascii="方正小标宋简体" w:hAnsi="方正小标宋简体" w:eastAsia="方正小标宋简体" w:cs="方正小标宋简体"/>
          <w:color w:val="333333"/>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right="0"/>
        <w:jc w:val="center"/>
        <w:rPr>
          <w:rFonts w:hint="eastAsia" w:ascii="方正小标宋简体" w:hAnsi="方正小标宋简体" w:eastAsia="方正小标宋简体" w:cs="方正小标宋简体"/>
          <w:color w:val="333333"/>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right="0"/>
        <w:jc w:val="center"/>
        <w:rPr>
          <w:rFonts w:hint="eastAsia" w:ascii="方正小标宋简体" w:hAnsi="方正小标宋简体" w:eastAsia="方正小标宋简体" w:cs="方正小标宋简体"/>
          <w:color w:val="333333"/>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right="0"/>
        <w:jc w:val="center"/>
        <w:rPr>
          <w:rFonts w:hint="eastAsia" w:ascii="方正小标宋简体" w:hAnsi="方正小标宋简体" w:eastAsia="方正小标宋简体" w:cs="方正小标宋简体"/>
          <w:color w:val="333333"/>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right="0"/>
        <w:jc w:val="center"/>
        <w:rPr>
          <w:rFonts w:hint="eastAsia" w:ascii="方正小标宋简体" w:hAnsi="方正小标宋简体" w:eastAsia="方正小标宋简体" w:cs="方正小标宋简体"/>
          <w:color w:val="333333"/>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right="0"/>
        <w:jc w:val="center"/>
        <w:rPr>
          <w:rFonts w:hint="eastAsia" w:ascii="方正小标宋简体" w:hAnsi="方正小标宋简体" w:eastAsia="方正小标宋简体" w:cs="方正小标宋简体"/>
          <w:color w:val="333333"/>
          <w:kern w:val="0"/>
          <w:sz w:val="36"/>
          <w:szCs w:val="36"/>
          <w:lang w:val="en-US" w:eastAsia="zh-CN" w:bidi="ar"/>
        </w:rPr>
      </w:pPr>
      <w:r>
        <w:rPr>
          <w:rFonts w:hint="eastAsia" w:ascii="方正小标宋简体" w:hAnsi="方正小标宋简体" w:eastAsia="方正小标宋简体" w:cs="方正小标宋简体"/>
          <w:color w:val="333333"/>
          <w:kern w:val="0"/>
          <w:sz w:val="36"/>
          <w:szCs w:val="36"/>
          <w:lang w:val="en-US" w:eastAsia="zh-CN" w:bidi="ar"/>
        </w:rPr>
        <w:t>重大行政执法决定法制审核意见表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3870"/>
        <w:gridCol w:w="1095"/>
        <w:gridCol w:w="90"/>
        <w:gridCol w:w="555"/>
        <w:gridCol w:w="510"/>
        <w:gridCol w:w="495"/>
        <w:gridCol w:w="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r>
              <w:rPr>
                <w:rFonts w:hint="eastAsia" w:ascii="仿宋" w:hAnsi="仿宋" w:eastAsia="仿宋" w:cs="仿宋"/>
                <w:color w:val="333333"/>
                <w:kern w:val="0"/>
                <w:sz w:val="24"/>
                <w:szCs w:val="24"/>
                <w:vertAlign w:val="baseline"/>
                <w:lang w:val="en-US" w:eastAsia="zh-CN" w:bidi="ar"/>
              </w:rPr>
              <w:t>执法项目</w:t>
            </w:r>
          </w:p>
        </w:tc>
        <w:tc>
          <w:tcPr>
            <w:tcW w:w="7096" w:type="dxa"/>
            <w:gridSpan w:val="7"/>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r>
              <w:rPr>
                <w:rFonts w:hint="eastAsia" w:ascii="仿宋" w:hAnsi="仿宋" w:eastAsia="仿宋" w:cs="仿宋"/>
                <w:color w:val="333333"/>
                <w:kern w:val="0"/>
                <w:sz w:val="24"/>
                <w:szCs w:val="24"/>
                <w:vertAlign w:val="baseline"/>
                <w:lang w:val="en-US" w:eastAsia="zh-CN" w:bidi="ar"/>
              </w:rPr>
              <w:t>承办机构</w:t>
            </w:r>
          </w:p>
        </w:tc>
        <w:tc>
          <w:tcPr>
            <w:tcW w:w="3870" w:type="dxa"/>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p>
        </w:tc>
        <w:tc>
          <w:tcPr>
            <w:tcW w:w="1185" w:type="dxa"/>
            <w:gridSpan w:val="2"/>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r>
              <w:rPr>
                <w:rFonts w:hint="eastAsia" w:ascii="仿宋" w:hAnsi="仿宋" w:eastAsia="仿宋" w:cs="仿宋"/>
                <w:color w:val="333333"/>
                <w:kern w:val="0"/>
                <w:sz w:val="24"/>
                <w:szCs w:val="24"/>
                <w:vertAlign w:val="baseline"/>
                <w:lang w:val="en-US" w:eastAsia="zh-CN" w:bidi="ar"/>
              </w:rPr>
              <w:t>承办人员</w:t>
            </w:r>
          </w:p>
        </w:tc>
        <w:tc>
          <w:tcPr>
            <w:tcW w:w="2041" w:type="dxa"/>
            <w:gridSpan w:val="4"/>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32"/>
                <w:szCs w:val="32"/>
                <w:vertAlign w:val="baseline"/>
                <w:lang w:val="en-US" w:eastAsia="zh-CN" w:bidi="ar"/>
              </w:rPr>
            </w:pPr>
            <w:r>
              <w:rPr>
                <w:rFonts w:hint="eastAsia" w:ascii="仿宋" w:hAnsi="仿宋" w:eastAsia="仿宋" w:cs="仿宋"/>
                <w:color w:val="333333"/>
                <w:kern w:val="0"/>
                <w:sz w:val="24"/>
                <w:szCs w:val="24"/>
                <w:vertAlign w:val="baseline"/>
                <w:lang w:val="en-US" w:eastAsia="zh-CN" w:bidi="ar"/>
              </w:rPr>
              <w:t>承办机构拟处理意见</w:t>
            </w:r>
          </w:p>
        </w:tc>
        <w:tc>
          <w:tcPr>
            <w:tcW w:w="7096" w:type="dxa"/>
            <w:gridSpan w:val="7"/>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vMerge w:val="restart"/>
            <w:vAlign w:val="center"/>
          </w:tcPr>
          <w:p>
            <w:pPr>
              <w:keepNext w:val="0"/>
              <w:keepLines w:val="0"/>
              <w:widowControl/>
              <w:suppressLineNumbers w:val="0"/>
              <w:spacing w:before="150" w:beforeAutospacing="0" w:after="0" w:afterAutospacing="0" w:line="420" w:lineRule="atLeast"/>
              <w:ind w:right="0"/>
              <w:jc w:val="center"/>
              <w:rPr>
                <w:rFonts w:hint="eastAsia" w:ascii="仿宋" w:hAnsi="仿宋" w:eastAsia="仿宋" w:cs="仿宋"/>
                <w:color w:val="333333"/>
                <w:kern w:val="0"/>
                <w:sz w:val="32"/>
                <w:szCs w:val="32"/>
                <w:vertAlign w:val="baseline"/>
                <w:lang w:val="en-US" w:eastAsia="zh-CN" w:bidi="ar"/>
              </w:rPr>
            </w:pPr>
            <w:r>
              <w:rPr>
                <w:rFonts w:hint="eastAsia" w:ascii="仿宋" w:hAnsi="仿宋" w:eastAsia="仿宋" w:cs="仿宋"/>
                <w:color w:val="333333"/>
                <w:kern w:val="0"/>
                <w:sz w:val="32"/>
                <w:szCs w:val="32"/>
                <w:vertAlign w:val="baseline"/>
                <w:lang w:val="en-US" w:eastAsia="zh-CN" w:bidi="ar"/>
              </w:rPr>
              <w:t>审</w:t>
            </w:r>
          </w:p>
          <w:p>
            <w:pPr>
              <w:keepNext w:val="0"/>
              <w:keepLines w:val="0"/>
              <w:widowControl/>
              <w:suppressLineNumbers w:val="0"/>
              <w:spacing w:before="150" w:beforeAutospacing="0" w:after="0" w:afterAutospacing="0" w:line="420" w:lineRule="atLeast"/>
              <w:ind w:right="0"/>
              <w:jc w:val="center"/>
              <w:rPr>
                <w:rFonts w:hint="eastAsia" w:ascii="仿宋" w:hAnsi="仿宋" w:eastAsia="仿宋" w:cs="仿宋"/>
                <w:color w:val="333333"/>
                <w:kern w:val="0"/>
                <w:sz w:val="32"/>
                <w:szCs w:val="32"/>
                <w:vertAlign w:val="baseline"/>
                <w:lang w:val="en-US" w:eastAsia="zh-CN" w:bidi="ar"/>
              </w:rPr>
            </w:pPr>
            <w:r>
              <w:rPr>
                <w:rFonts w:hint="eastAsia" w:ascii="仿宋" w:hAnsi="仿宋" w:eastAsia="仿宋" w:cs="仿宋"/>
                <w:color w:val="333333"/>
                <w:kern w:val="0"/>
                <w:sz w:val="32"/>
                <w:szCs w:val="32"/>
                <w:vertAlign w:val="baseline"/>
                <w:lang w:val="en-US" w:eastAsia="zh-CN" w:bidi="ar"/>
              </w:rPr>
              <w:t>核</w:t>
            </w:r>
          </w:p>
          <w:p>
            <w:pPr>
              <w:keepNext w:val="0"/>
              <w:keepLines w:val="0"/>
              <w:widowControl/>
              <w:suppressLineNumbers w:val="0"/>
              <w:spacing w:before="150" w:beforeAutospacing="0" w:after="0" w:afterAutospacing="0" w:line="420" w:lineRule="atLeast"/>
              <w:ind w:right="0"/>
              <w:jc w:val="center"/>
              <w:rPr>
                <w:rFonts w:hint="eastAsia" w:ascii="仿宋" w:hAnsi="仿宋" w:eastAsia="仿宋" w:cs="仿宋"/>
                <w:color w:val="333333"/>
                <w:kern w:val="0"/>
                <w:sz w:val="32"/>
                <w:szCs w:val="32"/>
                <w:vertAlign w:val="baseline"/>
                <w:lang w:val="en-US" w:eastAsia="zh-CN" w:bidi="ar"/>
              </w:rPr>
            </w:pPr>
            <w:r>
              <w:rPr>
                <w:rFonts w:hint="eastAsia" w:ascii="仿宋" w:hAnsi="仿宋" w:eastAsia="仿宋" w:cs="仿宋"/>
                <w:color w:val="333333"/>
                <w:kern w:val="0"/>
                <w:sz w:val="32"/>
                <w:szCs w:val="32"/>
                <w:vertAlign w:val="baseline"/>
                <w:lang w:val="en-US" w:eastAsia="zh-CN" w:bidi="ar"/>
              </w:rPr>
              <w:t>意</w:t>
            </w:r>
          </w:p>
          <w:p>
            <w:pPr>
              <w:keepNext w:val="0"/>
              <w:keepLines w:val="0"/>
              <w:widowControl/>
              <w:suppressLineNumbers w:val="0"/>
              <w:spacing w:before="150" w:beforeAutospacing="0" w:after="0" w:afterAutospacing="0" w:line="420" w:lineRule="atLeast"/>
              <w:ind w:right="0"/>
              <w:jc w:val="center"/>
              <w:rPr>
                <w:rFonts w:hint="eastAsia" w:ascii="仿宋" w:hAnsi="仿宋" w:eastAsia="仿宋" w:cs="仿宋"/>
                <w:color w:val="333333"/>
                <w:kern w:val="0"/>
                <w:sz w:val="32"/>
                <w:szCs w:val="32"/>
                <w:vertAlign w:val="baseline"/>
                <w:lang w:val="en-US" w:eastAsia="zh-CN" w:bidi="ar"/>
              </w:rPr>
            </w:pPr>
            <w:r>
              <w:rPr>
                <w:rFonts w:hint="eastAsia" w:ascii="仿宋" w:hAnsi="仿宋" w:eastAsia="仿宋" w:cs="仿宋"/>
                <w:color w:val="333333"/>
                <w:kern w:val="0"/>
                <w:sz w:val="32"/>
                <w:szCs w:val="32"/>
                <w:vertAlign w:val="baseline"/>
                <w:lang w:val="en-US" w:eastAsia="zh-CN" w:bidi="ar"/>
              </w:rPr>
              <w:t>见</w:t>
            </w:r>
          </w:p>
        </w:tc>
        <w:tc>
          <w:tcPr>
            <w:tcW w:w="4965" w:type="dxa"/>
            <w:gridSpan w:val="2"/>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r>
              <w:rPr>
                <w:rFonts w:hint="eastAsia" w:ascii="仿宋" w:hAnsi="仿宋" w:eastAsia="仿宋" w:cs="仿宋"/>
                <w:color w:val="333333"/>
                <w:kern w:val="0"/>
                <w:sz w:val="24"/>
                <w:szCs w:val="24"/>
                <w:vertAlign w:val="baseline"/>
                <w:lang w:val="en-US" w:eastAsia="zh-CN" w:bidi="ar"/>
              </w:rPr>
              <w:t>是否属于重大行政执法决定</w:t>
            </w:r>
          </w:p>
        </w:tc>
        <w:tc>
          <w:tcPr>
            <w:tcW w:w="645" w:type="dxa"/>
            <w:gridSpan w:val="2"/>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r>
              <w:rPr>
                <w:rFonts w:hint="eastAsia" w:ascii="仿宋" w:hAnsi="仿宋" w:eastAsia="仿宋" w:cs="仿宋"/>
                <w:color w:val="333333"/>
                <w:kern w:val="0"/>
                <w:sz w:val="24"/>
                <w:szCs w:val="24"/>
                <w:vertAlign w:val="baseline"/>
                <w:lang w:val="en-US" w:eastAsia="zh-CN" w:bidi="ar"/>
              </w:rPr>
              <w:t>是</w:t>
            </w:r>
          </w:p>
        </w:tc>
        <w:tc>
          <w:tcPr>
            <w:tcW w:w="510" w:type="dxa"/>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p>
        </w:tc>
        <w:tc>
          <w:tcPr>
            <w:tcW w:w="495" w:type="dxa"/>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r>
              <w:rPr>
                <w:rFonts w:hint="eastAsia" w:ascii="仿宋" w:hAnsi="仿宋" w:eastAsia="仿宋" w:cs="仿宋"/>
                <w:color w:val="333333"/>
                <w:kern w:val="0"/>
                <w:sz w:val="24"/>
                <w:szCs w:val="24"/>
                <w:vertAlign w:val="baseline"/>
                <w:lang w:val="en-US" w:eastAsia="zh-CN" w:bidi="ar"/>
              </w:rPr>
              <w:t>否</w:t>
            </w:r>
          </w:p>
        </w:tc>
        <w:tc>
          <w:tcPr>
            <w:tcW w:w="481" w:type="dxa"/>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vMerge w:val="continue"/>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32"/>
                <w:szCs w:val="32"/>
                <w:vertAlign w:val="baseline"/>
                <w:lang w:val="en-US" w:eastAsia="zh-CN" w:bidi="ar"/>
              </w:rPr>
            </w:pPr>
          </w:p>
        </w:tc>
        <w:tc>
          <w:tcPr>
            <w:tcW w:w="4965" w:type="dxa"/>
            <w:gridSpan w:val="2"/>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r>
              <w:rPr>
                <w:rFonts w:hint="eastAsia" w:ascii="仿宋" w:hAnsi="仿宋" w:eastAsia="仿宋" w:cs="仿宋"/>
                <w:color w:val="333333"/>
                <w:kern w:val="0"/>
                <w:sz w:val="24"/>
                <w:szCs w:val="24"/>
                <w:vertAlign w:val="baseline"/>
                <w:lang w:val="en-US" w:eastAsia="zh-CN" w:bidi="ar"/>
              </w:rPr>
              <w:t>行政执法机关主体是否合法</w:t>
            </w:r>
          </w:p>
        </w:tc>
        <w:tc>
          <w:tcPr>
            <w:tcW w:w="645" w:type="dxa"/>
            <w:gridSpan w:val="2"/>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r>
              <w:rPr>
                <w:rFonts w:hint="eastAsia" w:ascii="仿宋" w:hAnsi="仿宋" w:eastAsia="仿宋" w:cs="仿宋"/>
                <w:color w:val="333333"/>
                <w:kern w:val="0"/>
                <w:sz w:val="24"/>
                <w:szCs w:val="24"/>
                <w:vertAlign w:val="baseline"/>
                <w:lang w:val="en-US" w:eastAsia="zh-CN" w:bidi="ar"/>
              </w:rPr>
              <w:t>是</w:t>
            </w:r>
          </w:p>
        </w:tc>
        <w:tc>
          <w:tcPr>
            <w:tcW w:w="510" w:type="dxa"/>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p>
        </w:tc>
        <w:tc>
          <w:tcPr>
            <w:tcW w:w="495" w:type="dxa"/>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r>
              <w:rPr>
                <w:rFonts w:hint="eastAsia" w:ascii="仿宋" w:hAnsi="仿宋" w:eastAsia="仿宋" w:cs="仿宋"/>
                <w:color w:val="333333"/>
                <w:kern w:val="0"/>
                <w:sz w:val="24"/>
                <w:szCs w:val="24"/>
                <w:vertAlign w:val="baseline"/>
                <w:lang w:val="en-US" w:eastAsia="zh-CN" w:bidi="ar"/>
              </w:rPr>
              <w:t>否</w:t>
            </w:r>
          </w:p>
        </w:tc>
        <w:tc>
          <w:tcPr>
            <w:tcW w:w="481" w:type="dxa"/>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vMerge w:val="continue"/>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32"/>
                <w:szCs w:val="32"/>
                <w:vertAlign w:val="baseline"/>
                <w:lang w:val="en-US" w:eastAsia="zh-CN" w:bidi="ar"/>
              </w:rPr>
            </w:pPr>
          </w:p>
        </w:tc>
        <w:tc>
          <w:tcPr>
            <w:tcW w:w="4965" w:type="dxa"/>
            <w:gridSpan w:val="2"/>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r>
              <w:rPr>
                <w:rFonts w:hint="eastAsia" w:ascii="仿宋" w:hAnsi="仿宋" w:eastAsia="仿宋" w:cs="仿宋"/>
                <w:color w:val="333333"/>
                <w:kern w:val="0"/>
                <w:sz w:val="24"/>
                <w:szCs w:val="24"/>
                <w:vertAlign w:val="baseline"/>
                <w:lang w:val="en-US" w:eastAsia="zh-CN" w:bidi="ar"/>
              </w:rPr>
              <w:t>是否有超越本机关职权范围或滥用职权情形</w:t>
            </w:r>
          </w:p>
        </w:tc>
        <w:tc>
          <w:tcPr>
            <w:tcW w:w="645" w:type="dxa"/>
            <w:gridSpan w:val="2"/>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r>
              <w:rPr>
                <w:rFonts w:hint="eastAsia" w:ascii="仿宋" w:hAnsi="仿宋" w:eastAsia="仿宋" w:cs="仿宋"/>
                <w:color w:val="333333"/>
                <w:kern w:val="0"/>
                <w:sz w:val="24"/>
                <w:szCs w:val="24"/>
                <w:vertAlign w:val="baseline"/>
                <w:lang w:val="en-US" w:eastAsia="zh-CN" w:bidi="ar"/>
              </w:rPr>
              <w:t>是</w:t>
            </w:r>
          </w:p>
        </w:tc>
        <w:tc>
          <w:tcPr>
            <w:tcW w:w="510" w:type="dxa"/>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p>
        </w:tc>
        <w:tc>
          <w:tcPr>
            <w:tcW w:w="495" w:type="dxa"/>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r>
              <w:rPr>
                <w:rFonts w:hint="eastAsia" w:ascii="仿宋" w:hAnsi="仿宋" w:eastAsia="仿宋" w:cs="仿宋"/>
                <w:color w:val="333333"/>
                <w:kern w:val="0"/>
                <w:sz w:val="24"/>
                <w:szCs w:val="24"/>
                <w:vertAlign w:val="baseline"/>
                <w:lang w:val="en-US" w:eastAsia="zh-CN" w:bidi="ar"/>
              </w:rPr>
              <w:t>否</w:t>
            </w:r>
          </w:p>
        </w:tc>
        <w:tc>
          <w:tcPr>
            <w:tcW w:w="481" w:type="dxa"/>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vMerge w:val="continue"/>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32"/>
                <w:szCs w:val="32"/>
                <w:vertAlign w:val="baseline"/>
                <w:lang w:val="en-US" w:eastAsia="zh-CN" w:bidi="ar"/>
              </w:rPr>
            </w:pPr>
          </w:p>
        </w:tc>
        <w:tc>
          <w:tcPr>
            <w:tcW w:w="4965" w:type="dxa"/>
            <w:gridSpan w:val="2"/>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r>
              <w:rPr>
                <w:rFonts w:hint="eastAsia" w:ascii="仿宋" w:hAnsi="仿宋" w:eastAsia="仿宋" w:cs="仿宋"/>
                <w:color w:val="333333"/>
                <w:kern w:val="0"/>
                <w:sz w:val="24"/>
                <w:szCs w:val="24"/>
                <w:vertAlign w:val="baseline"/>
                <w:lang w:val="en-US" w:eastAsia="zh-CN" w:bidi="ar"/>
              </w:rPr>
              <w:t>行政执法人员是否具备执法资格</w:t>
            </w:r>
          </w:p>
        </w:tc>
        <w:tc>
          <w:tcPr>
            <w:tcW w:w="645" w:type="dxa"/>
            <w:gridSpan w:val="2"/>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r>
              <w:rPr>
                <w:rFonts w:hint="eastAsia" w:ascii="仿宋" w:hAnsi="仿宋" w:eastAsia="仿宋" w:cs="仿宋"/>
                <w:color w:val="333333"/>
                <w:kern w:val="0"/>
                <w:sz w:val="24"/>
                <w:szCs w:val="24"/>
                <w:vertAlign w:val="baseline"/>
                <w:lang w:val="en-US" w:eastAsia="zh-CN" w:bidi="ar"/>
              </w:rPr>
              <w:t>是</w:t>
            </w:r>
          </w:p>
        </w:tc>
        <w:tc>
          <w:tcPr>
            <w:tcW w:w="510" w:type="dxa"/>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p>
        </w:tc>
        <w:tc>
          <w:tcPr>
            <w:tcW w:w="495" w:type="dxa"/>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r>
              <w:rPr>
                <w:rFonts w:hint="eastAsia" w:ascii="仿宋" w:hAnsi="仿宋" w:eastAsia="仿宋" w:cs="仿宋"/>
                <w:color w:val="333333"/>
                <w:kern w:val="0"/>
                <w:sz w:val="24"/>
                <w:szCs w:val="24"/>
                <w:vertAlign w:val="baseline"/>
                <w:lang w:val="en-US" w:eastAsia="zh-CN" w:bidi="ar"/>
              </w:rPr>
              <w:t>否</w:t>
            </w:r>
          </w:p>
        </w:tc>
        <w:tc>
          <w:tcPr>
            <w:tcW w:w="481" w:type="dxa"/>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vMerge w:val="continue"/>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32"/>
                <w:szCs w:val="32"/>
                <w:vertAlign w:val="baseline"/>
                <w:lang w:val="en-US" w:eastAsia="zh-CN" w:bidi="ar"/>
              </w:rPr>
            </w:pPr>
          </w:p>
        </w:tc>
        <w:tc>
          <w:tcPr>
            <w:tcW w:w="4965" w:type="dxa"/>
            <w:gridSpan w:val="2"/>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r>
              <w:rPr>
                <w:rFonts w:hint="eastAsia" w:ascii="仿宋" w:hAnsi="仿宋" w:eastAsia="仿宋" w:cs="仿宋"/>
                <w:color w:val="333333"/>
                <w:kern w:val="0"/>
                <w:sz w:val="24"/>
                <w:szCs w:val="24"/>
                <w:vertAlign w:val="baseline"/>
                <w:lang w:val="en-US" w:eastAsia="zh-CN" w:bidi="ar"/>
              </w:rPr>
              <w:t>程序是否合法</w:t>
            </w:r>
          </w:p>
        </w:tc>
        <w:tc>
          <w:tcPr>
            <w:tcW w:w="645" w:type="dxa"/>
            <w:gridSpan w:val="2"/>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r>
              <w:rPr>
                <w:rFonts w:hint="eastAsia" w:ascii="仿宋" w:hAnsi="仿宋" w:eastAsia="仿宋" w:cs="仿宋"/>
                <w:color w:val="333333"/>
                <w:kern w:val="0"/>
                <w:sz w:val="24"/>
                <w:szCs w:val="24"/>
                <w:vertAlign w:val="baseline"/>
                <w:lang w:val="en-US" w:eastAsia="zh-CN" w:bidi="ar"/>
              </w:rPr>
              <w:t>是</w:t>
            </w:r>
          </w:p>
        </w:tc>
        <w:tc>
          <w:tcPr>
            <w:tcW w:w="510" w:type="dxa"/>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p>
        </w:tc>
        <w:tc>
          <w:tcPr>
            <w:tcW w:w="495" w:type="dxa"/>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r>
              <w:rPr>
                <w:rFonts w:hint="eastAsia" w:ascii="仿宋" w:hAnsi="仿宋" w:eastAsia="仿宋" w:cs="仿宋"/>
                <w:color w:val="333333"/>
                <w:kern w:val="0"/>
                <w:sz w:val="24"/>
                <w:szCs w:val="24"/>
                <w:vertAlign w:val="baseline"/>
                <w:lang w:val="en-US" w:eastAsia="zh-CN" w:bidi="ar"/>
              </w:rPr>
              <w:t>否</w:t>
            </w:r>
          </w:p>
        </w:tc>
        <w:tc>
          <w:tcPr>
            <w:tcW w:w="481" w:type="dxa"/>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vMerge w:val="continue"/>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32"/>
                <w:szCs w:val="32"/>
                <w:vertAlign w:val="baseline"/>
                <w:lang w:val="en-US" w:eastAsia="zh-CN" w:bidi="ar"/>
              </w:rPr>
            </w:pPr>
          </w:p>
        </w:tc>
        <w:tc>
          <w:tcPr>
            <w:tcW w:w="4965" w:type="dxa"/>
            <w:gridSpan w:val="2"/>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r>
              <w:rPr>
                <w:rFonts w:hint="eastAsia" w:ascii="仿宋" w:hAnsi="仿宋" w:eastAsia="仿宋" w:cs="仿宋"/>
                <w:color w:val="333333"/>
                <w:kern w:val="0"/>
                <w:sz w:val="24"/>
                <w:szCs w:val="24"/>
                <w:vertAlign w:val="baseline"/>
                <w:lang w:val="en-US" w:eastAsia="zh-CN" w:bidi="ar"/>
              </w:rPr>
              <w:t>法律适用是否准确</w:t>
            </w:r>
          </w:p>
        </w:tc>
        <w:tc>
          <w:tcPr>
            <w:tcW w:w="645" w:type="dxa"/>
            <w:gridSpan w:val="2"/>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r>
              <w:rPr>
                <w:rFonts w:hint="eastAsia" w:ascii="仿宋" w:hAnsi="仿宋" w:eastAsia="仿宋" w:cs="仿宋"/>
                <w:color w:val="333333"/>
                <w:kern w:val="0"/>
                <w:sz w:val="24"/>
                <w:szCs w:val="24"/>
                <w:vertAlign w:val="baseline"/>
                <w:lang w:val="en-US" w:eastAsia="zh-CN" w:bidi="ar"/>
              </w:rPr>
              <w:t>是</w:t>
            </w:r>
          </w:p>
        </w:tc>
        <w:tc>
          <w:tcPr>
            <w:tcW w:w="510" w:type="dxa"/>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p>
        </w:tc>
        <w:tc>
          <w:tcPr>
            <w:tcW w:w="495" w:type="dxa"/>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r>
              <w:rPr>
                <w:rFonts w:hint="eastAsia" w:ascii="仿宋" w:hAnsi="仿宋" w:eastAsia="仿宋" w:cs="仿宋"/>
                <w:color w:val="333333"/>
                <w:kern w:val="0"/>
                <w:sz w:val="24"/>
                <w:szCs w:val="24"/>
                <w:vertAlign w:val="baseline"/>
                <w:lang w:val="en-US" w:eastAsia="zh-CN" w:bidi="ar"/>
              </w:rPr>
              <w:t>否</w:t>
            </w:r>
          </w:p>
        </w:tc>
        <w:tc>
          <w:tcPr>
            <w:tcW w:w="481" w:type="dxa"/>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vMerge w:val="continue"/>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32"/>
                <w:szCs w:val="32"/>
                <w:vertAlign w:val="baseline"/>
                <w:lang w:val="en-US" w:eastAsia="zh-CN" w:bidi="ar"/>
              </w:rPr>
            </w:pPr>
          </w:p>
        </w:tc>
        <w:tc>
          <w:tcPr>
            <w:tcW w:w="4965" w:type="dxa"/>
            <w:gridSpan w:val="2"/>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r>
              <w:rPr>
                <w:rFonts w:hint="eastAsia" w:ascii="仿宋" w:hAnsi="仿宋" w:eastAsia="仿宋" w:cs="仿宋"/>
                <w:color w:val="333333"/>
                <w:kern w:val="0"/>
                <w:sz w:val="24"/>
                <w:szCs w:val="24"/>
                <w:vertAlign w:val="baseline"/>
                <w:lang w:val="en-US" w:eastAsia="zh-CN" w:bidi="ar"/>
              </w:rPr>
              <w:t>行政执法文书是否规范、齐备</w:t>
            </w:r>
          </w:p>
        </w:tc>
        <w:tc>
          <w:tcPr>
            <w:tcW w:w="645" w:type="dxa"/>
            <w:gridSpan w:val="2"/>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r>
              <w:rPr>
                <w:rFonts w:hint="eastAsia" w:ascii="仿宋" w:hAnsi="仿宋" w:eastAsia="仿宋" w:cs="仿宋"/>
                <w:color w:val="333333"/>
                <w:kern w:val="0"/>
                <w:sz w:val="24"/>
                <w:szCs w:val="24"/>
                <w:vertAlign w:val="baseline"/>
                <w:lang w:val="en-US" w:eastAsia="zh-CN" w:bidi="ar"/>
              </w:rPr>
              <w:t>是</w:t>
            </w:r>
          </w:p>
        </w:tc>
        <w:tc>
          <w:tcPr>
            <w:tcW w:w="510" w:type="dxa"/>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p>
        </w:tc>
        <w:tc>
          <w:tcPr>
            <w:tcW w:w="495" w:type="dxa"/>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r>
              <w:rPr>
                <w:rFonts w:hint="eastAsia" w:ascii="仿宋" w:hAnsi="仿宋" w:eastAsia="仿宋" w:cs="仿宋"/>
                <w:color w:val="333333"/>
                <w:kern w:val="0"/>
                <w:sz w:val="24"/>
                <w:szCs w:val="24"/>
                <w:vertAlign w:val="baseline"/>
                <w:lang w:val="en-US" w:eastAsia="zh-CN" w:bidi="ar"/>
              </w:rPr>
              <w:t>否</w:t>
            </w:r>
          </w:p>
        </w:tc>
        <w:tc>
          <w:tcPr>
            <w:tcW w:w="481" w:type="dxa"/>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vMerge w:val="continue"/>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32"/>
                <w:szCs w:val="32"/>
                <w:vertAlign w:val="baseline"/>
                <w:lang w:val="en-US" w:eastAsia="zh-CN" w:bidi="ar"/>
              </w:rPr>
            </w:pPr>
          </w:p>
        </w:tc>
        <w:tc>
          <w:tcPr>
            <w:tcW w:w="4965" w:type="dxa"/>
            <w:gridSpan w:val="2"/>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r>
              <w:rPr>
                <w:rFonts w:hint="eastAsia" w:ascii="仿宋" w:hAnsi="仿宋" w:eastAsia="仿宋" w:cs="仿宋"/>
                <w:color w:val="333333"/>
                <w:kern w:val="0"/>
                <w:sz w:val="24"/>
                <w:szCs w:val="24"/>
                <w:vertAlign w:val="baseline"/>
                <w:lang w:val="en-US" w:eastAsia="zh-CN" w:bidi="ar"/>
              </w:rPr>
              <w:t>违法行为是否涉嫌犯罪需要移送司法机关</w:t>
            </w:r>
          </w:p>
        </w:tc>
        <w:tc>
          <w:tcPr>
            <w:tcW w:w="645" w:type="dxa"/>
            <w:gridSpan w:val="2"/>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r>
              <w:rPr>
                <w:rFonts w:hint="eastAsia" w:ascii="仿宋" w:hAnsi="仿宋" w:eastAsia="仿宋" w:cs="仿宋"/>
                <w:color w:val="333333"/>
                <w:kern w:val="0"/>
                <w:sz w:val="24"/>
                <w:szCs w:val="24"/>
                <w:vertAlign w:val="baseline"/>
                <w:lang w:val="en-US" w:eastAsia="zh-CN" w:bidi="ar"/>
              </w:rPr>
              <w:t>是</w:t>
            </w:r>
          </w:p>
        </w:tc>
        <w:tc>
          <w:tcPr>
            <w:tcW w:w="510" w:type="dxa"/>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p>
        </w:tc>
        <w:tc>
          <w:tcPr>
            <w:tcW w:w="495" w:type="dxa"/>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r>
              <w:rPr>
                <w:rFonts w:hint="eastAsia" w:ascii="仿宋" w:hAnsi="仿宋" w:eastAsia="仿宋" w:cs="仿宋"/>
                <w:color w:val="333333"/>
                <w:kern w:val="0"/>
                <w:sz w:val="24"/>
                <w:szCs w:val="24"/>
                <w:vertAlign w:val="baseline"/>
                <w:lang w:val="en-US" w:eastAsia="zh-CN" w:bidi="ar"/>
              </w:rPr>
              <w:t>否</w:t>
            </w:r>
          </w:p>
        </w:tc>
        <w:tc>
          <w:tcPr>
            <w:tcW w:w="481" w:type="dxa"/>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1426" w:type="dxa"/>
            <w:vMerge w:val="continue"/>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32"/>
                <w:szCs w:val="32"/>
                <w:vertAlign w:val="baseline"/>
                <w:lang w:val="en-US" w:eastAsia="zh-CN" w:bidi="ar"/>
              </w:rPr>
            </w:pPr>
          </w:p>
        </w:tc>
        <w:tc>
          <w:tcPr>
            <w:tcW w:w="7096" w:type="dxa"/>
            <w:gridSpan w:val="7"/>
          </w:tcPr>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r>
              <w:rPr>
                <w:rFonts w:hint="eastAsia" w:ascii="仿宋" w:hAnsi="仿宋" w:eastAsia="仿宋" w:cs="仿宋"/>
                <w:color w:val="333333"/>
                <w:kern w:val="0"/>
                <w:sz w:val="24"/>
                <w:szCs w:val="24"/>
                <w:vertAlign w:val="baseline"/>
                <w:lang w:val="en-US" w:eastAsia="zh-CN" w:bidi="ar"/>
              </w:rPr>
              <w:t>审核结论及说明：</w:t>
            </w:r>
          </w:p>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p>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p>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p>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r>
              <w:rPr>
                <w:rFonts w:hint="eastAsia" w:ascii="仿宋" w:hAnsi="仿宋" w:eastAsia="仿宋" w:cs="仿宋"/>
                <w:color w:val="333333"/>
                <w:kern w:val="0"/>
                <w:sz w:val="24"/>
                <w:szCs w:val="24"/>
                <w:vertAlign w:val="baseline"/>
                <w:lang w:val="en-US" w:eastAsia="zh-CN" w:bidi="ar"/>
              </w:rPr>
              <w:t xml:space="preserve">                                法制机构负责人：</w:t>
            </w:r>
          </w:p>
          <w:p>
            <w:pPr>
              <w:keepNext w:val="0"/>
              <w:keepLines w:val="0"/>
              <w:widowControl/>
              <w:suppressLineNumbers w:val="0"/>
              <w:spacing w:before="150" w:beforeAutospacing="0" w:after="0" w:afterAutospacing="0" w:line="420" w:lineRule="atLeast"/>
              <w:ind w:right="0"/>
              <w:jc w:val="left"/>
              <w:rPr>
                <w:rFonts w:hint="eastAsia" w:ascii="仿宋" w:hAnsi="仿宋" w:eastAsia="仿宋" w:cs="仿宋"/>
                <w:color w:val="333333"/>
                <w:kern w:val="0"/>
                <w:sz w:val="24"/>
                <w:szCs w:val="24"/>
                <w:vertAlign w:val="baseline"/>
                <w:lang w:val="en-US" w:eastAsia="zh-CN" w:bidi="ar"/>
              </w:rPr>
            </w:pPr>
            <w:r>
              <w:rPr>
                <w:rFonts w:hint="eastAsia" w:ascii="仿宋" w:hAnsi="仿宋" w:eastAsia="仿宋" w:cs="仿宋"/>
                <w:color w:val="333333"/>
                <w:kern w:val="0"/>
                <w:sz w:val="24"/>
                <w:szCs w:val="24"/>
                <w:vertAlign w:val="baseline"/>
                <w:lang w:val="en-US" w:eastAsia="zh-CN" w:bidi="ar"/>
              </w:rPr>
              <w:t xml:space="preserve">                                     年    月     日</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right="0"/>
        <w:jc w:val="left"/>
        <w:rPr>
          <w:rFonts w:hint="eastAsia" w:ascii="仿宋" w:hAnsi="仿宋" w:eastAsia="仿宋" w:cs="仿宋"/>
          <w:sz w:val="32"/>
          <w:szCs w:val="32"/>
          <w:lang w:val="en-US" w:eastAsia="zh-CN"/>
        </w:rPr>
      </w:pPr>
      <w:r>
        <w:rPr>
          <w:rFonts w:hint="eastAsia" w:ascii="仿宋" w:hAnsi="仿宋" w:eastAsia="仿宋" w:cs="仿宋"/>
          <w:color w:val="333333"/>
          <w:kern w:val="0"/>
          <w:sz w:val="32"/>
          <w:szCs w:val="32"/>
          <w:lang w:val="en-US" w:eastAsia="zh-CN" w:bidi="ar"/>
        </w:rPr>
        <w:t>备注：审核意见在相应选项打</w:t>
      </w:r>
      <w:r>
        <w:rPr>
          <w:rFonts w:hint="default" w:ascii="Arial" w:hAnsi="Arial" w:eastAsia="仿宋" w:cs="Arial"/>
          <w:color w:val="333333"/>
          <w:kern w:val="0"/>
          <w:sz w:val="32"/>
          <w:szCs w:val="32"/>
          <w:lang w:val="en-US" w:eastAsia="zh-CN" w:bidi="ar"/>
        </w:rPr>
        <w:t>√</w:t>
      </w:r>
      <w:r>
        <w:rPr>
          <w:rFonts w:hint="eastAsia" w:ascii="仿宋" w:hAnsi="仿宋" w:eastAsia="仿宋" w:cs="仿宋"/>
          <w:color w:val="333333"/>
          <w:kern w:val="0"/>
          <w:sz w:val="32"/>
          <w:szCs w:val="32"/>
          <w:lang w:val="en-US" w:eastAsia="zh-CN" w:bidi="ar"/>
        </w:rPr>
        <w:t>，需要说明的事项较多的，可以另外附说明。</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0A419"/>
    <w:multiLevelType w:val="singleLevel"/>
    <w:tmpl w:val="5D80A419"/>
    <w:lvl w:ilvl="0" w:tentative="0">
      <w:start w:val="1"/>
      <w:numFmt w:val="chineseCounting"/>
      <w:suff w:val="nothing"/>
      <w:lvlText w:val="（%1）"/>
      <w:lvlJc w:val="left"/>
    </w:lvl>
  </w:abstractNum>
  <w:abstractNum w:abstractNumId="1">
    <w:nsid w:val="5D80B10D"/>
    <w:multiLevelType w:val="singleLevel"/>
    <w:tmpl w:val="5D80B10D"/>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C7A70"/>
    <w:rsid w:val="09304BE1"/>
    <w:rsid w:val="201A65E4"/>
    <w:rsid w:val="255077AC"/>
    <w:rsid w:val="367331ED"/>
    <w:rsid w:val="3DCE1D56"/>
    <w:rsid w:val="3E937964"/>
    <w:rsid w:val="3F4054F9"/>
    <w:rsid w:val="40236F56"/>
    <w:rsid w:val="45D6765C"/>
    <w:rsid w:val="4C10541B"/>
    <w:rsid w:val="553208B0"/>
    <w:rsid w:val="56300EFC"/>
    <w:rsid w:val="65DC27C0"/>
    <w:rsid w:val="74CC7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eastAsia="宋体" w:cs="Courier New"/>
      <w:sz w:val="21"/>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rFonts w:hint="eastAsia" w:ascii="宋体" w:hAnsi="宋体" w:eastAsia="宋体" w:cs="宋体"/>
      <w:color w:val="333333"/>
      <w:u w:val="none"/>
    </w:rPr>
  </w:style>
  <w:style w:type="character" w:styleId="9">
    <w:name w:val="HTML Acronym"/>
    <w:basedOn w:val="7"/>
    <w:qFormat/>
    <w:uiPriority w:val="0"/>
  </w:style>
  <w:style w:type="character" w:styleId="10">
    <w:name w:val="Hyperlink"/>
    <w:basedOn w:val="7"/>
    <w:qFormat/>
    <w:uiPriority w:val="0"/>
    <w:rPr>
      <w:rFonts w:hint="eastAsia" w:ascii="宋体" w:hAnsi="宋体" w:eastAsia="宋体" w:cs="宋体"/>
      <w:color w:val="333333"/>
      <w:u w:val="none"/>
    </w:rPr>
  </w:style>
  <w:style w:type="character" w:customStyle="1" w:styleId="11">
    <w:name w:val="gwds_nopic"/>
    <w:basedOn w:val="7"/>
    <w:qFormat/>
    <w:uiPriority w:val="0"/>
  </w:style>
  <w:style w:type="character" w:customStyle="1" w:styleId="12">
    <w:name w:val="gwds_nopic1"/>
    <w:basedOn w:val="7"/>
    <w:qFormat/>
    <w:uiPriority w:val="0"/>
  </w:style>
  <w:style w:type="character" w:customStyle="1" w:styleId="13">
    <w:name w:val="fon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2019-09-17T08:38:00Z</dcterms:created>
  <dc:creator>RSTTB-003</dc:creator>
  <cp:lastModifiedBy>梁建东</cp:lastModifiedBy>
  <cp:lastPrinted>2021-12-14T09:19:00Z</cp:lastPrinted>
  <dcterms:modified xsi:type="dcterms:W3CDTF">2023-11-01T08:47:02Z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