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迎丰街道执法结果信息</w:t>
      </w:r>
    </w:p>
    <w:tbl>
      <w:tblPr>
        <w:tblStyle w:val="3"/>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2718"/>
        <w:gridCol w:w="1734"/>
        <w:gridCol w:w="1518"/>
        <w:gridCol w:w="968"/>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tcPr>
          <w:p>
            <w:pPr>
              <w:jc w:val="center"/>
              <w:rPr>
                <w:rFonts w:hint="eastAsia"/>
                <w:b/>
                <w:bCs/>
                <w:sz w:val="32"/>
                <w:szCs w:val="32"/>
                <w:vertAlign w:val="baseline"/>
                <w:lang w:eastAsia="zh-CN"/>
              </w:rPr>
            </w:pPr>
            <w:r>
              <w:rPr>
                <w:rFonts w:hint="eastAsia"/>
                <w:b/>
                <w:bCs/>
                <w:sz w:val="32"/>
                <w:szCs w:val="32"/>
                <w:vertAlign w:val="baseline"/>
                <w:lang w:eastAsia="zh-CN"/>
              </w:rPr>
              <w:t>执法时间</w:t>
            </w:r>
          </w:p>
        </w:tc>
        <w:tc>
          <w:tcPr>
            <w:tcW w:w="2718" w:type="dxa"/>
          </w:tcPr>
          <w:p>
            <w:pPr>
              <w:jc w:val="center"/>
              <w:rPr>
                <w:rFonts w:hint="eastAsia"/>
                <w:b/>
                <w:bCs/>
                <w:sz w:val="32"/>
                <w:szCs w:val="32"/>
                <w:vertAlign w:val="baseline"/>
                <w:lang w:eastAsia="zh-CN"/>
              </w:rPr>
            </w:pPr>
            <w:r>
              <w:rPr>
                <w:rFonts w:hint="eastAsia"/>
                <w:b/>
                <w:bCs/>
                <w:sz w:val="32"/>
                <w:szCs w:val="32"/>
                <w:vertAlign w:val="baseline"/>
                <w:lang w:eastAsia="zh-CN"/>
              </w:rPr>
              <w:t>执法内容</w:t>
            </w:r>
          </w:p>
        </w:tc>
        <w:tc>
          <w:tcPr>
            <w:tcW w:w="1734" w:type="dxa"/>
          </w:tcPr>
          <w:p>
            <w:pPr>
              <w:jc w:val="center"/>
              <w:rPr>
                <w:rFonts w:hint="eastAsia"/>
                <w:b/>
                <w:bCs/>
                <w:sz w:val="32"/>
                <w:szCs w:val="32"/>
                <w:vertAlign w:val="baseline"/>
                <w:lang w:eastAsia="zh-CN"/>
              </w:rPr>
            </w:pPr>
            <w:r>
              <w:rPr>
                <w:rFonts w:hint="eastAsia"/>
                <w:b/>
                <w:bCs/>
                <w:sz w:val="32"/>
                <w:szCs w:val="32"/>
                <w:vertAlign w:val="baseline"/>
                <w:lang w:eastAsia="zh-CN"/>
              </w:rPr>
              <w:t>执法对象</w:t>
            </w:r>
          </w:p>
        </w:tc>
        <w:tc>
          <w:tcPr>
            <w:tcW w:w="1518" w:type="dxa"/>
          </w:tcPr>
          <w:p>
            <w:pPr>
              <w:jc w:val="center"/>
              <w:rPr>
                <w:rFonts w:hint="eastAsia"/>
                <w:b/>
                <w:bCs/>
                <w:sz w:val="32"/>
                <w:szCs w:val="32"/>
                <w:vertAlign w:val="baseline"/>
                <w:lang w:eastAsia="zh-CN"/>
              </w:rPr>
            </w:pPr>
            <w:r>
              <w:rPr>
                <w:rFonts w:hint="eastAsia"/>
                <w:b/>
                <w:bCs/>
                <w:sz w:val="32"/>
                <w:szCs w:val="32"/>
                <w:vertAlign w:val="baseline"/>
                <w:lang w:eastAsia="zh-CN"/>
              </w:rPr>
              <w:t>执法结果</w:t>
            </w:r>
          </w:p>
        </w:tc>
        <w:tc>
          <w:tcPr>
            <w:tcW w:w="968" w:type="dxa"/>
          </w:tcPr>
          <w:p>
            <w:pPr>
              <w:jc w:val="center"/>
              <w:rPr>
                <w:rFonts w:hint="eastAsia"/>
                <w:b/>
                <w:bCs/>
                <w:sz w:val="32"/>
                <w:szCs w:val="32"/>
                <w:vertAlign w:val="baseline"/>
                <w:lang w:eastAsia="zh-CN"/>
              </w:rPr>
            </w:pPr>
            <w:r>
              <w:rPr>
                <w:rFonts w:hint="eastAsia"/>
                <w:b/>
                <w:bCs/>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2021-06-22</w:t>
            </w:r>
          </w:p>
        </w:tc>
        <w:tc>
          <w:tcPr>
            <w:tcW w:w="2718" w:type="dxa"/>
            <w:vAlign w:val="center"/>
          </w:tcPr>
          <w:p>
            <w:p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i w:val="0"/>
                <w:iCs w:val="0"/>
                <w:caps w:val="0"/>
                <w:color w:val="000000"/>
                <w:spacing w:val="0"/>
                <w:sz w:val="24"/>
                <w:szCs w:val="24"/>
                <w:shd w:val="clear" w:fill="FFE48D"/>
              </w:rPr>
              <w:t>两名特种作业人员未按照规定经专门的安全作业培训并取得相应资格、上岗作业</w:t>
            </w:r>
          </w:p>
        </w:tc>
        <w:tc>
          <w:tcPr>
            <w:tcW w:w="1734" w:type="dxa"/>
            <w:vAlign w:val="center"/>
          </w:tcPr>
          <w:p>
            <w:pPr>
              <w:jc w:val="cente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i w:val="0"/>
                <w:iCs w:val="0"/>
                <w:caps w:val="0"/>
                <w:color w:val="000000"/>
                <w:spacing w:val="0"/>
                <w:sz w:val="24"/>
                <w:szCs w:val="24"/>
                <w:shd w:val="clear" w:fill="FFE48D"/>
              </w:rPr>
              <w:t>怀化恒靓广告传媒有限公司</w:t>
            </w:r>
          </w:p>
        </w:tc>
        <w:tc>
          <w:tcPr>
            <w:tcW w:w="1518"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罚款800元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2021-0</w:t>
            </w:r>
            <w:r>
              <w:rPr>
                <w:rFonts w:hint="eastAsia" w:ascii="仿宋_GB2312" w:hAnsi="仿宋_GB2312" w:eastAsia="仿宋_GB2312" w:cs="仿宋_GB2312"/>
                <w:b w:val="0"/>
                <w:bCs w:val="0"/>
                <w:sz w:val="24"/>
                <w:szCs w:val="24"/>
                <w:vertAlign w:val="baseline"/>
                <w:lang w:val="en-US" w:eastAsia="zh-CN"/>
              </w:rPr>
              <w:t>5-</w:t>
            </w:r>
            <w:r>
              <w:rPr>
                <w:rFonts w:hint="eastAsia" w:ascii="仿宋_GB2312" w:hAnsi="仿宋_GB2312" w:eastAsia="仿宋_GB2312" w:cs="仿宋_GB2312"/>
                <w:b w:val="0"/>
                <w:bCs w:val="0"/>
                <w:sz w:val="24"/>
                <w:szCs w:val="24"/>
                <w:vertAlign w:val="baseline"/>
                <w:lang w:eastAsia="zh-CN"/>
              </w:rPr>
              <w:t>2</w:t>
            </w:r>
            <w:r>
              <w:rPr>
                <w:rFonts w:hint="eastAsia" w:ascii="仿宋_GB2312" w:hAnsi="仿宋_GB2312" w:eastAsia="仿宋_GB2312" w:cs="仿宋_GB2312"/>
                <w:b w:val="0"/>
                <w:bCs w:val="0"/>
                <w:sz w:val="24"/>
                <w:szCs w:val="24"/>
                <w:vertAlign w:val="baseline"/>
                <w:lang w:val="en-US" w:eastAsia="zh-CN"/>
              </w:rPr>
              <w:t>5</w:t>
            </w:r>
          </w:p>
        </w:tc>
        <w:tc>
          <w:tcPr>
            <w:tcW w:w="271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iCs w:val="0"/>
                <w:caps w:val="0"/>
                <w:color w:val="000000"/>
                <w:spacing w:val="0"/>
                <w:sz w:val="24"/>
                <w:szCs w:val="24"/>
                <w:shd w:val="clear" w:fill="FFE48D"/>
              </w:rPr>
              <w:t>该门店未对安全设备设施进行经常性维护保养和定期检测（一个灭火器过期）</w:t>
            </w:r>
          </w:p>
        </w:tc>
        <w:tc>
          <w:tcPr>
            <w:tcW w:w="1734"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iCs w:val="0"/>
                <w:caps w:val="0"/>
                <w:color w:val="000000"/>
                <w:spacing w:val="0"/>
                <w:sz w:val="24"/>
                <w:szCs w:val="24"/>
                <w:shd w:val="clear" w:fill="FFE48D"/>
              </w:rPr>
              <w:t>鹤城区三味酥屋蛋糕店</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300元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2021-05-13</w:t>
            </w:r>
          </w:p>
        </w:tc>
        <w:tc>
          <w:tcPr>
            <w:tcW w:w="271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iCs w:val="0"/>
                <w:caps w:val="0"/>
                <w:color w:val="000000"/>
                <w:spacing w:val="0"/>
                <w:sz w:val="24"/>
                <w:szCs w:val="24"/>
                <w:shd w:val="clear" w:fill="FFE48D"/>
              </w:rPr>
              <w:t>该企业未对安全设备设施进行经常性维护保养和定期检测（安全通道堆放杂物）</w:t>
            </w:r>
          </w:p>
        </w:tc>
        <w:tc>
          <w:tcPr>
            <w:tcW w:w="1734" w:type="dxa"/>
            <w:vAlign w:val="center"/>
          </w:tcPr>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FFE48D"/>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rFonts w:hint="eastAsia" w:ascii="仿宋_GB2312" w:hAnsi="仿宋_GB2312" w:eastAsia="仿宋_GB2312" w:cs="仿宋_GB2312"/>
                      <w:caps w:val="0"/>
                      <w:color w:val="000000"/>
                      <w:spacing w:val="0"/>
                      <w:sz w:val="24"/>
                      <w:szCs w:val="24"/>
                    </w:rPr>
                  </w:pPr>
                  <w:r>
                    <w:rPr>
                      <w:rFonts w:hint="eastAsia" w:ascii="仿宋_GB2312" w:hAnsi="仿宋_GB2312" w:eastAsia="仿宋_GB2312" w:cs="仿宋_GB2312"/>
                      <w:caps w:val="0"/>
                      <w:color w:val="000000"/>
                      <w:spacing w:val="0"/>
                      <w:kern w:val="0"/>
                      <w:sz w:val="24"/>
                      <w:szCs w:val="24"/>
                      <w:lang w:val="en-US" w:eastAsia="zh-CN" w:bidi="ar"/>
                    </w:rPr>
                    <w:br w:type="textWrapping"/>
                  </w:r>
                  <w:r>
                    <w:rPr>
                      <w:rFonts w:hint="eastAsia" w:ascii="仿宋_GB2312" w:hAnsi="仿宋_GB2312" w:eastAsia="仿宋_GB2312" w:cs="仿宋_GB2312"/>
                      <w:caps w:val="0"/>
                      <w:color w:val="000000"/>
                      <w:spacing w:val="0"/>
                      <w:kern w:val="0"/>
                      <w:sz w:val="24"/>
                      <w:szCs w:val="24"/>
                      <w:lang w:val="en-US" w:eastAsia="zh-CN" w:bidi="ar"/>
                    </w:rPr>
                    <w:t>怀化市星期天酒店有限公司城东分公司</w:t>
                  </w:r>
                </w:p>
              </w:tc>
            </w:tr>
          </w:tbl>
          <w:p>
            <w:pPr>
              <w:jc w:val="center"/>
              <w:rPr>
                <w:rFonts w:hint="eastAsia" w:ascii="仿宋_GB2312" w:hAnsi="仿宋_GB2312" w:eastAsia="仿宋_GB2312" w:cs="仿宋_GB2312"/>
                <w:sz w:val="24"/>
                <w:szCs w:val="24"/>
                <w:vertAlign w:val="baseline"/>
                <w:lang w:eastAsia="zh-CN"/>
              </w:rPr>
            </w:pP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300元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2021-05-10</w:t>
            </w:r>
          </w:p>
        </w:tc>
        <w:tc>
          <w:tcPr>
            <w:tcW w:w="271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iCs w:val="0"/>
                <w:caps w:val="0"/>
                <w:color w:val="000000"/>
                <w:spacing w:val="0"/>
                <w:sz w:val="24"/>
                <w:szCs w:val="24"/>
                <w:shd w:val="clear" w:fill="FFE48D"/>
              </w:rPr>
              <w:t>该企业未对安全设备设施进行经常性维护保养和定期监测（未配备灭火器</w:t>
            </w:r>
          </w:p>
        </w:tc>
        <w:tc>
          <w:tcPr>
            <w:tcW w:w="1734"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i w:val="0"/>
                <w:iCs w:val="0"/>
                <w:caps w:val="0"/>
                <w:color w:val="000000"/>
                <w:spacing w:val="0"/>
                <w:sz w:val="24"/>
                <w:szCs w:val="24"/>
                <w:shd w:val="clear" w:fill="FFE48D"/>
              </w:rPr>
              <w:t>怀化市鹤城区普诺特大药房</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300元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2021-04-20</w:t>
            </w:r>
          </w:p>
        </w:tc>
        <w:tc>
          <w:tcPr>
            <w:tcW w:w="2718" w:type="dxa"/>
            <w:vAlign w:val="center"/>
          </w:tcPr>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该企业未对安全设备设施进行经常性维护保养和定期检测（2个灭火器过期、未装置应急灯和火灾报警器）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该企业仓库内杂物堆放不规范，未张贴禁烟标识</w:t>
                  </w:r>
                </w:p>
              </w:tc>
            </w:tr>
          </w:tbl>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怀化叁玖贸易有限公司</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下达整改告知书</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021-04-08</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金城广告部未对安全设备设施进行经常性维护保养和底气检测（未配备灭火气）</w:t>
            </w: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金城广告部</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300元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2021-03-19</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该企业未对安全设备设施进行经常性维护保养（火灾报警控制器损坏）</w:t>
            </w: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怀化众合物业服务有限公司兴泰财富大厦</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下达整改告知书</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2021-04-21</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该企业未对安全设备设施进行经常性维护保养和定期检测（一个灭火器过期）</w:t>
            </w:r>
          </w:p>
        </w:tc>
        <w:tc>
          <w:tcPr>
            <w:tcW w:w="1734" w:type="dxa"/>
            <w:vAlign w:val="center"/>
          </w:tcPr>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FFE48D"/>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rFonts w:hint="eastAsia" w:ascii="仿宋_GB2312" w:hAnsi="仿宋_GB2312" w:eastAsia="仿宋_GB2312" w:cs="仿宋_GB2312"/>
                      <w:caps w:val="0"/>
                      <w:color w:val="000000"/>
                      <w:spacing w:val="0"/>
                      <w:sz w:val="24"/>
                      <w:szCs w:val="24"/>
                    </w:rPr>
                  </w:pPr>
                  <w:r>
                    <w:rPr>
                      <w:rFonts w:hint="eastAsia" w:ascii="仿宋_GB2312" w:hAnsi="仿宋_GB2312" w:eastAsia="仿宋_GB2312" w:cs="仿宋_GB2312"/>
                      <w:caps w:val="0"/>
                      <w:color w:val="000000"/>
                      <w:spacing w:val="0"/>
                      <w:kern w:val="0"/>
                      <w:sz w:val="24"/>
                      <w:szCs w:val="24"/>
                      <w:lang w:val="en-US" w:eastAsia="zh-CN" w:bidi="ar"/>
                    </w:rPr>
                    <w:br w:type="textWrapping"/>
                  </w:r>
                  <w:r>
                    <w:rPr>
                      <w:rFonts w:hint="eastAsia" w:ascii="仿宋_GB2312" w:hAnsi="仿宋_GB2312" w:eastAsia="仿宋_GB2312" w:cs="仿宋_GB2312"/>
                      <w:caps w:val="0"/>
                      <w:color w:val="000000"/>
                      <w:spacing w:val="0"/>
                      <w:kern w:val="0"/>
                      <w:sz w:val="24"/>
                      <w:szCs w:val="24"/>
                      <w:lang w:val="en-US" w:eastAsia="zh-CN" w:bidi="ar"/>
                    </w:rPr>
                    <w:t>鹤城区优福殡葬用品加工店</w:t>
                  </w:r>
                </w:p>
              </w:tc>
            </w:tr>
          </w:tbl>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500元</w:t>
            </w:r>
          </w:p>
        </w:tc>
        <w:tc>
          <w:tcPr>
            <w:tcW w:w="96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2021-04-14</w:t>
            </w:r>
          </w:p>
        </w:tc>
        <w:tc>
          <w:tcPr>
            <w:tcW w:w="2718" w:type="dxa"/>
            <w:vAlign w:val="center"/>
          </w:tcPr>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auto"/>
                  <w:vAlign w:val="center"/>
                </w:tcPr>
                <w:p>
                  <w:pPr>
                    <w:jc w:val="center"/>
                    <w:rPr>
                      <w:rFonts w:hint="eastAsia" w:ascii="仿宋_GB2312" w:hAnsi="仿宋_GB2312" w:eastAsia="仿宋_GB2312" w:cs="仿宋_GB2312"/>
                      <w:color w:val="000000"/>
                      <w:sz w:val="24"/>
                      <w:szCs w:val="24"/>
                    </w:rPr>
                  </w:pPr>
                </w:p>
              </w:tc>
            </w:tr>
          </w:tbl>
          <w:p>
            <w:pPr>
              <w:jc w:val="center"/>
              <w:rPr>
                <w:rFonts w:hint="eastAsia" w:ascii="仿宋_GB2312" w:hAnsi="仿宋_GB2312" w:eastAsia="仿宋_GB2312" w:cs="仿宋_GB2312"/>
                <w:vanish/>
                <w:sz w:val="24"/>
                <w:szCs w:val="24"/>
              </w:rPr>
            </w:pPr>
          </w:p>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检查当天，该企业怀化和谐社区管理服务有限公司，丰和园小区内1、2、4、5、6、11栋房屋有高空坠物现象（有外墙瓷砖掉落）存在一定的安全隐患</w:t>
                  </w:r>
                </w:p>
              </w:tc>
            </w:tr>
          </w:tbl>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怀化和谐社区管理服务有限公司</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800</w:t>
            </w:r>
          </w:p>
        </w:tc>
        <w:tc>
          <w:tcPr>
            <w:tcW w:w="968"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已整改</w:t>
            </w:r>
          </w:p>
        </w:tc>
        <w:tc>
          <w:tcPr>
            <w:tcW w:w="1556" w:type="dxa"/>
          </w:tcPr>
          <w:p>
            <w:pPr>
              <w:jc w:val="center"/>
              <w:rPr>
                <w:rFonts w:hint="eastAsia" w:asciiTheme="minorHAnsi" w:hAnsiTheme="minorHAnsi" w:eastAsiaTheme="minorEastAsia" w:cstheme="minorBidi"/>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2021-04-08</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未对安全设备设施进行经常性维护保养和定期检测（场地内电线、线路及插线混乱）存在一定安全隐患</w:t>
            </w:r>
          </w:p>
        </w:tc>
        <w:tc>
          <w:tcPr>
            <w:tcW w:w="1734" w:type="dxa"/>
            <w:vAlign w:val="center"/>
          </w:tcPr>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FFE48D"/>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rFonts w:hint="eastAsia" w:ascii="仿宋_GB2312" w:hAnsi="仿宋_GB2312" w:eastAsia="仿宋_GB2312" w:cs="仿宋_GB2312"/>
                      <w:caps w:val="0"/>
                      <w:color w:val="000000"/>
                      <w:spacing w:val="0"/>
                      <w:sz w:val="24"/>
                      <w:szCs w:val="24"/>
                    </w:rPr>
                  </w:pPr>
                  <w:r>
                    <w:rPr>
                      <w:rFonts w:hint="eastAsia" w:ascii="仿宋_GB2312" w:hAnsi="仿宋_GB2312" w:eastAsia="仿宋_GB2312" w:cs="仿宋_GB2312"/>
                      <w:caps w:val="0"/>
                      <w:color w:val="000000"/>
                      <w:spacing w:val="0"/>
                      <w:kern w:val="0"/>
                      <w:sz w:val="24"/>
                      <w:szCs w:val="24"/>
                      <w:lang w:val="en-US" w:eastAsia="zh-CN" w:bidi="ar"/>
                    </w:rPr>
                    <w:br w:type="textWrapping"/>
                  </w:r>
                  <w:r>
                    <w:rPr>
                      <w:rFonts w:hint="eastAsia" w:ascii="仿宋_GB2312" w:hAnsi="仿宋_GB2312" w:eastAsia="仿宋_GB2312" w:cs="仿宋_GB2312"/>
                      <w:caps w:val="0"/>
                      <w:color w:val="000000"/>
                      <w:spacing w:val="0"/>
                      <w:kern w:val="0"/>
                      <w:sz w:val="24"/>
                      <w:szCs w:val="24"/>
                      <w:lang w:val="en-US" w:eastAsia="zh-CN" w:bidi="ar"/>
                    </w:rPr>
                    <w:t>怀化市鹤城区优晋艾灸馆</w:t>
                  </w:r>
                </w:p>
              </w:tc>
            </w:tr>
          </w:tbl>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警告处罚</w:t>
            </w:r>
          </w:p>
        </w:tc>
        <w:tc>
          <w:tcPr>
            <w:tcW w:w="968"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已整改</w:t>
            </w:r>
          </w:p>
        </w:tc>
        <w:tc>
          <w:tcPr>
            <w:tcW w:w="1556" w:type="dxa"/>
          </w:tcPr>
          <w:p>
            <w:pPr>
              <w:jc w:val="center"/>
              <w:rPr>
                <w:rFonts w:hint="eastAsia" w:asciiTheme="minorHAnsi" w:hAnsiTheme="minorHAnsi" w:eastAsiaTheme="minorEastAsia" w:cstheme="minorBidi"/>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2021-03-25</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该企业未对安全设备设施进行经常性维护保养（火灾报警器损害）</w:t>
            </w: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怀化华汉时尚酒店(普通合伙)</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300元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2021-03-23</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未对安全设备设施进行经常性维护保养和定期检测</w:t>
            </w: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鹤城区惠昌生活超市</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罚款</w:t>
            </w:r>
            <w:r>
              <w:rPr>
                <w:rFonts w:hint="eastAsia" w:ascii="仿宋_GB2312" w:hAnsi="仿宋_GB2312" w:eastAsia="仿宋_GB2312" w:cs="仿宋_GB2312"/>
                <w:sz w:val="24"/>
                <w:szCs w:val="24"/>
                <w:vertAlign w:val="baseline"/>
                <w:lang w:val="en-US" w:eastAsia="zh-CN"/>
              </w:rPr>
              <w:t>300元</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2021-03-11</w:t>
            </w: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该酒店安全设备设施没有进行经常性维护保养（消防栓门部分损坏、安全通道走廊堆放小车）</w:t>
            </w: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南慕斯壹号酒店有限公司</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下达整改告知书</w:t>
            </w:r>
          </w:p>
        </w:tc>
        <w:tc>
          <w:tcPr>
            <w:tcW w:w="968" w:type="dxa"/>
            <w:vAlign w:val="center"/>
          </w:tcPr>
          <w:p>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kern w:val="2"/>
                <w:sz w:val="24"/>
                <w:szCs w:val="24"/>
                <w:vertAlign w:val="baseline"/>
                <w:lang w:val="en-US" w:eastAsia="zh-CN" w:bidi="ar-SA"/>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2021-01-07</w:t>
            </w:r>
          </w:p>
        </w:tc>
        <w:tc>
          <w:tcPr>
            <w:tcW w:w="2718" w:type="dxa"/>
            <w:vAlign w:val="center"/>
          </w:tcPr>
          <w:tbl>
            <w:tblPr>
              <w:tblStyle w:val="2"/>
              <w:tblW w:w="0" w:type="auto"/>
              <w:tblCellSpacing w:w="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0" w:hRule="atLeast"/>
                <w:tblCellSpacing w:w="0" w:type="dxa"/>
              </w:trPr>
              <w:tc>
                <w:tcPr>
                  <w:tcW w:w="0" w:type="auto"/>
                  <w:tcBorders>
                    <w:top w:val="dotted" w:color="CCCCCC" w:sz="2" w:space="0"/>
                    <w:left w:val="dotted" w:color="CCCCCC" w:sz="2" w:space="0"/>
                    <w:bottom w:val="dotted" w:color="CCCCCC" w:sz="4" w:space="0"/>
                    <w:right w:val="dotted" w:color="CCCCCC" w:sz="4" w:space="0"/>
                  </w:tcBorders>
                  <w:shd w:val="clear" w:color="auto" w:fill="FFE48D"/>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0"/>
                    <w:jc w:val="center"/>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kern w:val="0"/>
                      <w:sz w:val="24"/>
                      <w:szCs w:val="24"/>
                      <w:lang w:val="en-US" w:eastAsia="zh-CN" w:bidi="ar"/>
                    </w:rPr>
                    <w:t>检查发现，该工地（公园安置区）地基较深，靠近房屋5米左右，地基尚未完工，且雨雪天气容易塌方，地基没有回填，存在较大安全隐患</w:t>
                  </w:r>
                </w:p>
              </w:tc>
            </w:tr>
          </w:tbl>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r>
              <w:rPr>
                <w:rFonts w:hint="eastAsia" w:ascii="仿宋_GB2312" w:hAnsi="仿宋_GB2312" w:eastAsia="仿宋_GB2312" w:cs="仿宋_GB2312"/>
                <w:i w:val="0"/>
                <w:iCs w:val="0"/>
                <w:caps w:val="0"/>
                <w:color w:val="000000"/>
                <w:spacing w:val="0"/>
                <w:sz w:val="24"/>
                <w:szCs w:val="24"/>
                <w:shd w:val="clear" w:fill="FFE48D"/>
              </w:rPr>
              <w:t>湖南长大建设集团股份有限公司项目部</w:t>
            </w: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下达整改告知书</w:t>
            </w:r>
          </w:p>
        </w:tc>
        <w:tc>
          <w:tcPr>
            <w:tcW w:w="96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56" w:type="dxa"/>
        </w:trPr>
        <w:tc>
          <w:tcPr>
            <w:tcW w:w="1584" w:type="dxa"/>
            <w:vAlign w:val="center"/>
          </w:tcPr>
          <w:p>
            <w:pPr>
              <w:jc w:val="center"/>
              <w:rPr>
                <w:rFonts w:hint="eastAsia" w:ascii="仿宋_GB2312" w:hAnsi="仿宋_GB2312" w:eastAsia="仿宋_GB2312" w:cs="仿宋_GB2312"/>
                <w:sz w:val="24"/>
                <w:szCs w:val="24"/>
              </w:rPr>
            </w:pPr>
          </w:p>
        </w:tc>
        <w:tc>
          <w:tcPr>
            <w:tcW w:w="2718"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734" w:type="dxa"/>
            <w:vAlign w:val="center"/>
          </w:tcPr>
          <w:p>
            <w:pPr>
              <w:jc w:val="center"/>
              <w:rPr>
                <w:rFonts w:hint="eastAsia" w:ascii="仿宋_GB2312" w:hAnsi="仿宋_GB2312" w:eastAsia="仿宋_GB2312" w:cs="仿宋_GB2312"/>
                <w:i w:val="0"/>
                <w:iCs w:val="0"/>
                <w:caps w:val="0"/>
                <w:color w:val="000000"/>
                <w:spacing w:val="0"/>
                <w:sz w:val="24"/>
                <w:szCs w:val="24"/>
                <w:shd w:val="clear" w:fill="FFE48D"/>
              </w:rPr>
            </w:pPr>
          </w:p>
        </w:tc>
        <w:tc>
          <w:tcPr>
            <w:tcW w:w="1518" w:type="dxa"/>
            <w:vAlign w:val="center"/>
          </w:tcPr>
          <w:p>
            <w:pPr>
              <w:jc w:val="center"/>
              <w:rPr>
                <w:rFonts w:hint="eastAsia" w:ascii="仿宋_GB2312" w:hAnsi="仿宋_GB2312" w:eastAsia="仿宋_GB2312" w:cs="仿宋_GB2312"/>
                <w:sz w:val="24"/>
                <w:szCs w:val="24"/>
                <w:vertAlign w:val="baseline"/>
                <w:lang w:val="en-US" w:eastAsia="zh-CN"/>
              </w:rPr>
            </w:pPr>
          </w:p>
        </w:tc>
        <w:tc>
          <w:tcPr>
            <w:tcW w:w="968" w:type="dxa"/>
            <w:vAlign w:val="center"/>
          </w:tcPr>
          <w:p>
            <w:pPr>
              <w:jc w:val="center"/>
              <w:rPr>
                <w:rFonts w:hint="eastAsia" w:ascii="仿宋_GB2312" w:hAnsi="仿宋_GB2312" w:eastAsia="仿宋_GB2312" w:cs="仿宋_GB2312"/>
                <w:sz w:val="24"/>
                <w:szCs w:val="24"/>
                <w:vertAlign w:val="baseline"/>
                <w:lang w:val="en-US" w:eastAsia="zh-CN"/>
              </w:rPr>
            </w:pPr>
          </w:p>
        </w:tc>
      </w:tr>
    </w:tbl>
    <w:p>
      <w:pPr>
        <w:jc w:val="center"/>
        <w:rPr>
          <w:rFonts w:hint="eastAsia"/>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A28EE"/>
    <w:rsid w:val="021A28EE"/>
    <w:rsid w:val="34BD25A5"/>
    <w:rsid w:val="70B0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Words>
  <Characters>28</Characters>
  <Lines>0</Lines>
  <Paragraphs>0</Paragraphs>
  <TotalTime>3</TotalTime>
  <ScaleCrop>false</ScaleCrop>
  <LinksUpToDate>false</LinksUpToDate>
  <CharactersWithSpaces>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2022-01-11T09:22:00Z</dcterms:created>
  <dc:creator>倒影0年华</dc:creator>
  <cp:lastModifiedBy>倒影0年华</cp:lastModifiedBy>
  <cp:lastPrinted>2022-01-12T08:39:27Z</cp:lastPrinted>
  <dcterms:modified xsi:type="dcterms:W3CDTF">2022-01-12T08:39:36Z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4F692C501FBB466ABB474EFAD89862A6</vt:lpwstr>
  </property>
</Properties>
</file>