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bookmarkStart w:id="0" w:name="_GoBack"/>
      <w:r>
        <w:rPr>
          <w:rFonts w:hint="eastAsia" w:ascii="方正小标宋简体" w:hAnsi="方正小标宋简体" w:eastAsia="方正小标宋简体" w:cs="方正小标宋简体"/>
          <w:color w:val="000000"/>
          <w:kern w:val="0"/>
          <w:sz w:val="44"/>
          <w:szCs w:val="44"/>
          <w:lang w:val="en-US" w:eastAsia="zh-CN" w:bidi="ar"/>
        </w:rPr>
        <w:t>迎丰街道重大执法决定法制审核目录清单</w:t>
      </w:r>
    </w:p>
    <w:bookmarkEnd w:id="0"/>
    <w:tbl>
      <w:tblPr>
        <w:tblStyle w:val="3"/>
        <w:tblW w:w="15015"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1"/>
        <w:gridCol w:w="1233"/>
        <w:gridCol w:w="1346"/>
        <w:gridCol w:w="3480"/>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6" w:hRule="atLeast"/>
        </w:trPr>
        <w:tc>
          <w:tcPr>
            <w:tcW w:w="721" w:type="dxa"/>
            <w:vAlign w:val="center"/>
          </w:tcPr>
          <w:p>
            <w:pPr>
              <w:autoSpaceDN w:val="0"/>
              <w:jc w:val="center"/>
              <w:textAlignment w:val="center"/>
              <w:rPr>
                <w:vertAlign w:val="baseline"/>
              </w:rPr>
            </w:pPr>
            <w:r>
              <w:rPr>
                <w:rFonts w:ascii="Times New Roman" w:hAnsi="Times New Roman" w:eastAsia="黑体"/>
                <w:b/>
                <w:color w:val="auto"/>
                <w:sz w:val="24"/>
              </w:rPr>
              <w:t>序号</w:t>
            </w:r>
          </w:p>
        </w:tc>
        <w:tc>
          <w:tcPr>
            <w:tcW w:w="1233" w:type="dxa"/>
            <w:vAlign w:val="center"/>
          </w:tcPr>
          <w:p>
            <w:pPr>
              <w:autoSpaceDN w:val="0"/>
              <w:jc w:val="center"/>
              <w:textAlignment w:val="center"/>
              <w:rPr>
                <w:vertAlign w:val="baseline"/>
              </w:rPr>
            </w:pPr>
            <w:r>
              <w:rPr>
                <w:rFonts w:ascii="Times New Roman" w:hAnsi="Times New Roman" w:eastAsia="黑体"/>
                <w:b/>
                <w:color w:val="auto"/>
                <w:sz w:val="24"/>
              </w:rPr>
              <w:t>职权类型</w:t>
            </w:r>
          </w:p>
        </w:tc>
        <w:tc>
          <w:tcPr>
            <w:tcW w:w="1346" w:type="dxa"/>
            <w:vAlign w:val="center"/>
          </w:tcPr>
          <w:p>
            <w:pPr>
              <w:autoSpaceDN w:val="0"/>
              <w:jc w:val="center"/>
              <w:textAlignment w:val="center"/>
              <w:rPr>
                <w:vertAlign w:val="baseline"/>
              </w:rPr>
            </w:pPr>
            <w:r>
              <w:rPr>
                <w:rFonts w:ascii="Times New Roman" w:hAnsi="Times New Roman" w:eastAsia="黑体"/>
                <w:b/>
                <w:color w:val="auto"/>
                <w:sz w:val="24"/>
              </w:rPr>
              <w:t>项目名称</w:t>
            </w:r>
          </w:p>
        </w:tc>
        <w:tc>
          <w:tcPr>
            <w:tcW w:w="3480" w:type="dxa"/>
            <w:vAlign w:val="center"/>
          </w:tcPr>
          <w:p>
            <w:pPr>
              <w:autoSpaceDN w:val="0"/>
              <w:jc w:val="center"/>
              <w:textAlignment w:val="center"/>
              <w:rPr>
                <w:vertAlign w:val="baseline"/>
              </w:rPr>
            </w:pPr>
            <w:r>
              <w:rPr>
                <w:rFonts w:ascii="Times New Roman" w:hAnsi="Times New Roman" w:eastAsia="黑体"/>
                <w:b/>
                <w:color w:val="auto"/>
                <w:sz w:val="24"/>
              </w:rPr>
              <w:t>职权依据</w:t>
            </w:r>
          </w:p>
        </w:tc>
        <w:tc>
          <w:tcPr>
            <w:tcW w:w="8235" w:type="dxa"/>
            <w:vAlign w:val="center"/>
          </w:tcPr>
          <w:p>
            <w:pPr>
              <w:autoSpaceDN w:val="0"/>
              <w:jc w:val="center"/>
              <w:textAlignment w:val="center"/>
              <w:rPr>
                <w:vertAlign w:val="baseline"/>
              </w:rPr>
            </w:pPr>
            <w:r>
              <w:rPr>
                <w:rFonts w:ascii="Times New Roman" w:hAnsi="Times New Roman" w:eastAsia="黑体"/>
                <w:b/>
                <w:color w:val="auto"/>
                <w:sz w:val="24"/>
              </w:rPr>
              <w:t>责任事项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6" w:hRule="atLeast"/>
        </w:trPr>
        <w:tc>
          <w:tcPr>
            <w:tcW w:w="721" w:type="dxa"/>
            <w:vAlign w:val="center"/>
          </w:tcPr>
          <w:p>
            <w:pPr>
              <w:keepNext w:val="0"/>
              <w:keepLines w:val="0"/>
              <w:widowControl/>
              <w:suppressLineNumbers w:val="0"/>
              <w:jc w:val="center"/>
              <w:rPr>
                <w:rFonts w:hint="default"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1</w:t>
            </w: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行政处罚</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对农村居民未经批准或者违反规划的规定建住宅的处罚</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《村庄和集镇规划建设管理条例》第三十七条 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8235" w:type="dxa"/>
            <w:vAlign w:val="center"/>
          </w:tcPr>
          <w:p>
            <w:pPr>
              <w:shd w:val="solid" w:color="FFFFFF" w:fill="auto"/>
              <w:autoSpaceDN w:val="0"/>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1.立案责任：填写立案审批表，报负责人审批立案，指定两名以上办案人员负责调查取证。</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2.调查责任：办案人员应当及时进行调查，收集、调取证据。</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3.审查责任：执法人员对违法行为调查终结后，提出处理意见，由负责人对调查结果及执法人员提出的建议进行审查，然后根据不同情况，分别作出决定。</w:t>
            </w:r>
          </w:p>
          <w:p>
            <w:pPr>
              <w:shd w:val="solid" w:color="FFFFFF" w:fill="auto"/>
              <w:autoSpaceDN w:val="0"/>
              <w:textAlignment w:val="center"/>
              <w:rPr>
                <w:rFonts w:hint="eastAsia" w:ascii="仿宋_GB2312" w:hAnsi="仿宋_GB2312" w:eastAsia="仿宋_GB2312" w:cs="仿宋_GB2312"/>
                <w:b w:val="0"/>
                <w:bCs w:val="0"/>
                <w:color w:val="auto"/>
                <w:sz w:val="24"/>
                <w:szCs w:val="24"/>
                <w:shd w:val="clear" w:color="auto" w:fill="FFFFFF"/>
                <w:lang w:val="en-US" w:eastAsia="zh-CN"/>
              </w:rPr>
            </w:pPr>
            <w:r>
              <w:rPr>
                <w:rFonts w:hint="eastAsia" w:ascii="仿宋_GB2312" w:hAnsi="仿宋_GB2312" w:eastAsia="仿宋_GB2312" w:cs="仿宋_GB2312"/>
                <w:b w:val="0"/>
                <w:bCs w:val="0"/>
                <w:color w:val="auto"/>
                <w:sz w:val="24"/>
                <w:szCs w:val="24"/>
                <w:shd w:val="clear" w:color="auto" w:fill="FFFFFF"/>
              </w:rPr>
              <w:t>4.告知责任：制作行政处罚告知审批表，连同卷宗报法制机构核审。经负责人审批后，告知当事人拟作出的行政处罚。</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6.送达责任：行政处罚决定书应在7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8.应当履行的其他责任。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2</w:t>
            </w: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行政处罚</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对未按规定送子女或被监护人就学接受义务教育，经教育后仍拒绝履行的处罚</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《中华人民共和国义务教育法》第五十八条 适龄儿童、少年的父母或者其他法定监护人无正当理由未依照本法规定送适龄儿童、少年入学接受义务教育的，由当地乡镇人民政府或者县级人民政府教育行政部门给予批评教育，责令限期改正。</w:t>
            </w:r>
          </w:p>
        </w:tc>
        <w:tc>
          <w:tcPr>
            <w:tcW w:w="8235" w:type="dxa"/>
            <w:vAlign w:val="center"/>
          </w:tcPr>
          <w:p>
            <w:pPr>
              <w:shd w:val="solid" w:color="FFFFFF" w:fill="auto"/>
              <w:autoSpaceDN w:val="0"/>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1.立案责任：填写立案审批表，报负责人审批立案，指定两名以上办案人员负责调查取证。</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2.调查责任：办案人员应当及时进行调查，收集、调取证据。</w:t>
            </w:r>
          </w:p>
          <w:p>
            <w:pPr>
              <w:shd w:val="solid" w:color="FFFFFF" w:fill="auto"/>
              <w:autoSpaceDN w:val="0"/>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3.审查责任：执法人员对违法行为调查终结后，提出处理意见，由负责人对调查结果及执法人员提出的建议进行审查，然后根据不同情况，分别作出决定。</w:t>
            </w:r>
          </w:p>
          <w:p>
            <w:pPr>
              <w:shd w:val="solid" w:color="FFFFFF" w:fill="auto"/>
              <w:autoSpaceDN w:val="0"/>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4.告知责任：制作行政处罚告知审批表，连同卷宗报法制机构核审。经负责人审批后，告知当事人拟作出的行政处罚。</w:t>
            </w:r>
          </w:p>
          <w:p>
            <w:pPr>
              <w:shd w:val="solid" w:color="FFFFFF" w:fill="auto"/>
              <w:autoSpaceDN w:val="0"/>
              <w:textAlignment w:val="center"/>
              <w:rPr>
                <w:rFonts w:hint="eastAsia" w:ascii="仿宋_GB2312" w:hAnsi="仿宋_GB2312" w:eastAsia="仿宋_GB2312" w:cs="仿宋_GB2312"/>
                <w:b w:val="0"/>
                <w:bCs w:val="0"/>
                <w:color w:val="auto"/>
                <w:kern w:val="2"/>
                <w:sz w:val="24"/>
                <w:szCs w:val="24"/>
                <w:shd w:val="clear" w:color="auto" w:fill="FFFFFF"/>
                <w:lang w:val="en-US" w:eastAsia="zh-CN" w:bidi="ar-SA"/>
              </w:rPr>
            </w:pPr>
            <w:r>
              <w:rPr>
                <w:rFonts w:hint="eastAsia" w:ascii="仿宋_GB2312" w:hAnsi="仿宋_GB2312" w:eastAsia="仿宋_GB2312" w:cs="仿宋_GB2312"/>
                <w:b w:val="0"/>
                <w:bCs w:val="0"/>
                <w:color w:val="auto"/>
                <w:sz w:val="24"/>
                <w:szCs w:val="24"/>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6.送达责任：行政处罚决定书应在7日内送达当事人。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8、应当履行的其他责任。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3</w:t>
            </w: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行政处罚</w:t>
            </w:r>
          </w:p>
        </w:tc>
        <w:tc>
          <w:tcPr>
            <w:tcW w:w="1346" w:type="dxa"/>
            <w:vAlign w:val="center"/>
          </w:tcPr>
          <w:p>
            <w:pPr>
              <w:autoSpaceDN w:val="0"/>
              <w:spacing w:line="28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对食品小作坊、小餐饮和食品摊贩违法行为的处罚</w:t>
            </w:r>
          </w:p>
        </w:tc>
        <w:tc>
          <w:tcPr>
            <w:tcW w:w="3480" w:type="dxa"/>
            <w:vAlign w:val="center"/>
          </w:tcPr>
          <w:p>
            <w:pPr>
              <w:autoSpaceDN w:val="0"/>
              <w:spacing w:line="28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《湖南省食品生产加工小作坊小餐饮和食品摊贩管理条例》第三十六条 违反本条例第二十五条、第二十六条规定的经营规范的，由乡镇人民政府或者县级以上人民政府食品药品监督管理部门委托的街道办事处责令改正，给予警告；逾期不改正的，对食品摊贩处一百元以上五百元以下罚款。第三十九条  违反本条例第二十八条规定，食品摊贩未按照要求保存进货票据或者相关凭证的，由乡镇人民政府或者县级以上人民政府食品药品监督管理部门委托的街道办事处责令改正，给予警告；逾期不改正的，处一百元以上三百元以下罚款。第四十一条 违反本条例第二十七条第一款规定，食品摊贩经营禁止经营的食品的，由乡镇人民政府或者县级以上人民政府食品药品监督管理部门委托的街道办事处责令改正，给予警告；逾期不改正的，没收违法所得和违法经营的食品，并可以没收用于违法经营的工具、设备、原料等物品，处三百元以上一千元以下罚款。</w:t>
            </w:r>
          </w:p>
        </w:tc>
        <w:tc>
          <w:tcPr>
            <w:tcW w:w="8235" w:type="dxa"/>
            <w:vAlign w:val="center"/>
          </w:tcPr>
          <w:p>
            <w:pPr>
              <w:shd w:val="solid" w:color="FFFFFF" w:fill="auto"/>
              <w:autoSpaceDN w:val="0"/>
              <w:spacing w:line="280" w:lineRule="exact"/>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1.立案责任：填写立案审批表，报负责人审批立案，指定两名以上办案人员负责调查取证。</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2.调查责任：办案人员应当及时进行调查，收集、调取证据。</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3.审查责任：执法人员对违法行为调查终结后，提出处理意见，由负责人对调查结果及执法人员提出的建议进行审查，然后根据不同情况，分别作出决定。</w:t>
            </w:r>
          </w:p>
          <w:p>
            <w:pPr>
              <w:shd w:val="solid" w:color="FFFFFF" w:fill="auto"/>
              <w:autoSpaceDN w:val="0"/>
              <w:spacing w:line="280" w:lineRule="exact"/>
              <w:textAlignment w:val="center"/>
              <w:rPr>
                <w:rFonts w:hint="eastAsia" w:ascii="仿宋_GB2312" w:hAnsi="仿宋_GB2312" w:eastAsia="仿宋_GB2312" w:cs="仿宋_GB2312"/>
                <w:b w:val="0"/>
                <w:bCs w:val="0"/>
                <w:color w:val="auto"/>
                <w:sz w:val="24"/>
                <w:szCs w:val="24"/>
                <w:shd w:val="clear" w:color="auto" w:fill="FFFFFF"/>
              </w:rPr>
            </w:pPr>
            <w:r>
              <w:rPr>
                <w:rFonts w:hint="eastAsia" w:ascii="仿宋_GB2312" w:hAnsi="仿宋_GB2312" w:eastAsia="仿宋_GB2312" w:cs="仿宋_GB2312"/>
                <w:b w:val="0"/>
                <w:bCs w:val="0"/>
                <w:color w:val="auto"/>
                <w:sz w:val="24"/>
                <w:szCs w:val="24"/>
                <w:shd w:val="clear" w:color="auto" w:fill="FFFFFF"/>
              </w:rPr>
              <w:t>4.告知责任：制作行政处罚告知审批表，连同卷宗报法制机构核审。经负责人审批后，告知当事人拟作出的行政处罚。</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5.决定责任：依当事人的陈述申辩或听证情况，制作处罚决定书连同案卷报法制机构核审，经负责人审批，重大疑难案件由案审会讨论，审批后送达当事人，告知当事人救济途径、履行方式。</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6.送达责任：行政处罚决定书应在7日内送达当事人。</w:t>
            </w:r>
          </w:p>
          <w:p>
            <w:pPr>
              <w:shd w:val="solid" w:color="FFFFFF" w:fill="auto"/>
              <w:autoSpaceDN w:val="0"/>
              <w:spacing w:line="280" w:lineRule="exact"/>
              <w:textAlignment w:val="center"/>
              <w:rPr>
                <w:rFonts w:hint="eastAsia" w:ascii="仿宋_GB2312" w:hAnsi="仿宋_GB2312" w:eastAsia="仿宋_GB2312" w:cs="仿宋_GB2312"/>
                <w:b w:val="0"/>
                <w:bCs w:val="0"/>
                <w:color w:val="auto"/>
                <w:kern w:val="2"/>
                <w:sz w:val="24"/>
                <w:szCs w:val="24"/>
                <w:shd w:val="clear" w:color="auto" w:fill="FFFFFF"/>
                <w:lang w:val="en-US" w:eastAsia="zh-CN" w:bidi="ar-SA"/>
              </w:rPr>
            </w:pPr>
            <w:r>
              <w:rPr>
                <w:rFonts w:hint="eastAsia" w:ascii="仿宋_GB2312" w:hAnsi="仿宋_GB2312" w:eastAsia="仿宋_GB2312" w:cs="仿宋_GB2312"/>
                <w:b w:val="0"/>
                <w:bCs w:val="0"/>
                <w:color w:val="auto"/>
                <w:sz w:val="24"/>
                <w:szCs w:val="24"/>
                <w:shd w:val="clear" w:color="auto" w:fill="FFFFFF"/>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r>
              <w:rPr>
                <w:rFonts w:hint="eastAsia" w:ascii="仿宋_GB2312" w:hAnsi="仿宋_GB2312" w:eastAsia="仿宋_GB2312" w:cs="仿宋_GB2312"/>
                <w:b w:val="0"/>
                <w:bCs w:val="0"/>
                <w:color w:val="auto"/>
                <w:sz w:val="24"/>
                <w:szCs w:val="24"/>
                <w:shd w:val="clear" w:color="auto" w:fill="FFFFFF"/>
              </w:rPr>
              <w:br w:type="textWrapping"/>
            </w:r>
            <w:r>
              <w:rPr>
                <w:rFonts w:hint="eastAsia" w:ascii="仿宋_GB2312" w:hAnsi="仿宋_GB2312" w:eastAsia="仿宋_GB2312" w:cs="仿宋_GB2312"/>
                <w:b w:val="0"/>
                <w:bCs w:val="0"/>
                <w:color w:val="auto"/>
                <w:sz w:val="24"/>
                <w:szCs w:val="24"/>
                <w:shd w:val="clear" w:color="auto" w:fill="FFFFFF"/>
              </w:rPr>
              <w:t>8.应当履行的其他责任。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lang w:val="en-US" w:eastAsia="zh-CN"/>
              </w:rPr>
            </w:pPr>
            <w:r>
              <w:rPr>
                <w:rFonts w:hint="eastAsia" w:ascii="仿宋_GB2312" w:hAnsi="仿宋_GB2312" w:eastAsia="仿宋_GB2312" w:cs="仿宋_GB2312"/>
                <w:b w:val="0"/>
                <w:bCs w:val="0"/>
                <w:sz w:val="24"/>
                <w:szCs w:val="24"/>
                <w:vertAlign w:val="baseline"/>
                <w:lang w:val="en-US" w:eastAsia="zh-CN"/>
              </w:rPr>
              <w:t>4</w:t>
            </w: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行政强制</w:t>
            </w:r>
          </w:p>
        </w:tc>
        <w:tc>
          <w:tcPr>
            <w:tcW w:w="1346" w:type="dxa"/>
            <w:vAlign w:val="center"/>
          </w:tcPr>
          <w:p>
            <w:pPr>
              <w:autoSpaceDN w:val="0"/>
              <w:spacing w:line="40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在紧急防汛期采取防汛抗洪非常紧急措施</w:t>
            </w:r>
          </w:p>
        </w:tc>
        <w:tc>
          <w:tcPr>
            <w:tcW w:w="3480" w:type="dxa"/>
            <w:vAlign w:val="center"/>
          </w:tcPr>
          <w:p>
            <w:pPr>
              <w:autoSpaceDN w:val="0"/>
              <w:spacing w:line="40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《中华人民共和国防洪法》第四十五条 在紧急防汛期，防汛指挥机构根据防汛抗洪的需要，有权在其管辖范围内调用物资、设备、交通运输工具和人力，决定釆取取土占地、砍伐林木、清除阻水障碍物和其他必要的紧急措施；必要时，公安、交通等有关部门按照防汛指挥机构的决定，依法实施陆地和水面交通管制。《中华人民共和国防汛条例》第三十四条  当洪水威胁群众安全时，当地人民政府应当及时组织群众撤离至安全地带，并做好生活安排。</w:t>
            </w:r>
          </w:p>
        </w:tc>
        <w:tc>
          <w:tcPr>
            <w:tcW w:w="8235" w:type="dxa"/>
            <w:vAlign w:val="center"/>
          </w:tcPr>
          <w:p>
            <w:pPr>
              <w:autoSpaceDN w:val="0"/>
              <w:spacing w:line="40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1.储备防汛抢险物料，组织汛前检查及地质灾害点巡回检查，撤离险情征兆明显的地区群众。</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2.组织单位和居民积极参加防洪防灾工作，因地制宜采取防洪避洪措施，发现险情及时处理和报告；</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3.指定预防监测员及时监测，发现险情，立即赶赴现场采取措施。</w:t>
            </w:r>
          </w:p>
          <w:p>
            <w:pPr>
              <w:autoSpaceDN w:val="0"/>
              <w:spacing w:line="40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4.发生洪涝灾害和地质灾害后，做好灾区的生活供给、生产恢复等救灾工作。</w:t>
            </w:r>
          </w:p>
          <w:p>
            <w:pPr>
              <w:autoSpaceDN w:val="0"/>
              <w:spacing w:line="40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56"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行政强制</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地质灾害险情情况紧急的强行组织避灾疏散</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《国务院地质灾害防治条例》第二十九条 接到地质灾害险情报告的当地人民政府、基层群众自治组织应当根据实际情况，及时动员受到地质灾害威胁的居民以及其他人员转移到安全地带；情况紧急时，可以强行组织避灾疏散。</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1.调查责任：调查或检查时，案件承办人不得少于两人，应当向当事人或者有关人员出示行政执法证件，现场检查情况应当如实记入现场检查笔录。</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2.审查责任：案件承办机构负责人对办案人员提出的采取行政强制的理由、种类、依据进行审查。</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3.决定、告知责任：经行政机构负责人批准后实施行政强制。当场告知当事人采取行政强制的理由、依据以及当事人依法享有的权利及救济途径。</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4.执行责任：制作并送达查封（扣押、冻结）决定书，妥善保管有关财物。</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行政强制</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非法种植毒品原植物的处置措施</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《中华人民共和国禁毒法》第十九条 地方各级人民政府发现非法种植毒品原植物的，应当立即采取措施予以制止、铲除。村民委员会、居委员会发现非法种植毒品原植物的，应当及时予以制止、铲除，并向当地公安机关报告。</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1.调查责任：调查或检查时，案件承办人不得少于两人，应当向当事人或者有关人员出示行政执法证件，现场检查情况应当如实记入现场检查笔录。</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2.审查责任：案件承办机构负责人对办案人员提出的采取行政强制的理由、种类、依据进行审查。</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3.决定、告知责任：经行政机构负责人批准后实施行政强制。当场告知当事人采取行政强制的理由、依据以及当事人依法享有的权利及救济途径。</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4.执行责任：制作并送达查封（扣押、冻结）决定书，妥善保管有关财物。</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伤残抚恤人员残疾等级评定的申请受理和审查</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《伤残抚恤管理办法》第六条　申请人所在单位或者街道办事处或者乡镇人民政府审查评定残疾等级申请后出具书面意见，连同本人档案材料、书面申请和本人近期二寸免冠彩色照片等一并报送户籍所在地的县级人民政府民政部门审查。</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2.审查责任：对相对人提交的材料进行审查，提出审查意见。</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3.决定责任：在规定期限内作出书面决定（不予确认的应说明理由）。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4.送达责任：在规定期限内制作并向申请人送达。</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62"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残疾证办理</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《湖南省实施&lt;中华人民共和国残疾人保障法&gt;办法》第三条 乡镇人民政府、街道办事处应当按照国家规定建立残疾人组织，配备人员，做好残疾人服务工作。</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2.审查责任：对相对人提交的材料进行审查，提出审查意见。</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3.决定责任：在规定期限内作出书面决定（不予确认的应说明理由）。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4.送达责任：在规定期限内制作并向申请人送达。</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8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生育服务登记</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《流动人口计划生育工作条例》第十六条 育龄夫妻生育第一个子女的，可以在现居住地的乡（镇）人民政府或者街道办事处办理生育服务登记。</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2.审查责任：对相对人提交的材料进行审查，提出审查意见。</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3.决定责任：在规定期限内作出书面决定（不予确认的应说明理由）。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4.送达责任：在规定期限内制作并向申请人送达。</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5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center"/>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劳动者从事个体经营或灵活就业的就业登记</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《就业服务与就业管理规定》第六十二条 劳动者从事个体经营或灵活就业的，由本人在街道、乡镇公共就业服务机构办理就业登记。</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2.审查责任：对相对人提交的材料进行审查，提出审查意见。</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3.决定责任：在规定期限内作出书面决定（不予确认的应说明理由）。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4.送达责任：在规定期限内制作并向申请人送达。</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5"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村（居）民申请法律援助经济困难证明</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《湖南省法律援助条例》第十四条 公民向户籍所在地或者长期居住地乡镇人民政府、街道办事处申请出具经济困难证明的，乡镇人民政府、街道办事处应当在三个工作日内对申请人的家庭人口、就业情况等进审查。对符合条件的，出具证明；对不符合条件的，不出具证明，并说明理由。</w:t>
            </w:r>
          </w:p>
        </w:tc>
        <w:tc>
          <w:tcPr>
            <w:tcW w:w="8235" w:type="dxa"/>
            <w:vAlign w:val="center"/>
          </w:tcPr>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p>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2.审查责任：对相对人提交的材料进行审查，提出审查意见。</w:t>
            </w:r>
          </w:p>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3.决定责任：在规定期限内作出书面决定（不予确认的应当说明理由）。</w:t>
            </w:r>
          </w:p>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4.送达责任：在规定期限内向申请人送达。</w:t>
            </w:r>
          </w:p>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特困人员救助供养待遇初审</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《社会救助暂行办法》第十六条　申请特困人员供养，由本人向户籍所在地的乡镇人民政府、街道办事处提出书面申请；本人申请有困难的，可以委托村民委员会、居民委员会代为提出申请。</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申请程序：申请特困人员救助供养，由本人向户籍所在地的乡镇人民政府（街道办事处）提出书面申请，本人申请有困难的，可以委托村（居）民委员会或者他人代为提出申请。乡镇人民政府应当主动帮助其申请。</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核程序：乡镇人民政府（街道办事处）应当对申请人的收入状况、财产状况以及其他证明材料等进行调查核实，于20个工作日内提出初审意见，在申请人所在村（社区）公示后，报县级人民政府主管部门审批。</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审批程序：县级人民政府民政部门应当全面审查乡镇人民政府（街道办事处）上报的调查材料和审核意见，并随机抽查核实，于20个工作日内作出审批决定。对符合条件的申请予以批准，并在申请人所在村（社区）公布；对不符合条件的申请不予批准，并书面向申请人说明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行政确认</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符合条件的军人抚恤优待对象的优待办理</w:t>
            </w:r>
          </w:p>
        </w:tc>
        <w:tc>
          <w:tcPr>
            <w:tcW w:w="3480" w:type="dxa"/>
            <w:vAlign w:val="center"/>
          </w:tcPr>
          <w:p>
            <w:pPr>
              <w:autoSpaceDN w:val="0"/>
              <w:spacing w:line="40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《军人抚恤优待条例》第三十三条 义务兵服现役期间，其家庭由当地人民政府发给优待金或者给予其他优待，优待标准不低于当地平均生活水平。第四十条 残疾军人、复员军人、带病回乡退伍军人、因公牺牲军人遗属、病故军人遗属承租、购买住房依照有关规定享受优先、优惠待遇。居住农村的抚恤优待对象住房有困难的，由地方人民政府帮助解决。</w:t>
            </w:r>
          </w:p>
        </w:tc>
        <w:tc>
          <w:tcPr>
            <w:tcW w:w="8235" w:type="dxa"/>
            <w:vAlign w:val="center"/>
          </w:tcPr>
          <w:p>
            <w:pPr>
              <w:autoSpaceDN w:val="0"/>
              <w:spacing w:line="40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1.受理责任：受理所报送的材料，对其材料的整齐性、完整性进行初查。符合要求的，直接受理；不符合要求的，告之原因及所需补充材料。</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2.审查责任：对申请单位提交的申请材料进行审查，申请材料齐全，符合法定形式的，作出决定。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3.服务责任：建立群众性的拥军优属服务小组，为部队和优抚对象提供服务。对孤老优抚对象实行包户服务。服务性的窗口单位，应普遍设立拥军优属服务窗口，或挂牌注明拥军优属优先服务内容。</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监督检查</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消防安全监督检查</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《中华人民共和国消防法》第五十二条  地方各级人民政府应当落实消防工作责任制，对本级人民政府有关部门履行消防安全职责的情况进行监督检查。</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 xml:space="preserve">1.检查责任：按照法律法规、规章规定和法定程序实施检查。    </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2.处置责任：根据有关规定作出相应处置措施。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3.事后监管责任：对监测检查情况进行汇总、分类、归档备查，并跟踪监测。</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8"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监督检查</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行政区域内生产经营单位安全生产状况监督检查</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《中华人民共和国安全生产法》第八条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 xml:space="preserve">1.检查责任：按照法律法规、规章规定和法定程序实施检查。    </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2.处置责任：根据有关规定作出相应处置措施。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3.事后监管责任：对监测检查情况进行汇总、分类、归档备查，并跟踪监测。</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19"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监督检查</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对生产经营单位排查治理事故隐患工作依法实施监督管理</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《安全生产事故隐患排查治理暂行规定》第五条 各级人民政府有关部门在各自职责范围内对生产经营单位排查治理事故隐患工作依法实施监督管理。</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 xml:space="preserve">1.检查责任：按照法律法规、规章规定和法定程序实施检查。    </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2.处置责任：根据有关规定作出相应处置措施。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3.事后监管责任：对监测检查情况进行汇总、分类、归档备查，并跟踪监测。</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对生活确有困难残疾人的救助</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《中华人民共和国残疾人保障法》第四十八条 各级人民政府对生活确有困难的残疾人，通过多种渠道给予生活、教育、住房和其他社会救助。各级人民政府对贫困残疾人的基本医疗、康复服务、必要的辅助器具的配置和更换，应当按照规定给予救助。</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2.审查责任：对申请人提交的申请材料进行审查，申请材料齐全，符合法定形式的，作出决定。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3.决定责任：作出是否准予的决定。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4.事后监督责任：加强事后监管并将审批表报县相关部门备案。</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98"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老年人权益保障</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保障老年人合法权益是全社会的共同责任。国家机关、社会团体、企业事业单位和其他组织应当按照各自职责，做好老年人权益保障工作。基层群众性自治组织和依法设立的老年人组织应当反映老年人的要求，维护老年人合法权益，为老年人服务。提倡、鼓励义务为老年人服务。《湖南省实施〈中华人民共和国老年人权益保障法〉办法》第三条 乡镇人民政府、城市街道办事处应当确定人员具体负责老年人权益保障工作。</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2.审查责任：对申请单位提交的申请材料进行审查，申请材料齐全，符合法定形式的，作出决定。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3.决定责任：作出是否准予的决定。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4.事后监督责任：加强事后监管并将审批表报县相关部门备案。</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0"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汛前检查和汛期防汛准备</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《中华人民共和国防洪法》第三十一条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中华人民共和国防汛条例》第十七条 各级地方人民政府必须对所管辖的蓄滞洪区的通信、预报警报、避洪、撤退道路等安全设施，以及紧急撤离和救生的准备工作进行汛前检查，发现影响安全的问题，及时处理。</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2.各级地方人民政府必须对所管辖的蓄滞洪区的通信、预报警报、避洪、撤退道路等安全设施，以及紧急撤离和救生的准备工作进行汛前检查，发现影响安全的问题，及时处理。</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3.山洪、泥石流易发地区，当地有关部门应当指定预防监测员及时监测。雨季到来之前，当地人民政府防汛指挥部应当组织有关单位进行安全检查，对险情征兆明显的地区，应当及时把群众撤离险区。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16"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事故应急处置</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《危险化学品安全管理条例》第七十二条 发生危险化学品事故，有关地方人民政府应当立即组织安全生产监督管理、环境保护、公安、卫生、交通运输等有关部门，按照本地区危险化学品事故应急预案组织实施救援，不得拖延、推诿。</w:t>
            </w:r>
          </w:p>
        </w:tc>
        <w:tc>
          <w:tcPr>
            <w:tcW w:w="8235" w:type="dxa"/>
            <w:vAlign w:val="center"/>
          </w:tcPr>
          <w:p>
            <w:pP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1.协同相关部门组织营救和救治受害人员，疏散、撤离或者采取其他措施保护危害区域内的其他人员，并立即上报上一级人民政府和行业主管部门。</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2.协同相关部门迅速控制危害源。</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3.针对事故对人体、动植物、土壤、水源、大气造成的现实危害和可能产生的危害，协同相关部门迅速采取封闭、隔离、洗消等措施。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4.对危险化学品事故造成的环境污染和生态破坏状况协同相关部门进行监测、评估，并采取相应的环境污染治理和生态修复措施。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对可能影响社会安全事件的矛盾纠纷调解</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县级人民政府及其有关部门、乡级人民政府、街道办事处、居民委员会、村民委员会应当及时调解处理可能引发社会安全事件的矛盾纠纷。</w:t>
            </w:r>
          </w:p>
        </w:tc>
        <w:tc>
          <w:tcPr>
            <w:tcW w:w="8235" w:type="dxa"/>
            <w:vAlign w:val="center"/>
          </w:tcPr>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1.受理责任：对行政调解申请进行审查，依法决定是否受理不受理的书面告知申请人。</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2.调解责任：在法定期限内，根据审查结果依法做出调解。</w:t>
            </w:r>
          </w:p>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 xml:space="preserve">3.其他法律法规规章文件规定应履行的职责。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民间纠纷处理决定执行</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《民间纠纷处理办法》第二十一条 基层人民政府作出的处理决定，当事人必须执行。如有异议的，可以在处理决定作出后，就原纠纷向人民法院起诉。过十五天不起诉又不执行的，基层人民政府根据当事人一方的申请，可以在其职权范围内，采取必要的措施予以执行。</w:t>
            </w:r>
          </w:p>
        </w:tc>
        <w:tc>
          <w:tcPr>
            <w:tcW w:w="8235" w:type="dxa"/>
            <w:vAlign w:val="center"/>
          </w:tcPr>
          <w:p>
            <w:pPr>
              <w:autoSpaceDN w:val="0"/>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1.及时介入民间纠纷，对纠纷原因、证据材料进行审查，听取各方意见，并依法做出处理决定。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2.告知当事人在乡镇政府做出纠纷处理决定后其权利和义务。</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3.在法定期限内，采取必要措施执行纠纷处理决定。</w:t>
            </w:r>
          </w:p>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5"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信访事项受理</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《湖南省信访条例》第二十七条 各级人民政府及其所属部门受理下列信访事项：（一）对本级和下一级人民政府及其所属部门的工作提出的建议、意见；（二）对本级和下一级人民政府及其所属部门工作人员履行职务行为的申诉、控告或者检举；（三）对本级人民政府所属部门不适当的措施、指示和下一级人民政府及其所属部门不适当的措施、决定提出的改变或者撤销的要求；（四）其他依法应当由人民政府及其所属部门受理的信访事项。</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对信访事项申请进行登记，依法决定是否受理不受理的书面告知申请人。经调查核实后，能够当场答复是否受理的，应当当场书面答复；不能当场答复的，应当自收到信访事项之日起15日内书面告知信访人。</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答复责任：信访事项应当自受理之日起六十日内办结；情况复杂的，经本机关负责人批准，可以适当延长办理期限，但延长办理期限不得超过三十日，并应当告知信访人延期理由。法律、法规另有规定的，从其规定。</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 xml:space="preserve">3.其他法律法规规章文件规定应履行的职责。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兵役登记</w:t>
            </w:r>
          </w:p>
        </w:tc>
        <w:tc>
          <w:tcPr>
            <w:tcW w:w="3480"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《征兵工作条例》第十二条 机关、团体、企事业单位和乡、民族乡、镇的人民政府以及街道办事处，应当根据县、市兵役机关的安排，负责组织本单位和本地区的适龄男性公民进行兵役登记，填写《兵役登记表》，依法确定应服兵役、免服兵役和不得服兵役的人员，并报县、市兵役机关批准。经兵役登记和初步审查合格的，称应征公民。</w:t>
            </w:r>
          </w:p>
        </w:tc>
        <w:tc>
          <w:tcPr>
            <w:tcW w:w="8235" w:type="dxa"/>
            <w:vAlign w:val="center"/>
          </w:tcPr>
          <w:p>
            <w:pPr>
              <w:autoSpaceDN w:val="0"/>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1.受理责任：公示法定应当提交的材料；一次性告知补正材料；依法受理或不予受理（不予受理应当告知理由）。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2.审查责任：对相对人提交的材料进行审查，提出审查意见。</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3.决定责任：在规定期限内作出书面决定（不予确认的应说明理由）。</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4.送达责任：在规定期限内制作并向申请人送达。</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5.应当履行的其他责任。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社区(村）戒毒</w:t>
            </w:r>
          </w:p>
        </w:tc>
        <w:tc>
          <w:tcPr>
            <w:tcW w:w="3480" w:type="dxa"/>
            <w:vAlign w:val="center"/>
          </w:tcPr>
          <w:p>
            <w:pPr>
              <w:autoSpaceDN w:val="0"/>
              <w:spacing w:line="27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乡（镇）人民政府、城市街道办事处负责社区戒毒、社区康复工作。第十四条  社区戒毒人员应当自收到责令社区戒毒决定书之日起15日内到社区戒毒执行地乡（镇）人民政府、城市街道办事处报到，无正当理由逾期不报到的，视为拒绝接受社区戒毒。第十五条　乡（镇）人民政府、城市街道办事处应当根据工作需要成立社区戒毒工作领导小组，配备社区戒毒专职工作人员，制定社区戒毒工作计划，落实社区戒毒措施。</w:t>
            </w:r>
          </w:p>
        </w:tc>
        <w:tc>
          <w:tcPr>
            <w:tcW w:w="8235" w:type="dxa"/>
            <w:vAlign w:val="center"/>
          </w:tcPr>
          <w:p>
            <w:pPr>
              <w:autoSpaceDN w:val="0"/>
              <w:spacing w:line="27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1.检查责任：根据有关情况对社区戒毒、社区康复人员情况进行检查。</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2.处置责任：根据有关规定作出相应处置措施。</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3.监管责任：全程监管。</w:t>
            </w:r>
            <w:r>
              <w:rPr>
                <w:rFonts w:hint="eastAsia" w:ascii="仿宋_GB2312" w:hAnsi="仿宋_GB2312" w:eastAsia="仿宋_GB2312" w:cs="仿宋_GB2312"/>
                <w:b w:val="0"/>
                <w:bCs w:val="0"/>
                <w:color w:val="auto"/>
                <w:sz w:val="24"/>
                <w:szCs w:val="24"/>
              </w:rPr>
              <w:br w:type="textWrapping"/>
            </w:r>
            <w:r>
              <w:rPr>
                <w:rFonts w:hint="eastAsia" w:ascii="仿宋_GB2312" w:hAnsi="仿宋_GB2312" w:eastAsia="仿宋_GB2312" w:cs="仿宋_GB2312"/>
                <w:b w:val="0"/>
                <w:bCs w:val="0"/>
                <w:color w:val="auto"/>
                <w:sz w:val="24"/>
                <w:szCs w:val="24"/>
              </w:rPr>
              <w:t>4.应当履行的其他责任。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7" w:hRule="atLeast"/>
        </w:trPr>
        <w:tc>
          <w:tcPr>
            <w:tcW w:w="721" w:type="dxa"/>
            <w:vAlign w:val="center"/>
          </w:tcPr>
          <w:p>
            <w:pPr>
              <w:keepNext w:val="0"/>
              <w:keepLines w:val="0"/>
              <w:widowControl/>
              <w:suppressLineNumbers w:val="0"/>
              <w:jc w:val="center"/>
              <w:rPr>
                <w:rFonts w:hint="eastAsia" w:ascii="仿宋_GB2312" w:hAnsi="仿宋_GB2312" w:eastAsia="仿宋_GB2312" w:cs="仿宋_GB2312"/>
                <w:b w:val="0"/>
                <w:bCs w:val="0"/>
                <w:sz w:val="24"/>
                <w:szCs w:val="24"/>
                <w:vertAlign w:val="baseline"/>
              </w:rPr>
            </w:pPr>
          </w:p>
        </w:tc>
        <w:tc>
          <w:tcPr>
            <w:tcW w:w="1233"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其他权力</w:t>
            </w:r>
          </w:p>
        </w:tc>
        <w:tc>
          <w:tcPr>
            <w:tcW w:w="1346" w:type="dxa"/>
            <w:vAlign w:val="center"/>
          </w:tcPr>
          <w:p>
            <w:pPr>
              <w:autoSpaceDN w:val="0"/>
              <w:jc w:val="lef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监督指导业主大会成立、业主委员会的选举</w:t>
            </w:r>
          </w:p>
        </w:tc>
        <w:tc>
          <w:tcPr>
            <w:tcW w:w="3480" w:type="dxa"/>
            <w:vAlign w:val="center"/>
          </w:tcPr>
          <w:p>
            <w:pPr>
              <w:autoSpaceDN w:val="0"/>
              <w:spacing w:line="270" w:lineRule="exact"/>
              <w:textAlignment w:val="center"/>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rPr>
              <w:t xml:space="preserve"> 街道办事处或乡镇人民政府依法监督指导业主大会的成立、业主委员会的选举等工作，督促业主大会的成立、业主委员会的选举等工作，督促业主大会和业主委员会依法履行职责，调解物业管理纠纷，协调物业管理与社区建设的关系。</w:t>
            </w:r>
          </w:p>
        </w:tc>
        <w:tc>
          <w:tcPr>
            <w:tcW w:w="8235" w:type="dxa"/>
            <w:vAlign w:val="center"/>
          </w:tcPr>
          <w:p>
            <w:pPr>
              <w:autoSpaceDN w:val="0"/>
              <w:spacing w:line="27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1.组织成立首次业主大会会议筹备组。街道办事处或乡镇人民政府应当在接到申请后三十日内组织成立首次业主大会会议筹备组。</w:t>
            </w:r>
          </w:p>
          <w:p>
            <w:pPr>
              <w:autoSpaceDN w:val="0"/>
              <w:spacing w:line="27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2.监督指导业主委员会及时召开业主大会。</w:t>
            </w:r>
          </w:p>
          <w:p>
            <w:pPr>
              <w:autoSpaceDN w:val="0"/>
              <w:spacing w:line="27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3.监督指导业主委员会按期换届选举。</w:t>
            </w:r>
          </w:p>
          <w:p>
            <w:pPr>
              <w:autoSpaceDN w:val="0"/>
              <w:spacing w:line="270" w:lineRule="exact"/>
              <w:textAlignment w:val="center"/>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4.及时召集县(市、区)人民政府物业管理行政主管部门、公安派出所、司法所、居(村)民委员会、物业服务企业等单位和业主委员会、业主代表参与协调解决物业管理活动中的矛盾纠纷。</w:t>
            </w:r>
          </w:p>
          <w:p>
            <w:pPr>
              <w:autoSpaceDN w:val="0"/>
              <w:spacing w:line="270" w:lineRule="exact"/>
              <w:textAlignment w:val="center"/>
              <w:rPr>
                <w:rFonts w:hint="eastAsia" w:ascii="仿宋_GB2312" w:hAnsi="仿宋_GB2312" w:eastAsia="仿宋_GB2312" w:cs="仿宋_GB2312"/>
                <w:b w:val="0"/>
                <w:bCs w:val="0"/>
                <w:color w:val="auto"/>
                <w:kern w:val="2"/>
                <w:sz w:val="24"/>
                <w:szCs w:val="24"/>
                <w:shd w:val="clear" w:color="auto" w:fill="FFFFFF"/>
                <w:lang w:val="en-US" w:eastAsia="zh-CN" w:bidi="ar-SA"/>
              </w:rPr>
            </w:pPr>
            <w:r>
              <w:rPr>
                <w:rFonts w:hint="eastAsia" w:ascii="仿宋_GB2312" w:hAnsi="仿宋_GB2312" w:eastAsia="仿宋_GB2312" w:cs="仿宋_GB2312"/>
                <w:b w:val="0"/>
                <w:bCs w:val="0"/>
                <w:color w:val="auto"/>
                <w:sz w:val="24"/>
                <w:szCs w:val="24"/>
              </w:rPr>
              <w:t>5.协调物业管理与社区建设的关系。</w:t>
            </w:r>
          </w:p>
        </w:tc>
      </w:tr>
    </w:tbl>
    <w:p>
      <w:pPr>
        <w:keepNext w:val="0"/>
        <w:keepLines w:val="0"/>
        <w:widowControl/>
        <w:suppressLineNumbers w:val="0"/>
        <w:jc w:val="both"/>
      </w:pPr>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E115D"/>
    <w:rsid w:val="422E11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2022-01-11T08:36:00Z</dcterms:created>
  <dc:creator>倒影0年华</dc:creator>
  <cp:lastModifiedBy>倒影0年华</cp:lastModifiedBy>
  <dcterms:modified xsi:type="dcterms:W3CDTF">2022-01-11T09:15:40Z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BC7C70635EDA4D0695BD83013AD853D9</vt:lpwstr>
  </property>
</Properties>
</file>