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行政权责清单 </w:t>
      </w:r>
    </w:p>
    <w:tbl>
      <w:tblPr>
        <w:tblStyle w:val="2"/>
        <w:tblW w:w="14745" w:type="dxa"/>
        <w:tblCellSpacing w:w="7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1"/>
        <w:gridCol w:w="12217"/>
        <w:gridCol w:w="50"/>
        <w:gridCol w:w="5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权力名称</w:t>
            </w:r>
          </w:p>
        </w:tc>
        <w:tc>
          <w:tcPr>
            <w:tcW w:w="1230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对出卖、转让、出借《医疗机构执业许可证》的处罚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权力类别</w:t>
            </w:r>
          </w:p>
        </w:tc>
        <w:tc>
          <w:tcPr>
            <w:tcW w:w="1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责任主体</w:t>
            </w:r>
          </w:p>
        </w:tc>
        <w:tc>
          <w:tcPr>
            <w:tcW w:w="1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怀化市鹤城区卫生健康局</w:t>
            </w:r>
          </w:p>
        </w:tc>
        <w:tc>
          <w:tcPr>
            <w:tcW w:w="3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设定依据</w:t>
            </w:r>
          </w:p>
        </w:tc>
        <w:tc>
          <w:tcPr>
            <w:tcW w:w="1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1.【行政法规】《医疗机构管理条例》（2016年修订）第二十七条 医疗机构必须按照核准登记的诊疗科目开展诊疗活动。第四十七条 违反本条例第二十七条规定，诊疗活动超出登记范围的，由县级以上人民政府卫生行政部门予以警告、责令其改正，并可以根据情节处以３０００元以下的罚款；情节严重的，吊销其《医疗机构执业许可证》。</w:t>
            </w:r>
          </w:p>
        </w:tc>
        <w:tc>
          <w:tcPr>
            <w:tcW w:w="3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责任事项</w:t>
            </w:r>
          </w:p>
        </w:tc>
        <w:tc>
          <w:tcPr>
            <w:tcW w:w="1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1.立案责任：发现出卖、转让、出借《医疗机构执业许可证》的的违法行为，予以审查，决定是否立案。 2.调查责任：对立案的案件指定专人负责，及时组织调查取证，与当事人有直接利害关系的应当回避。执法人员不得少于2人，调查时应出示执法证件，听取当事人辩解陈述并作记录。执法人员应保守有关秘密。 3.审查责任：审查案件调查报告，对案件违法事实、证据、调查取证程序、法律适用、处罚种类和幅度、当事人陈述和申辩理由等方面进进审查，提出处理意见（主要证据不足时，以适当方式补充调查）。 4.告知责任：作出行政处罚决定前，应制作《行政处罚通知书》送达当事人，告知违法事实及其享有的陈述、申辩等权利。符合听证规定的，制作并送达《行政处罚听证告知书》。 5.决策责任：作出重大行政处罚的，依照相关规定行进行集体讨论，作出具体处罚内容的决策。 6.决定责任：制作行政处罚决定书，载明行政处罚告知、当事人陈述申辩或者听证情况等内容。 7.送达责任：行政处罚决定书按法律规定的方式送达当事人。 8.执行责任：依照生效的行政处罚决定，执行相应的处罚项目。 9.其他法律法规规章规定应履行的责任。</w:t>
            </w:r>
          </w:p>
        </w:tc>
        <w:tc>
          <w:tcPr>
            <w:tcW w:w="3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追责情形及追责依据</w:t>
            </w:r>
          </w:p>
        </w:tc>
        <w:tc>
          <w:tcPr>
            <w:tcW w:w="1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《中华人民共和国行政处罚法》第五十五条。行政机关实施行政处罚，有下列情形之一的，由上级行政机关或者有关部门责令改正，可以对直接负责的主管人员和其他直接责任人员依法给予行政处分： (一)没有法定的行政处罚依据的； (二)擅自改变行政处罚种类、幅度的； (三)违反法定的行政处罚程序的； (四)违反本法第十八条关于委托处罚的规定的。</w:t>
            </w:r>
          </w:p>
        </w:tc>
        <w:tc>
          <w:tcPr>
            <w:tcW w:w="3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220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咨询电话：0745-2261272、投诉电话：0745-2261272</w:t>
            </w:r>
            <w:bookmarkStart w:id="0" w:name="_GoBack"/>
            <w:bookmarkEnd w:id="0"/>
          </w:p>
        </w:tc>
        <w:tc>
          <w:tcPr>
            <w:tcW w:w="38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4118"/>
    <w:rsid w:val="08534118"/>
    <w:rsid w:val="628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575757"/>
      <w:u w:val="none"/>
    </w:rPr>
  </w:style>
  <w:style w:type="character" w:styleId="5">
    <w:name w:val="Hyperlink"/>
    <w:basedOn w:val="3"/>
    <w:qFormat/>
    <w:uiPriority w:val="0"/>
    <w:rPr>
      <w:color w:val="57575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2020-12-21T10:23:00Z</dcterms:created>
  <dc:creator>Administrator</dc:creator>
  <cp:lastModifiedBy>风一样的男子</cp:lastModifiedBy>
  <dcterms:modified xsi:type="dcterms:W3CDTF">2020-12-22T01:49:41Z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