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14228" w:type="dxa"/>
        <w:tblCellSpacing w:w="0" w:type="dxa"/>
        <w:tblInd w:w="15" w:type="dxa"/>
        <w:tblBorders>
          <w:top w:val="single" w:color="DEDEDE" w:sz="6" w:space="0"/>
          <w:left w:val="single" w:color="DEDEDE" w:sz="6" w:space="0"/>
          <w:bottom w:val="single" w:color="DEDEDE" w:sz="6" w:space="0"/>
          <w:right w:val="single" w:color="DEDEDE" w:sz="6"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091"/>
        <w:gridCol w:w="13137"/>
      </w:tblGrid>
      <w:tr>
        <w:tblPrEx>
          <w:tblBorders>
            <w:top w:val="single" w:color="DEDEDE" w:sz="6" w:space="0"/>
            <w:left w:val="single" w:color="DEDEDE" w:sz="6" w:space="0"/>
            <w:bottom w:val="single" w:color="DEDEDE" w:sz="6" w:space="0"/>
            <w:right w:val="single" w:color="DEDEDE" w:sz="6" w:space="0"/>
            <w:insideH w:val="none" w:color="auto" w:sz="0" w:space="0"/>
            <w:insideV w:val="none" w:color="auto" w:sz="0" w:space="0"/>
          </w:tblBorders>
          <w:shd w:val="clear" w:color="auto" w:fill="auto"/>
          <w:tblCellMar>
            <w:top w:w="15" w:type="dxa"/>
            <w:left w:w="15" w:type="dxa"/>
            <w:bottom w:w="15" w:type="dxa"/>
            <w:right w:w="15" w:type="dxa"/>
          </w:tblCellMar>
        </w:tblPrEx>
        <w:trPr>
          <w:tblCellSpacing w:w="0" w:type="dxa"/>
        </w:trPr>
        <w:tc>
          <w:tcPr>
            <w:tcW w:w="1091" w:type="dxa"/>
            <w:tcBorders>
              <w:bottom w:val="single" w:color="DEDEDE" w:sz="6" w:space="0"/>
              <w:right w:val="single" w:color="DEDEDE" w:sz="6" w:space="0"/>
            </w:tcBorders>
            <w:shd w:val="clear" w:color="auto" w:fill="F6F6F6"/>
            <w:vAlign w:val="center"/>
          </w:tcPr>
          <w:p>
            <w:pPr>
              <w:keepNext w:val="0"/>
              <w:keepLines w:val="0"/>
              <w:widowControl/>
              <w:suppressLineNumbers w:val="0"/>
              <w:spacing w:line="750" w:lineRule="atLeast"/>
              <w:jc w:val="center"/>
              <w:rPr>
                <w:color w:val="C50000"/>
              </w:rPr>
            </w:pPr>
            <w:r>
              <w:rPr>
                <w:rFonts w:ascii="宋体" w:hAnsi="宋体" w:eastAsia="宋体" w:cs="宋体"/>
                <w:color w:val="C50000"/>
                <w:kern w:val="0"/>
                <w:sz w:val="24"/>
                <w:szCs w:val="24"/>
                <w:lang w:val="en-US" w:eastAsia="zh-CN" w:bidi="ar"/>
              </w:rPr>
              <w:t>权力名称</w:t>
            </w:r>
          </w:p>
        </w:tc>
        <w:tc>
          <w:tcPr>
            <w:tcW w:w="13137" w:type="dxa"/>
            <w:tcBorders>
              <w:bottom w:val="single" w:color="DEDEDE" w:sz="6" w:space="0"/>
              <w:right w:val="single" w:color="DEDEDE" w:sz="6" w:space="0"/>
            </w:tcBorders>
            <w:shd w:val="clear" w:color="auto" w:fill="FFFFFF"/>
            <w:tcMar>
              <w:top w:w="150" w:type="dxa"/>
              <w:left w:w="225" w:type="dxa"/>
              <w:bottom w:w="150" w:type="dxa"/>
              <w:right w:w="225" w:type="dxa"/>
            </w:tcMar>
            <w:vAlign w:val="center"/>
          </w:tcPr>
          <w:p>
            <w:pPr>
              <w:keepNext w:val="0"/>
              <w:keepLines w:val="0"/>
              <w:widowControl/>
              <w:suppressLineNumbers w:val="0"/>
              <w:spacing w:line="420" w:lineRule="atLeast"/>
              <w:jc w:val="left"/>
            </w:pPr>
            <w:r>
              <w:rPr>
                <w:rFonts w:ascii="宋体" w:hAnsi="宋体" w:eastAsia="宋体" w:cs="宋体"/>
                <w:kern w:val="0"/>
                <w:sz w:val="24"/>
                <w:szCs w:val="24"/>
                <w:lang w:val="en-US" w:eastAsia="zh-CN" w:bidi="ar"/>
              </w:rPr>
              <w:t xml:space="preserve">对疾病预防控制机构、接种单位发现预防接种异常反应或者疑似预防接种异常反应，未依照规定及时处理或者报告的行为的处罚 </w:t>
            </w:r>
          </w:p>
        </w:tc>
      </w:tr>
      <w:tr>
        <w:tblPrEx>
          <w:tblBorders>
            <w:top w:val="single" w:color="DEDEDE" w:sz="6" w:space="0"/>
            <w:left w:val="single" w:color="DEDEDE" w:sz="6" w:space="0"/>
            <w:bottom w:val="single" w:color="DEDEDE" w:sz="6" w:space="0"/>
            <w:right w:val="single" w:color="DEDEDE"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091" w:type="dxa"/>
            <w:tcBorders>
              <w:bottom w:val="single" w:color="DEDEDE" w:sz="6" w:space="0"/>
              <w:right w:val="single" w:color="DEDEDE" w:sz="6" w:space="0"/>
            </w:tcBorders>
            <w:shd w:val="clear" w:color="auto" w:fill="F6F6F6"/>
            <w:vAlign w:val="center"/>
          </w:tcPr>
          <w:p>
            <w:pPr>
              <w:keepNext w:val="0"/>
              <w:keepLines w:val="0"/>
              <w:widowControl/>
              <w:suppressLineNumbers w:val="0"/>
              <w:spacing w:line="750" w:lineRule="atLeast"/>
              <w:jc w:val="center"/>
              <w:rPr>
                <w:color w:val="C50000"/>
              </w:rPr>
            </w:pPr>
            <w:r>
              <w:rPr>
                <w:rFonts w:ascii="宋体" w:hAnsi="宋体" w:eastAsia="宋体" w:cs="宋体"/>
                <w:color w:val="C50000"/>
                <w:kern w:val="0"/>
                <w:sz w:val="24"/>
                <w:szCs w:val="24"/>
                <w:lang w:val="en-US" w:eastAsia="zh-CN" w:bidi="ar"/>
              </w:rPr>
              <w:t>权力类别</w:t>
            </w:r>
          </w:p>
        </w:tc>
        <w:tc>
          <w:tcPr>
            <w:tcW w:w="13137" w:type="dxa"/>
            <w:tcBorders>
              <w:bottom w:val="single" w:color="DEDEDE" w:sz="6" w:space="0"/>
              <w:right w:val="single" w:color="DEDEDE" w:sz="6" w:space="0"/>
            </w:tcBorders>
            <w:shd w:val="clear" w:color="auto" w:fill="FFFFFF"/>
            <w:tcMar>
              <w:top w:w="150" w:type="dxa"/>
              <w:left w:w="225" w:type="dxa"/>
              <w:bottom w:w="150" w:type="dxa"/>
              <w:right w:w="225" w:type="dxa"/>
            </w:tcMar>
            <w:vAlign w:val="center"/>
          </w:tcPr>
          <w:p>
            <w:pPr>
              <w:keepNext w:val="0"/>
              <w:keepLines w:val="0"/>
              <w:widowControl/>
              <w:suppressLineNumbers w:val="0"/>
              <w:spacing w:line="420" w:lineRule="atLeast"/>
              <w:jc w:val="left"/>
            </w:pPr>
            <w:r>
              <w:rPr>
                <w:rFonts w:ascii="宋体" w:hAnsi="宋体" w:eastAsia="宋体" w:cs="宋体"/>
                <w:kern w:val="0"/>
                <w:sz w:val="24"/>
                <w:szCs w:val="24"/>
                <w:lang w:val="en-US" w:eastAsia="zh-CN" w:bidi="ar"/>
              </w:rPr>
              <w:t xml:space="preserve">行政处罚 </w:t>
            </w:r>
          </w:p>
        </w:tc>
      </w:tr>
      <w:tr>
        <w:tblPrEx>
          <w:tblBorders>
            <w:top w:val="single" w:color="DEDEDE" w:sz="6" w:space="0"/>
            <w:left w:val="single" w:color="DEDEDE" w:sz="6" w:space="0"/>
            <w:bottom w:val="single" w:color="DEDEDE" w:sz="6" w:space="0"/>
            <w:right w:val="single" w:color="DEDEDE"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091" w:type="dxa"/>
            <w:tcBorders>
              <w:bottom w:val="single" w:color="DEDEDE" w:sz="6" w:space="0"/>
              <w:right w:val="single" w:color="DEDEDE" w:sz="6" w:space="0"/>
            </w:tcBorders>
            <w:shd w:val="clear" w:color="auto" w:fill="F6F6F6"/>
            <w:vAlign w:val="center"/>
          </w:tcPr>
          <w:p>
            <w:pPr>
              <w:keepNext w:val="0"/>
              <w:keepLines w:val="0"/>
              <w:widowControl/>
              <w:suppressLineNumbers w:val="0"/>
              <w:spacing w:line="750" w:lineRule="atLeast"/>
              <w:jc w:val="center"/>
              <w:rPr>
                <w:color w:val="C50000"/>
              </w:rPr>
            </w:pPr>
            <w:r>
              <w:rPr>
                <w:rFonts w:ascii="宋体" w:hAnsi="宋体" w:eastAsia="宋体" w:cs="宋体"/>
                <w:color w:val="C50000"/>
                <w:kern w:val="0"/>
                <w:sz w:val="24"/>
                <w:szCs w:val="24"/>
                <w:lang w:val="en-US" w:eastAsia="zh-CN" w:bidi="ar"/>
              </w:rPr>
              <w:t>责任主体</w:t>
            </w:r>
          </w:p>
        </w:tc>
        <w:tc>
          <w:tcPr>
            <w:tcW w:w="13137" w:type="dxa"/>
            <w:tcBorders>
              <w:bottom w:val="single" w:color="DEDEDE" w:sz="6" w:space="0"/>
              <w:right w:val="single" w:color="DEDEDE" w:sz="6" w:space="0"/>
            </w:tcBorders>
            <w:shd w:val="clear" w:color="auto" w:fill="FFFFFF"/>
            <w:tcMar>
              <w:top w:w="150" w:type="dxa"/>
              <w:left w:w="225" w:type="dxa"/>
              <w:bottom w:w="150" w:type="dxa"/>
              <w:right w:w="225" w:type="dxa"/>
            </w:tcMar>
            <w:vAlign w:val="center"/>
          </w:tcPr>
          <w:p>
            <w:pPr>
              <w:keepNext w:val="0"/>
              <w:keepLines w:val="0"/>
              <w:widowControl/>
              <w:suppressLineNumbers w:val="0"/>
              <w:spacing w:line="420" w:lineRule="atLeast"/>
              <w:jc w:val="left"/>
            </w:pPr>
            <w:r>
              <w:rPr>
                <w:rFonts w:hint="eastAsia" w:ascii="宋体" w:hAnsi="宋体" w:eastAsia="宋体" w:cs="宋体"/>
                <w:kern w:val="0"/>
                <w:sz w:val="24"/>
                <w:szCs w:val="24"/>
                <w:lang w:val="en-US" w:eastAsia="zh-CN" w:bidi="ar"/>
              </w:rPr>
              <w:t>怀化市鹤城区卫生健康局</w:t>
            </w:r>
          </w:p>
        </w:tc>
      </w:tr>
      <w:tr>
        <w:tblPrEx>
          <w:tblBorders>
            <w:top w:val="single" w:color="DEDEDE" w:sz="6" w:space="0"/>
            <w:left w:val="single" w:color="DEDEDE" w:sz="6" w:space="0"/>
            <w:bottom w:val="single" w:color="DEDEDE" w:sz="6" w:space="0"/>
            <w:right w:val="single" w:color="DEDEDE"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091" w:type="dxa"/>
            <w:tcBorders>
              <w:bottom w:val="single" w:color="DEDEDE" w:sz="6" w:space="0"/>
              <w:right w:val="single" w:color="DEDEDE" w:sz="6" w:space="0"/>
            </w:tcBorders>
            <w:shd w:val="clear" w:color="auto" w:fill="F6F6F6"/>
            <w:vAlign w:val="center"/>
          </w:tcPr>
          <w:p>
            <w:pPr>
              <w:keepNext w:val="0"/>
              <w:keepLines w:val="0"/>
              <w:widowControl/>
              <w:suppressLineNumbers w:val="0"/>
              <w:spacing w:line="750" w:lineRule="atLeast"/>
              <w:jc w:val="center"/>
              <w:rPr>
                <w:color w:val="C50000"/>
              </w:rPr>
            </w:pPr>
            <w:r>
              <w:rPr>
                <w:rFonts w:ascii="宋体" w:hAnsi="宋体" w:eastAsia="宋体" w:cs="宋体"/>
                <w:color w:val="C50000"/>
                <w:kern w:val="0"/>
                <w:sz w:val="24"/>
                <w:szCs w:val="24"/>
                <w:lang w:val="en-US" w:eastAsia="zh-CN" w:bidi="ar"/>
              </w:rPr>
              <w:t>设定依据</w:t>
            </w:r>
          </w:p>
        </w:tc>
        <w:tc>
          <w:tcPr>
            <w:tcW w:w="13137" w:type="dxa"/>
            <w:tcBorders>
              <w:bottom w:val="single" w:color="DEDEDE" w:sz="6" w:space="0"/>
              <w:right w:val="single" w:color="DEDEDE" w:sz="6" w:space="0"/>
            </w:tcBorders>
            <w:shd w:val="clear" w:color="auto" w:fill="FFFFFF"/>
            <w:tcMar>
              <w:top w:w="150" w:type="dxa"/>
              <w:left w:w="225" w:type="dxa"/>
              <w:bottom w:w="150" w:type="dxa"/>
              <w:right w:w="225" w:type="dxa"/>
            </w:tcMar>
            <w:vAlign w:val="center"/>
          </w:tcPr>
          <w:p>
            <w:pPr>
              <w:keepNext w:val="0"/>
              <w:keepLines w:val="0"/>
              <w:widowControl/>
              <w:suppressLineNumbers w:val="0"/>
              <w:spacing w:line="420" w:lineRule="atLeast"/>
              <w:jc w:val="left"/>
            </w:pPr>
            <w:r>
              <w:rPr>
                <w:rFonts w:ascii="宋体" w:hAnsi="宋体" w:eastAsia="宋体" w:cs="宋体"/>
                <w:kern w:val="0"/>
                <w:sz w:val="24"/>
                <w:szCs w:val="24"/>
                <w:lang w:val="en-US" w:eastAsia="zh-CN" w:bidi="ar"/>
              </w:rPr>
              <w:t>"1.【行政法规】《疫苗流通和预防接种管理条例》（2016年修正本）</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第六十条  疾病预防控制机构、接种单位有下列情形之一的，由县级以上地方人民政府卫生主管部门责令改正，给予警告；有违法所得的，没收违法所得；拒不改正的，对主要负责人、直接负责的主管人员和其他直接责任人员依法给予警告至撤职的处分；造成受种者人身损害或者其他严重后果的，对主要负责人、直接负责的主管人员依法给予开除的处分，并由原发证部门吊销负有责任的医疗卫生人员的执业证书；构成犯罪的，依法追究刑事责任：（四）发现预防接种异常反应或者疑似预防接种异常反应，未依照规定及时处理或者报告的。"</w:t>
            </w:r>
          </w:p>
        </w:tc>
      </w:tr>
      <w:tr>
        <w:tblPrEx>
          <w:tblBorders>
            <w:top w:val="single" w:color="DEDEDE" w:sz="6" w:space="0"/>
            <w:left w:val="single" w:color="DEDEDE" w:sz="6" w:space="0"/>
            <w:bottom w:val="single" w:color="DEDEDE" w:sz="6" w:space="0"/>
            <w:right w:val="single" w:color="DEDEDE" w:sz="6" w:space="0"/>
            <w:insideH w:val="none" w:color="auto" w:sz="0" w:space="0"/>
            <w:insideV w:val="none" w:color="auto" w:sz="0" w:space="0"/>
          </w:tblBorders>
          <w:shd w:val="clear" w:color="auto" w:fill="auto"/>
          <w:tblCellMar>
            <w:top w:w="15" w:type="dxa"/>
            <w:left w:w="15" w:type="dxa"/>
            <w:bottom w:w="15" w:type="dxa"/>
            <w:right w:w="15" w:type="dxa"/>
          </w:tblCellMar>
        </w:tblPrEx>
        <w:trPr>
          <w:tblCellSpacing w:w="0" w:type="dxa"/>
        </w:trPr>
        <w:tc>
          <w:tcPr>
            <w:tcW w:w="1091" w:type="dxa"/>
            <w:tcBorders>
              <w:bottom w:val="single" w:color="DEDEDE" w:sz="6" w:space="0"/>
              <w:right w:val="single" w:color="DEDEDE" w:sz="6" w:space="0"/>
            </w:tcBorders>
            <w:shd w:val="clear" w:color="auto" w:fill="F6F6F6"/>
            <w:vAlign w:val="center"/>
          </w:tcPr>
          <w:p>
            <w:pPr>
              <w:keepNext w:val="0"/>
              <w:keepLines w:val="0"/>
              <w:widowControl/>
              <w:suppressLineNumbers w:val="0"/>
              <w:spacing w:line="750" w:lineRule="atLeast"/>
              <w:jc w:val="center"/>
              <w:rPr>
                <w:color w:val="C50000"/>
              </w:rPr>
            </w:pPr>
            <w:r>
              <w:rPr>
                <w:rFonts w:ascii="宋体" w:hAnsi="宋体" w:eastAsia="宋体" w:cs="宋体"/>
                <w:color w:val="C50000"/>
                <w:kern w:val="0"/>
                <w:sz w:val="24"/>
                <w:szCs w:val="24"/>
                <w:lang w:val="en-US" w:eastAsia="zh-CN" w:bidi="ar"/>
              </w:rPr>
              <w:t>具体实施机构</w:t>
            </w:r>
          </w:p>
        </w:tc>
        <w:tc>
          <w:tcPr>
            <w:tcW w:w="13137" w:type="dxa"/>
            <w:tcBorders>
              <w:bottom w:val="single" w:color="DEDEDE" w:sz="6" w:space="0"/>
              <w:right w:val="single" w:color="DEDEDE" w:sz="6" w:space="0"/>
            </w:tcBorders>
            <w:shd w:val="clear" w:color="auto" w:fill="FFFFFF"/>
            <w:tcMar>
              <w:top w:w="150" w:type="dxa"/>
              <w:left w:w="225" w:type="dxa"/>
              <w:bottom w:w="150" w:type="dxa"/>
              <w:right w:w="225" w:type="dxa"/>
            </w:tcMar>
            <w:vAlign w:val="center"/>
          </w:tcPr>
          <w:p>
            <w:pPr>
              <w:keepNext w:val="0"/>
              <w:keepLines w:val="0"/>
              <w:widowControl/>
              <w:suppressLineNumbers w:val="0"/>
              <w:spacing w:line="420" w:lineRule="atLeast"/>
              <w:jc w:val="left"/>
            </w:pPr>
            <w:r>
              <w:rPr>
                <w:rFonts w:ascii="宋体" w:hAnsi="宋体" w:eastAsia="宋体" w:cs="宋体"/>
                <w:kern w:val="0"/>
                <w:sz w:val="24"/>
                <w:szCs w:val="24"/>
                <w:lang w:val="en-US" w:eastAsia="zh-CN" w:bidi="ar"/>
              </w:rPr>
              <w:t xml:space="preserve">立案→调查取证→审查→告知→决定→送达→执行 </w:t>
            </w:r>
          </w:p>
        </w:tc>
      </w:tr>
      <w:tr>
        <w:tblPrEx>
          <w:tblBorders>
            <w:top w:val="single" w:color="DEDEDE" w:sz="6" w:space="0"/>
            <w:left w:val="single" w:color="DEDEDE" w:sz="6" w:space="0"/>
            <w:bottom w:val="single" w:color="DEDEDE" w:sz="6" w:space="0"/>
            <w:right w:val="single" w:color="DEDEDE"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091" w:type="dxa"/>
            <w:tcBorders>
              <w:bottom w:val="single" w:color="DEDEDE" w:sz="6" w:space="0"/>
              <w:right w:val="single" w:color="DEDEDE" w:sz="6" w:space="0"/>
            </w:tcBorders>
            <w:shd w:val="clear" w:color="auto" w:fill="F6F6F6"/>
            <w:vAlign w:val="center"/>
          </w:tcPr>
          <w:p>
            <w:pPr>
              <w:keepNext w:val="0"/>
              <w:keepLines w:val="0"/>
              <w:widowControl/>
              <w:suppressLineNumbers w:val="0"/>
              <w:spacing w:line="750" w:lineRule="atLeast"/>
              <w:jc w:val="center"/>
              <w:rPr>
                <w:color w:val="C50000"/>
              </w:rPr>
            </w:pPr>
            <w:r>
              <w:rPr>
                <w:rFonts w:ascii="宋体" w:hAnsi="宋体" w:eastAsia="宋体" w:cs="宋体"/>
                <w:color w:val="C50000"/>
                <w:kern w:val="0"/>
                <w:sz w:val="24"/>
                <w:szCs w:val="24"/>
                <w:lang w:val="en-US" w:eastAsia="zh-CN" w:bidi="ar"/>
              </w:rPr>
              <w:t>责任事项</w:t>
            </w:r>
          </w:p>
        </w:tc>
        <w:tc>
          <w:tcPr>
            <w:tcW w:w="13137" w:type="dxa"/>
            <w:tcBorders>
              <w:bottom w:val="single" w:color="DEDEDE" w:sz="6" w:space="0"/>
              <w:right w:val="single" w:color="DEDEDE" w:sz="6" w:space="0"/>
            </w:tcBorders>
            <w:shd w:val="clear" w:color="auto" w:fill="FFFFFF"/>
            <w:tcMar>
              <w:top w:w="150" w:type="dxa"/>
              <w:left w:w="225" w:type="dxa"/>
              <w:bottom w:w="150" w:type="dxa"/>
              <w:right w:w="225" w:type="dxa"/>
            </w:tcMar>
            <w:vAlign w:val="center"/>
          </w:tcPr>
          <w:p>
            <w:pPr>
              <w:keepNext w:val="0"/>
              <w:keepLines w:val="0"/>
              <w:widowControl/>
              <w:suppressLineNumbers w:val="0"/>
              <w:spacing w:line="420" w:lineRule="atLeast"/>
              <w:jc w:val="left"/>
            </w:pPr>
            <w:r>
              <w:rPr>
                <w:rFonts w:ascii="宋体" w:hAnsi="宋体" w:eastAsia="宋体" w:cs="宋体"/>
                <w:kern w:val="0"/>
                <w:sz w:val="24"/>
                <w:szCs w:val="24"/>
                <w:lang w:val="en-US" w:eastAsia="zh-CN" w:bidi="ar"/>
              </w:rPr>
              <w:t>1 . 立案责任： 发现此项行为， 予以审查，决定是否立案 。2 .调查责任： 对立案的案件， 指定专人负责， 及时组织调查取证，与当事人有直接利害关系的应当回避 。执法人员 不得少于 2 人， 调查时应出示执法证件， 听取当事人辩解陈述并作记录 。 执法人员应保守有关秘密 。3.审查责任：审查案件调查报告，对案件违法事实 、 证据 、 调查取证程序 、 法律适用 、 处罚种类和幅度 、 当事人陈述和申辩理由等方面进行审查， 提出处理意见。4. 告知责任： 作出行政处罚决定前， 应制作 《 行政处罚通知书 》 送达当事人， 告知违法事实及其享有的陈述 、 申辩等权利 。 符合听证规定的，制作并送达 《 行政处罚听证告知书 》。 5.决定责任： 制作行政处罚决定书， 载明行政处罚的种类和依据 、 当事人陈述申辩或者听证情况等内容 。 符合听证条件且当事人要求听证的， 应当举行听证会 。 作出重大行政处罚的， 依照相关规定进行集体讨论，作出具体处罚内容的决策 。 6.送达责任： 行政处罚决定书按法律规定的方式送达当事人 。 7.执行责任： 依照生效的行政处罚决定， 执行责令改正 、 没收违法所得 、 罚款等处罚项目 。8.其他法律法规规章规定应履行的责任 。</w:t>
            </w:r>
          </w:p>
        </w:tc>
      </w:tr>
      <w:tr>
        <w:tblPrEx>
          <w:tblBorders>
            <w:top w:val="single" w:color="DEDEDE" w:sz="6" w:space="0"/>
            <w:left w:val="single" w:color="DEDEDE" w:sz="6" w:space="0"/>
            <w:bottom w:val="single" w:color="DEDEDE" w:sz="6" w:space="0"/>
            <w:right w:val="single" w:color="DEDEDE" w:sz="6" w:space="0"/>
            <w:insideH w:val="none" w:color="auto" w:sz="0" w:space="0"/>
            <w:insideV w:val="none" w:color="auto" w:sz="0" w:space="0"/>
          </w:tblBorders>
          <w:shd w:val="clear" w:color="auto" w:fill="auto"/>
          <w:tblCellMar>
            <w:top w:w="15" w:type="dxa"/>
            <w:left w:w="15" w:type="dxa"/>
            <w:bottom w:w="15" w:type="dxa"/>
            <w:right w:w="15" w:type="dxa"/>
          </w:tblCellMar>
        </w:tblPrEx>
        <w:trPr>
          <w:tblCellSpacing w:w="0" w:type="dxa"/>
        </w:trPr>
        <w:tc>
          <w:tcPr>
            <w:tcW w:w="1091" w:type="dxa"/>
            <w:tcBorders>
              <w:bottom w:val="single" w:color="DEDEDE" w:sz="6" w:space="0"/>
              <w:right w:val="single" w:color="DEDEDE" w:sz="6" w:space="0"/>
            </w:tcBorders>
            <w:shd w:val="clear" w:color="auto" w:fill="F6F6F6"/>
            <w:vAlign w:val="center"/>
          </w:tcPr>
          <w:p>
            <w:pPr>
              <w:keepNext w:val="0"/>
              <w:keepLines w:val="0"/>
              <w:widowControl/>
              <w:suppressLineNumbers w:val="0"/>
              <w:spacing w:line="750" w:lineRule="atLeast"/>
              <w:jc w:val="center"/>
              <w:rPr>
                <w:color w:val="C50000"/>
              </w:rPr>
            </w:pPr>
            <w:r>
              <w:rPr>
                <w:rFonts w:ascii="宋体" w:hAnsi="宋体" w:eastAsia="宋体" w:cs="宋体"/>
                <w:color w:val="C50000"/>
                <w:kern w:val="0"/>
                <w:sz w:val="24"/>
                <w:szCs w:val="24"/>
                <w:lang w:val="en-US" w:eastAsia="zh-CN" w:bidi="ar"/>
              </w:rPr>
              <w:t>追责情形及追责依据</w:t>
            </w:r>
          </w:p>
        </w:tc>
        <w:tc>
          <w:tcPr>
            <w:tcW w:w="13137" w:type="dxa"/>
            <w:tcBorders>
              <w:bottom w:val="single" w:color="DEDEDE" w:sz="6" w:space="0"/>
              <w:right w:val="single" w:color="DEDEDE" w:sz="6" w:space="0"/>
            </w:tcBorders>
            <w:shd w:val="clear" w:color="auto" w:fill="FFFFFF"/>
            <w:tcMar>
              <w:top w:w="150" w:type="dxa"/>
              <w:left w:w="225" w:type="dxa"/>
              <w:bottom w:w="150" w:type="dxa"/>
              <w:right w:w="225" w:type="dxa"/>
            </w:tcMar>
            <w:vAlign w:val="center"/>
          </w:tcPr>
          <w:p>
            <w:pPr>
              <w:keepNext w:val="0"/>
              <w:keepLines w:val="0"/>
              <w:widowControl/>
              <w:suppressLineNumbers w:val="0"/>
              <w:spacing w:line="420" w:lineRule="atLeast"/>
              <w:jc w:val="left"/>
            </w:pPr>
            <w:r>
              <w:rPr>
                <w:rFonts w:ascii="宋体" w:hAnsi="宋体" w:eastAsia="宋体" w:cs="宋体"/>
                <w:kern w:val="0"/>
                <w:sz w:val="24"/>
                <w:szCs w:val="24"/>
                <w:lang w:val="en-US" w:eastAsia="zh-CN" w:bidi="ar"/>
              </w:rPr>
              <w:t>"《行政处罚法》第五十五条　行政机关实施行政处罚，有下列情形之一的，由上级行政机关或者有关部门责令改正，可以对直接负责的主管人员和其他直接责任人员依法给予行政处分：</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（一）没有法定的行政处罚依据的；</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（二）擅自改变行政处罚种类、幅度的；</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（三）违反法定的行政处罚程序的；</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（四）违反本法第十八条关于委托处罚的规定的。                                                                                                        </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第六十二条　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tc>
      </w:tr>
      <w:tr>
        <w:tblPrEx>
          <w:tblBorders>
            <w:top w:val="single" w:color="DEDEDE" w:sz="6" w:space="0"/>
            <w:left w:val="single" w:color="DEDEDE" w:sz="6" w:space="0"/>
            <w:bottom w:val="single" w:color="DEDEDE" w:sz="6" w:space="0"/>
            <w:right w:val="single" w:color="DEDEDE" w:sz="6" w:space="0"/>
            <w:insideH w:val="none" w:color="auto" w:sz="0" w:space="0"/>
            <w:insideV w:val="none" w:color="auto" w:sz="0" w:space="0"/>
          </w:tblBorders>
          <w:shd w:val="clear" w:color="auto" w:fill="auto"/>
          <w:tblCellMar>
            <w:top w:w="15" w:type="dxa"/>
            <w:left w:w="15" w:type="dxa"/>
            <w:bottom w:w="15" w:type="dxa"/>
            <w:right w:w="15" w:type="dxa"/>
          </w:tblCellMar>
        </w:tblPrEx>
        <w:trPr>
          <w:tblCellSpacing w:w="0" w:type="dxa"/>
        </w:trPr>
        <w:tc>
          <w:tcPr>
            <w:tcW w:w="1091" w:type="dxa"/>
            <w:tcBorders>
              <w:bottom w:val="single" w:color="DEDEDE" w:sz="6" w:space="0"/>
              <w:right w:val="single" w:color="DEDEDE" w:sz="6" w:space="0"/>
            </w:tcBorders>
            <w:shd w:val="clear" w:color="auto" w:fill="F6F6F6"/>
            <w:vAlign w:val="center"/>
          </w:tcPr>
          <w:p>
            <w:pPr>
              <w:keepNext w:val="0"/>
              <w:keepLines w:val="0"/>
              <w:widowControl/>
              <w:suppressLineNumbers w:val="0"/>
              <w:spacing w:line="750" w:lineRule="atLeast"/>
              <w:jc w:val="center"/>
              <w:rPr>
                <w:color w:val="C50000"/>
              </w:rPr>
            </w:pPr>
            <w:r>
              <w:rPr>
                <w:rFonts w:ascii="宋体" w:hAnsi="宋体" w:eastAsia="宋体" w:cs="宋体"/>
                <w:color w:val="C50000"/>
                <w:kern w:val="0"/>
                <w:sz w:val="24"/>
                <w:szCs w:val="24"/>
                <w:lang w:val="en-US" w:eastAsia="zh-CN" w:bidi="ar"/>
              </w:rPr>
              <w:t>备注</w:t>
            </w:r>
          </w:p>
        </w:tc>
        <w:tc>
          <w:tcPr>
            <w:tcW w:w="13137" w:type="dxa"/>
            <w:shd w:val="clear" w:color="auto" w:fill="auto"/>
            <w:vAlign w:val="center"/>
          </w:tcPr>
          <w:p>
            <w:pPr>
              <w:rPr>
                <w:rFonts w:hint="eastAsia" w:ascii="宋体"/>
                <w:sz w:val="24"/>
                <w:szCs w:val="24"/>
              </w:rPr>
            </w:pPr>
            <w:r>
              <w:rPr>
                <w:rFonts w:hint="eastAsia" w:ascii="宋体" w:hAnsi="宋体" w:eastAsia="宋体" w:cs="宋体"/>
                <w:kern w:val="0"/>
                <w:sz w:val="24"/>
                <w:szCs w:val="21"/>
                <w:lang w:val="en-US" w:eastAsia="zh-CN" w:bidi="ar"/>
              </w:rPr>
              <w:t>咨询电话：0745-2261272、投诉电话：0745-2261272</w:t>
            </w:r>
          </w:p>
        </w:tc>
      </w:tr>
    </w:tbl>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C36F30"/>
    <w:rsid w:val="4F0E3FEC"/>
    <w:rsid w:val="68C36F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2020-12-21T10:35:00Z</dcterms:created>
  <dc:creator>Administrator</dc:creator>
  <cp:lastModifiedBy>风一样的男子</cp:lastModifiedBy>
  <dcterms:modified xsi:type="dcterms:W3CDTF">2020-12-22T01:51:02Z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