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780" w:type="dxa"/>
        <w:jc w:val="center"/>
        <w:tblLayout w:type="fixed"/>
        <w:tblCellMar>
          <w:top w:w="0" w:type="dxa"/>
          <w:left w:w="108" w:type="dxa"/>
          <w:bottom w:w="0" w:type="dxa"/>
          <w:right w:w="108" w:type="dxa"/>
        </w:tblCellMar>
      </w:tblPr>
      <w:tblGrid>
        <w:gridCol w:w="6677"/>
        <w:gridCol w:w="2103"/>
      </w:tblGrid>
      <w:tr>
        <w:tblPrEx>
          <w:tblCellMar>
            <w:top w:w="0" w:type="dxa"/>
            <w:left w:w="108" w:type="dxa"/>
            <w:bottom w:w="0" w:type="dxa"/>
            <w:right w:w="108" w:type="dxa"/>
          </w:tblCellMar>
        </w:tblPrEx>
        <w:trPr>
          <w:trHeight w:val="2498" w:hRule="atLeast"/>
          <w:jc w:val="center"/>
        </w:trPr>
        <w:tc>
          <w:tcPr>
            <w:tcW w:w="6677" w:type="dxa"/>
            <w:vAlign w:val="center"/>
          </w:tcPr>
          <w:p>
            <w:pPr>
              <w:spacing w:line="800" w:lineRule="exact"/>
              <w:rPr>
                <w:rFonts w:ascii="方正大标宋_GBK" w:hAnsi="方正大标宋_GBK" w:eastAsia="方正大标宋_GBK" w:cs="方正大标宋_GBK"/>
                <w:color w:val="FF0000"/>
                <w:spacing w:val="160"/>
                <w:kern w:val="0"/>
                <w:sz w:val="80"/>
                <w:szCs w:val="80"/>
              </w:rPr>
            </w:pPr>
            <w:r>
              <w:rPr>
                <w:rFonts w:hint="eastAsia" w:ascii="方正大标宋_GBK" w:hAnsi="方正大标宋_GBK" w:eastAsia="方正大标宋_GBK" w:cs="方正大标宋_GBK"/>
                <w:color w:val="FF0000"/>
                <w:spacing w:val="160"/>
                <w:kern w:val="0"/>
                <w:sz w:val="80"/>
                <w:szCs w:val="80"/>
                <w:fitText w:val="6400" w:id="0"/>
              </w:rPr>
              <w:t>鹤城区民政</w:t>
            </w:r>
            <w:r>
              <w:rPr>
                <w:rFonts w:hint="eastAsia" w:ascii="方正大标宋_GBK" w:hAnsi="方正大标宋_GBK" w:eastAsia="方正大标宋_GBK" w:cs="方正大标宋_GBK"/>
                <w:color w:val="FF0000"/>
                <w:kern w:val="0"/>
                <w:sz w:val="80"/>
                <w:szCs w:val="80"/>
                <w:fitText w:val="6400" w:id="0"/>
              </w:rPr>
              <w:t>局</w:t>
            </w:r>
          </w:p>
          <w:p>
            <w:pPr>
              <w:spacing w:line="800" w:lineRule="exact"/>
              <w:rPr>
                <w:rFonts w:ascii="方正大标宋_GBK" w:hAnsi="方正大标宋_GBK" w:eastAsia="方正大标宋_GBK" w:cs="方正大标宋_GBK"/>
                <w:color w:val="FF0000"/>
                <w:sz w:val="80"/>
                <w:szCs w:val="80"/>
              </w:rPr>
            </w:pPr>
            <w:r>
              <w:rPr>
                <w:rFonts w:hint="eastAsia" w:ascii="方正大标宋_GBK" w:hAnsi="方正大标宋_GBK" w:eastAsia="方正大标宋_GBK" w:cs="方正大标宋_GBK"/>
                <w:color w:val="FF0000"/>
                <w:spacing w:val="160"/>
                <w:kern w:val="0"/>
                <w:sz w:val="80"/>
                <w:szCs w:val="80"/>
                <w:fitText w:val="6400" w:id="1"/>
              </w:rPr>
              <w:t>鹤城区财政</w:t>
            </w:r>
            <w:r>
              <w:rPr>
                <w:rFonts w:hint="eastAsia" w:ascii="方正大标宋_GBK" w:hAnsi="方正大标宋_GBK" w:eastAsia="方正大标宋_GBK" w:cs="方正大标宋_GBK"/>
                <w:color w:val="FF0000"/>
                <w:kern w:val="0"/>
                <w:sz w:val="80"/>
                <w:szCs w:val="80"/>
                <w:fitText w:val="6400" w:id="1"/>
              </w:rPr>
              <w:t>局</w:t>
            </w:r>
          </w:p>
          <w:p>
            <w:pPr>
              <w:spacing w:line="800" w:lineRule="exact"/>
              <w:rPr>
                <w:rFonts w:ascii="方正大标宋_GBK" w:hAnsi="方正大标宋_GBK" w:eastAsia="方正大标宋_GBK" w:cs="方正大标宋_GBK"/>
                <w:color w:val="FF0000"/>
                <w:sz w:val="80"/>
                <w:szCs w:val="80"/>
              </w:rPr>
            </w:pPr>
            <w:r>
              <w:rPr>
                <w:rFonts w:hint="eastAsia" w:ascii="方正大标宋_GBK" w:hAnsi="方正大标宋_GBK" w:eastAsia="方正大标宋_GBK" w:cs="方正大标宋_GBK"/>
                <w:color w:val="FF0000"/>
                <w:spacing w:val="160"/>
                <w:kern w:val="0"/>
                <w:sz w:val="80"/>
                <w:szCs w:val="80"/>
                <w:fitText w:val="6400" w:id="2"/>
              </w:rPr>
              <w:t>鹤城区教育</w:t>
            </w:r>
            <w:r>
              <w:rPr>
                <w:rFonts w:hint="eastAsia" w:ascii="方正大标宋_GBK" w:hAnsi="方正大标宋_GBK" w:eastAsia="方正大标宋_GBK" w:cs="方正大标宋_GBK"/>
                <w:color w:val="FF0000"/>
                <w:kern w:val="0"/>
                <w:sz w:val="80"/>
                <w:szCs w:val="80"/>
                <w:fitText w:val="6400" w:id="2"/>
              </w:rPr>
              <w:t>局</w:t>
            </w:r>
          </w:p>
          <w:p>
            <w:pPr>
              <w:spacing w:line="800" w:lineRule="exact"/>
              <w:rPr>
                <w:rFonts w:ascii="方正大标宋_GBK" w:hAnsi="方正大标宋_GBK" w:eastAsia="方正大标宋_GBK" w:cs="方正大标宋_GBK"/>
                <w:color w:val="FF0000"/>
                <w:sz w:val="80"/>
                <w:szCs w:val="80"/>
              </w:rPr>
            </w:pPr>
            <w:r>
              <w:rPr>
                <w:rFonts w:hint="eastAsia" w:ascii="方正大标宋_GBK" w:hAnsi="方正大标宋_GBK" w:eastAsia="方正大标宋_GBK" w:cs="方正大标宋_GBK"/>
                <w:color w:val="FF0000"/>
                <w:w w:val="61"/>
                <w:kern w:val="0"/>
                <w:sz w:val="80"/>
                <w:szCs w:val="80"/>
                <w:fitText w:val="6400" w:id="3"/>
              </w:rPr>
              <w:t>鹤城区人力资源和社会保障</w:t>
            </w:r>
            <w:r>
              <w:rPr>
                <w:rFonts w:hint="eastAsia" w:ascii="方正大标宋_GBK" w:hAnsi="方正大标宋_GBK" w:eastAsia="方正大标宋_GBK" w:cs="方正大标宋_GBK"/>
                <w:color w:val="FF0000"/>
                <w:spacing w:val="31"/>
                <w:w w:val="61"/>
                <w:kern w:val="0"/>
                <w:sz w:val="80"/>
                <w:szCs w:val="80"/>
                <w:fitText w:val="6400" w:id="3"/>
              </w:rPr>
              <w:t>局</w:t>
            </w:r>
          </w:p>
          <w:p>
            <w:pPr>
              <w:spacing w:line="800" w:lineRule="exact"/>
              <w:rPr>
                <w:rFonts w:ascii="方正大标宋_GBK" w:hAnsi="方正大标宋_GBK" w:eastAsia="方正大标宋_GBK" w:cs="方正大标宋_GBK"/>
                <w:color w:val="FF0000"/>
                <w:sz w:val="80"/>
                <w:szCs w:val="80"/>
              </w:rPr>
            </w:pPr>
            <w:r>
              <w:rPr>
                <w:rFonts w:hint="eastAsia" w:ascii="方正大标宋_GBK" w:hAnsi="方正大标宋_GBK" w:eastAsia="方正大标宋_GBK" w:cs="方正大标宋_GBK"/>
                <w:color w:val="FF0000"/>
                <w:w w:val="72"/>
                <w:kern w:val="0"/>
                <w:sz w:val="80"/>
                <w:szCs w:val="80"/>
                <w:fitText w:val="6400" w:id="4"/>
              </w:rPr>
              <w:t>鹤城区住房和城乡建设</w:t>
            </w:r>
            <w:r>
              <w:rPr>
                <w:rFonts w:hint="eastAsia" w:ascii="方正大标宋_GBK" w:hAnsi="方正大标宋_GBK" w:eastAsia="方正大标宋_GBK" w:cs="方正大标宋_GBK"/>
                <w:color w:val="FF0000"/>
                <w:spacing w:val="35"/>
                <w:w w:val="72"/>
                <w:kern w:val="0"/>
                <w:sz w:val="80"/>
                <w:szCs w:val="80"/>
                <w:fitText w:val="6400" w:id="4"/>
              </w:rPr>
              <w:t>局</w:t>
            </w:r>
          </w:p>
          <w:p>
            <w:pPr>
              <w:spacing w:line="800" w:lineRule="exact"/>
              <w:rPr>
                <w:rFonts w:ascii="方正大标宋_GBK" w:hAnsi="方正大标宋_GBK" w:eastAsia="方正大标宋_GBK" w:cs="方正大标宋_GBK"/>
                <w:color w:val="FF0000"/>
                <w:sz w:val="80"/>
                <w:szCs w:val="80"/>
              </w:rPr>
            </w:pPr>
            <w:r>
              <w:rPr>
                <w:rFonts w:hint="eastAsia" w:ascii="方正大标宋_GBK" w:hAnsi="方正大标宋_GBK" w:eastAsia="方正大标宋_GBK" w:cs="方正大标宋_GBK"/>
                <w:color w:val="FF0000"/>
                <w:sz w:val="80"/>
                <w:szCs w:val="80"/>
              </w:rPr>
              <w:t>鹤城区农业农村局</w:t>
            </w:r>
          </w:p>
          <w:p>
            <w:pPr>
              <w:spacing w:line="800" w:lineRule="exact"/>
              <w:rPr>
                <w:rFonts w:hint="eastAsia" w:ascii="方正大标宋_GBK" w:hAnsi="方正大标宋_GBK" w:eastAsia="方正大标宋_GBK" w:cs="方正大标宋_GBK"/>
                <w:color w:val="FF0000"/>
                <w:spacing w:val="-5"/>
                <w:w w:val="80"/>
                <w:kern w:val="0"/>
                <w:sz w:val="80"/>
                <w:szCs w:val="80"/>
                <w:lang w:val="en-US" w:eastAsia="zh-CN"/>
              </w:rPr>
            </w:pPr>
            <w:r>
              <w:rPr>
                <w:rFonts w:hint="eastAsia" w:ascii="方正大标宋_GBK" w:hAnsi="方正大标宋_GBK" w:eastAsia="方正大标宋_GBK" w:cs="方正大标宋_GBK"/>
                <w:color w:val="FF0000"/>
                <w:w w:val="80"/>
                <w:kern w:val="0"/>
                <w:sz w:val="80"/>
                <w:szCs w:val="80"/>
                <w:fitText w:val="6400" w:id="5"/>
              </w:rPr>
              <w:t>鹤</w:t>
            </w:r>
            <w:r>
              <w:rPr>
                <w:rFonts w:hint="eastAsia" w:ascii="方正大标宋_GBK" w:hAnsi="方正大标宋_GBK" w:eastAsia="方正大标宋_GBK" w:cs="方正大标宋_GBK"/>
                <w:color w:val="FF0000"/>
                <w:w w:val="80"/>
                <w:kern w:val="0"/>
                <w:sz w:val="80"/>
                <w:szCs w:val="80"/>
                <w:fitText w:val="6400" w:id="5"/>
                <w:lang w:val="en-US" w:eastAsia="zh-CN"/>
              </w:rPr>
              <w:t xml:space="preserve"> </w:t>
            </w:r>
            <w:r>
              <w:rPr>
                <w:rFonts w:hint="eastAsia" w:ascii="方正大标宋_GBK" w:hAnsi="方正大标宋_GBK" w:eastAsia="方正大标宋_GBK" w:cs="方正大标宋_GBK"/>
                <w:color w:val="FF0000"/>
                <w:w w:val="80"/>
                <w:kern w:val="0"/>
                <w:sz w:val="80"/>
                <w:szCs w:val="80"/>
                <w:fitText w:val="6400" w:id="5"/>
              </w:rPr>
              <w:t>城</w:t>
            </w:r>
            <w:r>
              <w:rPr>
                <w:rFonts w:hint="eastAsia" w:ascii="方正大标宋_GBK" w:hAnsi="方正大标宋_GBK" w:eastAsia="方正大标宋_GBK" w:cs="方正大标宋_GBK"/>
                <w:color w:val="FF0000"/>
                <w:w w:val="80"/>
                <w:kern w:val="0"/>
                <w:sz w:val="80"/>
                <w:szCs w:val="80"/>
                <w:fitText w:val="6400" w:id="5"/>
                <w:lang w:val="en-US" w:eastAsia="zh-CN"/>
              </w:rPr>
              <w:t xml:space="preserve"> </w:t>
            </w:r>
            <w:r>
              <w:rPr>
                <w:rFonts w:hint="eastAsia" w:ascii="方正大标宋_GBK" w:hAnsi="方正大标宋_GBK" w:eastAsia="方正大标宋_GBK" w:cs="方正大标宋_GBK"/>
                <w:color w:val="FF0000"/>
                <w:w w:val="80"/>
                <w:kern w:val="0"/>
                <w:sz w:val="80"/>
                <w:szCs w:val="80"/>
                <w:fitText w:val="6400" w:id="5"/>
              </w:rPr>
              <w:t>区卫生健</w:t>
            </w:r>
            <w:r>
              <w:rPr>
                <w:rFonts w:hint="eastAsia" w:ascii="方正大标宋_GBK" w:hAnsi="方正大标宋_GBK" w:eastAsia="方正大标宋_GBK" w:cs="方正大标宋_GBK"/>
                <w:color w:val="FF0000"/>
                <w:w w:val="80"/>
                <w:kern w:val="0"/>
                <w:sz w:val="80"/>
                <w:szCs w:val="80"/>
                <w:fitText w:val="6400" w:id="5"/>
                <w:lang w:val="en-US" w:eastAsia="zh-CN"/>
              </w:rPr>
              <w:t xml:space="preserve"> </w:t>
            </w:r>
            <w:r>
              <w:rPr>
                <w:rFonts w:hint="eastAsia" w:ascii="方正大标宋_GBK" w:hAnsi="方正大标宋_GBK" w:eastAsia="方正大标宋_GBK" w:cs="方正大标宋_GBK"/>
                <w:color w:val="FF0000"/>
                <w:w w:val="80"/>
                <w:kern w:val="0"/>
                <w:sz w:val="80"/>
                <w:szCs w:val="80"/>
                <w:fitText w:val="6400" w:id="5"/>
              </w:rPr>
              <w:t>康</w:t>
            </w:r>
            <w:r>
              <w:rPr>
                <w:rFonts w:hint="eastAsia" w:ascii="方正大标宋_GBK" w:hAnsi="方正大标宋_GBK" w:eastAsia="方正大标宋_GBK" w:cs="方正大标宋_GBK"/>
                <w:color w:val="FF0000"/>
                <w:w w:val="80"/>
                <w:kern w:val="0"/>
                <w:sz w:val="80"/>
                <w:szCs w:val="80"/>
                <w:fitText w:val="6400" w:id="5"/>
                <w:lang w:val="en-US" w:eastAsia="zh-CN"/>
              </w:rPr>
              <w:t xml:space="preserve"> </w:t>
            </w:r>
            <w:r>
              <w:rPr>
                <w:rFonts w:hint="eastAsia" w:ascii="方正大标宋_GBK" w:hAnsi="方正大标宋_GBK" w:eastAsia="方正大标宋_GBK" w:cs="方正大标宋_GBK"/>
                <w:color w:val="FF0000"/>
                <w:w w:val="80"/>
                <w:kern w:val="0"/>
                <w:sz w:val="80"/>
                <w:szCs w:val="80"/>
                <w:fitText w:val="6400" w:id="5"/>
                <w:lang w:eastAsia="zh-CN"/>
              </w:rPr>
              <w:t>局</w:t>
            </w:r>
          </w:p>
          <w:p>
            <w:pPr>
              <w:spacing w:line="800" w:lineRule="exact"/>
              <w:rPr>
                <w:rFonts w:ascii="方正大标宋_GBK" w:hAnsi="方正大标宋_GBK" w:eastAsia="方正大标宋_GBK" w:cs="方正大标宋_GBK"/>
                <w:color w:val="FF0000"/>
                <w:spacing w:val="-5"/>
                <w:w w:val="80"/>
                <w:kern w:val="0"/>
                <w:sz w:val="80"/>
                <w:szCs w:val="80"/>
              </w:rPr>
            </w:pPr>
            <w:r>
              <w:rPr>
                <w:rFonts w:hint="eastAsia" w:ascii="方正大标宋_GBK" w:hAnsi="方正大标宋_GBK" w:eastAsia="方正大标宋_GBK" w:cs="方正大标宋_GBK"/>
                <w:color w:val="FF0000"/>
                <w:w w:val="80"/>
                <w:kern w:val="0"/>
                <w:sz w:val="80"/>
                <w:szCs w:val="80"/>
                <w:fitText w:val="6400" w:id="6"/>
              </w:rPr>
              <w:t>鹤城区扶贫开发办公室</w:t>
            </w:r>
          </w:p>
          <w:p>
            <w:pPr>
              <w:spacing w:line="800" w:lineRule="exact"/>
              <w:rPr>
                <w:rFonts w:ascii="方正大标宋_GBK" w:hAnsi="方正大标宋_GBK" w:eastAsia="方正大标宋_GBK" w:cs="方正大标宋_GBK"/>
                <w:color w:val="FF0000"/>
                <w:sz w:val="80"/>
                <w:szCs w:val="80"/>
              </w:rPr>
            </w:pPr>
            <w:r>
              <w:rPr>
                <w:rFonts w:hint="eastAsia" w:ascii="方正大标宋_GBK" w:hAnsi="方正大标宋_GBK" w:eastAsia="方正大标宋_GBK" w:cs="方正大标宋_GBK"/>
                <w:color w:val="FF0000"/>
                <w:sz w:val="80"/>
                <w:szCs w:val="80"/>
              </w:rPr>
              <w:t>鹤城区医疗保障局</w:t>
            </w:r>
          </w:p>
          <w:p>
            <w:pPr>
              <w:spacing w:line="800" w:lineRule="exact"/>
              <w:rPr>
                <w:rFonts w:ascii="方正大标宋_GBK" w:hAnsi="方正大标宋_GBK" w:eastAsia="方正大标宋_GBK" w:cs="方正大标宋_GBK"/>
                <w:w w:val="80"/>
              </w:rPr>
            </w:pPr>
            <w:r>
              <w:rPr>
                <w:rFonts w:hint="eastAsia" w:ascii="方正大标宋_GBK" w:hAnsi="方正大标宋_GBK" w:eastAsia="方正大标宋_GBK" w:cs="方正大标宋_GBK"/>
                <w:color w:val="FF0000"/>
                <w:w w:val="88"/>
                <w:kern w:val="0"/>
                <w:sz w:val="80"/>
                <w:szCs w:val="80"/>
                <w:fitText w:val="6400" w:id="7"/>
              </w:rPr>
              <w:t>鹤城区残疾人联合</w:t>
            </w:r>
            <w:r>
              <w:rPr>
                <w:rFonts w:hint="eastAsia" w:ascii="方正大标宋_GBK" w:hAnsi="方正大标宋_GBK" w:eastAsia="方正大标宋_GBK" w:cs="方正大标宋_GBK"/>
                <w:color w:val="FF0000"/>
                <w:spacing w:val="34"/>
                <w:w w:val="88"/>
                <w:kern w:val="0"/>
                <w:sz w:val="80"/>
                <w:szCs w:val="80"/>
                <w:fitText w:val="6400" w:id="7"/>
              </w:rPr>
              <w:t>会</w:t>
            </w:r>
          </w:p>
        </w:tc>
        <w:tc>
          <w:tcPr>
            <w:tcW w:w="2103" w:type="dxa"/>
            <w:tcMar>
              <w:left w:w="0" w:type="dxa"/>
              <w:right w:w="0" w:type="dxa"/>
            </w:tcMar>
            <w:vAlign w:val="center"/>
          </w:tcPr>
          <w:p>
            <w:pPr>
              <w:jc w:val="right"/>
              <w:rPr>
                <w:rFonts w:ascii="方正大标宋_GBK" w:hAnsi="方正大标宋_GBK" w:eastAsia="方正大标宋_GBK" w:cs="方正大标宋_GBK"/>
                <w:color w:val="FF0000"/>
                <w:w w:val="85"/>
                <w:sz w:val="90"/>
                <w:szCs w:val="90"/>
              </w:rPr>
            </w:pPr>
            <w:r>
              <w:rPr>
                <w:rFonts w:hint="eastAsia" w:ascii="方正大标宋_GBK" w:hAnsi="方正大标宋_GBK" w:eastAsia="方正大标宋_GBK" w:cs="方正大标宋_GBK"/>
                <w:color w:val="FF0000"/>
                <w:spacing w:val="20"/>
                <w:w w:val="99"/>
                <w:kern w:val="0"/>
                <w:sz w:val="94"/>
                <w:szCs w:val="94"/>
              </w:rPr>
              <w:t>文</w:t>
            </w:r>
            <w:r>
              <w:rPr>
                <w:rFonts w:hint="eastAsia" w:ascii="方正大标宋_GBK" w:hAnsi="方正大标宋_GBK" w:eastAsia="方正大标宋_GBK" w:cs="方正大标宋_GBK"/>
                <w:color w:val="FF0000"/>
                <w:spacing w:val="-9"/>
                <w:w w:val="99"/>
                <w:kern w:val="0"/>
                <w:sz w:val="94"/>
                <w:szCs w:val="94"/>
              </w:rPr>
              <w:t>件</w:t>
            </w:r>
          </w:p>
        </w:tc>
      </w:tr>
    </w:tbl>
    <w:p>
      <w:pPr>
        <w:spacing w:line="580" w:lineRule="exact"/>
        <w:jc w:val="center"/>
        <w:rPr>
          <w:rFonts w:ascii="仿宋" w:hAnsi="仿宋" w:eastAsia="仿宋" w:cs="Times New Roman"/>
          <w:sz w:val="44"/>
          <w:szCs w:val="44"/>
        </w:rPr>
      </w:pPr>
    </w:p>
    <w:tbl>
      <w:tblPr>
        <w:tblStyle w:val="7"/>
        <w:tblW w:w="9060" w:type="dxa"/>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9060" w:type="dxa"/>
            <w:tcBorders>
              <w:bottom w:val="single" w:color="FF0000" w:sz="12" w:space="0"/>
            </w:tcBorders>
          </w:tcPr>
          <w:p>
            <w:pPr>
              <w:spacing w:after="100" w:line="580" w:lineRule="exact"/>
              <w:jc w:val="center"/>
              <w:rPr>
                <w:rFonts w:ascii="仿宋" w:hAnsi="仿宋" w:eastAsia="仿宋" w:cs="Times New Roman"/>
                <w:sz w:val="32"/>
                <w:szCs w:val="32"/>
              </w:rPr>
            </w:pPr>
            <w:r>
              <w:rPr>
                <w:rFonts w:hint="eastAsia" w:ascii="仿宋" w:hAnsi="仿宋" w:eastAsia="仿宋" w:cs="仿宋_GB2312"/>
                <w:sz w:val="32"/>
                <w:szCs w:val="32"/>
              </w:rPr>
              <w:t>鹤民发〔</w:t>
            </w:r>
            <w:r>
              <w:rPr>
                <w:rFonts w:ascii="仿宋" w:hAnsi="仿宋" w:eastAsia="仿宋" w:cs="Times New Roman"/>
                <w:sz w:val="32"/>
                <w:szCs w:val="32"/>
              </w:rPr>
              <w:t>20</w:t>
            </w:r>
            <w:r>
              <w:rPr>
                <w:rFonts w:hint="eastAsia" w:ascii="仿宋" w:hAnsi="仿宋" w:eastAsia="仿宋" w:cs="Times New Roman"/>
                <w:sz w:val="32"/>
                <w:szCs w:val="32"/>
              </w:rPr>
              <w:t>20</w:t>
            </w:r>
            <w:r>
              <w:rPr>
                <w:rFonts w:hint="eastAsia" w:ascii="仿宋" w:hAnsi="仿宋" w:eastAsia="仿宋" w:cs="仿宋_GB2312"/>
                <w:sz w:val="32"/>
                <w:szCs w:val="32"/>
              </w:rPr>
              <w:t>〕43号</w:t>
            </w:r>
          </w:p>
        </w:tc>
      </w:tr>
    </w:tbl>
    <w:p>
      <w:pPr>
        <w:jc w:val="center"/>
        <w:rPr>
          <w:rFonts w:ascii="仿宋" w:hAnsi="仿宋" w:eastAsia="仿宋" w:cs="Times New Roman"/>
          <w:b/>
          <w:bCs/>
          <w:sz w:val="44"/>
          <w:szCs w:val="44"/>
        </w:rPr>
      </w:pPr>
    </w:p>
    <w:p>
      <w:pPr>
        <w:spacing w:line="600" w:lineRule="exact"/>
        <w:jc w:val="center"/>
        <w:rPr>
          <w:rFonts w:cs="方正小标宋_GBK" w:asciiTheme="majorEastAsia" w:hAnsiTheme="majorEastAsia" w:eastAsiaTheme="majorEastAsia"/>
          <w:b/>
          <w:spacing w:val="-8"/>
          <w:kern w:val="0"/>
          <w:sz w:val="44"/>
          <w:szCs w:val="44"/>
        </w:rPr>
      </w:pPr>
      <w:r>
        <w:rPr>
          <w:rFonts w:hint="eastAsia" w:cs="方正小标宋_GBK" w:asciiTheme="majorEastAsia" w:hAnsiTheme="majorEastAsia" w:eastAsiaTheme="majorEastAsia"/>
          <w:b/>
          <w:spacing w:val="-8"/>
          <w:sz w:val="44"/>
          <w:szCs w:val="44"/>
        </w:rPr>
        <w:t>关于印发《</w:t>
      </w:r>
      <w:r>
        <w:rPr>
          <w:rFonts w:hint="eastAsia" w:cs="方正小标宋_GBK" w:asciiTheme="majorEastAsia" w:hAnsiTheme="majorEastAsia" w:eastAsiaTheme="majorEastAsia"/>
          <w:b/>
          <w:spacing w:val="-8"/>
          <w:kern w:val="0"/>
          <w:sz w:val="44"/>
          <w:szCs w:val="44"/>
        </w:rPr>
        <w:t>鹤城区建立社会救助兜底保障对象</w:t>
      </w:r>
    </w:p>
    <w:p>
      <w:pPr>
        <w:spacing w:line="600" w:lineRule="exact"/>
        <w:jc w:val="center"/>
        <w:rPr>
          <w:rFonts w:cs="方正小标宋_GBK" w:asciiTheme="majorEastAsia" w:hAnsiTheme="majorEastAsia" w:eastAsiaTheme="majorEastAsia"/>
          <w:b/>
          <w:kern w:val="0"/>
          <w:sz w:val="44"/>
          <w:szCs w:val="44"/>
        </w:rPr>
      </w:pPr>
      <w:r>
        <w:rPr>
          <w:rFonts w:hint="eastAsia" w:cs="方正小标宋_GBK" w:asciiTheme="majorEastAsia" w:hAnsiTheme="majorEastAsia" w:eastAsiaTheme="majorEastAsia"/>
          <w:b/>
          <w:kern w:val="0"/>
          <w:sz w:val="44"/>
          <w:szCs w:val="44"/>
        </w:rPr>
        <w:t>救助帮扶长效机制工作方案</w:t>
      </w:r>
      <w:r>
        <w:rPr>
          <w:rFonts w:hint="eastAsia" w:cs="方正小标宋_GBK" w:asciiTheme="majorEastAsia" w:hAnsiTheme="majorEastAsia" w:eastAsiaTheme="majorEastAsia"/>
          <w:b/>
          <w:sz w:val="44"/>
          <w:szCs w:val="44"/>
        </w:rPr>
        <w:t>》的通知</w:t>
      </w:r>
    </w:p>
    <w:p>
      <w:pPr>
        <w:rPr>
          <w:rFonts w:ascii="仿宋" w:hAnsi="仿宋" w:eastAsia="仿宋" w:cs="Times New Roman"/>
          <w:kern w:val="0"/>
          <w:sz w:val="32"/>
          <w:szCs w:val="32"/>
        </w:rPr>
      </w:pPr>
    </w:p>
    <w:p>
      <w:pPr>
        <w:spacing w:line="580" w:lineRule="exac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kern w:val="0"/>
          <w:sz w:val="32"/>
          <w:szCs w:val="32"/>
        </w:rPr>
        <w:t>区民政局、财政局、教育局、人力资源和社会保障局、住房和城乡建设局、农业农村局、卫生健康</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、扶贫办、医保局、残</w:t>
      </w:r>
      <w:r>
        <w:rPr>
          <w:rFonts w:hint="eastAsia" w:ascii="仿宋_GB2312" w:hAnsi="仿宋_GB2312" w:eastAsia="仿宋_GB2312" w:cs="仿宋_GB2312"/>
          <w:color w:val="000000" w:themeColor="text1"/>
          <w:kern w:val="0"/>
          <w:sz w:val="32"/>
          <w:szCs w:val="32"/>
        </w:rPr>
        <w:t>联</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现将《鹤城区</w:t>
      </w:r>
      <w:r>
        <w:rPr>
          <w:rFonts w:hint="eastAsia" w:ascii="仿宋_GB2312" w:hAnsi="仿宋_GB2312" w:eastAsia="仿宋_GB2312" w:cs="仿宋_GB2312"/>
          <w:color w:val="000000" w:themeColor="text1"/>
          <w:spacing w:val="-8"/>
          <w:kern w:val="0"/>
          <w:sz w:val="32"/>
          <w:szCs w:val="32"/>
        </w:rPr>
        <w:t>建立社会救助兜底保障对象</w:t>
      </w:r>
      <w:r>
        <w:rPr>
          <w:rFonts w:hint="eastAsia" w:ascii="仿宋_GB2312" w:hAnsi="仿宋_GB2312" w:eastAsia="仿宋_GB2312" w:cs="仿宋_GB2312"/>
          <w:color w:val="000000" w:themeColor="text1"/>
          <w:kern w:val="0"/>
          <w:sz w:val="32"/>
          <w:szCs w:val="32"/>
        </w:rPr>
        <w:t>救助帮扶长效机制工作方案》印发给你们，请认真贯彻落实。</w:t>
      </w:r>
    </w:p>
    <w:p>
      <w:pPr>
        <w:jc w:val="center"/>
        <w:rPr>
          <w:rFonts w:hint="eastAsia" w:ascii="仿宋_GB2312" w:hAnsi="仿宋_GB2312" w:eastAsia="仿宋_GB2312" w:cs="仿宋_GB2312"/>
          <w:color w:val="000000" w:themeColor="text1"/>
          <w:sz w:val="32"/>
          <w:szCs w:val="32"/>
        </w:rPr>
      </w:pPr>
    </w:p>
    <w:p>
      <w:pPr>
        <w:jc w:val="left"/>
        <w:rPr>
          <w:rFonts w:ascii="仿宋" w:hAnsi="仿宋" w:eastAsia="仿宋" w:cs="Times New Roman"/>
          <w:color w:val="000000" w:themeColor="text1"/>
          <w:spacing w:val="-10"/>
          <w:w w:val="90"/>
          <w:sz w:val="32"/>
          <w:szCs w:val="32"/>
        </w:rPr>
      </w:pPr>
    </w:p>
    <w:p>
      <w:pPr>
        <w:jc w:val="left"/>
        <w:rPr>
          <w:rFonts w:hint="eastAsia" w:ascii="仿宋_GB2312" w:hAnsi="仿宋_GB2312" w:eastAsia="仿宋_GB2312" w:cs="仿宋_GB2312"/>
          <w:color w:val="000000" w:themeColor="text1"/>
          <w:spacing w:val="-10"/>
          <w:w w:val="90"/>
          <w:sz w:val="32"/>
          <w:szCs w:val="32"/>
        </w:rPr>
      </w:pPr>
      <w:r>
        <w:rPr>
          <w:rFonts w:hint="eastAsia" w:ascii="仿宋_GB2312" w:hAnsi="仿宋_GB2312" w:eastAsia="仿宋_GB2312" w:cs="仿宋_GB2312"/>
          <w:color w:val="000000" w:themeColor="text1"/>
          <w:spacing w:val="-10"/>
          <w:w w:val="90"/>
          <w:sz w:val="32"/>
          <w:szCs w:val="32"/>
        </w:rPr>
        <w:t>鹤城区民政局                          鹤城区财政局</w:t>
      </w:r>
    </w:p>
    <w:p>
      <w:pPr>
        <w:jc w:val="left"/>
        <w:rPr>
          <w:rFonts w:hint="eastAsia" w:ascii="仿宋_GB2312" w:hAnsi="仿宋_GB2312" w:eastAsia="仿宋_GB2312" w:cs="仿宋_GB2312"/>
          <w:color w:val="000000" w:themeColor="text1"/>
          <w:spacing w:val="-10"/>
          <w:w w:val="90"/>
          <w:sz w:val="32"/>
          <w:szCs w:val="32"/>
        </w:rPr>
      </w:pPr>
    </w:p>
    <w:p>
      <w:pPr>
        <w:jc w:val="left"/>
        <w:rPr>
          <w:rFonts w:hint="eastAsia" w:ascii="仿宋_GB2312" w:hAnsi="仿宋_GB2312" w:eastAsia="仿宋_GB2312" w:cs="仿宋_GB2312"/>
          <w:color w:val="000000" w:themeColor="text1"/>
          <w:spacing w:val="-10"/>
          <w:w w:val="90"/>
          <w:sz w:val="32"/>
          <w:szCs w:val="32"/>
        </w:rPr>
      </w:pPr>
    </w:p>
    <w:p>
      <w:pPr>
        <w:jc w:val="left"/>
        <w:rPr>
          <w:rFonts w:hint="eastAsia" w:ascii="仿宋_GB2312" w:hAnsi="仿宋_GB2312" w:eastAsia="仿宋_GB2312" w:cs="仿宋_GB2312"/>
          <w:color w:val="000000" w:themeColor="text1"/>
          <w:spacing w:val="-10"/>
          <w:w w:val="90"/>
          <w:sz w:val="32"/>
          <w:szCs w:val="32"/>
        </w:rPr>
      </w:pPr>
      <w:r>
        <w:rPr>
          <w:rFonts w:hint="eastAsia" w:ascii="仿宋_GB2312" w:hAnsi="仿宋_GB2312" w:eastAsia="仿宋_GB2312" w:cs="仿宋_GB2312"/>
          <w:color w:val="000000" w:themeColor="text1"/>
          <w:spacing w:val="-10"/>
          <w:w w:val="90"/>
          <w:sz w:val="32"/>
          <w:szCs w:val="32"/>
        </w:rPr>
        <w:t>鹤城区教育局                          鹤城区人力资源和社会保障局</w:t>
      </w:r>
    </w:p>
    <w:p>
      <w:pPr>
        <w:jc w:val="left"/>
        <w:rPr>
          <w:rFonts w:hint="eastAsia" w:ascii="仿宋_GB2312" w:hAnsi="仿宋_GB2312" w:eastAsia="仿宋_GB2312" w:cs="仿宋_GB2312"/>
          <w:color w:val="000000" w:themeColor="text1"/>
          <w:spacing w:val="-10"/>
          <w:w w:val="90"/>
          <w:sz w:val="32"/>
          <w:szCs w:val="32"/>
        </w:rPr>
      </w:pPr>
    </w:p>
    <w:p>
      <w:pPr>
        <w:jc w:val="left"/>
        <w:rPr>
          <w:rFonts w:hint="eastAsia" w:ascii="仿宋_GB2312" w:hAnsi="仿宋_GB2312" w:eastAsia="仿宋_GB2312" w:cs="仿宋_GB2312"/>
          <w:color w:val="000000" w:themeColor="text1"/>
          <w:spacing w:val="-10"/>
          <w:w w:val="90"/>
          <w:sz w:val="32"/>
          <w:szCs w:val="32"/>
        </w:rPr>
      </w:pPr>
    </w:p>
    <w:p>
      <w:pPr>
        <w:jc w:val="left"/>
        <w:rPr>
          <w:rFonts w:hint="eastAsia" w:ascii="仿宋_GB2312" w:hAnsi="仿宋_GB2312" w:eastAsia="仿宋_GB2312" w:cs="仿宋_GB2312"/>
          <w:color w:val="000000" w:themeColor="text1"/>
          <w:spacing w:val="-10"/>
          <w:w w:val="90"/>
          <w:sz w:val="32"/>
          <w:szCs w:val="32"/>
        </w:rPr>
      </w:pPr>
      <w:r>
        <w:rPr>
          <w:rFonts w:hint="eastAsia" w:ascii="仿宋_GB2312" w:hAnsi="仿宋_GB2312" w:eastAsia="仿宋_GB2312" w:cs="仿宋_GB2312"/>
          <w:color w:val="000000" w:themeColor="text1"/>
          <w:spacing w:val="-10"/>
          <w:w w:val="90"/>
          <w:sz w:val="32"/>
          <w:szCs w:val="32"/>
        </w:rPr>
        <w:t>鹤城区住房和城乡建设局                鹤城区农业农村局</w:t>
      </w:r>
    </w:p>
    <w:p>
      <w:pPr>
        <w:jc w:val="left"/>
        <w:rPr>
          <w:rFonts w:hint="eastAsia" w:ascii="仿宋_GB2312" w:hAnsi="仿宋_GB2312" w:eastAsia="仿宋_GB2312" w:cs="仿宋_GB2312"/>
          <w:color w:val="000000" w:themeColor="text1"/>
          <w:spacing w:val="-10"/>
          <w:w w:val="90"/>
          <w:sz w:val="32"/>
          <w:szCs w:val="32"/>
        </w:rPr>
      </w:pPr>
    </w:p>
    <w:p>
      <w:pPr>
        <w:jc w:val="left"/>
        <w:rPr>
          <w:rFonts w:hint="eastAsia" w:ascii="仿宋_GB2312" w:hAnsi="仿宋_GB2312" w:eastAsia="仿宋_GB2312" w:cs="仿宋_GB2312"/>
          <w:color w:val="000000" w:themeColor="text1"/>
          <w:spacing w:val="-10"/>
          <w:w w:val="90"/>
          <w:sz w:val="32"/>
          <w:szCs w:val="32"/>
        </w:rPr>
      </w:pPr>
    </w:p>
    <w:p>
      <w:pPr>
        <w:jc w:val="left"/>
        <w:rPr>
          <w:rFonts w:hint="eastAsia" w:ascii="仿宋_GB2312" w:hAnsi="仿宋_GB2312" w:eastAsia="仿宋_GB2312" w:cs="仿宋_GB2312"/>
          <w:color w:val="000000" w:themeColor="text1"/>
          <w:spacing w:val="-10"/>
          <w:w w:val="90"/>
          <w:sz w:val="32"/>
          <w:szCs w:val="32"/>
        </w:rPr>
      </w:pPr>
      <w:r>
        <w:rPr>
          <w:rFonts w:hint="eastAsia" w:ascii="仿宋_GB2312" w:hAnsi="仿宋_GB2312" w:eastAsia="仿宋_GB2312" w:cs="仿宋_GB2312"/>
          <w:color w:val="000000" w:themeColor="text1"/>
          <w:spacing w:val="-10"/>
          <w:w w:val="90"/>
          <w:sz w:val="32"/>
          <w:szCs w:val="32"/>
        </w:rPr>
        <w:t>鹤城区卫生健康</w:t>
      </w:r>
      <w:r>
        <w:rPr>
          <w:rFonts w:hint="eastAsia" w:ascii="仿宋_GB2312" w:hAnsi="仿宋_GB2312" w:eastAsia="仿宋_GB2312" w:cs="仿宋_GB2312"/>
          <w:color w:val="000000" w:themeColor="text1"/>
          <w:spacing w:val="-10"/>
          <w:w w:val="90"/>
          <w:sz w:val="32"/>
          <w:szCs w:val="32"/>
          <w:lang w:eastAsia="zh-CN"/>
        </w:rPr>
        <w:t>局</w:t>
      </w:r>
      <w:r>
        <w:rPr>
          <w:rFonts w:hint="eastAsia" w:ascii="仿宋_GB2312" w:hAnsi="仿宋_GB2312" w:eastAsia="仿宋_GB2312" w:cs="仿宋_GB2312"/>
          <w:color w:val="000000" w:themeColor="text1"/>
          <w:spacing w:val="-10"/>
          <w:w w:val="90"/>
          <w:sz w:val="32"/>
          <w:szCs w:val="32"/>
        </w:rPr>
        <w:t xml:space="preserve">                    </w:t>
      </w:r>
      <w:r>
        <w:rPr>
          <w:rFonts w:hint="eastAsia" w:ascii="仿宋_GB2312" w:hAnsi="仿宋_GB2312" w:eastAsia="仿宋_GB2312" w:cs="仿宋_GB2312"/>
          <w:color w:val="000000" w:themeColor="text1"/>
          <w:spacing w:val="-10"/>
          <w:w w:val="90"/>
          <w:sz w:val="32"/>
          <w:szCs w:val="32"/>
          <w:lang w:val="en-US" w:eastAsia="zh-CN"/>
        </w:rPr>
        <w:t xml:space="preserve">   </w:t>
      </w:r>
      <w:r>
        <w:rPr>
          <w:rFonts w:hint="eastAsia" w:ascii="仿宋_GB2312" w:hAnsi="仿宋_GB2312" w:eastAsia="仿宋_GB2312" w:cs="仿宋_GB2312"/>
          <w:color w:val="000000" w:themeColor="text1"/>
          <w:spacing w:val="-10"/>
          <w:w w:val="90"/>
          <w:sz w:val="32"/>
          <w:szCs w:val="32"/>
        </w:rPr>
        <w:t>鹤城区扶贫开发办公室</w:t>
      </w:r>
    </w:p>
    <w:p>
      <w:pPr>
        <w:jc w:val="left"/>
        <w:rPr>
          <w:rFonts w:hint="eastAsia" w:ascii="仿宋_GB2312" w:hAnsi="仿宋_GB2312" w:eastAsia="仿宋_GB2312" w:cs="仿宋_GB2312"/>
          <w:color w:val="000000" w:themeColor="text1"/>
          <w:spacing w:val="-10"/>
          <w:w w:val="90"/>
          <w:sz w:val="32"/>
          <w:szCs w:val="32"/>
        </w:rPr>
      </w:pPr>
    </w:p>
    <w:p>
      <w:pPr>
        <w:jc w:val="left"/>
        <w:rPr>
          <w:rFonts w:hint="eastAsia" w:ascii="仿宋_GB2312" w:hAnsi="仿宋_GB2312" w:eastAsia="仿宋_GB2312" w:cs="仿宋_GB2312"/>
          <w:color w:val="000000" w:themeColor="text1"/>
          <w:spacing w:val="-10"/>
          <w:w w:val="90"/>
          <w:sz w:val="32"/>
          <w:szCs w:val="32"/>
        </w:rPr>
      </w:pPr>
    </w:p>
    <w:p>
      <w:pPr>
        <w:jc w:val="left"/>
        <w:rPr>
          <w:rFonts w:hint="eastAsia" w:ascii="仿宋_GB2312" w:hAnsi="仿宋_GB2312" w:eastAsia="仿宋_GB2312" w:cs="仿宋_GB2312"/>
          <w:color w:val="000000" w:themeColor="text1"/>
          <w:spacing w:val="-10"/>
          <w:w w:val="90"/>
          <w:sz w:val="32"/>
          <w:szCs w:val="32"/>
        </w:rPr>
      </w:pPr>
      <w:r>
        <w:rPr>
          <w:rFonts w:hint="eastAsia" w:ascii="仿宋_GB2312" w:hAnsi="仿宋_GB2312" w:eastAsia="仿宋_GB2312" w:cs="仿宋_GB2312"/>
          <w:color w:val="000000" w:themeColor="text1"/>
          <w:spacing w:val="-10"/>
          <w:w w:val="90"/>
          <w:sz w:val="32"/>
          <w:szCs w:val="32"/>
        </w:rPr>
        <w:t xml:space="preserve">鹤城区医疗保障局                      </w:t>
      </w:r>
      <w:r>
        <w:rPr>
          <w:rFonts w:hint="eastAsia" w:ascii="仿宋_GB2312" w:hAnsi="仿宋_GB2312" w:eastAsia="仿宋_GB2312" w:cs="仿宋_GB2312"/>
          <w:color w:val="000000" w:themeColor="text1"/>
          <w:spacing w:val="-10"/>
          <w:w w:val="90"/>
          <w:sz w:val="32"/>
          <w:szCs w:val="32"/>
          <w:lang w:val="en-US" w:eastAsia="zh-CN"/>
        </w:rPr>
        <w:t xml:space="preserve"> </w:t>
      </w:r>
      <w:r>
        <w:rPr>
          <w:rFonts w:hint="eastAsia" w:ascii="仿宋_GB2312" w:hAnsi="仿宋_GB2312" w:eastAsia="仿宋_GB2312" w:cs="仿宋_GB2312"/>
          <w:color w:val="000000" w:themeColor="text1"/>
          <w:spacing w:val="-10"/>
          <w:w w:val="90"/>
          <w:sz w:val="32"/>
          <w:szCs w:val="32"/>
        </w:rPr>
        <w:t>鹤城区残疾人联合会</w:t>
      </w:r>
    </w:p>
    <w:p>
      <w:pPr>
        <w:pStyle w:val="13"/>
        <w:rPr>
          <w:rFonts w:hint="eastAsia" w:ascii="仿宋_GB2312" w:hAnsi="仿宋_GB2312" w:eastAsia="仿宋_GB2312" w:cs="仿宋_GB2312"/>
          <w:color w:val="000000" w:themeColor="text1"/>
          <w:kern w:val="0"/>
          <w:sz w:val="32"/>
          <w:szCs w:val="32"/>
        </w:rPr>
      </w:pPr>
    </w:p>
    <w:p>
      <w:pPr>
        <w:pStyle w:val="13"/>
        <w:ind w:firstLine="5600" w:firstLineChars="175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2020年7月27日</w:t>
      </w:r>
    </w:p>
    <w:p>
      <w:pPr>
        <w:pStyle w:val="13"/>
        <w:ind w:firstLine="5600" w:firstLineChars="1750"/>
        <w:rPr>
          <w:rFonts w:hint="eastAsia" w:ascii="仿宋_GB2312" w:hAnsi="仿宋_GB2312" w:eastAsia="仿宋_GB2312" w:cs="仿宋_GB2312"/>
          <w:color w:val="000000" w:themeColor="text1"/>
          <w:kern w:val="0"/>
          <w:sz w:val="32"/>
          <w:szCs w:val="32"/>
        </w:rPr>
      </w:pPr>
    </w:p>
    <w:p>
      <w:pPr>
        <w:spacing w:line="600" w:lineRule="exact"/>
        <w:jc w:val="center"/>
        <w:rPr>
          <w:rFonts w:cs="方正小标宋_GBK" w:asciiTheme="majorEastAsia" w:hAnsiTheme="majorEastAsia" w:eastAsiaTheme="majorEastAsia"/>
          <w:b/>
          <w:color w:val="000000" w:themeColor="text1"/>
          <w:kern w:val="0"/>
          <w:sz w:val="44"/>
          <w:szCs w:val="44"/>
        </w:rPr>
      </w:pPr>
      <w:r>
        <w:rPr>
          <w:rFonts w:hint="eastAsia" w:cs="方正小标宋_GBK" w:asciiTheme="majorEastAsia" w:hAnsiTheme="majorEastAsia" w:eastAsiaTheme="majorEastAsia"/>
          <w:b/>
          <w:color w:val="000000" w:themeColor="text1"/>
          <w:kern w:val="0"/>
          <w:sz w:val="44"/>
          <w:szCs w:val="44"/>
        </w:rPr>
        <w:t>鹤城区建立社会救助兜底保障对象</w:t>
      </w:r>
    </w:p>
    <w:p>
      <w:pPr>
        <w:spacing w:line="600" w:lineRule="exact"/>
        <w:jc w:val="center"/>
        <w:rPr>
          <w:rFonts w:cs="方正小标宋_GBK" w:asciiTheme="majorEastAsia" w:hAnsiTheme="majorEastAsia" w:eastAsiaTheme="majorEastAsia"/>
          <w:b/>
          <w:color w:val="000000" w:themeColor="text1"/>
          <w:kern w:val="0"/>
          <w:sz w:val="44"/>
          <w:szCs w:val="44"/>
        </w:rPr>
      </w:pPr>
      <w:r>
        <w:rPr>
          <w:rFonts w:hint="eastAsia" w:cs="方正小标宋_GBK" w:asciiTheme="majorEastAsia" w:hAnsiTheme="majorEastAsia" w:eastAsiaTheme="majorEastAsia"/>
          <w:b/>
          <w:color w:val="000000" w:themeColor="text1"/>
          <w:kern w:val="0"/>
          <w:sz w:val="44"/>
          <w:szCs w:val="44"/>
        </w:rPr>
        <w:t>救助帮扶长效机制工作方案</w:t>
      </w:r>
    </w:p>
    <w:p>
      <w:pPr>
        <w:ind w:firstLine="640" w:firstLineChars="200"/>
        <w:rPr>
          <w:rFonts w:ascii="仿宋" w:hAnsi="仿宋" w:eastAsia="仿宋" w:cs="Times New Roman"/>
          <w:color w:val="000000" w:themeColor="text1"/>
          <w:kern w:val="0"/>
          <w:sz w:val="32"/>
          <w:szCs w:val="32"/>
        </w:rPr>
      </w:pPr>
    </w:p>
    <w:p>
      <w:pPr>
        <w:spacing w:line="600" w:lineRule="exact"/>
        <w:ind w:firstLine="640" w:firstLineChars="20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为贯彻落实习近平总书记关于探索建立稳定脱贫长效机制的重要指示精神，根据省委、省政府和市委、市政府、区委、区政府关于打赢脱贫攻坚战三年行动的实施意见要求和湖南省民政厅等部门《关于建立社会救助兜底保障对象救助帮扶长效机制的通知》（湘民发〔2020〕3号）精神及关于印发《怀化市建立社会救助兜底保障对象救助帮扶长效机制工作方案》（怀民发〔2020〕9号）的通知，结合我区实际，特制定本方案。</w:t>
      </w:r>
    </w:p>
    <w:p>
      <w:pPr>
        <w:ind w:firstLine="643" w:firstLineChars="200"/>
        <w:rPr>
          <w:rFonts w:hint="eastAsia" w:ascii="仿宋_GB2312" w:hAnsi="仿宋_GB2312" w:eastAsia="仿宋_GB2312" w:cs="仿宋_GB2312"/>
          <w:b/>
          <w:color w:val="000000" w:themeColor="text1"/>
          <w:kern w:val="0"/>
          <w:sz w:val="32"/>
          <w:szCs w:val="32"/>
        </w:rPr>
      </w:pPr>
      <w:r>
        <w:rPr>
          <w:rFonts w:hint="eastAsia" w:ascii="仿宋_GB2312" w:hAnsi="仿宋_GB2312" w:eastAsia="仿宋_GB2312" w:cs="仿宋_GB2312"/>
          <w:b/>
          <w:color w:val="000000" w:themeColor="text1"/>
          <w:kern w:val="0"/>
          <w:sz w:val="32"/>
          <w:szCs w:val="32"/>
        </w:rPr>
        <w:t>一、工作目标</w:t>
      </w:r>
    </w:p>
    <w:p>
      <w:pPr>
        <w:ind w:firstLine="640" w:firstLineChars="20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sz w:val="32"/>
          <w:szCs w:val="32"/>
        </w:rPr>
        <w:t>坚持以习近平新时代中国特色社会主义思想为指导，全面贯彻落实中央、省、市脱贫攻坚决策部署，进一步</w:t>
      </w:r>
      <w:r>
        <w:rPr>
          <w:rFonts w:hint="eastAsia" w:ascii="仿宋_GB2312" w:hAnsi="仿宋_GB2312" w:eastAsia="仿宋_GB2312" w:cs="仿宋_GB2312"/>
          <w:color w:val="000000" w:themeColor="text1"/>
          <w:kern w:val="0"/>
          <w:sz w:val="32"/>
          <w:szCs w:val="32"/>
        </w:rPr>
        <w:t>提高政治站位，统一思想认识，</w:t>
      </w:r>
      <w:r>
        <w:rPr>
          <w:rFonts w:hint="eastAsia" w:ascii="仿宋_GB2312" w:hAnsi="仿宋_GB2312" w:eastAsia="仿宋_GB2312" w:cs="仿宋_GB2312"/>
          <w:color w:val="000000" w:themeColor="text1"/>
          <w:sz w:val="32"/>
          <w:szCs w:val="32"/>
        </w:rPr>
        <w:t>建立救助帮扶长效机制，重点做好</w:t>
      </w:r>
      <w:r>
        <w:rPr>
          <w:rFonts w:hint="eastAsia" w:ascii="仿宋_GB2312" w:hAnsi="仿宋_GB2312" w:eastAsia="仿宋_GB2312" w:cs="仿宋_GB2312"/>
          <w:color w:val="000000" w:themeColor="text1"/>
          <w:kern w:val="0"/>
          <w:sz w:val="32"/>
          <w:szCs w:val="32"/>
        </w:rPr>
        <w:t>农村建档立卡贫困人口中低保对象、特困人员等社会救助兜底保障对象（以下简称“兜底保障对象”</w:t>
      </w:r>
      <w:r>
        <w:rPr>
          <w:rFonts w:hint="eastAsia" w:ascii="仿宋_GB2312" w:hAnsi="仿宋_GB2312" w:eastAsia="仿宋_GB2312" w:cs="仿宋_GB2312"/>
          <w:color w:val="000000" w:themeColor="text1"/>
          <w:sz w:val="32"/>
          <w:szCs w:val="32"/>
        </w:rPr>
        <w:t>）的基本生活、教育、医疗、住房、产业、就业等方面保障工作，编密织牢基本民生安全网，充分发挥社会救助兜底保障在脱贫攻坚中的兜底作用，</w:t>
      </w:r>
      <w:r>
        <w:rPr>
          <w:rFonts w:hint="eastAsia" w:ascii="仿宋_GB2312" w:hAnsi="仿宋_GB2312" w:eastAsia="仿宋_GB2312" w:cs="仿宋_GB2312"/>
          <w:color w:val="000000" w:themeColor="text1"/>
          <w:kern w:val="0"/>
          <w:sz w:val="32"/>
          <w:szCs w:val="32"/>
        </w:rPr>
        <w:t>提高脱贫质量，巩固脱贫成果，全面打赢打好脱贫攻坚战，确保2020年脱贫攻坚战结束之后，帮扶焦点不散、靶心不变、力度不减，为如期实现全面小康打下坚实基础。</w:t>
      </w:r>
    </w:p>
    <w:p>
      <w:pPr>
        <w:ind w:firstLine="643" w:firstLineChars="200"/>
        <w:rPr>
          <w:rFonts w:hint="eastAsia" w:ascii="仿宋_GB2312" w:hAnsi="仿宋_GB2312" w:eastAsia="仿宋_GB2312" w:cs="仿宋_GB2312"/>
          <w:b/>
          <w:color w:val="000000" w:themeColor="text1"/>
          <w:kern w:val="0"/>
          <w:sz w:val="32"/>
          <w:szCs w:val="32"/>
        </w:rPr>
      </w:pPr>
      <w:r>
        <w:rPr>
          <w:rFonts w:hint="eastAsia" w:ascii="仿宋_GB2312" w:hAnsi="仿宋_GB2312" w:eastAsia="仿宋_GB2312" w:cs="仿宋_GB2312"/>
          <w:b/>
          <w:color w:val="000000" w:themeColor="text1"/>
          <w:kern w:val="0"/>
          <w:sz w:val="32"/>
          <w:szCs w:val="32"/>
        </w:rPr>
        <w:t>二、基本原则</w:t>
      </w:r>
    </w:p>
    <w:p>
      <w:pPr>
        <w:ind w:firstLine="321" w:firstLineChars="10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b/>
          <w:bCs/>
          <w:color w:val="000000" w:themeColor="text1"/>
          <w:kern w:val="0"/>
          <w:sz w:val="32"/>
          <w:szCs w:val="32"/>
        </w:rPr>
        <w:t>（一）政府主导、部门配合、社会参与。</w:t>
      </w:r>
      <w:r>
        <w:rPr>
          <w:rFonts w:hint="eastAsia" w:ascii="仿宋_GB2312" w:hAnsi="仿宋_GB2312" w:eastAsia="仿宋_GB2312" w:cs="仿宋_GB2312"/>
          <w:color w:val="000000" w:themeColor="text1"/>
          <w:kern w:val="0"/>
          <w:sz w:val="32"/>
          <w:szCs w:val="32"/>
        </w:rPr>
        <w:t>充分发挥政府职能，严格落实部门职责，鼓励社会力量共同参与。</w:t>
      </w:r>
    </w:p>
    <w:p>
      <w:pPr>
        <w:ind w:firstLine="321" w:firstLineChars="10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b/>
          <w:bCs/>
          <w:color w:val="000000" w:themeColor="text1"/>
          <w:kern w:val="0"/>
          <w:sz w:val="32"/>
          <w:szCs w:val="32"/>
        </w:rPr>
        <w:t>（二）统筹推进、有效衔接、综合施策。</w:t>
      </w:r>
      <w:r>
        <w:rPr>
          <w:rFonts w:hint="eastAsia" w:ascii="仿宋_GB2312" w:hAnsi="仿宋_GB2312" w:eastAsia="仿宋_GB2312" w:cs="仿宋_GB2312"/>
          <w:color w:val="000000" w:themeColor="text1"/>
          <w:kern w:val="0"/>
          <w:sz w:val="32"/>
          <w:szCs w:val="32"/>
        </w:rPr>
        <w:t>积极统筹各类政策、资金，制定具体帮扶措施，畅通帮扶渠道，实施有效帮扶。</w:t>
      </w:r>
    </w:p>
    <w:p>
      <w:pPr>
        <w:ind w:firstLine="321" w:firstLineChars="10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b/>
          <w:bCs/>
          <w:color w:val="000000" w:themeColor="text1"/>
          <w:kern w:val="0"/>
          <w:sz w:val="32"/>
          <w:szCs w:val="32"/>
        </w:rPr>
        <w:t>（三）应保尽保、应救尽救、应兜尽兜。</w:t>
      </w:r>
      <w:r>
        <w:rPr>
          <w:rFonts w:hint="eastAsia" w:ascii="仿宋_GB2312" w:hAnsi="仿宋_GB2312" w:eastAsia="仿宋_GB2312" w:cs="仿宋_GB2312"/>
          <w:color w:val="000000" w:themeColor="text1"/>
          <w:kern w:val="0"/>
          <w:sz w:val="32"/>
          <w:szCs w:val="32"/>
        </w:rPr>
        <w:t>将所有符合条件的对象按规定纳入社会救助兜底保障帮扶范围，实现帮扶全覆盖。</w:t>
      </w:r>
    </w:p>
    <w:p>
      <w:pPr>
        <w:ind w:firstLine="643" w:firstLineChars="200"/>
        <w:rPr>
          <w:rFonts w:hint="eastAsia" w:ascii="仿宋_GB2312" w:hAnsi="仿宋_GB2312" w:eastAsia="仿宋_GB2312" w:cs="仿宋_GB2312"/>
          <w:b/>
          <w:color w:val="000000" w:themeColor="text1"/>
          <w:kern w:val="0"/>
          <w:sz w:val="32"/>
          <w:szCs w:val="32"/>
        </w:rPr>
      </w:pPr>
      <w:r>
        <w:rPr>
          <w:rFonts w:hint="eastAsia" w:ascii="仿宋_GB2312" w:hAnsi="仿宋_GB2312" w:eastAsia="仿宋_GB2312" w:cs="仿宋_GB2312"/>
          <w:b/>
          <w:color w:val="000000" w:themeColor="text1"/>
          <w:kern w:val="0"/>
          <w:sz w:val="32"/>
          <w:szCs w:val="32"/>
        </w:rPr>
        <w:t>三、主要措施</w:t>
      </w:r>
    </w:p>
    <w:p>
      <w:pPr>
        <w:spacing w:line="580" w:lineRule="exact"/>
        <w:ind w:firstLine="321" w:firstLineChars="10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b/>
          <w:bCs/>
          <w:color w:val="000000" w:themeColor="text1"/>
          <w:kern w:val="0"/>
          <w:sz w:val="32"/>
          <w:szCs w:val="32"/>
        </w:rPr>
        <w:t>（一）保障基本生活。一是</w:t>
      </w:r>
      <w:r>
        <w:rPr>
          <w:rFonts w:hint="eastAsia" w:ascii="仿宋_GB2312" w:hAnsi="仿宋_GB2312" w:eastAsia="仿宋_GB2312" w:cs="仿宋_GB2312"/>
          <w:color w:val="000000" w:themeColor="text1"/>
          <w:kern w:val="0"/>
          <w:sz w:val="32"/>
          <w:szCs w:val="32"/>
        </w:rPr>
        <w:t>及时将符合条件的贫困人口按规定程序纳入低保或特困人员供养范围，确保应保尽保。</w:t>
      </w:r>
      <w:r>
        <w:rPr>
          <w:rFonts w:hint="eastAsia" w:ascii="仿宋_GB2312" w:hAnsi="仿宋_GB2312" w:eastAsia="仿宋_GB2312" w:cs="仿宋_GB2312"/>
          <w:color w:val="000000" w:themeColor="text1"/>
          <w:sz w:val="32"/>
          <w:szCs w:val="32"/>
        </w:rPr>
        <w:t>对未脱贫建档立卡贫困户中的重度残疾人、重病患者参照“单人户”纳入低保。对于家庭成员因残疾、重病和接受普通高中教育、中等职业教育、高等教育等全日制学历教育增加的刚性支出，以及必要的就业成本，在核算家庭收入时按当地核算评估办法适当扣减，落实低保渐退机制，巩固兜底保障脱贫成果。</w:t>
      </w:r>
      <w:r>
        <w:rPr>
          <w:rFonts w:hint="eastAsia" w:ascii="仿宋_GB2312" w:hAnsi="仿宋_GB2312" w:eastAsia="仿宋_GB2312" w:cs="仿宋_GB2312"/>
          <w:b/>
          <w:color w:val="000000" w:themeColor="text1"/>
          <w:sz w:val="32"/>
          <w:szCs w:val="32"/>
        </w:rPr>
        <w:t>二是</w:t>
      </w:r>
      <w:r>
        <w:rPr>
          <w:rFonts w:hint="eastAsia" w:ascii="仿宋_GB2312" w:hAnsi="仿宋_GB2312" w:eastAsia="仿宋_GB2312" w:cs="仿宋_GB2312"/>
          <w:color w:val="000000" w:themeColor="text1"/>
          <w:sz w:val="32"/>
          <w:szCs w:val="32"/>
        </w:rPr>
        <w:t>及时将符合条件的贫困人口纳入特困救助供养范围。加强分散供养特困人员照料护理服务。开展特困人员生活自理能力评估，摸清特困人员全护理、半护理、全自理底数和失能半失能特困人员集中供养需求，进一步提高生活不能自理特困人员集中供养率。</w:t>
      </w:r>
      <w:r>
        <w:rPr>
          <w:rFonts w:hint="eastAsia" w:ascii="仿宋_GB2312" w:hAnsi="仿宋_GB2312" w:eastAsia="仿宋_GB2312" w:cs="仿宋_GB2312"/>
          <w:b/>
          <w:color w:val="000000" w:themeColor="text1"/>
          <w:sz w:val="32"/>
          <w:szCs w:val="32"/>
        </w:rPr>
        <w:t>三是</w:t>
      </w:r>
      <w:r>
        <w:rPr>
          <w:rFonts w:hint="eastAsia" w:ascii="仿宋_GB2312" w:hAnsi="仿宋_GB2312" w:eastAsia="仿宋_GB2312" w:cs="仿宋_GB2312"/>
          <w:color w:val="000000" w:themeColor="text1"/>
          <w:sz w:val="32"/>
          <w:szCs w:val="32"/>
        </w:rPr>
        <w:t>完善临时救助政策，简化优化临时救助审核审批程序。有序开展“救急难”工作，可“现行救助、后办手续”。健全乡镇临时救助备用金制度，加强临时救助和低保政策的衔接，及时加大对城乡低保对象、城乡特困人员、返贫人口、新增贫困人口基本生活出现暂时困难的人员临时救助力度。对存在医疗、教育、住房、就业、安全饮水等困难的对象，要及时与相关行业部门对接，采取综合措施解决“两不愁三保障”问题。</w:t>
      </w:r>
      <w:r>
        <w:rPr>
          <w:rFonts w:hint="eastAsia" w:ascii="仿宋_GB2312" w:hAnsi="仿宋_GB2312" w:eastAsia="仿宋_GB2312" w:cs="仿宋_GB2312"/>
          <w:color w:val="000000" w:themeColor="text1"/>
          <w:kern w:val="0"/>
          <w:sz w:val="32"/>
          <w:szCs w:val="32"/>
        </w:rPr>
        <w:t>（区民政局负责）</w:t>
      </w:r>
    </w:p>
    <w:p>
      <w:pPr>
        <w:spacing w:line="540" w:lineRule="exact"/>
        <w:ind w:firstLine="321" w:firstLineChars="100"/>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kern w:val="0"/>
          <w:sz w:val="32"/>
          <w:szCs w:val="32"/>
        </w:rPr>
        <w:t>（二）保障基本教育。</w:t>
      </w:r>
      <w:r>
        <w:rPr>
          <w:rFonts w:hint="eastAsia" w:ascii="仿宋_GB2312" w:hAnsi="仿宋_GB2312" w:eastAsia="仿宋_GB2312" w:cs="仿宋_GB2312"/>
          <w:color w:val="000000" w:themeColor="text1"/>
          <w:sz w:val="32"/>
          <w:szCs w:val="32"/>
        </w:rPr>
        <w:t>确保兜底保障对象家庭子女接受九年义务教育，确保有学上、上得起学。强化义务教育控辍保学联控联保责任，实施兜底保障对象家庭学生台账化精准控辍。实施好农村义务教育学生营养改善计划，按学籍属地原则，落实好义务教育阶段家庭经济困难学生生活补助政策。落实普通高中兜底保障对象家庭学生资助、免费发放教科书等政策。积极开展“两后生”职业技能培训，按规定落实国家中职学校学生免学费和助学金政策。加大“雨露计划”职业学历教育扶贫补助力度，对接受职业学历教育的兜底保障对象家庭学生实施应补尽补</w:t>
      </w:r>
      <w:r>
        <w:rPr>
          <w:rFonts w:hint="eastAsia" w:ascii="仿宋_GB2312" w:hAnsi="仿宋_GB2312" w:eastAsia="仿宋_GB2312" w:cs="仿宋_GB2312"/>
          <w:color w:val="000000" w:themeColor="text1"/>
          <w:kern w:val="0"/>
          <w:sz w:val="32"/>
          <w:szCs w:val="32"/>
        </w:rPr>
        <w:t>。落实进城农村贫困人口随迁子女享有普惠性学前教育资助、中等职业教育国家助学金、中等职业教育免除学杂费、普通高中国家助学金、普通高中建档立卡等家庭经济困难学生免除学杂费等学生资助政策。（区教育局、区扶贫办等负责）</w:t>
      </w:r>
    </w:p>
    <w:p>
      <w:pPr>
        <w:spacing w:line="540" w:lineRule="exact"/>
        <w:ind w:firstLine="321" w:firstLineChars="1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kern w:val="0"/>
          <w:sz w:val="32"/>
          <w:szCs w:val="32"/>
        </w:rPr>
        <w:t>（三）保障基本医疗。</w:t>
      </w:r>
      <w:r>
        <w:rPr>
          <w:rFonts w:hint="eastAsia" w:ascii="仿宋_GB2312" w:hAnsi="仿宋_GB2312" w:eastAsia="仿宋_GB2312" w:cs="仿宋_GB2312"/>
          <w:color w:val="000000" w:themeColor="text1"/>
          <w:sz w:val="32"/>
          <w:szCs w:val="32"/>
        </w:rPr>
        <w:t>完善统一的城乡居民基本医疗保险制度和大病保险制度。落实兜底保障对象参加城乡居民医疗保险分类资助政策，将兜底保障对象纳入城乡居民基本医疗保险和大病保险制度覆盖范围。进一步完善城乡医疗救助制度，确保医疗救助与基本医疗保险、大病保险政策有效衔接。兜底保障对象在各级定点医疗机构发生的政策范围内医疗费用，经基本医疗保险、大病保险和其他补充保险支付后，家庭经济仍难以承担的符合规定的基本医疗自负费用，按照统筹区医疗救助政策规定及时给予救助。特困人员因病住院首诊原则上应选择户籍所在地的基层医疗卫生机构（定点的乡镇卫生院或社区卫生服务中心）就近就医，确因病情需要转诊到区级定点医疗机构住院的，须按有关规定办理转诊手续。特困人员在区、乡级定点医疗机构住院的，按照统筹地城乡居民基本医疗保险、大病保险政策规定报销后的基本医疗自负费用（含起付线以下的部分），由医疗救助资金统筹解决；在区级以上定点医疗机构或区域外住院的，按统筹区医疗救助政策规定执行。全面落实兜底保障对象家庭医生签约服务政策。</w:t>
      </w:r>
      <w:r>
        <w:rPr>
          <w:rFonts w:hint="eastAsia" w:ascii="仿宋_GB2312" w:hAnsi="仿宋_GB2312" w:eastAsia="仿宋_GB2312" w:cs="仿宋_GB2312"/>
          <w:color w:val="000000" w:themeColor="text1"/>
          <w:kern w:val="0"/>
          <w:sz w:val="32"/>
          <w:szCs w:val="32"/>
        </w:rPr>
        <w:t>（区医保局、区卫生健康</w:t>
      </w:r>
      <w:r>
        <w:rPr>
          <w:rFonts w:hint="eastAsia" w:ascii="仿宋_GB2312" w:hAnsi="仿宋_GB2312" w:eastAsia="仿宋_GB2312" w:cs="仿宋_GB2312"/>
          <w:color w:val="000000" w:themeColor="text1"/>
          <w:kern w:val="0"/>
          <w:sz w:val="32"/>
          <w:szCs w:val="32"/>
          <w:lang w:eastAsia="zh-CN"/>
        </w:rPr>
        <w:t>局</w:t>
      </w:r>
      <w:r>
        <w:rPr>
          <w:rFonts w:hint="eastAsia" w:ascii="仿宋_GB2312" w:hAnsi="仿宋_GB2312" w:eastAsia="仿宋_GB2312" w:cs="仿宋_GB2312"/>
          <w:color w:val="000000" w:themeColor="text1"/>
          <w:kern w:val="0"/>
          <w:sz w:val="32"/>
          <w:szCs w:val="32"/>
        </w:rPr>
        <w:t>等负责）</w:t>
      </w:r>
    </w:p>
    <w:p>
      <w:pPr>
        <w:ind w:firstLine="321" w:firstLineChars="100"/>
        <w:textAlignment w:val="top"/>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kern w:val="0"/>
          <w:sz w:val="32"/>
          <w:szCs w:val="32"/>
        </w:rPr>
        <w:t>（四）保障住房安全。</w:t>
      </w:r>
      <w:r>
        <w:rPr>
          <w:rFonts w:hint="eastAsia" w:ascii="仿宋_GB2312" w:hAnsi="仿宋_GB2312" w:eastAsia="仿宋_GB2312" w:cs="仿宋_GB2312"/>
          <w:color w:val="000000" w:themeColor="text1"/>
          <w:sz w:val="32"/>
          <w:szCs w:val="32"/>
        </w:rPr>
        <w:t>区级民政部门及时向区级住房和城乡建设部门提供社会救助兜底保障对象名单，区级住房和城乡建设部门根据名单加强入户核查，做好兜底保障对象住房安全性鉴定工作。推动差异化补助政策落实，加大对保障对象的补助力度。落实符合条件的进城兜底保障·对象享有政府提供基本住房保障的政策，兜底保障对象在稳定就业地可申请公租房，通过公租房实物保障和租赁补贴等方式给予帮扶。</w:t>
      </w:r>
      <w:r>
        <w:rPr>
          <w:rFonts w:hint="eastAsia" w:ascii="仿宋_GB2312" w:hAnsi="仿宋_GB2312" w:eastAsia="仿宋_GB2312" w:cs="仿宋_GB2312"/>
          <w:color w:val="000000" w:themeColor="text1"/>
          <w:kern w:val="0"/>
          <w:sz w:val="32"/>
          <w:szCs w:val="32"/>
        </w:rPr>
        <w:t>（区住建局负责）</w:t>
      </w:r>
    </w:p>
    <w:p>
      <w:pPr>
        <w:spacing w:line="540" w:lineRule="exact"/>
        <w:ind w:firstLine="321" w:firstLineChars="10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b/>
          <w:bCs/>
          <w:color w:val="000000" w:themeColor="text1"/>
          <w:kern w:val="0"/>
          <w:sz w:val="32"/>
          <w:szCs w:val="32"/>
        </w:rPr>
        <w:t>（五）加强产业帮扶。</w:t>
      </w:r>
      <w:r>
        <w:rPr>
          <w:rFonts w:hint="eastAsia" w:ascii="仿宋_GB2312" w:hAnsi="仿宋_GB2312" w:eastAsia="仿宋_GB2312" w:cs="仿宋_GB2312"/>
          <w:color w:val="000000" w:themeColor="text1"/>
          <w:sz w:val="32"/>
          <w:szCs w:val="32"/>
        </w:rPr>
        <w:t>要培育一批贫困人口参与度高、带动贫困户长期稳定增收能力强的扶贫产业，力争有产业发展能力和意愿的贫困户有1个以上产业增收项目，有培训意愿的贫困户掌握1门以上就业创业技能。在直接帮扶、委托帮扶和股份合作等帮扶模式的基础上，创新帮扶模式，强化资产收益扶贫，切实保障兜底保障对象长久受益。</w:t>
      </w:r>
      <w:r>
        <w:rPr>
          <w:rFonts w:hint="eastAsia" w:ascii="仿宋_GB2312" w:hAnsi="仿宋_GB2312" w:eastAsia="仿宋_GB2312" w:cs="仿宋_GB2312"/>
          <w:color w:val="000000" w:themeColor="text1"/>
          <w:kern w:val="0"/>
          <w:sz w:val="32"/>
          <w:szCs w:val="32"/>
        </w:rPr>
        <w:t>（区农业农村局、区人力资源和社会保障局、区扶贫办等负责）</w:t>
      </w:r>
    </w:p>
    <w:p>
      <w:pPr>
        <w:spacing w:line="540" w:lineRule="exact"/>
        <w:ind w:firstLine="321" w:firstLineChars="10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b/>
          <w:bCs/>
          <w:color w:val="000000" w:themeColor="text1"/>
          <w:kern w:val="0"/>
          <w:sz w:val="32"/>
          <w:szCs w:val="32"/>
        </w:rPr>
        <w:t>（六）加强就业帮扶。</w:t>
      </w:r>
      <w:r>
        <w:rPr>
          <w:rFonts w:hint="eastAsia" w:ascii="仿宋_GB2312" w:hAnsi="仿宋_GB2312" w:eastAsia="仿宋_GB2312" w:cs="仿宋_GB2312"/>
          <w:color w:val="000000" w:themeColor="text1"/>
          <w:sz w:val="32"/>
          <w:szCs w:val="32"/>
        </w:rPr>
        <w:t>深入开展“311”就业服务行动，每年至少为登记失业的兜底保障对象家庭劳动力推荐3次岗位信息、提供1次职业指导、提供1次免费技能培训信息。采取政府购买服务的方式，加大就业援助力度。对有创业意愿及创业条件的兜底保障对象家庭劳动力，及时开展创业培训，落实税费减免、资金补贴、创业担保贷款等政策。法定劳动年龄内、有就业能力、有就业需求的进城建档立卡贫困人口、农村低保对象可持身份证，到常住地社区公共就业服务平台申请失业登记，常住地社区公共就业服务平台要积极为他们提供免费的政策咨询、职业指导、职业介绍，并加强跟踪服务。加大对进城农村贫困人口的培训投入，落实好职业技能培训补贴政策。</w:t>
      </w:r>
      <w:r>
        <w:rPr>
          <w:rFonts w:hint="eastAsia" w:ascii="仿宋_GB2312" w:hAnsi="仿宋_GB2312" w:eastAsia="仿宋_GB2312" w:cs="仿宋_GB2312"/>
          <w:color w:val="000000" w:themeColor="text1"/>
          <w:kern w:val="0"/>
          <w:sz w:val="32"/>
          <w:szCs w:val="32"/>
        </w:rPr>
        <w:t>（区人力资源和社会保障局负责）</w:t>
      </w:r>
    </w:p>
    <w:p>
      <w:pPr>
        <w:spacing w:line="540" w:lineRule="exact"/>
        <w:ind w:firstLine="321" w:firstLineChars="10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b/>
          <w:bCs/>
          <w:color w:val="000000" w:themeColor="text1"/>
          <w:kern w:val="0"/>
          <w:sz w:val="32"/>
          <w:szCs w:val="32"/>
        </w:rPr>
        <w:t>（七）加大残疾人帮扶力度。</w:t>
      </w:r>
      <w:r>
        <w:rPr>
          <w:rFonts w:hint="eastAsia" w:ascii="仿宋_GB2312" w:hAnsi="仿宋_GB2312" w:eastAsia="仿宋_GB2312" w:cs="仿宋_GB2312"/>
          <w:color w:val="000000" w:themeColor="text1"/>
          <w:sz w:val="32"/>
          <w:szCs w:val="32"/>
        </w:rPr>
        <w:t>健全和落实困难残疾人生活补贴和重度残疾人护理补贴制度，帮助解决残疾人特殊生活困难和长期照料困难。加强残疾人教育培训和就业服务，对兜底保障对象中的残疾人开展实用技术或职业技能培训，扶持自主创业。加强残疾人康复与辅助器具适配服务，建立基本型辅助器具适配补贴制度。整合相关资源，推进兜底保障对象中重度残疾人家庭无障碍设施改造工作。区残联要会同卫生健康等相关部门，每年至少组织一次疑似残疾人摸底以及上门评残和办证，为家庭贫困和行动不便的申请人提供上门服务（免收残疾评定费）。对于符合条件且有意愿入住各类照护服务机构的兜底保障对象中的重度残疾人，要依托和整合现有公共服务设施为其提供集中照护服务；对于符合条件但无意愿入住各类照护服务机构的兜底保障对象中的重度残疾人，要动员组织其亲属、邻居及其他社会组织和个人为其提供照护服务。</w:t>
      </w:r>
      <w:r>
        <w:rPr>
          <w:rFonts w:hint="eastAsia" w:ascii="仿宋_GB2312" w:hAnsi="仿宋_GB2312" w:eastAsia="仿宋_GB2312" w:cs="仿宋_GB2312"/>
          <w:color w:val="000000" w:themeColor="text1"/>
          <w:kern w:val="0"/>
          <w:sz w:val="32"/>
          <w:szCs w:val="32"/>
        </w:rPr>
        <w:t>（区残联、区民政局、区卫生健康</w:t>
      </w:r>
      <w:r>
        <w:rPr>
          <w:rFonts w:hint="eastAsia" w:ascii="仿宋_GB2312" w:hAnsi="仿宋_GB2312" w:eastAsia="仿宋_GB2312" w:cs="仿宋_GB2312"/>
          <w:color w:val="000000" w:themeColor="text1"/>
          <w:kern w:val="0"/>
          <w:sz w:val="32"/>
          <w:szCs w:val="32"/>
          <w:lang w:eastAsia="zh-CN"/>
        </w:rPr>
        <w:t>局</w:t>
      </w:r>
      <w:bookmarkStart w:id="0" w:name="_GoBack"/>
      <w:bookmarkEnd w:id="0"/>
      <w:r>
        <w:rPr>
          <w:rFonts w:hint="eastAsia" w:ascii="仿宋_GB2312" w:hAnsi="仿宋_GB2312" w:eastAsia="仿宋_GB2312" w:cs="仿宋_GB2312"/>
          <w:color w:val="000000" w:themeColor="text1"/>
          <w:kern w:val="0"/>
          <w:sz w:val="32"/>
          <w:szCs w:val="32"/>
        </w:rPr>
        <w:t>等负责）</w:t>
      </w:r>
    </w:p>
    <w:p>
      <w:pPr>
        <w:spacing w:line="540" w:lineRule="exact"/>
        <w:ind w:firstLine="321" w:firstLineChars="10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b/>
          <w:bCs/>
          <w:color w:val="000000" w:themeColor="text1"/>
          <w:kern w:val="0"/>
          <w:sz w:val="32"/>
          <w:szCs w:val="32"/>
        </w:rPr>
        <w:t>（八）加强养老扶幼帮扶。</w:t>
      </w:r>
      <w:r>
        <w:rPr>
          <w:rFonts w:hint="eastAsia" w:ascii="仿宋_GB2312" w:hAnsi="仿宋_GB2312" w:eastAsia="仿宋_GB2312" w:cs="仿宋_GB2312"/>
          <w:color w:val="000000" w:themeColor="text1"/>
          <w:kern w:val="0"/>
          <w:sz w:val="32"/>
          <w:szCs w:val="32"/>
        </w:rPr>
        <w:t>落实兜底保障对象参加社会保险优惠政策及代缴补贴政策，对行动不便的提供上门服务。继续做好进城就业兜底保障对象参加城镇企业职工养老保险统筹及基本养老保险关系转移接续工作，按政策规定落实好相应养老保险待遇。积极主动开展进城贫困人口参保登记及缴费经办服务工作。鼓励有条件的乡镇敬老院在满足特困人员集中供养需求的前提下，为兜底保障对象中的老年人提供低偿的集中托养服务。建立兜底保障对象中留守老年人、留守儿童关爱保护体系，落实定期探访制度，完善信息统计台账，细化关爱保护帮扶措施，强化家庭监护主体责任意识，督促家庭监护主体责任落实。（区人力资源和社会保障局、区民政局等负责）</w:t>
      </w:r>
    </w:p>
    <w:p>
      <w:pPr>
        <w:spacing w:line="540" w:lineRule="exact"/>
        <w:ind w:firstLine="321" w:firstLineChars="1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kern w:val="0"/>
          <w:sz w:val="32"/>
          <w:szCs w:val="32"/>
        </w:rPr>
        <w:t>（九）引导社会各界共同帮扶。</w:t>
      </w:r>
      <w:r>
        <w:rPr>
          <w:rFonts w:hint="eastAsia" w:ascii="仿宋_GB2312" w:hAnsi="仿宋_GB2312" w:eastAsia="仿宋_GB2312" w:cs="仿宋_GB2312"/>
          <w:color w:val="000000" w:themeColor="text1"/>
          <w:kern w:val="0"/>
          <w:sz w:val="32"/>
          <w:szCs w:val="32"/>
        </w:rPr>
        <w:t>建立完善兜底保障对象“一对一”党员干部联系帮扶制度，确定兜底保障对象家庭帮扶联系人，明确帮扶责任。充分发挥乡镇（街道）社会工作站和村居基层组织作用，拓宽社会帮扶组织信息服务渠道，</w:t>
      </w:r>
      <w:r>
        <w:rPr>
          <w:rFonts w:hint="eastAsia" w:ascii="仿宋_GB2312" w:hAnsi="仿宋_GB2312" w:eastAsia="仿宋_GB2312" w:cs="仿宋_GB2312"/>
          <w:color w:val="000000" w:themeColor="text1"/>
          <w:sz w:val="32"/>
          <w:szCs w:val="32"/>
        </w:rPr>
        <w:t>鼓励和引导社会组织</w:t>
      </w:r>
      <w:r>
        <w:rPr>
          <w:rFonts w:hint="eastAsia" w:ascii="仿宋_GB2312" w:hAnsi="仿宋_GB2312" w:eastAsia="仿宋_GB2312" w:cs="仿宋_GB2312"/>
          <w:color w:val="000000" w:themeColor="text1"/>
          <w:kern w:val="0"/>
          <w:sz w:val="32"/>
          <w:szCs w:val="32"/>
        </w:rPr>
        <w:t>为失能、半失能兜底保障对象提供个性化帮扶服务。深入开展“户帮户亲帮亲、互助脱贫奔小康”活动，广泛动员社会各界人士通过爱心捐赠、志愿服务、结对帮扶等形式参与帮扶，引导志愿者、爱心人士与失能、半失能兜底保障对象结对帮扶，大力提倡邻里互助，协助解决失能、半失能兜底保障对象日常生活照料问题。（区民政局、区扶贫办等负责）</w:t>
      </w:r>
    </w:p>
    <w:p>
      <w:pPr>
        <w:ind w:firstLine="643" w:firstLineChars="200"/>
        <w:rPr>
          <w:rFonts w:hint="eastAsia" w:ascii="仿宋_GB2312" w:hAnsi="仿宋_GB2312" w:eastAsia="仿宋_GB2312" w:cs="仿宋_GB2312"/>
          <w:b/>
          <w:color w:val="000000" w:themeColor="text1"/>
          <w:kern w:val="0"/>
          <w:sz w:val="32"/>
          <w:szCs w:val="32"/>
        </w:rPr>
      </w:pPr>
      <w:r>
        <w:rPr>
          <w:rFonts w:hint="eastAsia" w:ascii="仿宋_GB2312" w:hAnsi="仿宋_GB2312" w:eastAsia="仿宋_GB2312" w:cs="仿宋_GB2312"/>
          <w:b/>
          <w:color w:val="000000" w:themeColor="text1"/>
          <w:kern w:val="0"/>
          <w:sz w:val="32"/>
          <w:szCs w:val="32"/>
        </w:rPr>
        <w:t>四、工作要求</w:t>
      </w:r>
    </w:p>
    <w:p>
      <w:pPr>
        <w:spacing w:line="540" w:lineRule="exact"/>
        <w:ind w:firstLine="321" w:firstLineChars="1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color w:val="000000" w:themeColor="text1"/>
          <w:kern w:val="0"/>
          <w:sz w:val="32"/>
          <w:szCs w:val="32"/>
        </w:rPr>
        <w:t>（一）加强组织领导。</w:t>
      </w:r>
      <w:r>
        <w:rPr>
          <w:rFonts w:hint="eastAsia" w:ascii="仿宋_GB2312" w:hAnsi="仿宋_GB2312" w:eastAsia="仿宋_GB2312" w:cs="仿宋_GB2312"/>
          <w:color w:val="000000" w:themeColor="text1"/>
          <w:kern w:val="0"/>
          <w:sz w:val="32"/>
          <w:szCs w:val="32"/>
        </w:rPr>
        <w:t>各乡镇（街道）要高度重视，加强领导，建立健全党（工）委领导、民政部门牵头、有关部门协同、</w:t>
      </w:r>
      <w:r>
        <w:rPr>
          <w:rFonts w:hint="eastAsia" w:ascii="仿宋_GB2312" w:hAnsi="仿宋_GB2312" w:eastAsia="仿宋_GB2312" w:cs="仿宋_GB2312"/>
          <w:kern w:val="0"/>
          <w:sz w:val="32"/>
          <w:szCs w:val="32"/>
        </w:rPr>
        <w:t>社会力量参与的社会救助兜底保障工作协调机制。各级民政部门要发挥牵头协调作用，相关部门和单位要按照各自职责做好相关工作。（区民政局等按职责分工负责）</w:t>
      </w:r>
    </w:p>
    <w:p>
      <w:pPr>
        <w:spacing w:line="540" w:lineRule="exact"/>
        <w:ind w:firstLine="321" w:firstLineChars="1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（二）加大资金投入。</w:t>
      </w:r>
      <w:r>
        <w:rPr>
          <w:rFonts w:hint="eastAsia" w:ascii="仿宋_GB2312" w:hAnsi="仿宋_GB2312" w:eastAsia="仿宋_GB2312" w:cs="仿宋_GB2312"/>
          <w:kern w:val="0"/>
          <w:sz w:val="32"/>
          <w:szCs w:val="32"/>
        </w:rPr>
        <w:t>认真贯彻落实《国务院办公厅</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"http://www.waizi.org.cn/law/16682.html" \t "_blank" \o "国办发〔2017〕15号《国务院办公厅关于加强困难群众基本生活保障有关工作的通知》" </w:instrText>
      </w:r>
      <w:r>
        <w:rPr>
          <w:rFonts w:hint="eastAsia" w:ascii="仿宋_GB2312" w:hAnsi="仿宋_GB2312" w:eastAsia="仿宋_GB2312" w:cs="仿宋_GB2312"/>
        </w:rPr>
        <w:fldChar w:fldCharType="separate"/>
      </w:r>
      <w:r>
        <w:rPr>
          <w:rFonts w:hint="eastAsia" w:ascii="仿宋_GB2312" w:hAnsi="仿宋_GB2312" w:eastAsia="仿宋_GB2312" w:cs="仿宋_GB2312"/>
          <w:kern w:val="0"/>
          <w:sz w:val="32"/>
          <w:szCs w:val="32"/>
        </w:rPr>
        <w:t>关于加强困难群众基本生活保障有关工作的通知</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国办发〔2017〕15号）精神，区财政部门优化财政支出结构、科学合理编制困难群众生活保障资金预算，增加资金有效供给，提升资金使用效益。落实社会救助和保障标准与物价上涨挂钩联动机制，防止物价波动影响困难群众基本生活。（区财政局、区民政局等负责）</w:t>
      </w:r>
    </w:p>
    <w:p>
      <w:pPr>
        <w:spacing w:line="540" w:lineRule="exact"/>
        <w:ind w:firstLine="321" w:firstLineChars="1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（三）加强经济状况核查核对。</w:t>
      </w:r>
      <w:r>
        <w:rPr>
          <w:rFonts w:hint="eastAsia" w:ascii="仿宋_GB2312" w:hAnsi="仿宋_GB2312" w:eastAsia="仿宋_GB2312" w:cs="仿宋_GB2312"/>
          <w:kern w:val="0"/>
          <w:sz w:val="32"/>
          <w:szCs w:val="32"/>
        </w:rPr>
        <w:t>进一步加强经济状况核查工作，健全经济状况核对机制。加快各部门信息系统的深度对接，尽快实现居民经济状况核对系统与相关部门信息系统数据实时共享，对救助对象家庭经济和财产状况进行定期比对和评估，及时互通变化情况，确保社会救助兜底保障对象识别精准、救助精准。（区民政局牵头、各相关单位负责）</w:t>
      </w:r>
    </w:p>
    <w:p>
      <w:pPr>
        <w:spacing w:line="540" w:lineRule="exact"/>
        <w:ind w:firstLine="321" w:firstLineChars="1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（四）加强宣传引导。</w:t>
      </w:r>
      <w:r>
        <w:rPr>
          <w:rFonts w:hint="eastAsia" w:ascii="仿宋_GB2312" w:hAnsi="仿宋_GB2312" w:eastAsia="仿宋_GB2312" w:cs="仿宋_GB2312"/>
          <w:kern w:val="0"/>
          <w:sz w:val="32"/>
          <w:szCs w:val="32"/>
        </w:rPr>
        <w:t>全面梳理社会救助兜底保障政策，通过设置专题专栏、编制宣传手册等多种方式，让兜底保障政策通俗易懂，走进千家万户。大力宣传先进经验、创新做法、特色亮点，发挥典型示范作用。积极开展优秀社会组织、爱心人士、志愿者宣传活动，引导社会力量积极参与脱贫攻坚。（区民政局负责）</w:t>
      </w:r>
    </w:p>
    <w:p>
      <w:pPr>
        <w:rPr>
          <w:rFonts w:hint="eastAsia" w:ascii="仿宋_GB2312" w:hAnsi="仿宋_GB2312" w:eastAsia="仿宋_GB2312" w:cs="仿宋_GB2312"/>
          <w:sz w:val="18"/>
          <w:szCs w:val="18"/>
        </w:rPr>
      </w:pPr>
      <w:r>
        <w:rPr>
          <w:rFonts w:hint="eastAsia" w:ascii="仿宋_GB2312" w:hAnsi="仿宋_GB2312" w:eastAsia="仿宋_GB2312" w:cs="仿宋_GB2312"/>
          <w:sz w:val="32"/>
          <w:szCs w:val="32"/>
        </w:rPr>
        <w:t xml:space="preserve">    本通知自发布之日起执行，有效期5年。</w:t>
      </w:r>
    </w:p>
    <w:sectPr>
      <w:footerReference r:id="rId4" w:type="first"/>
      <w:footerReference r:id="rId3" w:type="default"/>
      <w:pgSz w:w="11906" w:h="16838"/>
      <w:pgMar w:top="1871" w:right="1588" w:bottom="1531" w:left="1588" w:header="851" w:footer="1418"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大标宋_GBK">
    <w:altName w:val="宋体"/>
    <w:panose1 w:val="00000000000000000000"/>
    <w:charset w:val="86"/>
    <w:family w:val="auto"/>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auto"/>
    <w:pitch w:val="default"/>
    <w:sig w:usb0="00000000" w:usb1="0000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cs="Times New Roman"/>
      </w:rPr>
    </w:pPr>
    <w:r>
      <w:pict>
        <v:shape id="_x0000_s1027" o:spid="_x0000_s1027"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434CB"/>
    <w:rsid w:val="00006677"/>
    <w:rsid w:val="00021D5A"/>
    <w:rsid w:val="0002430F"/>
    <w:rsid w:val="000244AC"/>
    <w:rsid w:val="0003622E"/>
    <w:rsid w:val="00041D0C"/>
    <w:rsid w:val="00041FD5"/>
    <w:rsid w:val="000B4778"/>
    <w:rsid w:val="000E7E59"/>
    <w:rsid w:val="000F61D3"/>
    <w:rsid w:val="00100259"/>
    <w:rsid w:val="00112ED0"/>
    <w:rsid w:val="001179D5"/>
    <w:rsid w:val="00124C6B"/>
    <w:rsid w:val="00150CC0"/>
    <w:rsid w:val="001A017B"/>
    <w:rsid w:val="001B7401"/>
    <w:rsid w:val="00203E4C"/>
    <w:rsid w:val="002371C2"/>
    <w:rsid w:val="0026548E"/>
    <w:rsid w:val="002714A3"/>
    <w:rsid w:val="0027551B"/>
    <w:rsid w:val="002E4E40"/>
    <w:rsid w:val="002F19BF"/>
    <w:rsid w:val="002F1A0F"/>
    <w:rsid w:val="00303A13"/>
    <w:rsid w:val="00365684"/>
    <w:rsid w:val="00365B39"/>
    <w:rsid w:val="00371AB0"/>
    <w:rsid w:val="003F1672"/>
    <w:rsid w:val="00445E99"/>
    <w:rsid w:val="00446EF8"/>
    <w:rsid w:val="00457DC9"/>
    <w:rsid w:val="00462D73"/>
    <w:rsid w:val="004D60B8"/>
    <w:rsid w:val="004E285A"/>
    <w:rsid w:val="005009E8"/>
    <w:rsid w:val="005019D6"/>
    <w:rsid w:val="00516CF1"/>
    <w:rsid w:val="005257CC"/>
    <w:rsid w:val="00527854"/>
    <w:rsid w:val="00541DA6"/>
    <w:rsid w:val="00584451"/>
    <w:rsid w:val="005957DA"/>
    <w:rsid w:val="005A21F9"/>
    <w:rsid w:val="005D590C"/>
    <w:rsid w:val="005E6841"/>
    <w:rsid w:val="006246C6"/>
    <w:rsid w:val="00624790"/>
    <w:rsid w:val="006422E2"/>
    <w:rsid w:val="006A726C"/>
    <w:rsid w:val="007033F3"/>
    <w:rsid w:val="00704315"/>
    <w:rsid w:val="00704CFB"/>
    <w:rsid w:val="00740F27"/>
    <w:rsid w:val="00791ABD"/>
    <w:rsid w:val="007960B0"/>
    <w:rsid w:val="00797195"/>
    <w:rsid w:val="007A1598"/>
    <w:rsid w:val="007C506E"/>
    <w:rsid w:val="007E7577"/>
    <w:rsid w:val="00827D42"/>
    <w:rsid w:val="00837208"/>
    <w:rsid w:val="0086714A"/>
    <w:rsid w:val="008F57F1"/>
    <w:rsid w:val="00907418"/>
    <w:rsid w:val="00945ABA"/>
    <w:rsid w:val="00960E05"/>
    <w:rsid w:val="00971A94"/>
    <w:rsid w:val="00995598"/>
    <w:rsid w:val="009C62C6"/>
    <w:rsid w:val="009E7887"/>
    <w:rsid w:val="00A20BA2"/>
    <w:rsid w:val="00A51D1D"/>
    <w:rsid w:val="00A61901"/>
    <w:rsid w:val="00AA0407"/>
    <w:rsid w:val="00AB1001"/>
    <w:rsid w:val="00AB2AC2"/>
    <w:rsid w:val="00AB38D1"/>
    <w:rsid w:val="00AC1191"/>
    <w:rsid w:val="00B01B4F"/>
    <w:rsid w:val="00B345A3"/>
    <w:rsid w:val="00B50C97"/>
    <w:rsid w:val="00B63E1B"/>
    <w:rsid w:val="00BC0BA3"/>
    <w:rsid w:val="00BC3343"/>
    <w:rsid w:val="00C16A4F"/>
    <w:rsid w:val="00C434CB"/>
    <w:rsid w:val="00C66A91"/>
    <w:rsid w:val="00C746B4"/>
    <w:rsid w:val="00C82788"/>
    <w:rsid w:val="00C97A73"/>
    <w:rsid w:val="00C97E0F"/>
    <w:rsid w:val="00CC3F67"/>
    <w:rsid w:val="00CD2A80"/>
    <w:rsid w:val="00D57A20"/>
    <w:rsid w:val="00D6071E"/>
    <w:rsid w:val="00D64139"/>
    <w:rsid w:val="00D84336"/>
    <w:rsid w:val="00DE03DD"/>
    <w:rsid w:val="00E15719"/>
    <w:rsid w:val="00E35280"/>
    <w:rsid w:val="00E56289"/>
    <w:rsid w:val="00E61E72"/>
    <w:rsid w:val="00EC18B2"/>
    <w:rsid w:val="00ED391F"/>
    <w:rsid w:val="00F46DEE"/>
    <w:rsid w:val="00FC2F09"/>
    <w:rsid w:val="00FE363A"/>
    <w:rsid w:val="01511FCF"/>
    <w:rsid w:val="019F020F"/>
    <w:rsid w:val="029E4155"/>
    <w:rsid w:val="02DD75D6"/>
    <w:rsid w:val="059E52D0"/>
    <w:rsid w:val="060D2B40"/>
    <w:rsid w:val="0D327716"/>
    <w:rsid w:val="0EB94877"/>
    <w:rsid w:val="1317219D"/>
    <w:rsid w:val="141434EB"/>
    <w:rsid w:val="16EA21B1"/>
    <w:rsid w:val="18C11F28"/>
    <w:rsid w:val="1D252332"/>
    <w:rsid w:val="1E6D29C3"/>
    <w:rsid w:val="1EC76E87"/>
    <w:rsid w:val="21E9316C"/>
    <w:rsid w:val="243B7E6C"/>
    <w:rsid w:val="24494E1D"/>
    <w:rsid w:val="2474708C"/>
    <w:rsid w:val="253C11FC"/>
    <w:rsid w:val="253F6E5B"/>
    <w:rsid w:val="25B31293"/>
    <w:rsid w:val="2A436F59"/>
    <w:rsid w:val="2A8F257B"/>
    <w:rsid w:val="2B0C22B4"/>
    <w:rsid w:val="32AC7630"/>
    <w:rsid w:val="37744870"/>
    <w:rsid w:val="3A6D6160"/>
    <w:rsid w:val="3BD27075"/>
    <w:rsid w:val="3D241202"/>
    <w:rsid w:val="3E187F7E"/>
    <w:rsid w:val="40F36010"/>
    <w:rsid w:val="413E6CE5"/>
    <w:rsid w:val="47A057D0"/>
    <w:rsid w:val="47A67BE5"/>
    <w:rsid w:val="4A50768C"/>
    <w:rsid w:val="4BC5219B"/>
    <w:rsid w:val="4EFE48AA"/>
    <w:rsid w:val="5098293A"/>
    <w:rsid w:val="55242D86"/>
    <w:rsid w:val="5721238C"/>
    <w:rsid w:val="58DD0E57"/>
    <w:rsid w:val="5F9E58EC"/>
    <w:rsid w:val="604A73F3"/>
    <w:rsid w:val="615D75B9"/>
    <w:rsid w:val="64797D72"/>
    <w:rsid w:val="66A90FC7"/>
    <w:rsid w:val="67FE2809"/>
    <w:rsid w:val="69660E40"/>
    <w:rsid w:val="6AA24432"/>
    <w:rsid w:val="6D181F9F"/>
    <w:rsid w:val="6FCC6EA9"/>
    <w:rsid w:val="711D4FCA"/>
    <w:rsid w:val="71A41F10"/>
    <w:rsid w:val="71F9454A"/>
    <w:rsid w:val="75906925"/>
    <w:rsid w:val="75C20179"/>
    <w:rsid w:val="78644ADB"/>
    <w:rsid w:val="78F921AD"/>
    <w:rsid w:val="7B501960"/>
    <w:rsid w:val="7C6323D3"/>
    <w:rsid w:val="7C6A71F2"/>
    <w:rsid w:val="7CA605D5"/>
    <w:rsid w:val="7D430A76"/>
    <w:rsid w:val="7D8E76D7"/>
    <w:rsid w:val="7F7E1AE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locked/>
    <w:uiPriority w:val="99"/>
    <w:pPr>
      <w:keepNext/>
      <w:keepLines/>
      <w:spacing w:before="340" w:after="330" w:line="578" w:lineRule="atLeast"/>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semiHidden/>
    <w:unhideWhenUsed/>
    <w:uiPriority w:val="99"/>
    <w:pPr>
      <w:ind w:left="100" w:leftChars="2500"/>
    </w:pPr>
  </w:style>
  <w:style w:type="paragraph" w:styleId="4">
    <w:name w:val="Balloon Text"/>
    <w:basedOn w:val="1"/>
    <w:link w:val="12"/>
    <w:semiHidden/>
    <w:qFormat/>
    <w:uiPriority w:val="99"/>
    <w:rPr>
      <w:sz w:val="18"/>
      <w:szCs w:val="18"/>
    </w:rPr>
  </w:style>
  <w:style w:type="paragraph" w:styleId="5">
    <w:name w:val="footer"/>
    <w:basedOn w:val="1"/>
    <w:link w:val="11"/>
    <w:semiHidden/>
    <w:qFormat/>
    <w:uiPriority w:val="99"/>
    <w:pPr>
      <w:tabs>
        <w:tab w:val="center" w:pos="4153"/>
        <w:tab w:val="right" w:pos="8306"/>
      </w:tabs>
      <w:snapToGrid w:val="0"/>
      <w:jc w:val="left"/>
    </w:pPr>
    <w:rPr>
      <w:sz w:val="18"/>
      <w:szCs w:val="18"/>
    </w:rPr>
  </w:style>
  <w:style w:type="paragraph" w:styleId="6">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style>
  <w:style w:type="character" w:customStyle="1" w:styleId="10">
    <w:name w:val="页眉 Char"/>
    <w:basedOn w:val="8"/>
    <w:link w:val="6"/>
    <w:semiHidden/>
    <w:qFormat/>
    <w:locked/>
    <w:uiPriority w:val="99"/>
    <w:rPr>
      <w:sz w:val="18"/>
      <w:szCs w:val="18"/>
    </w:rPr>
  </w:style>
  <w:style w:type="character" w:customStyle="1" w:styleId="11">
    <w:name w:val="页脚 Char"/>
    <w:basedOn w:val="8"/>
    <w:link w:val="5"/>
    <w:semiHidden/>
    <w:qFormat/>
    <w:locked/>
    <w:uiPriority w:val="99"/>
    <w:rPr>
      <w:sz w:val="18"/>
      <w:szCs w:val="18"/>
    </w:rPr>
  </w:style>
  <w:style w:type="character" w:customStyle="1" w:styleId="12">
    <w:name w:val="批注框文本 Char"/>
    <w:basedOn w:val="8"/>
    <w:link w:val="4"/>
    <w:semiHidden/>
    <w:qFormat/>
    <w:locked/>
    <w:uiPriority w:val="99"/>
    <w:rPr>
      <w:sz w:val="18"/>
      <w:szCs w:val="18"/>
    </w:rPr>
  </w:style>
  <w:style w:type="paragraph" w:styleId="13">
    <w:name w:val="No Spacing"/>
    <w:qFormat/>
    <w:uiPriority w:val="99"/>
    <w:pPr>
      <w:widowControl w:val="0"/>
      <w:jc w:val="both"/>
    </w:pPr>
    <w:rPr>
      <w:rFonts w:ascii="Calibri" w:hAnsi="Calibri" w:eastAsia="宋体" w:cs="Calibri"/>
      <w:kern w:val="2"/>
      <w:sz w:val="21"/>
      <w:szCs w:val="21"/>
      <w:lang w:val="en-US" w:eastAsia="zh-CN" w:bidi="ar-SA"/>
    </w:rPr>
  </w:style>
  <w:style w:type="character" w:customStyle="1" w:styleId="14">
    <w:name w:val="日期 Char"/>
    <w:basedOn w:val="8"/>
    <w:link w:val="3"/>
    <w:semiHidden/>
    <w:uiPriority w:val="99"/>
    <w:rPr>
      <w:rFonts w:cs="Calibri"/>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4518</Words>
  <Characters>322</Characters>
  <Lines>2</Lines>
  <Paragraphs>9</Paragraphs>
  <TotalTime>88</TotalTime>
  <ScaleCrop>false</ScaleCrop>
  <LinksUpToDate>false</LinksUpToDate>
  <CharactersWithSpaces>4831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2020-06-16T07:17:00Z</dcterms:created>
  <dc:creator>微软用户</dc:creator>
  <cp:lastModifiedBy>Administrator</cp:lastModifiedBy>
  <cp:lastPrinted>2020-08-05T06:56:00Z</cp:lastPrinted>
  <dcterms:modified xsi:type="dcterms:W3CDTF">2020-08-06T14:03:33Z</dcterms:modified>
  <dc:title>常德市民政局</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