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val="0"/>
        <w:bidi w:val="0"/>
        <w:spacing w:before="340" w:beforeLines="0" w:beforeAutospacing="0" w:after="330" w:afterLines="0" w:afterAutospacing="0" w:line="576" w:lineRule="auto"/>
        <w:ind w:left="0" w:leftChars="0" w:firstLine="0" w:firstLineChars="0"/>
        <w:jc w:val="both"/>
        <w:outlineLvl w:val="0"/>
        <w:rPr>
          <w:rFonts w:eastAsia="华文仿宋" w:asciiTheme="minorAscii" w:hAnsiTheme="minorAscii" w:cstheme="minorBidi"/>
          <w:b/>
          <w:kern w:val="44"/>
          <w:sz w:val="44"/>
          <w:szCs w:val="24"/>
          <w:lang w:val="en-US" w:eastAsia="zh-CN" w:bidi="ar-SA"/>
        </w:rPr>
      </w:pPr>
      <w:r>
        <w:rPr>
          <w:rFonts w:eastAsia="华文仿宋" w:asciiTheme="minorAscii" w:hAnsiTheme="minorAscii" w:cstheme="minorBidi"/>
          <w:b/>
          <w:kern w:val="44"/>
          <w:sz w:val="44"/>
          <w:szCs w:val="24"/>
          <w:lang w:val="en-US" w:eastAsia="zh-CN" w:bidi="ar-SA"/>
        </w:rPr>
        <w:drawing>
          <wp:inline distT="0" distB="0" distL="0" distR="0">
            <wp:extent cx="1931035" cy="756285"/>
            <wp:effectExtent l="0" t="0" r="12065"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931035" cy="756285"/>
                    </a:xfrm>
                    <a:prstGeom prst="rect">
                      <a:avLst/>
                    </a:prstGeom>
                    <a:noFill/>
                  </pic:spPr>
                </pic:pic>
              </a:graphicData>
            </a:graphic>
          </wp:inline>
        </w:drawing>
      </w:r>
    </w:p>
    <w:p>
      <w:pPr>
        <w:ind w:firstLine="420"/>
        <w:rPr>
          <w:szCs w:val="24"/>
        </w:rPr>
      </w:pPr>
    </w:p>
    <w:p>
      <w:pPr>
        <w:spacing w:line="600" w:lineRule="exact"/>
        <w:ind w:firstLine="0" w:firstLineChars="0"/>
        <w:jc w:val="center"/>
        <w:rPr>
          <w:rFonts w:ascii="华文中宋" w:hAnsi="华文中宋" w:eastAsia="华文中宋"/>
          <w:b/>
          <w:bCs/>
          <w:color w:val="000000" w:themeColor="text1"/>
          <w:kern w:val="0"/>
          <w:sz w:val="44"/>
          <w:szCs w:val="44"/>
          <w14:textFill>
            <w14:solidFill>
              <w14:schemeClr w14:val="tx1"/>
            </w14:solidFill>
          </w14:textFill>
        </w:rPr>
      </w:pPr>
      <w:r>
        <w:rPr>
          <w:rFonts w:hint="eastAsia" w:ascii="华文中宋" w:hAnsi="华文中宋" w:eastAsia="华文中宋"/>
          <w:b/>
          <w:bCs/>
          <w:color w:val="000000" w:themeColor="text1"/>
          <w:kern w:val="0"/>
          <w:sz w:val="44"/>
          <w:szCs w:val="44"/>
          <w14:textFill>
            <w14:solidFill>
              <w14:schemeClr w14:val="tx1"/>
            </w14:solidFill>
          </w14:textFill>
        </w:rPr>
        <w:t>怀化市鹤城区</w:t>
      </w:r>
      <w:r>
        <w:rPr>
          <w:rFonts w:hint="eastAsia" w:ascii="华文中宋" w:hAnsi="华文中宋" w:eastAsia="华文中宋"/>
          <w:b/>
          <w:bCs/>
          <w:color w:val="000000" w:themeColor="text1"/>
          <w:kern w:val="0"/>
          <w:sz w:val="44"/>
          <w:szCs w:val="44"/>
          <w:lang w:val="en-US" w:eastAsia="zh-CN"/>
          <w14:textFill>
            <w14:solidFill>
              <w14:schemeClr w14:val="tx1"/>
            </w14:solidFill>
          </w14:textFill>
        </w:rPr>
        <w:t>教育局</w:t>
      </w:r>
      <w:r>
        <w:rPr>
          <w:rFonts w:hint="eastAsia" w:ascii="华文中宋" w:hAnsi="华文中宋" w:eastAsia="华文中宋"/>
          <w:b/>
          <w:bCs/>
          <w:color w:val="000000" w:themeColor="text1"/>
          <w:kern w:val="0"/>
          <w:sz w:val="44"/>
          <w:szCs w:val="44"/>
          <w14:textFill>
            <w14:solidFill>
              <w14:schemeClr w14:val="tx1"/>
            </w14:solidFill>
          </w14:textFill>
        </w:rPr>
        <w:t>2018年度</w:t>
      </w:r>
      <w:r>
        <w:rPr>
          <w:rFonts w:hint="eastAsia" w:ascii="华文中宋" w:hAnsi="华文中宋" w:eastAsia="华文中宋"/>
          <w:b/>
          <w:bCs/>
          <w:color w:val="000000" w:themeColor="text1"/>
          <w:kern w:val="0"/>
          <w:sz w:val="44"/>
          <w:szCs w:val="44"/>
          <w:lang w:eastAsia="zh-CN"/>
          <w14:textFill>
            <w14:solidFill>
              <w14:schemeClr w14:val="tx1"/>
            </w14:solidFill>
          </w14:textFill>
        </w:rPr>
        <w:t>中小学幼儿园校车专项</w:t>
      </w:r>
      <w:r>
        <w:rPr>
          <w:rFonts w:hint="eastAsia" w:ascii="华文中宋" w:hAnsi="华文中宋" w:eastAsia="华文中宋"/>
          <w:b/>
          <w:bCs/>
          <w:color w:val="000000" w:themeColor="text1"/>
          <w:kern w:val="0"/>
          <w:sz w:val="44"/>
          <w:szCs w:val="44"/>
          <w14:textFill>
            <w14:solidFill>
              <w14:schemeClr w14:val="tx1"/>
            </w14:solidFill>
          </w14:textFill>
        </w:rPr>
        <w:t>资金绩效评价</w:t>
      </w:r>
      <w:r>
        <w:rPr>
          <w:rFonts w:hint="eastAsia" w:ascii="华文中宋" w:hAnsi="华文中宋" w:eastAsia="华文中宋"/>
          <w:b/>
          <w:bCs/>
          <w:color w:val="000000" w:themeColor="text1"/>
          <w:kern w:val="0"/>
          <w:sz w:val="44"/>
          <w:szCs w:val="44"/>
          <w:lang w:eastAsia="zh-CN"/>
          <w14:textFill>
            <w14:solidFill>
              <w14:schemeClr w14:val="tx1"/>
            </w14:solidFill>
          </w14:textFill>
        </w:rPr>
        <w:t>报</w:t>
      </w:r>
      <w:r>
        <w:rPr>
          <w:rFonts w:hint="eastAsia" w:ascii="华文中宋" w:hAnsi="华文中宋" w:eastAsia="华文中宋"/>
          <w:b/>
          <w:bCs/>
          <w:color w:val="000000" w:themeColor="text1"/>
          <w:kern w:val="0"/>
          <w:sz w:val="44"/>
          <w:szCs w:val="44"/>
          <w14:textFill>
            <w14:solidFill>
              <w14:schemeClr w14:val="tx1"/>
            </w14:solidFill>
          </w14:textFill>
        </w:rPr>
        <w:t>告</w:t>
      </w:r>
    </w:p>
    <w:p>
      <w:pPr>
        <w:spacing w:line="800" w:lineRule="exact"/>
        <w:ind w:firstLine="198" w:firstLineChars="62"/>
        <w:rPr>
          <w:rFonts w:ascii="仿宋_GB2312" w:eastAsia="仿宋_GB2312"/>
          <w:color w:val="000000" w:themeColor="text1"/>
          <w:szCs w:val="24"/>
          <w14:textFill>
            <w14:solidFill>
              <w14:schemeClr w14:val="tx1"/>
            </w14:solidFill>
          </w14:textFill>
        </w:rPr>
      </w:pPr>
    </w:p>
    <w:p>
      <w:pPr>
        <w:ind w:firstLine="420"/>
        <w:rPr>
          <w:rFonts w:hint="default"/>
          <w:szCs w:val="24"/>
          <w:lang w:val="en-US" w:eastAsia="zh-CN"/>
        </w:rPr>
      </w:pPr>
    </w:p>
    <w:p>
      <w:pPr>
        <w:ind w:firstLine="420"/>
        <w:rPr>
          <w:rFonts w:hint="default"/>
          <w:szCs w:val="24"/>
          <w:lang w:val="en-US" w:eastAsia="zh-CN"/>
        </w:rPr>
      </w:pPr>
    </w:p>
    <w:p>
      <w:pPr>
        <w:ind w:firstLine="420"/>
        <w:rPr>
          <w:rFonts w:hint="default"/>
          <w:szCs w:val="24"/>
          <w:lang w:val="en-US" w:eastAsia="zh-CN"/>
        </w:rPr>
      </w:pPr>
    </w:p>
    <w:p>
      <w:pPr>
        <w:ind w:firstLine="420"/>
        <w:rPr>
          <w:rFonts w:hint="default"/>
          <w:szCs w:val="24"/>
          <w:lang w:val="en-US" w:eastAsia="zh-CN"/>
        </w:rPr>
      </w:pPr>
    </w:p>
    <w:p>
      <w:pPr>
        <w:ind w:firstLine="420"/>
        <w:rPr>
          <w:rFonts w:hint="default"/>
          <w:szCs w:val="24"/>
          <w:lang w:val="en-US" w:eastAsia="zh-CN"/>
        </w:rPr>
      </w:pPr>
    </w:p>
    <w:p>
      <w:pPr>
        <w:adjustRightInd w:val="0"/>
        <w:snapToGrid w:val="0"/>
        <w:spacing w:line="360" w:lineRule="auto"/>
        <w:ind w:firstLine="1600" w:firstLineChars="500"/>
        <w:rPr>
          <w:rFonts w:ascii="仿宋_GB2312" w:hAnsi="Times New Roman" w:eastAsia="仿宋_GB2312" w:cs="Times New Roman"/>
          <w:color w:val="000000" w:themeColor="text1"/>
          <w:szCs w:val="32"/>
          <w14:textFill>
            <w14:solidFill>
              <w14:schemeClr w14:val="tx1"/>
            </w14:solidFill>
          </w14:textFill>
        </w:rPr>
      </w:pPr>
      <w:r>
        <w:rPr>
          <w:rFonts w:hint="eastAsia" w:ascii="仿宋_GB2312" w:hAnsi="Times New Roman" w:eastAsia="仿宋_GB2312" w:cs="Times New Roman"/>
          <w:color w:val="000000" w:themeColor="text1"/>
          <w:szCs w:val="32"/>
          <w14:textFill>
            <w14:solidFill>
              <w14:schemeClr w14:val="tx1"/>
            </w14:solidFill>
          </w14:textFill>
        </w:rPr>
        <w:t>委托</w:t>
      </w:r>
      <w:r>
        <w:rPr>
          <w:rFonts w:hint="eastAsia" w:ascii="仿宋_GB2312" w:hAnsi="Times New Roman" w:eastAsia="仿宋_GB2312" w:cs="Times New Roman"/>
          <w:color w:val="000000" w:themeColor="text1"/>
          <w:szCs w:val="32"/>
          <w:lang w:eastAsia="zh-CN"/>
          <w14:textFill>
            <w14:solidFill>
              <w14:schemeClr w14:val="tx1"/>
            </w14:solidFill>
          </w14:textFill>
        </w:rPr>
        <w:t>部门</w:t>
      </w:r>
      <w:r>
        <w:rPr>
          <w:rFonts w:hint="eastAsia" w:ascii="仿宋_GB2312" w:hAnsi="Times New Roman" w:eastAsia="仿宋_GB2312" w:cs="Times New Roman"/>
          <w:color w:val="000000" w:themeColor="text1"/>
          <w:szCs w:val="32"/>
          <w14:textFill>
            <w14:solidFill>
              <w14:schemeClr w14:val="tx1"/>
            </w14:solidFill>
          </w14:textFill>
        </w:rPr>
        <w:t>：</w:t>
      </w:r>
      <w:r>
        <w:rPr>
          <w:rFonts w:hint="eastAsia" w:ascii="仿宋_GB2312" w:hAnsi="Times New Roman" w:eastAsia="仿宋_GB2312" w:cs="Times New Roman"/>
          <w:color w:val="000000" w:themeColor="text1"/>
          <w:szCs w:val="32"/>
          <w:u w:val="single"/>
          <w14:textFill>
            <w14:solidFill>
              <w14:schemeClr w14:val="tx1"/>
            </w14:solidFill>
          </w14:textFill>
        </w:rPr>
        <w:t xml:space="preserve">怀化市鹤城区财政局          </w:t>
      </w:r>
    </w:p>
    <w:p>
      <w:pPr>
        <w:adjustRightInd w:val="0"/>
        <w:snapToGrid w:val="0"/>
        <w:spacing w:line="360" w:lineRule="auto"/>
        <w:ind w:firstLine="1600" w:firstLineChars="500"/>
        <w:rPr>
          <w:rFonts w:ascii="仿宋_GB2312" w:hAnsi="Times New Roman" w:eastAsia="仿宋_GB2312" w:cs="Times New Roman"/>
          <w:color w:val="000000" w:themeColor="text1"/>
          <w:szCs w:val="32"/>
          <w:u w:val="single"/>
          <w14:textFill>
            <w14:solidFill>
              <w14:schemeClr w14:val="tx1"/>
            </w14:solidFill>
          </w14:textFill>
        </w:rPr>
      </w:pPr>
      <w:r>
        <w:rPr>
          <w:rFonts w:hint="eastAsia" w:ascii="仿宋_GB2312" w:hAnsi="Times New Roman" w:eastAsia="仿宋_GB2312" w:cs="Times New Roman"/>
          <w:color w:val="000000" w:themeColor="text1"/>
          <w:szCs w:val="32"/>
          <w14:textFill>
            <w14:solidFill>
              <w14:schemeClr w14:val="tx1"/>
            </w14:solidFill>
          </w14:textFill>
        </w:rPr>
        <w:t>受</w:t>
      </w:r>
      <w:r>
        <w:rPr>
          <w:rFonts w:ascii="仿宋_GB2312" w:hAnsi="Times New Roman" w:eastAsia="仿宋_GB2312" w:cs="Times New Roman"/>
          <w:color w:val="000000" w:themeColor="text1"/>
          <w:szCs w:val="32"/>
          <w14:textFill>
            <w14:solidFill>
              <w14:schemeClr w14:val="tx1"/>
            </w14:solidFill>
          </w14:textFill>
        </w:rPr>
        <w:t>评</w:t>
      </w:r>
      <w:r>
        <w:rPr>
          <w:rFonts w:hint="eastAsia" w:ascii="仿宋_GB2312" w:hAnsi="Times New Roman" w:eastAsia="仿宋_GB2312" w:cs="Times New Roman"/>
          <w:color w:val="000000" w:themeColor="text1"/>
          <w:szCs w:val="32"/>
          <w14:textFill>
            <w14:solidFill>
              <w14:schemeClr w14:val="tx1"/>
            </w14:solidFill>
          </w14:textFill>
        </w:rPr>
        <w:t>单位：</w:t>
      </w:r>
      <w:r>
        <w:rPr>
          <w:rFonts w:hint="eastAsia" w:ascii="仿宋_GB2312" w:hAnsi="Times New Roman" w:eastAsia="仿宋_GB2312" w:cs="Times New Roman"/>
          <w:color w:val="000000" w:themeColor="text1"/>
          <w:szCs w:val="32"/>
          <w:u w:val="single"/>
          <w14:textFill>
            <w14:solidFill>
              <w14:schemeClr w14:val="tx1"/>
            </w14:solidFill>
          </w14:textFill>
        </w:rPr>
        <w:t>怀化市鹤城区</w:t>
      </w:r>
      <w:r>
        <w:rPr>
          <w:rFonts w:hint="eastAsia" w:ascii="仿宋_GB2312" w:hAnsi="Times New Roman" w:eastAsia="仿宋_GB2312" w:cs="Times New Roman"/>
          <w:color w:val="000000" w:themeColor="text1"/>
          <w:szCs w:val="32"/>
          <w:u w:val="single"/>
          <w:lang w:val="en-US" w:eastAsia="zh-CN"/>
          <w14:textFill>
            <w14:solidFill>
              <w14:schemeClr w14:val="tx1"/>
            </w14:solidFill>
          </w14:textFill>
        </w:rPr>
        <w:t>教育局</w:t>
      </w:r>
      <w:r>
        <w:rPr>
          <w:rFonts w:hint="eastAsia" w:ascii="仿宋_GB2312" w:hAnsi="Times New Roman" w:eastAsia="仿宋_GB2312" w:cs="Times New Roman"/>
          <w:color w:val="000000" w:themeColor="text1"/>
          <w:szCs w:val="32"/>
          <w:u w:val="single"/>
          <w14:textFill>
            <w14:solidFill>
              <w14:schemeClr w14:val="tx1"/>
            </w14:solidFill>
          </w14:textFill>
        </w:rPr>
        <w:t xml:space="preserve">          </w:t>
      </w:r>
    </w:p>
    <w:p>
      <w:pPr>
        <w:adjustRightInd w:val="0"/>
        <w:snapToGrid w:val="0"/>
        <w:spacing w:line="360" w:lineRule="auto"/>
        <w:ind w:firstLine="1600" w:firstLineChars="500"/>
        <w:rPr>
          <w:rFonts w:ascii="仿宋_GB2312" w:hAnsi="Times New Roman" w:eastAsia="仿宋_GB2312" w:cs="Times New Roman"/>
          <w:color w:val="000000" w:themeColor="text1"/>
          <w:szCs w:val="32"/>
          <w14:textFill>
            <w14:solidFill>
              <w14:schemeClr w14:val="tx1"/>
            </w14:solidFill>
          </w14:textFill>
        </w:rPr>
      </w:pPr>
      <w:r>
        <w:rPr>
          <w:rFonts w:hint="eastAsia" w:ascii="仿宋_GB2312" w:hAnsi="Times New Roman" w:eastAsia="仿宋_GB2312" w:cs="Times New Roman"/>
          <w:color w:val="000000" w:themeColor="text1"/>
          <w:szCs w:val="32"/>
          <w14:textFill>
            <w14:solidFill>
              <w14:schemeClr w14:val="tx1"/>
            </w14:solidFill>
          </w14:textFill>
        </w:rPr>
        <w:t>评价机构</w:t>
      </w:r>
      <w:r>
        <w:rPr>
          <w:rFonts w:ascii="仿宋_GB2312" w:hAnsi="Times New Roman" w:eastAsia="仿宋_GB2312" w:cs="Times New Roman"/>
          <w:color w:val="000000" w:themeColor="text1"/>
          <w:szCs w:val="32"/>
          <w14:textFill>
            <w14:solidFill>
              <w14:schemeClr w14:val="tx1"/>
            </w14:solidFill>
          </w14:textFill>
        </w:rPr>
        <w:t>：</w:t>
      </w:r>
      <w:r>
        <w:rPr>
          <w:rFonts w:hint="eastAsia" w:ascii="仿宋_GB2312" w:hAnsi="Times New Roman" w:eastAsia="仿宋_GB2312" w:cs="Times New Roman"/>
          <w:color w:val="000000" w:themeColor="text1"/>
          <w:szCs w:val="32"/>
          <w:u w:val="single"/>
          <w14:textFill>
            <w14:solidFill>
              <w14:schemeClr w14:val="tx1"/>
            </w14:solidFill>
          </w14:textFill>
        </w:rPr>
        <w:t>湖南惟楚创智</w:t>
      </w:r>
      <w:r>
        <w:rPr>
          <w:rFonts w:ascii="仿宋_GB2312" w:hAnsi="Times New Roman" w:eastAsia="仿宋_GB2312" w:cs="Times New Roman"/>
          <w:color w:val="000000" w:themeColor="text1"/>
          <w:szCs w:val="32"/>
          <w:u w:val="single"/>
          <w14:textFill>
            <w14:solidFill>
              <w14:schemeClr w14:val="tx1"/>
            </w14:solidFill>
          </w14:textFill>
        </w:rPr>
        <w:t>经济咨询有限责任公司</w:t>
      </w:r>
      <w:r>
        <w:rPr>
          <w:rFonts w:hint="eastAsia" w:ascii="仿宋_GB2312" w:hAnsi="Times New Roman" w:eastAsia="仿宋_GB2312" w:cs="Times New Roman"/>
          <w:color w:val="000000" w:themeColor="text1"/>
          <w:szCs w:val="32"/>
          <w14:textFill>
            <w14:solidFill>
              <w14:schemeClr w14:val="tx1"/>
            </w14:solidFill>
          </w14:textFill>
        </w:rPr>
        <w:t xml:space="preserve"> </w:t>
      </w:r>
    </w:p>
    <w:p>
      <w:pPr>
        <w:spacing w:line="600" w:lineRule="exact"/>
        <w:ind w:firstLine="640"/>
        <w:jc w:val="center"/>
        <w:rPr>
          <w:rFonts w:ascii="仿宋_GB2312" w:hAnsi="仿宋" w:eastAsia="仿宋_GB2312"/>
          <w:color w:val="000000" w:themeColor="text1"/>
          <w:szCs w:val="24"/>
          <w14:textFill>
            <w14:solidFill>
              <w14:schemeClr w14:val="tx1"/>
            </w14:solidFill>
          </w14:textFill>
        </w:rPr>
      </w:pPr>
    </w:p>
    <w:p>
      <w:pPr>
        <w:ind w:firstLine="420"/>
        <w:rPr>
          <w:rFonts w:hint="default"/>
          <w:szCs w:val="24"/>
          <w:lang w:val="en-US" w:eastAsia="zh-CN"/>
        </w:rPr>
      </w:pPr>
    </w:p>
    <w:p>
      <w:pPr>
        <w:ind w:firstLine="420"/>
        <w:rPr>
          <w:rFonts w:hint="default"/>
          <w:szCs w:val="24"/>
          <w:lang w:val="en-US" w:eastAsia="zh-CN"/>
        </w:rPr>
      </w:pPr>
    </w:p>
    <w:p>
      <w:pPr>
        <w:ind w:firstLine="420"/>
        <w:rPr>
          <w:rFonts w:hint="default"/>
          <w:szCs w:val="24"/>
          <w:lang w:val="en-US" w:eastAsia="zh-CN"/>
        </w:rPr>
      </w:pPr>
    </w:p>
    <w:p>
      <w:pPr>
        <w:ind w:firstLine="420"/>
        <w:rPr>
          <w:rFonts w:hint="default"/>
          <w:szCs w:val="24"/>
          <w:lang w:val="en-US" w:eastAsia="zh-CN"/>
        </w:rPr>
      </w:pPr>
    </w:p>
    <w:p>
      <w:pPr>
        <w:ind w:firstLine="420"/>
        <w:rPr>
          <w:rFonts w:hint="default"/>
          <w:szCs w:val="24"/>
          <w:lang w:val="en-US" w:eastAsia="zh-CN"/>
        </w:rPr>
      </w:pPr>
    </w:p>
    <w:p>
      <w:pPr>
        <w:spacing w:line="360" w:lineRule="auto"/>
        <w:jc w:val="center"/>
        <w:rPr>
          <w:rFonts w:hint="eastAsia" w:ascii="华文中宋" w:hAnsi="华文中宋" w:eastAsia="华文中宋" w:cs="华文中宋"/>
          <w:b/>
          <w:sz w:val="44"/>
          <w:szCs w:val="44"/>
        </w:rPr>
      </w:pPr>
      <w:r>
        <w:rPr>
          <w:rFonts w:hint="eastAsia" w:ascii="仿宋_GB2312" w:hAnsi="仿宋" w:eastAsia="仿宋_GB2312"/>
          <w:color w:val="000000" w:themeColor="text1"/>
          <w:szCs w:val="24"/>
          <w14:textFill>
            <w14:solidFill>
              <w14:schemeClr w14:val="tx1"/>
            </w14:solidFill>
          </w14:textFill>
        </w:rPr>
        <w:t>二零一九</w:t>
      </w:r>
      <w:r>
        <w:rPr>
          <w:rFonts w:ascii="仿宋_GB2312" w:hAnsi="仿宋" w:eastAsia="仿宋_GB2312"/>
          <w:color w:val="000000" w:themeColor="text1"/>
          <w:szCs w:val="24"/>
          <w14:textFill>
            <w14:solidFill>
              <w14:schemeClr w14:val="tx1"/>
            </w14:solidFill>
          </w14:textFill>
        </w:rPr>
        <w:t>年</w:t>
      </w:r>
      <w:r>
        <w:rPr>
          <w:rFonts w:hint="eastAsia" w:ascii="仿宋_GB2312" w:hAnsi="仿宋" w:eastAsia="仿宋_GB2312"/>
          <w:color w:val="000000" w:themeColor="text1"/>
          <w:szCs w:val="24"/>
          <w:lang w:val="en-US" w:eastAsia="zh-CN"/>
          <w14:textFill>
            <w14:solidFill>
              <w14:schemeClr w14:val="tx1"/>
            </w14:solidFill>
          </w14:textFill>
        </w:rPr>
        <w:t>九</w:t>
      </w:r>
      <w:r>
        <w:rPr>
          <w:rFonts w:ascii="仿宋_GB2312" w:hAnsi="仿宋" w:eastAsia="仿宋_GB2312"/>
          <w:color w:val="000000" w:themeColor="text1"/>
          <w:szCs w:val="24"/>
          <w14:textFill>
            <w14:solidFill>
              <w14:schemeClr w14:val="tx1"/>
            </w14:solidFill>
          </w14:textFill>
        </w:rPr>
        <w:t>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both"/>
        <w:textAlignment w:val="auto"/>
        <w:rPr>
          <w:rFonts w:hint="eastAsia" w:ascii="华文中宋" w:hAnsi="华文中宋" w:eastAsia="华文中宋" w:cs="华文中宋"/>
          <w:b/>
          <w:sz w:val="44"/>
          <w:szCs w:val="44"/>
        </w:rPr>
      </w:pPr>
    </w:p>
    <w:sdt>
      <w:sdtPr>
        <w:rPr>
          <w:rFonts w:ascii="宋体" w:hAnsi="宋体" w:eastAsia="宋体" w:cstheme="minorBidi"/>
          <w:kern w:val="2"/>
          <w:sz w:val="21"/>
          <w:szCs w:val="22"/>
          <w:lang w:val="en-US" w:eastAsia="zh-CN" w:bidi="ar-SA"/>
        </w:rPr>
        <w:id w:val="147468446"/>
        <w15:color w:val="DBDBDB"/>
        <w:docPartObj>
          <w:docPartGallery w:val="Table of Contents"/>
          <w:docPartUnique/>
        </w:docPartObj>
      </w:sdtPr>
      <w:sdtEndPr>
        <w:rPr>
          <w:rFonts w:ascii="Times New Roman" w:hAnsi="Times New Roman" w:eastAsia="宋体" w:cs="Times New Roman"/>
          <w:kern w:val="2"/>
          <w:sz w:val="24"/>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华文中宋" w:hAnsi="华文中宋" w:eastAsia="华文中宋" w:cs="华文中宋"/>
              <w:b/>
              <w:bCs/>
              <w:sz w:val="36"/>
              <w:szCs w:val="36"/>
            </w:rPr>
          </w:pPr>
          <w:bookmarkStart w:id="0" w:name="_Toc17661_WPSOffice_Type3"/>
          <w:r>
            <w:rPr>
              <w:rFonts w:hint="eastAsia" w:ascii="华文中宋" w:hAnsi="华文中宋" w:eastAsia="华文中宋" w:cs="华文中宋"/>
              <w:b/>
              <w:bCs/>
              <w:sz w:val="36"/>
              <w:szCs w:val="36"/>
            </w:rPr>
            <w:t>目录</w:t>
          </w:r>
        </w:p>
        <w:p>
          <w:pPr>
            <w:pStyle w:val="10"/>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_Toc17661_WPSOffice_Level1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de50982f-d5d3-4082-a906-b72fb6dc315c}"/>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黑体" w:hAnsi="黑体" w:eastAsia="黑体" w:cs="宋体"/>
                  <w:sz w:val="24"/>
                  <w:szCs w:val="24"/>
                </w:rPr>
                <w:t>一、 项目基本情况</w:t>
              </w:r>
            </w:sdtContent>
          </w:sdt>
          <w:r>
            <w:rPr>
              <w:sz w:val="24"/>
              <w:szCs w:val="24"/>
            </w:rPr>
            <w:tab/>
          </w:r>
          <w:bookmarkStart w:id="1" w:name="_Toc17661_WPSOffice_Level1Page"/>
          <w:r>
            <w:rPr>
              <w:sz w:val="24"/>
              <w:szCs w:val="24"/>
            </w:rPr>
            <w:t>2</w:t>
          </w:r>
          <w:bookmarkEnd w:id="1"/>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_Toc17661_WPSOffice_Level2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e28a2577-308e-4b83-8765-2049f7ad944c}"/>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theme="minorBidi"/>
                  <w:sz w:val="24"/>
                  <w:szCs w:val="24"/>
                </w:rPr>
                <w:t>（一） 受评单位相关职责</w:t>
              </w:r>
            </w:sdtContent>
          </w:sdt>
          <w:r>
            <w:rPr>
              <w:sz w:val="24"/>
              <w:szCs w:val="24"/>
            </w:rPr>
            <w:tab/>
          </w:r>
          <w:bookmarkStart w:id="2" w:name="_Toc17661_WPSOffice_Level2Page"/>
          <w:r>
            <w:rPr>
              <w:sz w:val="24"/>
              <w:szCs w:val="24"/>
            </w:rPr>
            <w:t>2</w:t>
          </w:r>
          <w:bookmarkEnd w:id="2"/>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_Toc5165_WPSOffice_Level2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e5fd7e4c-90fa-4389-b9ed-512039be6914}"/>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theme="minorBidi"/>
                  <w:sz w:val="24"/>
                  <w:szCs w:val="24"/>
                </w:rPr>
                <w:t>（二） 项目背景和依据</w:t>
              </w:r>
            </w:sdtContent>
          </w:sdt>
          <w:r>
            <w:rPr>
              <w:sz w:val="24"/>
              <w:szCs w:val="24"/>
            </w:rPr>
            <w:tab/>
          </w:r>
          <w:bookmarkStart w:id="3" w:name="_Toc5165_WPSOffice_Level2Page"/>
          <w:r>
            <w:rPr>
              <w:sz w:val="24"/>
              <w:szCs w:val="24"/>
            </w:rPr>
            <w:t>2</w:t>
          </w:r>
          <w:bookmarkEnd w:id="3"/>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_Toc9923_WPSOffice_Level2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7a3e90b7-5443-47b7-bfda-4d6eda08b29d}"/>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theme="minorBidi"/>
                  <w:sz w:val="24"/>
                  <w:szCs w:val="24"/>
                </w:rPr>
                <w:t>（三） 项目资金安排及使用情况</w:t>
              </w:r>
            </w:sdtContent>
          </w:sdt>
          <w:r>
            <w:rPr>
              <w:sz w:val="24"/>
              <w:szCs w:val="24"/>
            </w:rPr>
            <w:tab/>
          </w:r>
          <w:bookmarkStart w:id="4" w:name="_Toc9923_WPSOffice_Level2Page"/>
          <w:r>
            <w:rPr>
              <w:sz w:val="24"/>
              <w:szCs w:val="24"/>
            </w:rPr>
            <w:t>3</w:t>
          </w:r>
          <w:bookmarkEnd w:id="4"/>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_Toc25088_WPSOffice_Level2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45b81753-c65d-4233-a74d-527bbe4c2dd4}"/>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theme="minorBidi"/>
                  <w:sz w:val="24"/>
                  <w:szCs w:val="24"/>
                </w:rPr>
                <w:t>（四） 项目完成情况及成效</w:t>
              </w:r>
            </w:sdtContent>
          </w:sdt>
          <w:r>
            <w:rPr>
              <w:sz w:val="24"/>
              <w:szCs w:val="24"/>
            </w:rPr>
            <w:tab/>
          </w:r>
          <w:bookmarkStart w:id="5" w:name="_Toc25088_WPSOffice_Level2Page"/>
          <w:r>
            <w:rPr>
              <w:sz w:val="24"/>
              <w:szCs w:val="24"/>
            </w:rPr>
            <w:t>3</w:t>
          </w:r>
          <w:bookmarkEnd w:id="5"/>
          <w:r>
            <w:rPr>
              <w:sz w:val="24"/>
              <w:szCs w:val="24"/>
            </w:rPr>
            <w:fldChar w:fldCharType="end"/>
          </w:r>
        </w:p>
        <w:p>
          <w:pPr>
            <w:pStyle w:val="10"/>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_Toc5165_WPSOffice_Level1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0a9a689d-f528-45e9-b49d-df6e32824e54}"/>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黑体" w:hAnsi="黑体" w:eastAsia="黑体" w:cs="宋体"/>
                  <w:sz w:val="24"/>
                  <w:szCs w:val="24"/>
                </w:rPr>
                <w:t>二、 项目资金绩效评价及分析</w:t>
              </w:r>
            </w:sdtContent>
          </w:sdt>
          <w:r>
            <w:rPr>
              <w:sz w:val="24"/>
              <w:szCs w:val="24"/>
            </w:rPr>
            <w:tab/>
          </w:r>
          <w:bookmarkStart w:id="6" w:name="_Toc5165_WPSOffice_Level1Page"/>
          <w:r>
            <w:rPr>
              <w:sz w:val="24"/>
              <w:szCs w:val="24"/>
            </w:rPr>
            <w:t>4</w:t>
          </w:r>
          <w:bookmarkEnd w:id="6"/>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_Toc15615_WPSOffice_Level2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378d577d-a331-4191-898f-29319fc168b3}"/>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华文楷体"/>
                  <w:sz w:val="24"/>
                  <w:szCs w:val="24"/>
                </w:rPr>
                <w:t>（一） 评价依据</w:t>
              </w:r>
            </w:sdtContent>
          </w:sdt>
          <w:r>
            <w:rPr>
              <w:sz w:val="24"/>
              <w:szCs w:val="24"/>
            </w:rPr>
            <w:tab/>
          </w:r>
          <w:bookmarkStart w:id="7" w:name="_Toc15615_WPSOffice_Level2Page"/>
          <w:r>
            <w:rPr>
              <w:sz w:val="24"/>
              <w:szCs w:val="24"/>
            </w:rPr>
            <w:t>4</w:t>
          </w:r>
          <w:bookmarkEnd w:id="7"/>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_Toc5326_WPSOffice_Level2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bd67d9d5-626c-4d30-a9af-4e7e496b64c1}"/>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华文楷体"/>
                  <w:sz w:val="24"/>
                  <w:szCs w:val="24"/>
                </w:rPr>
                <w:t>（二） 评价方法</w:t>
              </w:r>
            </w:sdtContent>
          </w:sdt>
          <w:r>
            <w:rPr>
              <w:sz w:val="24"/>
              <w:szCs w:val="24"/>
            </w:rPr>
            <w:tab/>
          </w:r>
          <w:bookmarkStart w:id="8" w:name="_Toc5326_WPSOffice_Level2Page"/>
          <w:r>
            <w:rPr>
              <w:sz w:val="24"/>
              <w:szCs w:val="24"/>
            </w:rPr>
            <w:t>4</w:t>
          </w:r>
          <w:bookmarkEnd w:id="8"/>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_Toc26160_WPSOffice_Level2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b77cf839-3587-4f2e-be78-57a6f9cec35f}"/>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华文楷体"/>
                  <w:sz w:val="24"/>
                  <w:szCs w:val="24"/>
                </w:rPr>
                <w:t>（三） 评价指标</w:t>
              </w:r>
            </w:sdtContent>
          </w:sdt>
          <w:r>
            <w:rPr>
              <w:sz w:val="24"/>
              <w:szCs w:val="24"/>
            </w:rPr>
            <w:tab/>
          </w:r>
          <w:bookmarkStart w:id="9" w:name="_Toc26160_WPSOffice_Level2Page"/>
          <w:r>
            <w:rPr>
              <w:sz w:val="24"/>
              <w:szCs w:val="24"/>
            </w:rPr>
            <w:t>5</w:t>
          </w:r>
          <w:bookmarkEnd w:id="9"/>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_Toc28172_WPSOffice_Level2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528ff3a8-7efa-469a-a5cd-f8523b5e77a9}"/>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华文楷体"/>
                  <w:sz w:val="24"/>
                  <w:szCs w:val="24"/>
                </w:rPr>
                <w:t>（四） 评价结论</w:t>
              </w:r>
            </w:sdtContent>
          </w:sdt>
          <w:r>
            <w:rPr>
              <w:sz w:val="24"/>
              <w:szCs w:val="24"/>
            </w:rPr>
            <w:tab/>
          </w:r>
          <w:bookmarkStart w:id="10" w:name="_Toc28172_WPSOffice_Level2Page"/>
          <w:r>
            <w:rPr>
              <w:sz w:val="24"/>
              <w:szCs w:val="24"/>
            </w:rPr>
            <w:t>5</w:t>
          </w:r>
          <w:bookmarkEnd w:id="10"/>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_Toc3870_WPSOffice_Level2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b99db4ca-c269-4752-badd-78452149ea1b}"/>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华文楷体"/>
                  <w:sz w:val="24"/>
                  <w:szCs w:val="24"/>
                </w:rPr>
                <w:t>（五） 评价指标分析</w:t>
              </w:r>
            </w:sdtContent>
          </w:sdt>
          <w:r>
            <w:rPr>
              <w:sz w:val="24"/>
              <w:szCs w:val="24"/>
            </w:rPr>
            <w:tab/>
          </w:r>
          <w:bookmarkStart w:id="11" w:name="_Toc3870_WPSOffice_Level2Page"/>
          <w:r>
            <w:rPr>
              <w:sz w:val="24"/>
              <w:szCs w:val="24"/>
            </w:rPr>
            <w:t>6</w:t>
          </w:r>
          <w:bookmarkEnd w:id="11"/>
          <w:r>
            <w:rPr>
              <w:sz w:val="24"/>
              <w:szCs w:val="24"/>
            </w:rPr>
            <w:fldChar w:fldCharType="end"/>
          </w:r>
        </w:p>
        <w:p>
          <w:pPr>
            <w:pStyle w:val="12"/>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_Toc17661_WPSOffice_Level3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2659e867-0393-494a-af58-1681420693c1}"/>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仿宋" w:hAnsi="华文仿宋" w:eastAsia="华文仿宋" w:cs="华文仿宋"/>
                  <w:sz w:val="24"/>
                  <w:szCs w:val="24"/>
                </w:rPr>
                <w:t>1. 项目投入</w:t>
              </w:r>
            </w:sdtContent>
          </w:sdt>
          <w:r>
            <w:rPr>
              <w:sz w:val="24"/>
              <w:szCs w:val="24"/>
            </w:rPr>
            <w:tab/>
          </w:r>
          <w:bookmarkStart w:id="12" w:name="_Toc17661_WPSOffice_Level3Page"/>
          <w:r>
            <w:rPr>
              <w:sz w:val="24"/>
              <w:szCs w:val="24"/>
            </w:rPr>
            <w:t>6</w:t>
          </w:r>
          <w:bookmarkEnd w:id="12"/>
          <w:r>
            <w:rPr>
              <w:sz w:val="24"/>
              <w:szCs w:val="24"/>
            </w:rPr>
            <w:fldChar w:fldCharType="end"/>
          </w:r>
        </w:p>
        <w:p>
          <w:pPr>
            <w:pStyle w:val="12"/>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_Toc5165_WPSOffice_Level3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400c4f05-8744-4039-a0b7-63ba3c753d4f}"/>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仿宋" w:hAnsi="华文仿宋" w:eastAsia="华文仿宋" w:cs="华文仿宋"/>
                  <w:sz w:val="24"/>
                  <w:szCs w:val="24"/>
                </w:rPr>
                <w:t>2. 项目实施过程</w:t>
              </w:r>
            </w:sdtContent>
          </w:sdt>
          <w:r>
            <w:rPr>
              <w:sz w:val="24"/>
              <w:szCs w:val="24"/>
            </w:rPr>
            <w:tab/>
          </w:r>
          <w:bookmarkStart w:id="13" w:name="_Toc5165_WPSOffice_Level3Page"/>
          <w:r>
            <w:rPr>
              <w:sz w:val="24"/>
              <w:szCs w:val="24"/>
            </w:rPr>
            <w:t>8</w:t>
          </w:r>
          <w:bookmarkEnd w:id="13"/>
          <w:r>
            <w:rPr>
              <w:sz w:val="24"/>
              <w:szCs w:val="24"/>
            </w:rPr>
            <w:fldChar w:fldCharType="end"/>
          </w:r>
        </w:p>
        <w:p>
          <w:pPr>
            <w:pStyle w:val="12"/>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_Toc9923_WPSOffice_Level3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73df4bc1-9af7-405a-8f4c-9ba98fd0440d}"/>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仿宋" w:hAnsi="华文仿宋" w:eastAsia="华文仿宋" w:cs="华文仿宋"/>
                  <w:sz w:val="24"/>
                  <w:szCs w:val="24"/>
                </w:rPr>
                <w:t>3. 项目产出及效果</w:t>
              </w:r>
            </w:sdtContent>
          </w:sdt>
          <w:r>
            <w:rPr>
              <w:sz w:val="24"/>
              <w:szCs w:val="24"/>
            </w:rPr>
            <w:tab/>
          </w:r>
          <w:bookmarkStart w:id="14" w:name="_Toc9923_WPSOffice_Level3Page"/>
          <w:r>
            <w:rPr>
              <w:sz w:val="24"/>
              <w:szCs w:val="24"/>
            </w:rPr>
            <w:t>9</w:t>
          </w:r>
          <w:bookmarkEnd w:id="14"/>
          <w:r>
            <w:rPr>
              <w:sz w:val="24"/>
              <w:szCs w:val="24"/>
            </w:rPr>
            <w:fldChar w:fldCharType="end"/>
          </w:r>
        </w:p>
        <w:p>
          <w:pPr>
            <w:pStyle w:val="10"/>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_Toc9923_WPSOffice_Level1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df06e076-d720-4d66-82eb-db350c0ffbcd}"/>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黑体" w:hAnsi="黑体" w:eastAsia="黑体" w:cs="宋体"/>
                  <w:sz w:val="24"/>
                  <w:szCs w:val="24"/>
                </w:rPr>
                <w:t>三、 存在的主要问题</w:t>
              </w:r>
            </w:sdtContent>
          </w:sdt>
          <w:r>
            <w:rPr>
              <w:sz w:val="24"/>
              <w:szCs w:val="24"/>
            </w:rPr>
            <w:tab/>
          </w:r>
          <w:bookmarkStart w:id="15" w:name="_Toc9923_WPSOffice_Level1Page"/>
          <w:r>
            <w:rPr>
              <w:sz w:val="24"/>
              <w:szCs w:val="24"/>
            </w:rPr>
            <w:t>10</w:t>
          </w:r>
          <w:bookmarkEnd w:id="15"/>
          <w:r>
            <w:rPr>
              <w:sz w:val="24"/>
              <w:szCs w:val="24"/>
            </w:rPr>
            <w:fldChar w:fldCharType="end"/>
          </w:r>
        </w:p>
        <w:p>
          <w:pPr>
            <w:pStyle w:val="10"/>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_Toc25088_WPSOffice_Level1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73adea3b-bed9-4ac6-b128-aaef275f72aa}"/>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黑体" w:hAnsi="黑体" w:eastAsia="黑体" w:cs="宋体"/>
                  <w:sz w:val="24"/>
                  <w:szCs w:val="24"/>
                </w:rPr>
                <w:t>四、 相关意见及建议</w:t>
              </w:r>
            </w:sdtContent>
          </w:sdt>
          <w:r>
            <w:rPr>
              <w:sz w:val="24"/>
              <w:szCs w:val="24"/>
            </w:rPr>
            <w:tab/>
          </w:r>
          <w:bookmarkStart w:id="16" w:name="_Toc25088_WPSOffice_Level1Page"/>
          <w:r>
            <w:rPr>
              <w:sz w:val="24"/>
              <w:szCs w:val="24"/>
            </w:rPr>
            <w:t>11</w:t>
          </w:r>
          <w:bookmarkEnd w:id="16"/>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_Toc15336_WPSOffice_Level2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79cf518d-689c-47dd-a0df-f9bb29a690f7}"/>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华文楷体"/>
                  <w:sz w:val="24"/>
                  <w:szCs w:val="24"/>
                </w:rPr>
                <w:t>（一） 建议强化预算绩效管理意识</w:t>
              </w:r>
            </w:sdtContent>
          </w:sdt>
          <w:r>
            <w:rPr>
              <w:sz w:val="24"/>
              <w:szCs w:val="24"/>
            </w:rPr>
            <w:tab/>
          </w:r>
          <w:bookmarkStart w:id="17" w:name="_Toc15336_WPSOffice_Level2Page"/>
          <w:r>
            <w:rPr>
              <w:sz w:val="24"/>
              <w:szCs w:val="24"/>
            </w:rPr>
            <w:t>11</w:t>
          </w:r>
          <w:bookmarkEnd w:id="17"/>
          <w:r>
            <w:rPr>
              <w:sz w:val="24"/>
              <w:szCs w:val="24"/>
            </w:rPr>
            <w:fldChar w:fldCharType="end"/>
          </w:r>
        </w:p>
        <w:p>
          <w:pPr>
            <w:pStyle w:val="11"/>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sz w:val="24"/>
              <w:szCs w:val="24"/>
            </w:rPr>
          </w:pPr>
          <w:r>
            <w:rPr>
              <w:sz w:val="24"/>
              <w:szCs w:val="24"/>
            </w:rPr>
            <w:fldChar w:fldCharType="begin"/>
          </w:r>
          <w:r>
            <w:rPr>
              <w:sz w:val="24"/>
              <w:szCs w:val="24"/>
            </w:rPr>
            <w:instrText xml:space="preserve"> HYPERLINK \l _Toc6076_WPSOffice_Level2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48ee7e88-85c8-4d0e-a98a-af1616c073e3}"/>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华文楷体" w:hAnsi="华文楷体" w:eastAsia="华文楷体" w:cs="华文楷体"/>
                  <w:sz w:val="24"/>
                  <w:szCs w:val="24"/>
                </w:rPr>
                <w:t>（二） 建议进一步完善校车管理制度</w:t>
              </w:r>
            </w:sdtContent>
          </w:sdt>
          <w:r>
            <w:rPr>
              <w:sz w:val="24"/>
              <w:szCs w:val="24"/>
            </w:rPr>
            <w:tab/>
          </w:r>
          <w:bookmarkStart w:id="18" w:name="_Toc6076_WPSOffice_Level2Page"/>
          <w:r>
            <w:rPr>
              <w:sz w:val="24"/>
              <w:szCs w:val="24"/>
            </w:rPr>
            <w:t>11</w:t>
          </w:r>
          <w:bookmarkEnd w:id="18"/>
          <w:r>
            <w:rPr>
              <w:sz w:val="24"/>
              <w:szCs w:val="24"/>
            </w:rPr>
            <w:fldChar w:fldCharType="end"/>
          </w:r>
        </w:p>
        <w:p>
          <w:pPr>
            <w:pStyle w:val="10"/>
            <w:keepNext w:val="0"/>
            <w:keepLines w:val="0"/>
            <w:pageBreakBefore w:val="0"/>
            <w:widowControl/>
            <w:tabs>
              <w:tab w:val="right" w:leader="dot" w:pos="8845"/>
            </w:tabs>
            <w:kinsoku/>
            <w:wordWrap/>
            <w:overflowPunct/>
            <w:topLinePunct w:val="0"/>
            <w:autoSpaceDE/>
            <w:autoSpaceDN/>
            <w:bidi w:val="0"/>
            <w:adjustRightInd/>
            <w:snapToGrid/>
            <w:spacing w:line="500" w:lineRule="exact"/>
            <w:textAlignment w:val="auto"/>
            <w:rPr>
              <w:rFonts w:hint="eastAsia" w:ascii="华文中宋" w:hAnsi="华文中宋" w:eastAsia="华文中宋" w:cs="华文中宋"/>
              <w:b/>
              <w:sz w:val="24"/>
              <w:szCs w:val="24"/>
            </w:rPr>
            <w:sectPr>
              <w:pgSz w:w="11906" w:h="16838"/>
              <w:pgMar w:top="1440" w:right="1474" w:bottom="1440" w:left="1587" w:header="851" w:footer="992" w:gutter="0"/>
              <w:pgNumType w:fmt="decimal" w:start="1"/>
              <w:cols w:space="0" w:num="1"/>
              <w:rtlGutter w:val="0"/>
              <w:docGrid w:type="lines" w:linePitch="312" w:charSpace="0"/>
            </w:sectPr>
          </w:pPr>
          <w:r>
            <w:rPr>
              <w:sz w:val="24"/>
              <w:szCs w:val="24"/>
            </w:rPr>
            <w:fldChar w:fldCharType="begin"/>
          </w:r>
          <w:r>
            <w:rPr>
              <w:sz w:val="24"/>
              <w:szCs w:val="24"/>
            </w:rPr>
            <w:instrText xml:space="preserve"> HYPERLINK \l _Toc15615_WPSOffice_Level1 </w:instrText>
          </w:r>
          <w:r>
            <w:rPr>
              <w:sz w:val="24"/>
              <w:szCs w:val="24"/>
            </w:rPr>
            <w:fldChar w:fldCharType="separate"/>
          </w:r>
          <w:sdt>
            <w:sdtPr>
              <w:rPr>
                <w:rFonts w:eastAsia="华文仿宋" w:asciiTheme="minorAscii" w:hAnsiTheme="minorAscii" w:cstheme="minorBidi"/>
                <w:kern w:val="2"/>
                <w:sz w:val="24"/>
                <w:szCs w:val="24"/>
                <w:lang w:val="en-US" w:eastAsia="zh-CN" w:bidi="ar-SA"/>
              </w:rPr>
              <w:id w:val="147468446"/>
              <w:placeholder>
                <w:docPart w:val="{fd9d72e2-2521-4820-9ce1-d41132ab2777}"/>
              </w:placeholder>
              <w15:color w:val="509DF3"/>
            </w:sdtPr>
            <w:sdtEndPr>
              <w:rPr>
                <w:rFonts w:eastAsia="华文仿宋" w:asciiTheme="minorAscii" w:hAnsiTheme="minorAscii" w:cstheme="minorBidi"/>
                <w:kern w:val="2"/>
                <w:sz w:val="24"/>
                <w:szCs w:val="24"/>
                <w:lang w:val="en-US" w:eastAsia="zh-CN" w:bidi="ar-SA"/>
              </w:rPr>
            </w:sdtEndPr>
            <w:sdtContent>
              <w:r>
                <w:rPr>
                  <w:rFonts w:hint="eastAsia" w:ascii="黑体" w:hAnsi="黑体" w:eastAsia="黑体" w:cs="黑体"/>
                  <w:sz w:val="24"/>
                  <w:szCs w:val="24"/>
                </w:rPr>
                <w:t>附件:</w:t>
              </w:r>
            </w:sdtContent>
          </w:sdt>
          <w:r>
            <w:rPr>
              <w:sz w:val="24"/>
              <w:szCs w:val="24"/>
            </w:rPr>
            <w:tab/>
          </w:r>
          <w:bookmarkStart w:id="19" w:name="_Toc15615_WPSOffice_Level1Page"/>
          <w:r>
            <w:rPr>
              <w:sz w:val="24"/>
              <w:szCs w:val="24"/>
            </w:rPr>
            <w:t>12</w:t>
          </w:r>
          <w:bookmarkEnd w:id="19"/>
          <w:r>
            <w:rPr>
              <w:sz w:val="24"/>
              <w:szCs w:val="24"/>
            </w:rPr>
            <w:fldChar w:fldCharType="end"/>
          </w:r>
          <w:bookmarkEnd w:id="0"/>
        </w:p>
      </w:sdtContent>
    </w:sdt>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华文中宋" w:hAnsi="华文中宋" w:eastAsia="华文中宋" w:cs="华文中宋"/>
          <w:b/>
          <w:sz w:val="44"/>
          <w:szCs w:val="44"/>
        </w:rPr>
      </w:pPr>
      <w:bookmarkStart w:id="20" w:name="_Toc12698_WPSOffice_Level1"/>
      <w:r>
        <w:rPr>
          <w:rFonts w:hint="eastAsia" w:ascii="华文中宋" w:hAnsi="华文中宋" w:eastAsia="华文中宋" w:cs="华文中宋"/>
          <w:b/>
          <w:sz w:val="44"/>
          <w:szCs w:val="44"/>
          <w:lang w:val="en-US" w:eastAsia="zh-CN"/>
        </w:rPr>
        <w:t>怀化市鹤城区</w:t>
      </w:r>
      <w:r>
        <w:rPr>
          <w:rFonts w:hint="eastAsia" w:ascii="华文中宋" w:hAnsi="华文中宋" w:eastAsia="华文中宋" w:cs="华文中宋"/>
          <w:b/>
          <w:sz w:val="44"/>
          <w:szCs w:val="44"/>
        </w:rPr>
        <w:t>教育局</w:t>
      </w:r>
      <w:r>
        <w:rPr>
          <w:rFonts w:hint="eastAsia" w:ascii="华文中宋" w:hAnsi="华文中宋" w:eastAsia="华文中宋" w:cs="华文中宋"/>
          <w:b/>
          <w:sz w:val="44"/>
          <w:szCs w:val="44"/>
          <w:lang w:val="en-US" w:eastAsia="zh-CN"/>
        </w:rPr>
        <w:t>2018年度</w:t>
      </w:r>
      <w:r>
        <w:rPr>
          <w:rFonts w:hint="eastAsia" w:ascii="华文中宋" w:hAnsi="华文中宋" w:eastAsia="华文中宋" w:cs="华文中宋"/>
          <w:b/>
          <w:sz w:val="44"/>
          <w:szCs w:val="44"/>
        </w:rPr>
        <w:t>中小学幼儿园校车</w:t>
      </w:r>
      <w:r>
        <w:rPr>
          <w:rFonts w:hint="eastAsia" w:ascii="华文中宋" w:hAnsi="华文中宋" w:eastAsia="华文中宋" w:cs="华文中宋"/>
          <w:b/>
          <w:sz w:val="44"/>
          <w:szCs w:val="44"/>
          <w:lang w:eastAsia="zh-CN"/>
        </w:rPr>
        <w:t>专</w:t>
      </w:r>
      <w:r>
        <w:rPr>
          <w:rFonts w:hint="eastAsia" w:ascii="华文中宋" w:hAnsi="华文中宋" w:eastAsia="华文中宋" w:cs="华文中宋"/>
          <w:b/>
          <w:sz w:val="44"/>
          <w:szCs w:val="44"/>
        </w:rPr>
        <w:t>项资金绩效评价报告</w:t>
      </w:r>
      <w:bookmarkEnd w:id="20"/>
    </w:p>
    <w:p>
      <w:pPr>
        <w:keepNext w:val="0"/>
        <w:keepLines w:val="0"/>
        <w:pageBreakBefore w:val="0"/>
        <w:widowControl w:val="0"/>
        <w:kinsoku/>
        <w:wordWrap/>
        <w:overflowPunct/>
        <w:topLinePunct w:val="0"/>
        <w:autoSpaceDE/>
        <w:autoSpaceDN/>
        <w:bidi w:val="0"/>
        <w:adjustRightInd/>
        <w:snapToGrid/>
        <w:spacing w:line="600" w:lineRule="exact"/>
        <w:ind w:left="1928" w:hanging="1922" w:hangingChars="400"/>
        <w:textAlignment w:val="auto"/>
        <w:rPr>
          <w:rFonts w:ascii="宋体" w:hAnsi="宋体"/>
          <w:b/>
          <w:sz w:val="48"/>
          <w:szCs w:val="48"/>
        </w:rPr>
      </w:pP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华文仿宋" w:hAnsi="华文仿宋" w:eastAsia="华文仿宋" w:cs="华文仿宋"/>
          <w:color w:val="000000" w:themeColor="text1"/>
          <w:szCs w:val="24"/>
          <w:lang w:val="en-US" w:eastAsia="zh-CN"/>
          <w14:textFill>
            <w14:solidFill>
              <w14:schemeClr w14:val="tx1"/>
            </w14:solidFill>
          </w14:textFill>
        </w:rPr>
      </w:pPr>
      <w:r>
        <w:rPr>
          <w:rFonts w:hint="eastAsia" w:ascii="华文仿宋" w:hAnsi="华文仿宋" w:eastAsia="华文仿宋" w:cs="华文仿宋"/>
        </w:rPr>
        <w:t>为加强财政支出管理，提高财政资金使用效益，</w:t>
      </w:r>
      <w:r>
        <w:rPr>
          <w:rFonts w:hint="eastAsia" w:ascii="华文仿宋" w:hAnsi="华文仿宋" w:eastAsia="华文仿宋" w:cs="华文仿宋"/>
          <w:szCs w:val="24"/>
        </w:rPr>
        <w:t>依据《中华人民共和国预算法》、《党政机关厉行节约反对浪费条例》、《中共中央国务院关于全面实施预算绩效管理的意见》（中发〔2018〕34号）、《中共湖南省委办公厅湖南省人民政府办公厅关于全面实施预算绩效管理的实施意见》（湘办发〔2019〕10号）等有关规定，按照鹤城区财政局《2018年度预算绩效管理工作实施方案》（鹤财绩〔2018〕26号）等文件要求，受怀化市鹤城区财政局委托，湖南惟楚创智经济咨询有限责任公司（以下简称惟</w:t>
      </w:r>
      <w:r>
        <w:rPr>
          <w:rFonts w:hint="eastAsia" w:ascii="华文仿宋" w:hAnsi="华文仿宋" w:eastAsia="华文仿宋" w:cs="华文仿宋"/>
          <w:color w:val="000000" w:themeColor="text1"/>
          <w:szCs w:val="24"/>
          <w14:textFill>
            <w14:solidFill>
              <w14:schemeClr w14:val="tx1"/>
            </w14:solidFill>
          </w14:textFill>
        </w:rPr>
        <w:t>楚创智）于2019年9月</w:t>
      </w:r>
      <w:r>
        <w:rPr>
          <w:rFonts w:hint="eastAsia" w:ascii="华文仿宋" w:hAnsi="华文仿宋" w:eastAsia="华文仿宋" w:cs="华文仿宋"/>
          <w:color w:val="000000" w:themeColor="text1"/>
          <w:szCs w:val="24"/>
          <w:lang w:eastAsia="zh-CN"/>
          <w14:textFill>
            <w14:solidFill>
              <w14:schemeClr w14:val="tx1"/>
            </w14:solidFill>
          </w14:textFill>
        </w:rPr>
        <w:t>对怀化市鹤城区教育局</w:t>
      </w:r>
      <w:r>
        <w:rPr>
          <w:rFonts w:hint="eastAsia" w:ascii="华文仿宋" w:hAnsi="华文仿宋" w:eastAsia="华文仿宋" w:cs="华文仿宋"/>
          <w:color w:val="000000" w:themeColor="text1"/>
          <w:szCs w:val="24"/>
          <w:lang w:val="en-US" w:eastAsia="zh-CN"/>
          <w14:textFill>
            <w14:solidFill>
              <w14:schemeClr w14:val="tx1"/>
            </w14:solidFill>
          </w14:textFill>
        </w:rPr>
        <w:t>2018年度中小学幼儿园校车项目专</w:t>
      </w:r>
      <w:r>
        <w:rPr>
          <w:rFonts w:hint="eastAsia" w:ascii="华文仿宋" w:hAnsi="华文仿宋" w:eastAsia="华文仿宋" w:cs="华文仿宋"/>
          <w:color w:val="auto"/>
          <w:szCs w:val="24"/>
          <w:lang w:val="en-US" w:eastAsia="zh-CN"/>
        </w:rPr>
        <w:t>项资金（以下简称该校车专项资金）</w:t>
      </w:r>
      <w:r>
        <w:rPr>
          <w:rFonts w:hint="eastAsia" w:ascii="华文仿宋" w:hAnsi="华文仿宋" w:eastAsia="华文仿宋" w:cs="华文仿宋"/>
          <w:szCs w:val="24"/>
          <w:lang w:eastAsia="zh-CN"/>
        </w:rPr>
        <w:t>开展</w:t>
      </w:r>
      <w:r>
        <w:rPr>
          <w:rFonts w:hint="eastAsia" w:ascii="华文仿宋" w:hAnsi="华文仿宋" w:eastAsia="华文仿宋" w:cs="华文仿宋"/>
          <w:szCs w:val="24"/>
        </w:rPr>
        <w:t>了预算绩效评价</w:t>
      </w:r>
      <w:r>
        <w:rPr>
          <w:rFonts w:hint="eastAsia" w:ascii="华文仿宋" w:hAnsi="华文仿宋" w:cs="华文仿宋"/>
          <w:szCs w:val="24"/>
          <w:lang w:val="en-US" w:eastAsia="zh-CN"/>
        </w:rPr>
        <w:t>工作</w:t>
      </w:r>
      <w:r>
        <w:rPr>
          <w:rFonts w:hint="eastAsia" w:ascii="华文仿宋" w:hAnsi="华文仿宋" w:eastAsia="华文仿宋" w:cs="华文仿宋"/>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asciiTheme="minorEastAsia" w:hAnsiTheme="minorEastAsia"/>
          <w:color w:val="000000" w:themeColor="text1"/>
          <w:sz w:val="30"/>
          <w:szCs w:val="30"/>
          <w14:textFill>
            <w14:solidFill>
              <w14:schemeClr w14:val="tx1"/>
            </w14:solidFill>
          </w14:textFill>
        </w:rPr>
      </w:pPr>
      <w:r>
        <w:rPr>
          <w:rFonts w:hint="eastAsia" w:ascii="华文仿宋" w:hAnsi="华文仿宋" w:eastAsia="华文仿宋" w:cs="华文仿宋"/>
          <w:szCs w:val="32"/>
        </w:rPr>
        <w:t>惟楚创智遵循科学规范的评价原则，运用合理的绩效评价指标与评价方法，结合项目资金实际使用情况及现场调研结果，经综合评</w:t>
      </w:r>
      <w:r>
        <w:rPr>
          <w:rFonts w:hint="eastAsia" w:ascii="华文仿宋" w:hAnsi="华文仿宋" w:cs="华文仿宋"/>
          <w:szCs w:val="32"/>
          <w:lang w:val="en-US" w:eastAsia="zh-CN"/>
        </w:rPr>
        <w:t>定</w:t>
      </w:r>
      <w:r>
        <w:rPr>
          <w:rFonts w:hint="eastAsia" w:ascii="华文仿宋" w:hAnsi="华文仿宋" w:eastAsia="华文仿宋" w:cs="华文仿宋"/>
          <w:color w:val="000000" w:themeColor="text1"/>
          <w:szCs w:val="32"/>
          <w14:textFill>
            <w14:solidFill>
              <w14:schemeClr w14:val="tx1"/>
            </w14:solidFill>
          </w14:textFill>
        </w:rPr>
        <w:t>，</w:t>
      </w:r>
      <w:r>
        <w:rPr>
          <w:rFonts w:hint="eastAsia" w:ascii="华文仿宋" w:hAnsi="华文仿宋" w:eastAsia="华文仿宋" w:cs="华文仿宋"/>
          <w:color w:val="000000" w:themeColor="text1"/>
          <w:szCs w:val="32"/>
          <w:lang w:eastAsia="zh-CN"/>
          <w14:textFill>
            <w14:solidFill>
              <w14:schemeClr w14:val="tx1"/>
            </w14:solidFill>
          </w14:textFill>
        </w:rPr>
        <w:t>该校车专项资金</w:t>
      </w:r>
      <w:r>
        <w:rPr>
          <w:rFonts w:hint="eastAsia" w:ascii="华文仿宋" w:hAnsi="华文仿宋" w:cs="华文仿宋"/>
          <w:color w:val="000000" w:themeColor="text1"/>
          <w:szCs w:val="32"/>
          <w:lang w:val="en-US" w:eastAsia="zh-CN"/>
          <w14:textFill>
            <w14:solidFill>
              <w14:schemeClr w14:val="tx1"/>
            </w14:solidFill>
          </w14:textFill>
        </w:rPr>
        <w:t>评价</w:t>
      </w:r>
      <w:r>
        <w:rPr>
          <w:rFonts w:hint="eastAsia" w:ascii="华文仿宋" w:hAnsi="华文仿宋" w:eastAsia="华文仿宋" w:cs="华文仿宋"/>
          <w:color w:val="000000" w:themeColor="text1"/>
          <w:szCs w:val="32"/>
          <w14:textFill>
            <w14:solidFill>
              <w14:schemeClr w14:val="tx1"/>
            </w14:solidFill>
          </w14:textFill>
        </w:rPr>
        <w:t>得分为</w:t>
      </w:r>
      <w:r>
        <w:rPr>
          <w:rFonts w:hint="eastAsia" w:ascii="华文仿宋" w:hAnsi="华文仿宋" w:eastAsia="华文仿宋" w:cs="华文仿宋"/>
          <w:color w:val="000000" w:themeColor="text1"/>
          <w:szCs w:val="32"/>
          <w:lang w:val="en-US" w:eastAsia="zh-CN"/>
          <w14:textFill>
            <w14:solidFill>
              <w14:schemeClr w14:val="tx1"/>
            </w14:solidFill>
          </w14:textFill>
        </w:rPr>
        <w:t>93</w:t>
      </w:r>
      <w:r>
        <w:rPr>
          <w:rFonts w:hint="eastAsia" w:ascii="华文仿宋" w:hAnsi="华文仿宋" w:eastAsia="华文仿宋" w:cs="华文仿宋"/>
          <w:color w:val="000000" w:themeColor="text1"/>
          <w:szCs w:val="32"/>
          <w14:textFill>
            <w14:solidFill>
              <w14:schemeClr w14:val="tx1"/>
            </w14:solidFill>
          </w14:textFill>
        </w:rPr>
        <w:t>分，绩效评定级别为优。但该项目在</w:t>
      </w:r>
      <w:r>
        <w:rPr>
          <w:rFonts w:hint="eastAsia" w:ascii="华文仿宋" w:hAnsi="华文仿宋" w:eastAsia="华文仿宋" w:cs="华文仿宋"/>
          <w:color w:val="000000" w:themeColor="text1"/>
          <w:szCs w:val="32"/>
          <w:lang w:eastAsia="zh-CN"/>
          <w14:textFill>
            <w14:solidFill>
              <w14:schemeClr w14:val="tx1"/>
            </w14:solidFill>
          </w14:textFill>
        </w:rPr>
        <w:t>绩效管理</w:t>
      </w:r>
      <w:r>
        <w:rPr>
          <w:rFonts w:hint="eastAsia" w:ascii="华文仿宋" w:hAnsi="华文仿宋" w:eastAsia="华文仿宋" w:cs="华文仿宋"/>
          <w:color w:val="000000" w:themeColor="text1"/>
          <w:szCs w:val="32"/>
          <w14:textFill>
            <w14:solidFill>
              <w14:schemeClr w14:val="tx1"/>
            </w14:solidFill>
          </w14:textFill>
        </w:rPr>
        <w:t>方面还有待进一步改进</w:t>
      </w:r>
      <w:r>
        <w:rPr>
          <w:rFonts w:hint="eastAsia" w:ascii="华文仿宋" w:hAnsi="华文仿宋" w:eastAsia="华文仿宋" w:cs="华文仿宋"/>
          <w:color w:val="000000" w:themeColor="text1"/>
          <w:szCs w:val="32"/>
          <w:lang w:eastAsia="zh-CN"/>
          <w14:textFill>
            <w14:solidFill>
              <w14:schemeClr w14:val="tx1"/>
            </w14:solidFill>
          </w14:textFill>
        </w:rPr>
        <w:t>，</w:t>
      </w:r>
      <w:r>
        <w:rPr>
          <w:rFonts w:hint="eastAsia" w:ascii="华文仿宋" w:hAnsi="华文仿宋" w:eastAsia="华文仿宋" w:cs="华文仿宋"/>
          <w:color w:val="000000" w:themeColor="text1"/>
          <w:szCs w:val="32"/>
          <w14:textFill>
            <w14:solidFill>
              <w14:schemeClr w14:val="tx1"/>
            </w14:solidFill>
          </w14:textFill>
        </w:rPr>
        <w:t>现将有关情况报告如下：</w:t>
      </w:r>
    </w:p>
    <w:p>
      <w:pPr>
        <w:rPr>
          <w:rFonts w:hint="eastAsia" w:ascii="黑体" w:hAnsi="黑体" w:eastAsia="黑体"/>
          <w:color w:val="000000" w:themeColor="text1"/>
          <w:sz w:val="32"/>
          <w:szCs w:val="32"/>
          <w14:textFill>
            <w14:solidFill>
              <w14:schemeClr w14:val="tx1"/>
            </w14:solidFill>
          </w14:textFill>
        </w:rPr>
      </w:pPr>
      <w:bookmarkStart w:id="21" w:name="_Toc24472_WPSOffice_Level1"/>
      <w:bookmarkStart w:id="22" w:name="_Toc4352_WPSOffice_Level1"/>
      <w:r>
        <w:rPr>
          <w:rFonts w:hint="eastAsia" w:ascii="黑体" w:hAnsi="黑体" w:eastAsia="黑体"/>
          <w:color w:val="000000" w:themeColor="text1"/>
          <w:sz w:val="32"/>
          <w:szCs w:val="32"/>
          <w14:textFill>
            <w14:solidFill>
              <w14:schemeClr w14:val="tx1"/>
            </w14:solidFill>
          </w14:textFill>
        </w:rPr>
        <w:br w:type="page"/>
      </w:r>
    </w:p>
    <w:p>
      <w:pPr>
        <w:pStyle w:val="5"/>
        <w:keepNext w:val="0"/>
        <w:keepLines w:val="0"/>
        <w:pageBreakBefore w:val="0"/>
        <w:numPr>
          <w:ilvl w:val="0"/>
          <w:numId w:val="1"/>
        </w:numPr>
        <w:shd w:val="clear" w:color="auto" w:fill="FFFFFF"/>
        <w:kinsoku/>
        <w:wordWrap/>
        <w:overflowPunct/>
        <w:topLinePunct w:val="0"/>
        <w:autoSpaceDE/>
        <w:autoSpaceDN/>
        <w:bidi w:val="0"/>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bookmarkStart w:id="23" w:name="_Toc17661_WPSOffice_Level1"/>
      <w:r>
        <w:rPr>
          <w:rFonts w:hint="eastAsia" w:ascii="黑体" w:hAnsi="黑体" w:eastAsia="黑体"/>
          <w:color w:val="000000" w:themeColor="text1"/>
          <w:sz w:val="32"/>
          <w:szCs w:val="32"/>
          <w14:textFill>
            <w14:solidFill>
              <w14:schemeClr w14:val="tx1"/>
            </w14:solidFill>
          </w14:textFill>
        </w:rPr>
        <w:t>项目基本情况</w:t>
      </w:r>
      <w:bookmarkEnd w:id="21"/>
      <w:bookmarkEnd w:id="22"/>
      <w:bookmarkEnd w:id="23"/>
    </w:p>
    <w:p>
      <w:pPr>
        <w:keepNext w:val="0"/>
        <w:keepLines w:val="0"/>
        <w:pageBreakBefore w:val="0"/>
        <w:numPr>
          <w:ilvl w:val="0"/>
          <w:numId w:val="2"/>
        </w:numPr>
        <w:kinsoku/>
        <w:wordWrap/>
        <w:overflowPunct/>
        <w:topLinePunct w:val="0"/>
        <w:autoSpaceDE/>
        <w:autoSpaceDN/>
        <w:bidi w:val="0"/>
        <w:adjustRightInd w:val="0"/>
        <w:snapToGrid w:val="0"/>
        <w:spacing w:line="600" w:lineRule="exact"/>
        <w:ind w:firstLine="641" w:firstLineChars="200"/>
        <w:jc w:val="left"/>
        <w:textAlignment w:val="auto"/>
        <w:rPr>
          <w:rFonts w:hint="eastAsia" w:ascii="华文楷体" w:hAnsi="华文楷体" w:eastAsia="华文楷体"/>
          <w:b/>
          <w:color w:val="000000" w:themeColor="text1"/>
          <w:szCs w:val="32"/>
          <w:lang w:eastAsia="zh-CN"/>
          <w14:textFill>
            <w14:solidFill>
              <w14:schemeClr w14:val="tx1"/>
            </w14:solidFill>
          </w14:textFill>
        </w:rPr>
      </w:pPr>
      <w:bookmarkStart w:id="24" w:name="_Toc14064_WPSOffice_Level2"/>
      <w:bookmarkStart w:id="25" w:name="_Toc10581_WPSOffice_Level2"/>
      <w:bookmarkStart w:id="26" w:name="_Toc17661_WPSOffice_Level2"/>
      <w:r>
        <w:rPr>
          <w:rFonts w:hint="eastAsia" w:ascii="华文楷体" w:hAnsi="华文楷体" w:eastAsia="华文楷体"/>
          <w:b/>
          <w:color w:val="000000" w:themeColor="text1"/>
          <w:szCs w:val="32"/>
          <w:lang w:val="en-US" w:eastAsia="zh-CN"/>
          <w14:textFill>
            <w14:solidFill>
              <w14:schemeClr w14:val="tx1"/>
            </w14:solidFill>
          </w14:textFill>
        </w:rPr>
        <w:t>受评</w:t>
      </w:r>
      <w:r>
        <w:rPr>
          <w:rFonts w:hint="eastAsia" w:ascii="华文楷体" w:hAnsi="华文楷体" w:eastAsia="华文楷体"/>
          <w:b/>
          <w:color w:val="000000" w:themeColor="text1"/>
          <w:szCs w:val="32"/>
          <w14:textFill>
            <w14:solidFill>
              <w14:schemeClr w14:val="tx1"/>
            </w14:solidFill>
          </w14:textFill>
        </w:rPr>
        <w:t>单位</w:t>
      </w:r>
      <w:bookmarkEnd w:id="24"/>
      <w:bookmarkEnd w:id="25"/>
      <w:r>
        <w:rPr>
          <w:rFonts w:hint="eastAsia" w:ascii="华文楷体" w:hAnsi="华文楷体" w:eastAsia="华文楷体"/>
          <w:b/>
          <w:color w:val="000000" w:themeColor="text1"/>
          <w:szCs w:val="32"/>
          <w:lang w:val="en-US" w:eastAsia="zh-CN"/>
          <w14:textFill>
            <w14:solidFill>
              <w14:schemeClr w14:val="tx1"/>
            </w14:solidFill>
          </w14:textFill>
        </w:rPr>
        <w:t>相关</w:t>
      </w:r>
      <w:r>
        <w:rPr>
          <w:rFonts w:hint="eastAsia" w:ascii="华文楷体" w:hAnsi="华文楷体" w:eastAsia="华文楷体"/>
          <w:b/>
          <w:color w:val="000000" w:themeColor="text1"/>
          <w:szCs w:val="32"/>
          <w:lang w:eastAsia="zh-CN"/>
          <w14:textFill>
            <w14:solidFill>
              <w14:schemeClr w14:val="tx1"/>
            </w14:solidFill>
          </w14:textFill>
        </w:rPr>
        <w:t>职责</w:t>
      </w:r>
      <w:bookmarkEnd w:id="26"/>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rPr>
      </w:pPr>
      <w:r>
        <w:rPr>
          <w:rFonts w:hint="eastAsia" w:ascii="华文仿宋" w:hAnsi="华文仿宋" w:eastAsia="华文仿宋" w:cs="华文仿宋"/>
        </w:rPr>
        <w:t>根据怀化市鹤城区人民政府办公室2011年8月31日印发的《怀化市鹤城区教育局主要职责内设机构和人员编制规定》，怀化市鹤城区教育局主要承担“加强基础教育工作，以农村教育为重点，以合格学校建设为突破口，推进义务教育均衡发展，促进公共教育资源进一步向农村倾斜，促进教育公平。深入推进基础教育教学改革”等职责。</w:t>
      </w:r>
    </w:p>
    <w:p>
      <w:pPr>
        <w:keepNext w:val="0"/>
        <w:keepLines w:val="0"/>
        <w:pageBreakBefore w:val="0"/>
        <w:numPr>
          <w:ilvl w:val="0"/>
          <w:numId w:val="2"/>
        </w:numPr>
        <w:kinsoku/>
        <w:wordWrap/>
        <w:overflowPunct/>
        <w:topLinePunct w:val="0"/>
        <w:autoSpaceDE/>
        <w:autoSpaceDN/>
        <w:bidi w:val="0"/>
        <w:adjustRightInd w:val="0"/>
        <w:snapToGrid w:val="0"/>
        <w:spacing w:line="600" w:lineRule="exact"/>
        <w:ind w:firstLine="641" w:firstLineChars="200"/>
        <w:jc w:val="left"/>
        <w:textAlignment w:val="auto"/>
        <w:rPr>
          <w:rFonts w:hint="eastAsia" w:ascii="华文楷体" w:hAnsi="华文楷体" w:eastAsia="华文楷体"/>
          <w:b/>
          <w:color w:val="000000" w:themeColor="text1"/>
          <w:szCs w:val="32"/>
          <w:lang w:val="en-US" w:eastAsia="zh-CN"/>
          <w14:textFill>
            <w14:solidFill>
              <w14:schemeClr w14:val="tx1"/>
            </w14:solidFill>
          </w14:textFill>
        </w:rPr>
      </w:pPr>
      <w:bookmarkStart w:id="27" w:name="_Toc24472_WPSOffice_Level2"/>
      <w:bookmarkStart w:id="28" w:name="_Toc4352_WPSOffice_Level2"/>
      <w:bookmarkStart w:id="29" w:name="_Toc5165_WPSOffice_Level2"/>
      <w:r>
        <w:rPr>
          <w:rFonts w:hint="eastAsia" w:ascii="华文楷体" w:hAnsi="华文楷体" w:eastAsia="华文楷体"/>
          <w:b/>
          <w:color w:val="000000" w:themeColor="text1"/>
          <w:szCs w:val="32"/>
          <w:lang w:val="en-US" w:eastAsia="zh-CN"/>
          <w14:textFill>
            <w14:solidFill>
              <w14:schemeClr w14:val="tx1"/>
            </w14:solidFill>
          </w14:textFill>
        </w:rPr>
        <w:t>项目背景和依据</w:t>
      </w:r>
      <w:bookmarkEnd w:id="27"/>
      <w:bookmarkEnd w:id="28"/>
      <w:bookmarkEnd w:id="29"/>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rPr>
      </w:pPr>
      <w:r>
        <w:rPr>
          <w:rFonts w:hint="eastAsia" w:ascii="华文仿宋" w:hAnsi="华文仿宋" w:eastAsia="华文仿宋" w:cs="华文仿宋"/>
        </w:rPr>
        <w:t>为了加强校车管理工作，切实保障学生上下学交通安全，实现全区校车标准化、规范化、普及化，让广大农村学生坐上安全车、放心车。</w:t>
      </w:r>
      <w:r>
        <w:rPr>
          <w:rFonts w:hint="eastAsia" w:ascii="华文仿宋" w:hAnsi="华文仿宋" w:cs="华文仿宋"/>
          <w:lang w:val="en-US" w:eastAsia="zh-CN"/>
        </w:rPr>
        <w:t>根据</w:t>
      </w:r>
      <w:r>
        <w:rPr>
          <w:rFonts w:hint="eastAsia" w:ascii="华文仿宋" w:hAnsi="华文仿宋" w:eastAsia="华文仿宋" w:cs="华文仿宋"/>
        </w:rPr>
        <w:t>区</w:t>
      </w:r>
      <w:r>
        <w:rPr>
          <w:rFonts w:hint="eastAsia" w:ascii="华文仿宋" w:hAnsi="华文仿宋" w:cs="华文仿宋"/>
          <w:lang w:val="en-US" w:eastAsia="zh-CN"/>
        </w:rPr>
        <w:t>人民</w:t>
      </w:r>
      <w:r>
        <w:rPr>
          <w:rFonts w:hint="eastAsia" w:ascii="华文仿宋" w:hAnsi="华文仿宋" w:eastAsia="华文仿宋" w:cs="华文仿宋"/>
        </w:rPr>
        <w:t>政府〔201</w:t>
      </w:r>
      <w:r>
        <w:rPr>
          <w:rFonts w:hint="eastAsia" w:ascii="华文仿宋" w:hAnsi="华文仿宋" w:cs="华文仿宋"/>
          <w:lang w:val="en-US" w:eastAsia="zh-CN"/>
        </w:rPr>
        <w:t>4</w:t>
      </w:r>
      <w:r>
        <w:rPr>
          <w:rFonts w:hint="eastAsia" w:ascii="华文仿宋" w:hAnsi="华文仿宋" w:eastAsia="华文仿宋" w:cs="华文仿宋"/>
        </w:rPr>
        <w:t>〕</w:t>
      </w:r>
      <w:r>
        <w:rPr>
          <w:rFonts w:hint="eastAsia" w:ascii="华文仿宋" w:hAnsi="华文仿宋" w:cs="华文仿宋"/>
          <w:lang w:val="en-US" w:eastAsia="zh-CN"/>
        </w:rPr>
        <w:t>第14次区长办公会议纪要和</w:t>
      </w:r>
      <w:r>
        <w:rPr>
          <w:rFonts w:hint="eastAsia" w:ascii="华文仿宋" w:hAnsi="华文仿宋" w:eastAsia="华文仿宋" w:cs="华文仿宋"/>
        </w:rPr>
        <w:t>〔201</w:t>
      </w:r>
      <w:r>
        <w:rPr>
          <w:rFonts w:hint="eastAsia" w:ascii="华文仿宋" w:hAnsi="华文仿宋" w:cs="华文仿宋"/>
          <w:lang w:val="en-US" w:eastAsia="zh-CN"/>
        </w:rPr>
        <w:t>4</w:t>
      </w:r>
      <w:r>
        <w:rPr>
          <w:rFonts w:hint="eastAsia" w:ascii="华文仿宋" w:hAnsi="华文仿宋" w:eastAsia="华文仿宋" w:cs="华文仿宋"/>
        </w:rPr>
        <w:t>〕第</w:t>
      </w:r>
      <w:r>
        <w:rPr>
          <w:rFonts w:hint="eastAsia" w:ascii="华文仿宋" w:hAnsi="华文仿宋" w:cs="华文仿宋"/>
          <w:lang w:val="en-US" w:eastAsia="zh-CN"/>
        </w:rPr>
        <w:t>19</w:t>
      </w:r>
      <w:r>
        <w:rPr>
          <w:rFonts w:hint="eastAsia" w:ascii="华文仿宋" w:hAnsi="华文仿宋" w:eastAsia="华文仿宋" w:cs="华文仿宋"/>
        </w:rPr>
        <w:t>次常务会议</w:t>
      </w:r>
      <w:r>
        <w:rPr>
          <w:rFonts w:hint="eastAsia" w:ascii="华文仿宋" w:hAnsi="华文仿宋" w:cs="华文仿宋"/>
          <w:lang w:val="en-US" w:eastAsia="zh-CN"/>
        </w:rPr>
        <w:t>纪要精神，2015年6月26日，区委、区政府召开农村学校校车开通工作专题研究会议，会议决定：从2015年秋季起，全面开通该区农村“4+1”区域学校校车，计划投入运营校车24台，开通校车路线21条。并同意通过政府采购程序，向市公交总公司购买校车服务，按服务费13.5万元/车</w:t>
      </w:r>
      <w:r>
        <w:rPr>
          <w:rFonts w:hint="eastAsia" w:ascii="华文仿宋" w:hAnsi="华文仿宋" w:eastAsia="华文仿宋" w:cs="华文仿宋"/>
          <w:b/>
          <w:bCs/>
          <w:lang w:val="en-US" w:eastAsia="zh-CN"/>
        </w:rPr>
        <w:t>·</w:t>
      </w:r>
      <w:r>
        <w:rPr>
          <w:rFonts w:hint="eastAsia" w:ascii="华文仿宋" w:hAnsi="华文仿宋" w:cs="华文仿宋"/>
          <w:b w:val="0"/>
          <w:bCs w:val="0"/>
          <w:lang w:val="en-US" w:eastAsia="zh-CN"/>
        </w:rPr>
        <w:t>年包干，24台校车总服务费为324万元/年，其中按照湘政办发</w:t>
      </w:r>
      <w:r>
        <w:rPr>
          <w:rFonts w:hint="eastAsia" w:ascii="华文仿宋" w:hAnsi="华文仿宋" w:eastAsia="华文仿宋" w:cs="华文仿宋"/>
        </w:rPr>
        <w:t>〔201</w:t>
      </w:r>
      <w:r>
        <w:rPr>
          <w:rFonts w:hint="eastAsia" w:ascii="华文仿宋" w:hAnsi="华文仿宋" w:cs="华文仿宋"/>
          <w:lang w:val="en-US" w:eastAsia="zh-CN"/>
        </w:rPr>
        <w:t>1</w:t>
      </w:r>
      <w:r>
        <w:rPr>
          <w:rFonts w:hint="eastAsia" w:ascii="华文仿宋" w:hAnsi="华文仿宋" w:eastAsia="华文仿宋" w:cs="华文仿宋"/>
        </w:rPr>
        <w:t>〕</w:t>
      </w:r>
      <w:r>
        <w:rPr>
          <w:rFonts w:hint="eastAsia" w:ascii="华文仿宋" w:hAnsi="华文仿宋" w:cs="华文仿宋"/>
          <w:lang w:val="en-US" w:eastAsia="zh-CN"/>
        </w:rPr>
        <w:t>53号文件精神，280万元纳入财政预算，其余44万元从乘车学生乘车费中支出。会议还决定:……由教育部门督促市公交公司规范校车各项管理工作。</w:t>
      </w:r>
      <w:r>
        <w:rPr>
          <w:rFonts w:hint="eastAsia" w:ascii="华文仿宋" w:hAnsi="华文仿宋" w:eastAsia="华文仿宋" w:cs="华文仿宋"/>
        </w:rPr>
        <w:t>因学生不断增加，已不能满足学生需求，须向市公交</w:t>
      </w:r>
      <w:r>
        <w:rPr>
          <w:rFonts w:hint="eastAsia" w:ascii="华文仿宋" w:hAnsi="华文仿宋" w:cs="华文仿宋"/>
          <w:lang w:val="en-US" w:eastAsia="zh-CN"/>
        </w:rPr>
        <w:t>公司</w:t>
      </w:r>
      <w:r>
        <w:rPr>
          <w:rFonts w:hint="eastAsia" w:ascii="华文仿宋" w:hAnsi="华文仿宋" w:eastAsia="华文仿宋" w:cs="华文仿宋"/>
        </w:rPr>
        <w:t>增购4辆校车提供服务，《中共怀化市鹤城区委书记办公会议纪要》（〔2017〕第12号）同意 “由区财政预算追加4辆农村学校校车年服务费54万元”。2017年6月20日与</w:t>
      </w:r>
      <w:r>
        <w:rPr>
          <w:rFonts w:hint="eastAsia" w:ascii="华文仿宋" w:hAnsi="华文仿宋" w:cs="华文仿宋"/>
          <w:lang w:val="en-US" w:eastAsia="zh-CN"/>
        </w:rPr>
        <w:t>市公交公司</w:t>
      </w:r>
      <w:r>
        <w:rPr>
          <w:rFonts w:hint="eastAsia" w:ascii="华文仿宋" w:hAnsi="华文仿宋" w:eastAsia="华文仿宋" w:cs="华文仿宋"/>
        </w:rPr>
        <w:t>签订校车服务合同书（增购），全区共投入28辆专用国际校车运营。</w:t>
      </w:r>
    </w:p>
    <w:p>
      <w:pPr>
        <w:keepNext w:val="0"/>
        <w:keepLines w:val="0"/>
        <w:pageBreakBefore w:val="0"/>
        <w:numPr>
          <w:ilvl w:val="0"/>
          <w:numId w:val="2"/>
        </w:numPr>
        <w:kinsoku/>
        <w:wordWrap/>
        <w:overflowPunct/>
        <w:topLinePunct w:val="0"/>
        <w:autoSpaceDE/>
        <w:autoSpaceDN/>
        <w:bidi w:val="0"/>
        <w:adjustRightInd w:val="0"/>
        <w:snapToGrid w:val="0"/>
        <w:spacing w:line="600" w:lineRule="exact"/>
        <w:ind w:firstLine="641" w:firstLineChars="200"/>
        <w:jc w:val="left"/>
        <w:textAlignment w:val="auto"/>
        <w:rPr>
          <w:rFonts w:hint="eastAsia" w:ascii="华文楷体" w:hAnsi="华文楷体" w:eastAsia="华文楷体"/>
          <w:b/>
          <w:color w:val="000000" w:themeColor="text1"/>
          <w:szCs w:val="32"/>
          <w:lang w:val="en-US" w:eastAsia="zh-CN"/>
          <w14:textFill>
            <w14:solidFill>
              <w14:schemeClr w14:val="tx1"/>
            </w14:solidFill>
          </w14:textFill>
        </w:rPr>
      </w:pPr>
      <w:bookmarkStart w:id="30" w:name="_Toc18151_WPSOffice_Level2"/>
      <w:bookmarkStart w:id="31" w:name="_Toc12217_WPSOffice_Level2"/>
      <w:bookmarkStart w:id="32" w:name="_Toc9923_WPSOffice_Level2"/>
      <w:r>
        <w:rPr>
          <w:rFonts w:hint="eastAsia" w:ascii="华文楷体" w:hAnsi="华文楷体" w:eastAsia="华文楷体"/>
          <w:b/>
          <w:color w:val="000000" w:themeColor="text1"/>
          <w:szCs w:val="32"/>
          <w:lang w:val="en-US" w:eastAsia="zh-CN"/>
          <w14:textFill>
            <w14:solidFill>
              <w14:schemeClr w14:val="tx1"/>
            </w14:solidFill>
          </w14:textFill>
        </w:rPr>
        <w:t>项目资金安排</w:t>
      </w:r>
      <w:bookmarkEnd w:id="30"/>
      <w:bookmarkEnd w:id="31"/>
      <w:r>
        <w:rPr>
          <w:rFonts w:hint="eastAsia" w:ascii="华文楷体" w:hAnsi="华文楷体" w:eastAsia="华文楷体"/>
          <w:b/>
          <w:color w:val="000000" w:themeColor="text1"/>
          <w:szCs w:val="32"/>
          <w:lang w:val="en-US" w:eastAsia="zh-CN"/>
          <w14:textFill>
            <w14:solidFill>
              <w14:schemeClr w14:val="tx1"/>
            </w14:solidFill>
          </w14:textFill>
        </w:rPr>
        <w:t>及使用情况</w:t>
      </w:r>
      <w:bookmarkEnd w:id="32"/>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华文仿宋" w:hAnsi="华文仿宋" w:eastAsia="华文仿宋" w:cs="华文仿宋"/>
          <w:b/>
          <w:color w:val="000000" w:themeColor="text1"/>
          <w:szCs w:val="32"/>
          <w:lang w:eastAsia="zh-CN"/>
          <w14:textFill>
            <w14:solidFill>
              <w14:schemeClr w14:val="tx1"/>
            </w14:solidFill>
          </w14:textFill>
        </w:rPr>
      </w:pPr>
      <w:bookmarkStart w:id="33" w:name="OLE_LINK1"/>
      <w:r>
        <w:rPr>
          <w:rFonts w:hint="eastAsia" w:ascii="华文仿宋" w:hAnsi="华文仿宋" w:cs="华文仿宋"/>
          <w:sz w:val="32"/>
          <w:szCs w:val="32"/>
          <w:lang w:val="en-US" w:eastAsia="zh-CN"/>
        </w:rPr>
        <w:t>鹤城</w:t>
      </w:r>
      <w:r>
        <w:rPr>
          <w:rFonts w:hint="eastAsia" w:ascii="华文仿宋" w:hAnsi="华文仿宋" w:eastAsia="华文仿宋" w:cs="华文仿宋"/>
          <w:sz w:val="32"/>
          <w:szCs w:val="32"/>
          <w:lang w:val="en-US" w:eastAsia="zh-CN"/>
        </w:rPr>
        <w:t>区人民政府〔201</w:t>
      </w:r>
      <w:r>
        <w:rPr>
          <w:rFonts w:hint="eastAsia" w:ascii="华文仿宋" w:hAnsi="华文仿宋" w:cs="华文仿宋"/>
          <w:sz w:val="32"/>
          <w:szCs w:val="32"/>
          <w:lang w:val="en-US" w:eastAsia="zh-CN"/>
        </w:rPr>
        <w:t>5</w:t>
      </w:r>
      <w:r>
        <w:rPr>
          <w:rFonts w:hint="eastAsia" w:ascii="华文仿宋" w:hAnsi="华文仿宋" w:eastAsia="华文仿宋" w:cs="华文仿宋"/>
          <w:sz w:val="32"/>
          <w:szCs w:val="32"/>
          <w:lang w:val="en-US" w:eastAsia="zh-CN"/>
        </w:rPr>
        <w:t>〕第1</w:t>
      </w:r>
      <w:r>
        <w:rPr>
          <w:rFonts w:hint="eastAsia" w:ascii="华文仿宋" w:hAnsi="华文仿宋" w:cs="华文仿宋"/>
          <w:sz w:val="32"/>
          <w:szCs w:val="32"/>
          <w:lang w:val="en-US" w:eastAsia="zh-CN"/>
        </w:rPr>
        <w:t>3</w:t>
      </w:r>
      <w:r>
        <w:rPr>
          <w:rFonts w:hint="eastAsia" w:ascii="华文仿宋" w:hAnsi="华文仿宋" w:eastAsia="华文仿宋" w:cs="华文仿宋"/>
          <w:sz w:val="32"/>
          <w:szCs w:val="32"/>
          <w:lang w:val="en-US" w:eastAsia="zh-CN"/>
        </w:rPr>
        <w:t>次区长办公会议纪要和〔201</w:t>
      </w:r>
      <w:r>
        <w:rPr>
          <w:rFonts w:hint="eastAsia" w:ascii="华文仿宋" w:hAnsi="华文仿宋" w:cs="华文仿宋"/>
          <w:sz w:val="32"/>
          <w:szCs w:val="32"/>
          <w:lang w:val="en-US" w:eastAsia="zh-CN"/>
        </w:rPr>
        <w:t>7</w:t>
      </w:r>
      <w:r>
        <w:rPr>
          <w:rFonts w:hint="eastAsia" w:ascii="华文仿宋" w:hAnsi="华文仿宋" w:eastAsia="华文仿宋" w:cs="华文仿宋"/>
          <w:sz w:val="32"/>
          <w:szCs w:val="32"/>
          <w:lang w:val="en-US" w:eastAsia="zh-CN"/>
        </w:rPr>
        <w:t>〕第</w:t>
      </w:r>
      <w:r>
        <w:rPr>
          <w:rFonts w:hint="eastAsia" w:ascii="华文仿宋" w:hAnsi="华文仿宋" w:cs="华文仿宋"/>
          <w:sz w:val="32"/>
          <w:szCs w:val="32"/>
          <w:lang w:val="en-US" w:eastAsia="zh-CN"/>
        </w:rPr>
        <w:t>12</w:t>
      </w:r>
      <w:r>
        <w:rPr>
          <w:rFonts w:hint="eastAsia" w:ascii="华文仿宋" w:hAnsi="华文仿宋" w:eastAsia="华文仿宋" w:cs="华文仿宋"/>
          <w:sz w:val="32"/>
          <w:szCs w:val="32"/>
          <w:lang w:val="en-US" w:eastAsia="zh-CN"/>
        </w:rPr>
        <w:t>次</w:t>
      </w:r>
      <w:r>
        <w:rPr>
          <w:rFonts w:hint="eastAsia" w:ascii="华文仿宋" w:hAnsi="华文仿宋" w:eastAsia="华文仿宋" w:cs="华文仿宋"/>
        </w:rPr>
        <w:t>区委书记办公会议纪要</w:t>
      </w:r>
      <w:r>
        <w:rPr>
          <w:rFonts w:hint="eastAsia" w:ascii="华文仿宋" w:hAnsi="华文仿宋" w:cs="华文仿宋"/>
          <w:lang w:val="en-US" w:eastAsia="zh-CN"/>
        </w:rPr>
        <w:t>明确：</w:t>
      </w:r>
      <w:r>
        <w:rPr>
          <w:rFonts w:hint="eastAsia" w:ascii="华文仿宋" w:hAnsi="华文仿宋" w:eastAsia="华文仿宋" w:cs="华文仿宋"/>
          <w:sz w:val="32"/>
          <w:szCs w:val="32"/>
          <w:lang w:val="en-US" w:eastAsia="zh-CN"/>
        </w:rPr>
        <w:t>2018年起，</w:t>
      </w:r>
      <w:r>
        <w:rPr>
          <w:rFonts w:hint="eastAsia" w:ascii="华文仿宋" w:hAnsi="华文仿宋" w:cs="华文仿宋"/>
          <w:sz w:val="32"/>
          <w:szCs w:val="32"/>
          <w:lang w:val="en-US" w:eastAsia="zh-CN"/>
        </w:rPr>
        <w:t>该</w:t>
      </w:r>
      <w:r>
        <w:rPr>
          <w:rFonts w:hint="eastAsia" w:ascii="华文仿宋" w:hAnsi="华文仿宋" w:eastAsia="华文仿宋" w:cs="华文仿宋"/>
          <w:sz w:val="32"/>
          <w:szCs w:val="32"/>
          <w:lang w:val="en-US" w:eastAsia="zh-CN"/>
        </w:rPr>
        <w:t>区以政府购买服务的方式，每年区财政向市公交公司支付28辆专用国际校车服务费</w:t>
      </w:r>
      <w:r>
        <w:rPr>
          <w:rFonts w:hint="eastAsia" w:ascii="华文仿宋" w:hAnsi="华文仿宋" w:cs="华文仿宋"/>
          <w:sz w:val="32"/>
          <w:szCs w:val="32"/>
          <w:lang w:val="en-US" w:eastAsia="zh-CN"/>
        </w:rPr>
        <w:t>共</w:t>
      </w:r>
      <w:r>
        <w:rPr>
          <w:rFonts w:hint="eastAsia" w:ascii="华文仿宋" w:hAnsi="华文仿宋" w:eastAsia="华文仿宋" w:cs="华文仿宋"/>
          <w:sz w:val="32"/>
          <w:szCs w:val="32"/>
          <w:lang w:val="en-US" w:eastAsia="zh-CN"/>
        </w:rPr>
        <w:t>378万元，其中：往年财政结余资金134万元、区本级财政年初预算200万元</w:t>
      </w:r>
      <w:r>
        <w:rPr>
          <w:rFonts w:hint="eastAsia" w:ascii="华文仿宋" w:hAnsi="华文仿宋" w:eastAsia="华文仿宋" w:cs="华文仿宋"/>
          <w:lang w:val="en-US" w:eastAsia="zh-CN"/>
        </w:rPr>
        <w:t>（</w:t>
      </w:r>
      <w:r>
        <w:rPr>
          <w:rFonts w:hint="eastAsia" w:ascii="华文仿宋" w:hAnsi="华文仿宋" w:eastAsia="华文仿宋" w:cs="华文仿宋"/>
          <w:sz w:val="32"/>
          <w:szCs w:val="32"/>
          <w:lang w:val="en-US" w:eastAsia="zh-CN"/>
        </w:rPr>
        <w:t>鹤财</w:t>
      </w:r>
      <w:r>
        <w:rPr>
          <w:rFonts w:hint="eastAsia" w:ascii="华文仿宋" w:hAnsi="华文仿宋" w:cs="华文仿宋"/>
          <w:sz w:val="32"/>
          <w:szCs w:val="32"/>
          <w:lang w:val="en-US" w:eastAsia="zh-CN"/>
        </w:rPr>
        <w:t>预</w:t>
      </w:r>
      <w:r>
        <w:rPr>
          <w:rFonts w:hint="eastAsia" w:ascii="华文仿宋" w:hAnsi="华文仿宋" w:eastAsia="华文仿宋" w:cs="华文仿宋"/>
          <w:szCs w:val="24"/>
        </w:rPr>
        <w:t>〔2018〕</w:t>
      </w:r>
      <w:r>
        <w:rPr>
          <w:rFonts w:hint="eastAsia" w:ascii="华文仿宋" w:hAnsi="华文仿宋" w:cs="华文仿宋"/>
          <w:sz w:val="32"/>
          <w:szCs w:val="32"/>
          <w:lang w:val="en-US" w:eastAsia="zh-CN"/>
        </w:rPr>
        <w:t>19</w:t>
      </w:r>
      <w:r>
        <w:rPr>
          <w:rFonts w:hint="eastAsia" w:ascii="华文仿宋" w:hAnsi="华文仿宋" w:eastAsia="华文仿宋" w:cs="华文仿宋"/>
          <w:sz w:val="32"/>
          <w:szCs w:val="32"/>
          <w:lang w:val="en-US" w:eastAsia="zh-CN"/>
        </w:rPr>
        <w:t>号</w:t>
      </w:r>
      <w:r>
        <w:rPr>
          <w:rFonts w:hint="eastAsia" w:ascii="华文仿宋" w:hAnsi="华文仿宋" w:eastAsia="华文仿宋" w:cs="华文仿宋"/>
          <w:lang w:val="en-US" w:eastAsia="zh-CN"/>
        </w:rPr>
        <w:t>）</w:t>
      </w:r>
      <w:r>
        <w:rPr>
          <w:rFonts w:hint="eastAsia" w:ascii="华文仿宋" w:hAnsi="华文仿宋" w:eastAsia="华文仿宋" w:cs="华文仿宋"/>
          <w:sz w:val="32"/>
          <w:szCs w:val="32"/>
          <w:lang w:val="en-US" w:eastAsia="zh-CN"/>
        </w:rPr>
        <w:t>、向学生收费44万元。因下学期校车停运1台，2018年全年向市公交公司实际支付校车服务费371.25万元（28</w:t>
      </w:r>
      <w:r>
        <w:rPr>
          <w:rFonts w:hint="eastAsia" w:ascii="华文仿宋" w:hAnsi="华文仿宋" w:eastAsia="华文仿宋" w:cs="华文仿宋"/>
          <w:b w:val="0"/>
          <w:bCs w:val="0"/>
          <w:lang w:val="en-US" w:eastAsia="zh-CN"/>
        </w:rPr>
        <w:t>车</w:t>
      </w:r>
      <w:r>
        <w:rPr>
          <w:rFonts w:hint="eastAsia" w:ascii="华文仿宋" w:hAnsi="华文仿宋" w:eastAsia="华文仿宋" w:cs="华文仿宋"/>
          <w:sz w:val="32"/>
          <w:szCs w:val="32"/>
          <w:lang w:val="en-US" w:eastAsia="zh-CN"/>
        </w:rPr>
        <w:t>*1.125万元</w:t>
      </w:r>
      <w:r>
        <w:rPr>
          <w:rFonts w:hint="eastAsia" w:ascii="华文仿宋" w:hAnsi="华文仿宋" w:eastAsia="华文仿宋" w:cs="华文仿宋"/>
          <w:lang w:val="en-US" w:eastAsia="zh-CN"/>
        </w:rPr>
        <w:t>/车</w:t>
      </w:r>
      <w:r>
        <w:rPr>
          <w:rFonts w:hint="eastAsia" w:ascii="华文仿宋" w:hAnsi="华文仿宋" w:eastAsia="华文仿宋" w:cs="华文仿宋"/>
          <w:b/>
          <w:bCs/>
          <w:lang w:val="en-US" w:eastAsia="zh-CN"/>
        </w:rPr>
        <w:t>·</w:t>
      </w:r>
      <w:r>
        <w:rPr>
          <w:rFonts w:hint="eastAsia" w:ascii="华文仿宋" w:hAnsi="华文仿宋" w:eastAsia="华文仿宋" w:cs="华文仿宋"/>
          <w:b w:val="0"/>
          <w:bCs w:val="0"/>
          <w:lang w:val="en-US" w:eastAsia="zh-CN"/>
        </w:rPr>
        <w:t>月*6个月+27车*1.125万元</w:t>
      </w:r>
      <w:r>
        <w:rPr>
          <w:rFonts w:hint="eastAsia" w:ascii="华文仿宋" w:hAnsi="华文仿宋" w:eastAsia="华文仿宋" w:cs="华文仿宋"/>
          <w:lang w:val="en-US" w:eastAsia="zh-CN"/>
        </w:rPr>
        <w:t>/车</w:t>
      </w:r>
      <w:r>
        <w:rPr>
          <w:rFonts w:hint="eastAsia" w:ascii="华文仿宋" w:hAnsi="华文仿宋" w:eastAsia="华文仿宋" w:cs="华文仿宋"/>
          <w:b/>
          <w:bCs/>
          <w:lang w:val="en-US" w:eastAsia="zh-CN"/>
        </w:rPr>
        <w:t>·</w:t>
      </w:r>
      <w:r>
        <w:rPr>
          <w:rFonts w:hint="eastAsia" w:ascii="华文仿宋" w:hAnsi="华文仿宋" w:eastAsia="华文仿宋" w:cs="华文仿宋"/>
          <w:b w:val="0"/>
          <w:bCs w:val="0"/>
          <w:lang w:val="en-US" w:eastAsia="zh-CN"/>
        </w:rPr>
        <w:t>月*6个月</w:t>
      </w:r>
      <w:r>
        <w:rPr>
          <w:rFonts w:hint="eastAsia" w:ascii="华文仿宋" w:hAnsi="华文仿宋" w:eastAsia="华文仿宋" w:cs="华文仿宋"/>
          <w:sz w:val="32"/>
          <w:szCs w:val="32"/>
          <w:lang w:val="en-US" w:eastAsia="zh-CN"/>
        </w:rPr>
        <w:t>），</w:t>
      </w:r>
      <w:r>
        <w:rPr>
          <w:rFonts w:hint="eastAsia" w:ascii="华文仿宋" w:hAnsi="华文仿宋" w:eastAsia="华文仿宋" w:cs="华文仿宋"/>
          <w:lang w:val="en-US" w:eastAsia="zh-CN"/>
        </w:rPr>
        <w:t>其中：从往年财政结余资金支付140万元、区本级财政支付187.25万元（</w:t>
      </w:r>
      <w:r>
        <w:rPr>
          <w:rFonts w:hint="eastAsia" w:ascii="华文仿宋" w:hAnsi="华文仿宋" w:eastAsia="华文仿宋" w:cs="华文仿宋"/>
          <w:sz w:val="32"/>
          <w:szCs w:val="32"/>
          <w:lang w:val="en-US" w:eastAsia="zh-CN"/>
        </w:rPr>
        <w:t>鹤财教追字</w:t>
      </w:r>
      <w:r>
        <w:rPr>
          <w:rFonts w:hint="eastAsia" w:ascii="华文仿宋" w:hAnsi="华文仿宋" w:eastAsia="华文仿宋" w:cs="华文仿宋"/>
          <w:szCs w:val="24"/>
        </w:rPr>
        <w:t>〔2018〕</w:t>
      </w:r>
      <w:r>
        <w:rPr>
          <w:rFonts w:hint="eastAsia" w:ascii="华文仿宋" w:hAnsi="华文仿宋" w:eastAsia="华文仿宋" w:cs="华文仿宋"/>
          <w:sz w:val="32"/>
          <w:szCs w:val="32"/>
          <w:lang w:val="en-US" w:eastAsia="zh-CN"/>
        </w:rPr>
        <w:t>0228号、鹤财教追字</w:t>
      </w:r>
      <w:r>
        <w:rPr>
          <w:rFonts w:hint="eastAsia" w:ascii="华文仿宋" w:hAnsi="华文仿宋" w:eastAsia="华文仿宋" w:cs="华文仿宋"/>
          <w:szCs w:val="24"/>
        </w:rPr>
        <w:t>〔2018〕</w:t>
      </w:r>
      <w:r>
        <w:rPr>
          <w:rFonts w:hint="eastAsia" w:ascii="华文仿宋" w:hAnsi="华文仿宋" w:eastAsia="华文仿宋" w:cs="华文仿宋"/>
          <w:sz w:val="32"/>
          <w:szCs w:val="32"/>
          <w:lang w:val="en-US" w:eastAsia="zh-CN"/>
        </w:rPr>
        <w:t>0886号</w:t>
      </w:r>
      <w:r>
        <w:rPr>
          <w:rFonts w:hint="eastAsia" w:ascii="华文仿宋" w:hAnsi="华文仿宋" w:eastAsia="华文仿宋" w:cs="华文仿宋"/>
          <w:lang w:val="en-US" w:eastAsia="zh-CN"/>
        </w:rPr>
        <w:t>）、由学校收取学生乘车费支付44万元。</w:t>
      </w:r>
      <w:bookmarkEnd w:id="33"/>
      <w:bookmarkStart w:id="34" w:name="_Toc20586_WPSOffice_Level2"/>
    </w:p>
    <w:p>
      <w:pPr>
        <w:keepNext w:val="0"/>
        <w:keepLines w:val="0"/>
        <w:pageBreakBefore w:val="0"/>
        <w:numPr>
          <w:ilvl w:val="0"/>
          <w:numId w:val="2"/>
        </w:numPr>
        <w:kinsoku/>
        <w:wordWrap/>
        <w:overflowPunct/>
        <w:topLinePunct w:val="0"/>
        <w:autoSpaceDE/>
        <w:autoSpaceDN/>
        <w:bidi w:val="0"/>
        <w:adjustRightInd w:val="0"/>
        <w:snapToGrid w:val="0"/>
        <w:spacing w:line="600" w:lineRule="exact"/>
        <w:ind w:firstLine="641" w:firstLineChars="200"/>
        <w:jc w:val="left"/>
        <w:textAlignment w:val="auto"/>
        <w:rPr>
          <w:rFonts w:hint="eastAsia" w:ascii="华文楷体" w:hAnsi="华文楷体" w:eastAsia="华文楷体"/>
          <w:b/>
          <w:color w:val="000000" w:themeColor="text1"/>
          <w:szCs w:val="32"/>
          <w:lang w:val="en-US" w:eastAsia="zh-CN"/>
          <w14:textFill>
            <w14:solidFill>
              <w14:schemeClr w14:val="tx1"/>
            </w14:solidFill>
          </w14:textFill>
        </w:rPr>
      </w:pPr>
      <w:bookmarkStart w:id="35" w:name="_Toc25088_WPSOffice_Level2"/>
      <w:r>
        <w:rPr>
          <w:rFonts w:hint="eastAsia" w:ascii="华文楷体" w:hAnsi="华文楷体" w:eastAsia="华文楷体"/>
          <w:b/>
          <w:color w:val="000000" w:themeColor="text1"/>
          <w:szCs w:val="32"/>
          <w:lang w:val="en-US" w:eastAsia="zh-CN"/>
          <w14:textFill>
            <w14:solidFill>
              <w14:schemeClr w14:val="tx1"/>
            </w14:solidFill>
          </w14:textFill>
        </w:rPr>
        <w:t>项目完成情况及成效</w:t>
      </w:r>
      <w:bookmarkEnd w:id="34"/>
      <w:bookmarkEnd w:id="35"/>
    </w:p>
    <w:p>
      <w:pPr>
        <w:bidi w:val="0"/>
      </w:pPr>
      <w:r>
        <w:rPr>
          <w:rFonts w:hint="eastAsia"/>
          <w:lang w:eastAsia="zh-CN"/>
        </w:rPr>
        <w:t>区教育局</w:t>
      </w:r>
      <w:r>
        <w:rPr>
          <w:rFonts w:hint="eastAsia"/>
        </w:rPr>
        <w:t>对农村学生家庭住址全面摸底，制定</w:t>
      </w:r>
      <w:r>
        <w:rPr>
          <w:rFonts w:hint="eastAsia"/>
          <w:lang w:eastAsia="zh-CN"/>
        </w:rPr>
        <w:t>出</w:t>
      </w:r>
      <w:r>
        <w:rPr>
          <w:rFonts w:hint="eastAsia"/>
        </w:rPr>
        <w:t>校车安全运行路线图，按照“以自然村为核心，学生步行到乘车点不超过10分钟，路线接送到校时间不超过30分钟，每天早晚接送4趟次”</w:t>
      </w:r>
      <w:r>
        <w:rPr>
          <w:rFonts w:hint="eastAsia"/>
          <w:lang w:eastAsia="zh-CN"/>
        </w:rPr>
        <w:t>的</w:t>
      </w:r>
      <w:r>
        <w:rPr>
          <w:rFonts w:hint="eastAsia"/>
        </w:rPr>
        <w:t>校车配备路线原则，开通农村学校校车线路25条</w:t>
      </w:r>
      <w:r>
        <w:rPr>
          <w:rFonts w:hint="eastAsia"/>
          <w:lang w:eastAsia="zh-CN"/>
        </w:rPr>
        <w:t>，</w:t>
      </w:r>
      <w:r>
        <w:rPr>
          <w:rFonts w:hint="eastAsia"/>
        </w:rPr>
        <w:t>配备校车28台，设置接送站点238个，同时安排随车照管人员，专项负责校车运行期间学生照管工作，</w:t>
      </w:r>
      <w:r>
        <w:rPr>
          <w:rFonts w:hint="eastAsia"/>
          <w:lang w:eastAsia="zh-CN"/>
        </w:rPr>
        <w:t>使</w:t>
      </w:r>
      <w:r>
        <w:rPr>
          <w:rFonts w:hint="eastAsia"/>
        </w:rPr>
        <w:t>全区农村区域所有村落100%实现校车通达</w:t>
      </w:r>
      <w:r>
        <w:rPr>
          <w:rFonts w:hint="eastAsia"/>
          <w:lang w:eastAsia="zh-CN"/>
        </w:rPr>
        <w:t>，全年运行安全，未发现安全事故</w:t>
      </w:r>
      <w:r>
        <w:rPr>
          <w:rFonts w:hint="eastAsia"/>
        </w:rPr>
        <w:t>。</w:t>
      </w:r>
    </w:p>
    <w:p>
      <w:pPr>
        <w:rPr>
          <w:rFonts w:hint="eastAsia" w:ascii="黑体" w:hAnsi="黑体" w:eastAsia="黑体"/>
          <w:color w:val="000000" w:themeColor="text1"/>
          <w:sz w:val="32"/>
          <w:szCs w:val="32"/>
          <w14:textFill>
            <w14:solidFill>
              <w14:schemeClr w14:val="tx1"/>
            </w14:solidFill>
          </w14:textFill>
        </w:rPr>
      </w:pPr>
      <w:bookmarkStart w:id="36" w:name="_Toc18151_WPSOffice_Level1"/>
      <w:bookmarkStart w:id="37" w:name="_Toc12217_WPSOffice_Level1"/>
      <w:r>
        <w:rPr>
          <w:rFonts w:hint="eastAsia" w:ascii="黑体" w:hAnsi="黑体" w:eastAsia="黑体"/>
          <w:color w:val="000000" w:themeColor="text1"/>
          <w:sz w:val="32"/>
          <w:szCs w:val="32"/>
          <w14:textFill>
            <w14:solidFill>
              <w14:schemeClr w14:val="tx1"/>
            </w14:solidFill>
          </w14:textFill>
        </w:rPr>
        <w:br w:type="page"/>
      </w:r>
    </w:p>
    <w:p>
      <w:pPr>
        <w:pStyle w:val="5"/>
        <w:keepNext w:val="0"/>
        <w:keepLines w:val="0"/>
        <w:pageBreakBefore w:val="0"/>
        <w:numPr>
          <w:ilvl w:val="0"/>
          <w:numId w:val="1"/>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bookmarkStart w:id="38" w:name="_Toc5165_WPSOffice_Level1"/>
      <w:r>
        <w:rPr>
          <w:rFonts w:hint="eastAsia" w:ascii="黑体" w:hAnsi="黑体" w:eastAsia="黑体"/>
          <w:color w:val="000000" w:themeColor="text1"/>
          <w:sz w:val="32"/>
          <w:szCs w:val="32"/>
          <w14:textFill>
            <w14:solidFill>
              <w14:schemeClr w14:val="tx1"/>
            </w14:solidFill>
          </w14:textFill>
        </w:rPr>
        <w:t>项目资金绩效评价及分析</w:t>
      </w:r>
      <w:bookmarkEnd w:id="36"/>
      <w:bookmarkEnd w:id="37"/>
      <w:bookmarkEnd w:id="38"/>
    </w:p>
    <w:p>
      <w:pPr>
        <w:keepNext w:val="0"/>
        <w:keepLines w:val="0"/>
        <w:pageBreakBefore w:val="0"/>
        <w:widowControl w:val="0"/>
        <w:kinsoku/>
        <w:wordWrap/>
        <w:overflowPunct/>
        <w:topLinePunct w:val="0"/>
        <w:autoSpaceDE/>
        <w:autoSpaceDN/>
        <w:bidi w:val="0"/>
        <w:adjustRightInd/>
        <w:snapToGrid/>
        <w:spacing w:line="600" w:lineRule="exact"/>
        <w:ind w:firstLine="420"/>
        <w:jc w:val="both"/>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对</w:t>
      </w:r>
      <w:r>
        <w:rPr>
          <w:rFonts w:hint="eastAsia" w:ascii="华文仿宋" w:hAnsi="华文仿宋" w:eastAsia="华文仿宋" w:cs="华文仿宋"/>
          <w:sz w:val="32"/>
          <w:szCs w:val="32"/>
          <w:lang w:eastAsia="zh-CN"/>
        </w:rPr>
        <w:t>校车专项资金</w:t>
      </w:r>
      <w:r>
        <w:rPr>
          <w:rFonts w:hint="eastAsia" w:ascii="华文仿宋" w:hAnsi="华文仿宋" w:eastAsia="华文仿宋" w:cs="华文仿宋"/>
          <w:sz w:val="32"/>
          <w:szCs w:val="32"/>
        </w:rPr>
        <w:t>进行绩效评价,目的在于通过全面了解</w:t>
      </w:r>
      <w:r>
        <w:rPr>
          <w:rFonts w:hint="eastAsia" w:ascii="华文仿宋" w:hAnsi="华文仿宋" w:eastAsia="华文仿宋" w:cs="华文仿宋"/>
          <w:sz w:val="32"/>
          <w:szCs w:val="32"/>
          <w:lang w:eastAsia="zh-CN"/>
        </w:rPr>
        <w:t>该</w:t>
      </w:r>
      <w:r>
        <w:rPr>
          <w:rFonts w:hint="eastAsia" w:ascii="华文仿宋" w:hAnsi="华文仿宋" w:eastAsia="华文仿宋" w:cs="华文仿宋"/>
          <w:sz w:val="32"/>
          <w:szCs w:val="32"/>
        </w:rPr>
        <w:t>项目管理和资金使用情况，强化项目监督，提高项目资金使用效益和支出透明度，针对存在的问题提出合理化建议。实施评价前，惟楚创智与区财政局、</w:t>
      </w:r>
      <w:r>
        <w:rPr>
          <w:rFonts w:hint="eastAsia" w:ascii="华文仿宋" w:hAnsi="华文仿宋" w:eastAsia="华文仿宋" w:cs="华文仿宋"/>
          <w:sz w:val="32"/>
          <w:szCs w:val="32"/>
          <w:lang w:eastAsia="zh-CN"/>
        </w:rPr>
        <w:t>教育</w:t>
      </w:r>
      <w:r>
        <w:rPr>
          <w:rFonts w:hint="eastAsia" w:ascii="华文仿宋" w:hAnsi="华文仿宋" w:eastAsia="华文仿宋" w:cs="华文仿宋"/>
          <w:sz w:val="32"/>
          <w:szCs w:val="32"/>
        </w:rPr>
        <w:t>局进行了充分沟通，成立了评价组，评价组根据该项目实施情况，拟订了绩效评价工作方案，设计了评价指标和标准，对该项目进行了绩效评价工作。</w:t>
      </w:r>
    </w:p>
    <w:p>
      <w:pPr>
        <w:keepNext w:val="0"/>
        <w:keepLines w:val="0"/>
        <w:pageBreakBefore w:val="0"/>
        <w:widowControl w:val="0"/>
        <w:numPr>
          <w:ilvl w:val="0"/>
          <w:numId w:val="3"/>
        </w:numPr>
        <w:kinsoku/>
        <w:wordWrap/>
        <w:overflowPunct/>
        <w:topLinePunct w:val="0"/>
        <w:autoSpaceDE/>
        <w:autoSpaceDN/>
        <w:bidi w:val="0"/>
        <w:adjustRightInd w:val="0"/>
        <w:snapToGrid w:val="0"/>
        <w:spacing w:line="600" w:lineRule="exact"/>
        <w:ind w:firstLine="643"/>
        <w:textAlignment w:val="auto"/>
        <w:outlineLvl w:val="1"/>
        <w:rPr>
          <w:rFonts w:hint="eastAsia" w:ascii="华文楷体" w:hAnsi="华文楷体" w:eastAsia="华文楷体" w:cs="华文楷体"/>
          <w:b/>
          <w:color w:val="000000"/>
          <w:szCs w:val="32"/>
        </w:rPr>
      </w:pPr>
      <w:bookmarkStart w:id="39" w:name="_Toc15615_WPSOffice_Level2"/>
      <w:bookmarkStart w:id="40" w:name="_Toc2492_WPSOffice_Level2"/>
      <w:bookmarkStart w:id="41" w:name="_Toc17600_WPSOffice_Level2"/>
      <w:bookmarkStart w:id="42" w:name="_Toc14055_WPSOffice_Level2"/>
      <w:r>
        <w:rPr>
          <w:rFonts w:hint="eastAsia" w:ascii="华文楷体" w:hAnsi="华文楷体" w:eastAsia="华文楷体" w:cs="华文楷体"/>
          <w:b/>
          <w:color w:val="000000"/>
          <w:szCs w:val="32"/>
        </w:rPr>
        <w:t>评价依据</w:t>
      </w:r>
      <w:bookmarkEnd w:id="39"/>
      <w:bookmarkEnd w:id="40"/>
      <w:bookmarkEnd w:id="41"/>
      <w:bookmarkEnd w:id="42"/>
    </w:p>
    <w:p>
      <w:pPr>
        <w:keepNext w:val="0"/>
        <w:keepLines w:val="0"/>
        <w:pageBreakBefore w:val="0"/>
        <w:widowControl w:val="0"/>
        <w:numPr>
          <w:ilvl w:val="0"/>
          <w:numId w:val="4"/>
        </w:numPr>
        <w:kinsoku/>
        <w:wordWrap/>
        <w:overflowPunct/>
        <w:topLinePunct w:val="0"/>
        <w:autoSpaceDE/>
        <w:autoSpaceDN/>
        <w:bidi w:val="0"/>
        <w:spacing w:line="600" w:lineRule="exact"/>
        <w:ind w:firstLine="640"/>
        <w:textAlignment w:val="auto"/>
        <w:rPr>
          <w:rFonts w:ascii="华文仿宋" w:hAnsi="华文仿宋" w:cs="华文仿宋"/>
          <w:szCs w:val="32"/>
        </w:rPr>
      </w:pPr>
      <w:r>
        <w:rPr>
          <w:rFonts w:hint="eastAsia" w:ascii="华文仿宋" w:hAnsi="华文仿宋" w:cs="华文仿宋"/>
          <w:szCs w:val="32"/>
        </w:rPr>
        <w:t>《中华人民共和国预算法》；</w:t>
      </w:r>
    </w:p>
    <w:p>
      <w:pPr>
        <w:keepNext w:val="0"/>
        <w:keepLines w:val="0"/>
        <w:pageBreakBefore w:val="0"/>
        <w:widowControl w:val="0"/>
        <w:numPr>
          <w:ilvl w:val="0"/>
          <w:numId w:val="4"/>
        </w:numPr>
        <w:kinsoku/>
        <w:wordWrap/>
        <w:overflowPunct/>
        <w:topLinePunct w:val="0"/>
        <w:autoSpaceDE/>
        <w:autoSpaceDN/>
        <w:bidi w:val="0"/>
        <w:spacing w:line="600" w:lineRule="exact"/>
        <w:ind w:firstLine="640"/>
        <w:textAlignment w:val="auto"/>
        <w:rPr>
          <w:rFonts w:ascii="华文仿宋" w:hAnsi="华文仿宋" w:cs="华文仿宋"/>
          <w:szCs w:val="32"/>
        </w:rPr>
      </w:pPr>
      <w:r>
        <w:rPr>
          <w:rFonts w:hint="eastAsia" w:ascii="华文仿宋" w:hAnsi="华文仿宋" w:cs="华文仿宋"/>
          <w:szCs w:val="32"/>
        </w:rPr>
        <w:t>《党政机关厉行节约反对浪费条例》；</w:t>
      </w:r>
    </w:p>
    <w:p>
      <w:pPr>
        <w:keepNext w:val="0"/>
        <w:keepLines w:val="0"/>
        <w:pageBreakBefore w:val="0"/>
        <w:widowControl w:val="0"/>
        <w:numPr>
          <w:ilvl w:val="0"/>
          <w:numId w:val="4"/>
        </w:numPr>
        <w:kinsoku/>
        <w:wordWrap/>
        <w:overflowPunct/>
        <w:topLinePunct w:val="0"/>
        <w:autoSpaceDE/>
        <w:autoSpaceDN/>
        <w:bidi w:val="0"/>
        <w:spacing w:line="600" w:lineRule="exact"/>
        <w:ind w:firstLine="640"/>
        <w:textAlignment w:val="auto"/>
        <w:rPr>
          <w:rFonts w:ascii="华文仿宋" w:hAnsi="华文仿宋" w:cs="华文仿宋"/>
          <w:szCs w:val="32"/>
        </w:rPr>
      </w:pPr>
      <w:r>
        <w:rPr>
          <w:rFonts w:hint="eastAsia" w:ascii="华文仿宋" w:hAnsi="华文仿宋" w:cs="华文仿宋"/>
          <w:szCs w:val="32"/>
        </w:rPr>
        <w:t>《中共中央国务院关于全面实施预算绩效管理的意见》的通知（中发〔2018〕34号）；</w:t>
      </w:r>
    </w:p>
    <w:p>
      <w:pPr>
        <w:keepNext w:val="0"/>
        <w:keepLines w:val="0"/>
        <w:pageBreakBefore w:val="0"/>
        <w:widowControl w:val="0"/>
        <w:numPr>
          <w:ilvl w:val="0"/>
          <w:numId w:val="4"/>
        </w:numPr>
        <w:kinsoku/>
        <w:wordWrap/>
        <w:overflowPunct/>
        <w:topLinePunct w:val="0"/>
        <w:autoSpaceDE/>
        <w:autoSpaceDN/>
        <w:bidi w:val="0"/>
        <w:spacing w:line="600" w:lineRule="exact"/>
        <w:ind w:firstLine="640"/>
        <w:textAlignment w:val="auto"/>
        <w:rPr>
          <w:rFonts w:ascii="华文仿宋" w:hAnsi="华文仿宋" w:cs="华文仿宋"/>
          <w:szCs w:val="32"/>
        </w:rPr>
      </w:pPr>
      <w:r>
        <w:rPr>
          <w:rFonts w:hint="eastAsia" w:ascii="华文仿宋" w:hAnsi="华文仿宋" w:cs="华文仿宋"/>
          <w:szCs w:val="32"/>
        </w:rPr>
        <w:t>财政部《财政财政支出绩效评价管理暂行办法》（财预〔2011〕285号）</w:t>
      </w:r>
    </w:p>
    <w:p>
      <w:pPr>
        <w:keepNext w:val="0"/>
        <w:keepLines w:val="0"/>
        <w:pageBreakBefore w:val="0"/>
        <w:widowControl w:val="0"/>
        <w:numPr>
          <w:ilvl w:val="0"/>
          <w:numId w:val="4"/>
        </w:numPr>
        <w:kinsoku/>
        <w:wordWrap/>
        <w:overflowPunct/>
        <w:topLinePunct w:val="0"/>
        <w:autoSpaceDE/>
        <w:autoSpaceDN/>
        <w:bidi w:val="0"/>
        <w:spacing w:line="600" w:lineRule="exact"/>
        <w:ind w:firstLine="640"/>
        <w:textAlignment w:val="auto"/>
        <w:rPr>
          <w:rFonts w:ascii="华文仿宋" w:hAnsi="华文仿宋" w:cs="华文仿宋"/>
          <w:szCs w:val="32"/>
        </w:rPr>
      </w:pPr>
      <w:r>
        <w:rPr>
          <w:rFonts w:hint="eastAsia" w:ascii="华文仿宋" w:hAnsi="华文仿宋" w:cs="华文仿宋"/>
          <w:szCs w:val="32"/>
        </w:rPr>
        <w:t>《中共湖南省委办公厅湖南省人民政府办公厅关于全面实施预算绩效管理的实施意见》（湘办发〔2019〕10号）；</w:t>
      </w:r>
    </w:p>
    <w:p>
      <w:pPr>
        <w:keepNext w:val="0"/>
        <w:keepLines w:val="0"/>
        <w:pageBreakBefore w:val="0"/>
        <w:widowControl w:val="0"/>
        <w:numPr>
          <w:ilvl w:val="0"/>
          <w:numId w:val="4"/>
        </w:numPr>
        <w:kinsoku/>
        <w:wordWrap/>
        <w:overflowPunct/>
        <w:topLinePunct w:val="0"/>
        <w:autoSpaceDE/>
        <w:autoSpaceDN/>
        <w:bidi w:val="0"/>
        <w:spacing w:line="600" w:lineRule="exact"/>
        <w:ind w:firstLine="640"/>
        <w:textAlignment w:val="auto"/>
        <w:rPr>
          <w:rFonts w:ascii="华文仿宋" w:hAnsi="华文仿宋" w:cs="华文仿宋"/>
          <w:szCs w:val="32"/>
        </w:rPr>
      </w:pPr>
      <w:r>
        <w:rPr>
          <w:rFonts w:hint="eastAsia" w:ascii="华文仿宋" w:hAnsi="华文仿宋" w:cs="华文仿宋"/>
          <w:szCs w:val="32"/>
        </w:rPr>
        <w:t>现行有关</w:t>
      </w:r>
      <w:r>
        <w:rPr>
          <w:rFonts w:ascii="华文仿宋" w:hAnsi="华文仿宋" w:cs="华文仿宋"/>
          <w:szCs w:val="32"/>
        </w:rPr>
        <w:t>财政</w:t>
      </w:r>
      <w:r>
        <w:rPr>
          <w:rFonts w:hint="eastAsia" w:ascii="华文仿宋" w:hAnsi="华文仿宋" w:cs="华文仿宋"/>
          <w:szCs w:val="32"/>
        </w:rPr>
        <w:t>和财务会计制度；</w:t>
      </w:r>
    </w:p>
    <w:p>
      <w:pPr>
        <w:keepNext w:val="0"/>
        <w:keepLines w:val="0"/>
        <w:pageBreakBefore w:val="0"/>
        <w:widowControl w:val="0"/>
        <w:numPr>
          <w:ilvl w:val="0"/>
          <w:numId w:val="4"/>
        </w:numPr>
        <w:kinsoku/>
        <w:wordWrap/>
        <w:overflowPunct/>
        <w:topLinePunct w:val="0"/>
        <w:autoSpaceDE/>
        <w:autoSpaceDN/>
        <w:bidi w:val="0"/>
        <w:spacing w:line="600" w:lineRule="exact"/>
        <w:ind w:firstLine="640"/>
        <w:textAlignment w:val="auto"/>
        <w:rPr>
          <w:rFonts w:ascii="华文仿宋" w:hAnsi="华文仿宋" w:cs="华文仿宋"/>
          <w:szCs w:val="32"/>
        </w:rPr>
      </w:pPr>
      <w:r>
        <w:rPr>
          <w:rFonts w:hint="eastAsia" w:ascii="华文仿宋" w:hAnsi="华文仿宋" w:cs="华文仿宋"/>
          <w:szCs w:val="32"/>
        </w:rPr>
        <w:t>《2018年度预算绩效管理工作实施方案》（鹤财绩〔2018〕26号）；</w:t>
      </w:r>
    </w:p>
    <w:p>
      <w:pPr>
        <w:keepNext w:val="0"/>
        <w:keepLines w:val="0"/>
        <w:pageBreakBefore w:val="0"/>
        <w:widowControl w:val="0"/>
        <w:numPr>
          <w:ilvl w:val="0"/>
          <w:numId w:val="4"/>
        </w:numPr>
        <w:kinsoku/>
        <w:wordWrap/>
        <w:overflowPunct/>
        <w:topLinePunct w:val="0"/>
        <w:autoSpaceDE/>
        <w:autoSpaceDN/>
        <w:bidi w:val="0"/>
        <w:spacing w:line="600" w:lineRule="exact"/>
        <w:ind w:firstLine="640"/>
        <w:textAlignment w:val="auto"/>
        <w:rPr>
          <w:rFonts w:ascii="华文仿宋" w:hAnsi="华文仿宋" w:cs="华文仿宋"/>
          <w:color w:val="000000"/>
          <w:szCs w:val="32"/>
        </w:rPr>
      </w:pPr>
      <w:r>
        <w:rPr>
          <w:rFonts w:hint="eastAsia" w:ascii="华文仿宋" w:hAnsi="华文仿宋" w:cs="华文仿宋"/>
          <w:color w:val="000000"/>
          <w:szCs w:val="32"/>
        </w:rPr>
        <w:t>项目申报资料、预算执行和项目实施的有关材料等；</w:t>
      </w:r>
    </w:p>
    <w:p>
      <w:pPr>
        <w:keepNext w:val="0"/>
        <w:keepLines w:val="0"/>
        <w:pageBreakBefore w:val="0"/>
        <w:widowControl w:val="0"/>
        <w:kinsoku/>
        <w:wordWrap/>
        <w:overflowPunct/>
        <w:topLinePunct w:val="0"/>
        <w:autoSpaceDE/>
        <w:autoSpaceDN/>
        <w:bidi w:val="0"/>
        <w:spacing w:line="600" w:lineRule="exact"/>
        <w:ind w:firstLine="640"/>
        <w:textAlignment w:val="auto"/>
        <w:rPr>
          <w:rFonts w:ascii="华文仿宋" w:hAnsi="华文仿宋" w:cs="华文仿宋"/>
          <w:color w:val="000000"/>
          <w:szCs w:val="32"/>
        </w:rPr>
      </w:pPr>
      <w:r>
        <w:rPr>
          <w:rFonts w:hint="eastAsia" w:ascii="Times New Roman" w:hAnsi="Times New Roman" w:cs="Times New Roman"/>
          <w:szCs w:val="24"/>
        </w:rPr>
        <w:t>（9）评价组现场调研资料及与评价有关的其他资料。</w:t>
      </w:r>
    </w:p>
    <w:p>
      <w:pPr>
        <w:keepNext w:val="0"/>
        <w:keepLines w:val="0"/>
        <w:pageBreakBefore w:val="0"/>
        <w:widowControl w:val="0"/>
        <w:numPr>
          <w:ilvl w:val="0"/>
          <w:numId w:val="3"/>
        </w:numPr>
        <w:kinsoku/>
        <w:wordWrap/>
        <w:overflowPunct/>
        <w:topLinePunct w:val="0"/>
        <w:autoSpaceDE/>
        <w:autoSpaceDN/>
        <w:bidi w:val="0"/>
        <w:adjustRightInd w:val="0"/>
        <w:snapToGrid w:val="0"/>
        <w:spacing w:line="600" w:lineRule="exact"/>
        <w:ind w:firstLine="643"/>
        <w:textAlignment w:val="auto"/>
        <w:outlineLvl w:val="1"/>
        <w:rPr>
          <w:rFonts w:hint="eastAsia" w:ascii="华文楷体" w:hAnsi="华文楷体" w:eastAsia="华文楷体" w:cs="华文楷体"/>
          <w:b/>
          <w:color w:val="000000"/>
          <w:szCs w:val="32"/>
        </w:rPr>
      </w:pPr>
      <w:bookmarkStart w:id="43" w:name="_Toc5326_WPSOffice_Level2"/>
      <w:bookmarkStart w:id="44" w:name="_Toc27886_WPSOffice_Level2"/>
      <w:bookmarkStart w:id="45" w:name="_Toc12069_WPSOffice_Level2"/>
      <w:bookmarkStart w:id="46" w:name="_Toc1478_WPSOffice_Level2"/>
      <w:r>
        <w:rPr>
          <w:rFonts w:hint="eastAsia" w:ascii="华文楷体" w:hAnsi="华文楷体" w:eastAsia="华文楷体" w:cs="华文楷体"/>
          <w:b/>
          <w:color w:val="000000"/>
          <w:szCs w:val="32"/>
        </w:rPr>
        <w:t>评价方法</w:t>
      </w:r>
      <w:bookmarkEnd w:id="43"/>
      <w:bookmarkEnd w:id="44"/>
      <w:bookmarkEnd w:id="45"/>
      <w:bookmarkEnd w:id="46"/>
    </w:p>
    <w:p>
      <w:pPr>
        <w:keepNext w:val="0"/>
        <w:keepLines w:val="0"/>
        <w:pageBreakBefore w:val="0"/>
        <w:widowControl w:val="0"/>
        <w:kinsoku/>
        <w:wordWrap/>
        <w:overflowPunct/>
        <w:topLinePunct w:val="0"/>
        <w:autoSpaceDE/>
        <w:autoSpaceDN/>
        <w:bidi w:val="0"/>
        <w:adjustRightInd/>
        <w:snapToGrid/>
        <w:spacing w:line="600" w:lineRule="exact"/>
        <w:ind w:firstLine="420"/>
        <w:textAlignment w:val="auto"/>
        <w:rPr>
          <w:szCs w:val="24"/>
        </w:rPr>
      </w:pPr>
      <w:r>
        <w:rPr>
          <w:rFonts w:hint="eastAsia" w:ascii="华文仿宋" w:hAnsi="华文仿宋" w:eastAsia="华文仿宋" w:cs="华文仿宋"/>
          <w:color w:val="000000" w:themeColor="text1"/>
          <w:szCs w:val="32"/>
          <w14:textFill>
            <w14:solidFill>
              <w14:schemeClr w14:val="tx1"/>
            </w14:solidFill>
          </w14:textFill>
        </w:rPr>
        <w:t>评价组</w:t>
      </w:r>
      <w:r>
        <w:rPr>
          <w:rFonts w:hint="eastAsia" w:ascii="华文仿宋" w:hAnsi="华文仿宋" w:eastAsia="华文仿宋" w:cs="华文仿宋"/>
          <w:bCs/>
          <w:sz w:val="32"/>
          <w:szCs w:val="32"/>
        </w:rPr>
        <w:t>结合项目的特点，坚持定量分析和定性分析相结合，</w:t>
      </w:r>
      <w:r>
        <w:rPr>
          <w:rFonts w:hint="eastAsia" w:ascii="华文仿宋" w:hAnsi="华文仿宋" w:eastAsia="华文仿宋" w:cs="华文仿宋"/>
          <w:bCs/>
          <w:sz w:val="32"/>
          <w:szCs w:val="32"/>
          <w:lang w:eastAsia="zh-CN"/>
        </w:rPr>
        <w:t>充分</w:t>
      </w:r>
      <w:r>
        <w:rPr>
          <w:rFonts w:hint="eastAsia" w:ascii="华文仿宋" w:hAnsi="华文仿宋" w:eastAsia="华文仿宋" w:cs="华文仿宋"/>
          <w:color w:val="000000" w:themeColor="text1"/>
          <w:szCs w:val="32"/>
          <w14:textFill>
            <w14:solidFill>
              <w14:schemeClr w14:val="tx1"/>
            </w14:solidFill>
          </w14:textFill>
        </w:rPr>
        <w:t>运用比较法、公众评判法、因素分析法、数据分析法等方法，</w:t>
      </w:r>
      <w:r>
        <w:rPr>
          <w:rFonts w:hint="eastAsia"/>
          <w:szCs w:val="24"/>
        </w:rPr>
        <w:t>对</w:t>
      </w:r>
      <w:r>
        <w:rPr>
          <w:rFonts w:hint="eastAsia"/>
          <w:szCs w:val="24"/>
          <w:lang w:eastAsia="zh-CN"/>
        </w:rPr>
        <w:t>校车专项</w:t>
      </w:r>
      <w:r>
        <w:rPr>
          <w:rFonts w:hint="eastAsia"/>
          <w:szCs w:val="24"/>
        </w:rPr>
        <w:t>资金绩效情况进行</w:t>
      </w:r>
      <w:r>
        <w:rPr>
          <w:szCs w:val="24"/>
        </w:rPr>
        <w:t>了绩效评价</w:t>
      </w:r>
      <w:r>
        <w:rPr>
          <w:rFonts w:hint="eastAsia"/>
          <w:szCs w:val="24"/>
        </w:rPr>
        <w:t>。</w:t>
      </w:r>
    </w:p>
    <w:p>
      <w:pPr>
        <w:keepNext w:val="0"/>
        <w:keepLines w:val="0"/>
        <w:pageBreakBefore w:val="0"/>
        <w:widowControl w:val="0"/>
        <w:numPr>
          <w:ilvl w:val="0"/>
          <w:numId w:val="3"/>
        </w:numPr>
        <w:kinsoku/>
        <w:wordWrap/>
        <w:overflowPunct/>
        <w:topLinePunct w:val="0"/>
        <w:autoSpaceDE/>
        <w:autoSpaceDN/>
        <w:bidi w:val="0"/>
        <w:adjustRightInd w:val="0"/>
        <w:snapToGrid w:val="0"/>
        <w:spacing w:line="600" w:lineRule="exact"/>
        <w:ind w:firstLine="643"/>
        <w:textAlignment w:val="auto"/>
        <w:outlineLvl w:val="1"/>
        <w:rPr>
          <w:rFonts w:hint="eastAsia" w:ascii="华文楷体" w:hAnsi="华文楷体" w:eastAsia="华文楷体" w:cs="华文楷体"/>
          <w:b/>
          <w:color w:val="000000"/>
          <w:szCs w:val="32"/>
        </w:rPr>
      </w:pPr>
      <w:bookmarkStart w:id="47" w:name="_Toc26160_WPSOffice_Level2"/>
      <w:bookmarkStart w:id="48" w:name="_Toc22181_WPSOffice_Level2"/>
      <w:bookmarkStart w:id="49" w:name="_Toc22147_WPSOffice_Level2"/>
      <w:r>
        <w:rPr>
          <w:rFonts w:hint="eastAsia" w:ascii="华文楷体" w:hAnsi="华文楷体" w:eastAsia="华文楷体" w:cs="华文楷体"/>
          <w:b/>
          <w:color w:val="000000"/>
          <w:szCs w:val="32"/>
        </w:rPr>
        <w:t>评价指标</w:t>
      </w:r>
      <w:bookmarkEnd w:id="47"/>
      <w:bookmarkEnd w:id="48"/>
      <w:bookmarkEnd w:id="49"/>
    </w:p>
    <w:p>
      <w:pPr>
        <w:keepNext w:val="0"/>
        <w:keepLines w:val="0"/>
        <w:pageBreakBefore w:val="0"/>
        <w:widowControl w:val="0"/>
        <w:kinsoku/>
        <w:wordWrap/>
        <w:overflowPunct/>
        <w:topLinePunct w:val="0"/>
        <w:autoSpaceDE/>
        <w:autoSpaceDN/>
        <w:bidi w:val="0"/>
        <w:adjustRightInd/>
        <w:snapToGrid/>
        <w:spacing w:line="600" w:lineRule="exact"/>
        <w:ind w:firstLine="420"/>
        <w:jc w:val="both"/>
        <w:textAlignment w:val="auto"/>
        <w:rPr>
          <w:rFonts w:hint="eastAsia" w:ascii="华文仿宋" w:hAnsi="华文仿宋" w:eastAsia="华文仿宋" w:cs="华文仿宋"/>
          <w:szCs w:val="24"/>
        </w:rPr>
      </w:pPr>
      <w:r>
        <w:rPr>
          <w:rFonts w:hint="eastAsia" w:ascii="华文仿宋" w:hAnsi="华文仿宋" w:eastAsia="华文仿宋" w:cs="华文仿宋"/>
          <w:szCs w:val="24"/>
        </w:rPr>
        <w:t>按照区财政局《2018年度预算绩效管理工作实施方案》（鹤财绩〔2018〕26号）的有关要求，评价组</w:t>
      </w:r>
      <w:r>
        <w:rPr>
          <w:rFonts w:hint="eastAsia" w:ascii="华文仿宋" w:hAnsi="华文仿宋" w:eastAsia="华文仿宋" w:cs="华文仿宋"/>
          <w:szCs w:val="24"/>
          <w:lang w:eastAsia="zh-CN"/>
        </w:rPr>
        <w:t>根据有关规定</w:t>
      </w:r>
      <w:r>
        <w:rPr>
          <w:rFonts w:hint="eastAsia" w:ascii="华文仿宋" w:hAnsi="华文仿宋" w:eastAsia="华文仿宋" w:cs="华文仿宋"/>
          <w:szCs w:val="24"/>
        </w:rPr>
        <w:t>结合项目具体情况，设计了该项目的评价指标体系，指标体系包括共性指标和个性指标两部分。指标体系由三级指标组成，包括4项一级指标，8项二级指标，26项三级指标，主要包括投入、过程、产出和效果四个维度，满分100分。</w:t>
      </w:r>
    </w:p>
    <w:p>
      <w:pPr>
        <w:keepNext w:val="0"/>
        <w:keepLines w:val="0"/>
        <w:pageBreakBefore w:val="0"/>
        <w:widowControl w:val="0"/>
        <w:kinsoku/>
        <w:wordWrap/>
        <w:overflowPunct/>
        <w:topLinePunct w:val="0"/>
        <w:autoSpaceDE/>
        <w:autoSpaceDN/>
        <w:bidi w:val="0"/>
        <w:adjustRightInd/>
        <w:snapToGrid/>
        <w:spacing w:line="600" w:lineRule="exact"/>
        <w:ind w:firstLine="420"/>
        <w:jc w:val="both"/>
        <w:textAlignment w:val="auto"/>
        <w:rPr>
          <w:rFonts w:hint="eastAsia" w:ascii="华文仿宋" w:hAnsi="华文仿宋" w:eastAsia="华文仿宋" w:cs="华文仿宋"/>
          <w:szCs w:val="24"/>
        </w:rPr>
      </w:pPr>
      <w:r>
        <w:rPr>
          <w:rFonts w:hint="eastAsia" w:ascii="华文仿宋" w:hAnsi="华文仿宋" w:eastAsia="华文仿宋" w:cs="华文仿宋"/>
          <w:szCs w:val="24"/>
        </w:rPr>
        <w:t>一是投入（20 分），主要对项目立项规范性、绩效目标合理性、绩效指标明确性、资金到位率以及到位及时率进行评价。</w:t>
      </w:r>
    </w:p>
    <w:p>
      <w:pPr>
        <w:keepNext w:val="0"/>
        <w:keepLines w:val="0"/>
        <w:pageBreakBefore w:val="0"/>
        <w:widowControl w:val="0"/>
        <w:kinsoku/>
        <w:wordWrap/>
        <w:overflowPunct/>
        <w:topLinePunct w:val="0"/>
        <w:autoSpaceDE/>
        <w:autoSpaceDN/>
        <w:bidi w:val="0"/>
        <w:adjustRightInd/>
        <w:snapToGrid/>
        <w:spacing w:line="600" w:lineRule="exact"/>
        <w:ind w:firstLine="420"/>
        <w:jc w:val="both"/>
        <w:textAlignment w:val="auto"/>
        <w:rPr>
          <w:rFonts w:hint="eastAsia" w:ascii="华文仿宋" w:hAnsi="华文仿宋" w:eastAsia="华文仿宋" w:cs="华文仿宋"/>
          <w:szCs w:val="24"/>
        </w:rPr>
      </w:pPr>
      <w:r>
        <w:rPr>
          <w:rFonts w:hint="eastAsia" w:ascii="华文仿宋" w:hAnsi="华文仿宋" w:eastAsia="华文仿宋" w:cs="华文仿宋"/>
          <w:szCs w:val="24"/>
        </w:rPr>
        <w:t>二是过程（30 分），一是从业务管理的角度，对管理制度健全性、制度执行有效性、项目质量可控性等方面进行评价；二是从财务管理的角度，对管理制度健全性、资金使用合规性、财务监控有效性等方面进行评价。</w:t>
      </w:r>
    </w:p>
    <w:p>
      <w:pPr>
        <w:keepNext w:val="0"/>
        <w:keepLines w:val="0"/>
        <w:pageBreakBefore w:val="0"/>
        <w:widowControl w:val="0"/>
        <w:kinsoku/>
        <w:wordWrap/>
        <w:overflowPunct/>
        <w:topLinePunct w:val="0"/>
        <w:autoSpaceDE/>
        <w:autoSpaceDN/>
        <w:bidi w:val="0"/>
        <w:adjustRightInd/>
        <w:snapToGrid/>
        <w:spacing w:line="600" w:lineRule="exact"/>
        <w:ind w:firstLine="420"/>
        <w:jc w:val="both"/>
        <w:textAlignment w:val="auto"/>
        <w:rPr>
          <w:rFonts w:hint="eastAsia" w:ascii="华文仿宋" w:hAnsi="华文仿宋" w:eastAsia="华文仿宋" w:cs="华文仿宋"/>
          <w:szCs w:val="24"/>
        </w:rPr>
      </w:pPr>
      <w:r>
        <w:rPr>
          <w:rFonts w:hint="eastAsia" w:ascii="华文仿宋" w:hAnsi="华文仿宋" w:eastAsia="华文仿宋" w:cs="华文仿宋"/>
          <w:szCs w:val="24"/>
        </w:rPr>
        <w:t>三是产出（</w:t>
      </w:r>
      <w:r>
        <w:rPr>
          <w:rFonts w:hint="eastAsia" w:ascii="华文仿宋" w:hAnsi="华文仿宋" w:cs="华文仿宋"/>
          <w:szCs w:val="24"/>
          <w:lang w:val="en-US" w:eastAsia="zh-CN"/>
        </w:rPr>
        <w:t>30</w:t>
      </w:r>
      <w:r>
        <w:rPr>
          <w:rFonts w:hint="eastAsia" w:ascii="华文仿宋" w:hAnsi="华文仿宋" w:eastAsia="华文仿宋" w:cs="华文仿宋"/>
          <w:szCs w:val="24"/>
        </w:rPr>
        <w:t>分），主要从产出数量、成本</w:t>
      </w:r>
      <w:r>
        <w:rPr>
          <w:rFonts w:hint="eastAsia" w:ascii="华文仿宋" w:hAnsi="华文仿宋" w:cs="华文仿宋"/>
          <w:szCs w:val="24"/>
          <w:lang w:eastAsia="zh-CN"/>
        </w:rPr>
        <w:t>等</w:t>
      </w:r>
      <w:r>
        <w:rPr>
          <w:rFonts w:hint="eastAsia" w:ascii="华文仿宋" w:hAnsi="华文仿宋" w:eastAsia="华文仿宋" w:cs="华文仿宋"/>
          <w:szCs w:val="24"/>
        </w:rPr>
        <w:t>方面进行评价。</w:t>
      </w:r>
    </w:p>
    <w:p>
      <w:pPr>
        <w:keepNext w:val="0"/>
        <w:keepLines w:val="0"/>
        <w:pageBreakBefore w:val="0"/>
        <w:widowControl w:val="0"/>
        <w:kinsoku/>
        <w:wordWrap/>
        <w:overflowPunct/>
        <w:topLinePunct w:val="0"/>
        <w:autoSpaceDE/>
        <w:autoSpaceDN/>
        <w:bidi w:val="0"/>
        <w:adjustRightInd/>
        <w:snapToGrid/>
        <w:spacing w:line="600" w:lineRule="exact"/>
        <w:ind w:firstLine="420"/>
        <w:jc w:val="both"/>
        <w:textAlignment w:val="auto"/>
        <w:rPr>
          <w:rFonts w:hint="eastAsia" w:ascii="华文仿宋" w:hAnsi="华文仿宋" w:eastAsia="华文仿宋" w:cs="华文仿宋"/>
          <w:szCs w:val="24"/>
        </w:rPr>
      </w:pPr>
      <w:r>
        <w:rPr>
          <w:rFonts w:hint="eastAsia" w:ascii="华文仿宋" w:hAnsi="华文仿宋" w:eastAsia="华文仿宋" w:cs="华文仿宋"/>
          <w:szCs w:val="24"/>
        </w:rPr>
        <w:t>四是效果（2</w:t>
      </w:r>
      <w:r>
        <w:rPr>
          <w:rFonts w:hint="eastAsia" w:ascii="华文仿宋" w:hAnsi="华文仿宋" w:cs="华文仿宋"/>
          <w:szCs w:val="24"/>
          <w:lang w:val="en-US" w:eastAsia="zh-CN"/>
        </w:rPr>
        <w:t>0</w:t>
      </w:r>
      <w:r>
        <w:rPr>
          <w:rFonts w:hint="eastAsia" w:ascii="华文仿宋" w:hAnsi="华文仿宋" w:eastAsia="华文仿宋" w:cs="华文仿宋"/>
          <w:szCs w:val="24"/>
        </w:rPr>
        <w:t xml:space="preserve"> 分），主要对经济效益、社会效益 、可持续影响及社会公众或服务对象满意度等方面进行评价。</w:t>
      </w:r>
    </w:p>
    <w:p>
      <w:pPr>
        <w:keepNext w:val="0"/>
        <w:keepLines w:val="0"/>
        <w:pageBreakBefore w:val="0"/>
        <w:widowControl w:val="0"/>
        <w:kinsoku/>
        <w:wordWrap/>
        <w:overflowPunct/>
        <w:topLinePunct w:val="0"/>
        <w:autoSpaceDE/>
        <w:autoSpaceDN/>
        <w:bidi w:val="0"/>
        <w:adjustRightInd/>
        <w:snapToGrid/>
        <w:spacing w:line="600" w:lineRule="exact"/>
        <w:ind w:firstLine="420"/>
        <w:jc w:val="both"/>
        <w:textAlignment w:val="auto"/>
        <w:rPr>
          <w:rFonts w:hint="eastAsia" w:ascii="华文仿宋" w:hAnsi="华文仿宋" w:eastAsia="华文仿宋" w:cs="华文仿宋"/>
          <w:szCs w:val="24"/>
        </w:rPr>
      </w:pPr>
      <w:r>
        <w:rPr>
          <w:rFonts w:hint="eastAsia" w:ascii="华文仿宋" w:hAnsi="华文仿宋" w:eastAsia="华文仿宋" w:cs="华文仿宋"/>
          <w:szCs w:val="24"/>
        </w:rPr>
        <w:t>绩效评价结果分为四个等级：综合得分在 90-100 分，评价为“优”；80-89 分，评价为“良”；60-79分，评价为“中”；0-59 分，评价为“差”。</w:t>
      </w:r>
    </w:p>
    <w:p>
      <w:pPr>
        <w:keepNext w:val="0"/>
        <w:keepLines w:val="0"/>
        <w:pageBreakBefore w:val="0"/>
        <w:widowControl w:val="0"/>
        <w:numPr>
          <w:ilvl w:val="0"/>
          <w:numId w:val="3"/>
        </w:numPr>
        <w:kinsoku/>
        <w:wordWrap/>
        <w:overflowPunct/>
        <w:topLinePunct w:val="0"/>
        <w:autoSpaceDE/>
        <w:autoSpaceDN/>
        <w:bidi w:val="0"/>
        <w:adjustRightInd w:val="0"/>
        <w:snapToGrid w:val="0"/>
        <w:spacing w:line="600" w:lineRule="exact"/>
        <w:ind w:firstLine="643"/>
        <w:textAlignment w:val="auto"/>
        <w:outlineLvl w:val="1"/>
        <w:rPr>
          <w:rFonts w:hint="eastAsia" w:ascii="华文楷体" w:hAnsi="华文楷体" w:eastAsia="华文楷体" w:cs="华文楷体"/>
          <w:b/>
          <w:color w:val="000000"/>
          <w:szCs w:val="32"/>
        </w:rPr>
      </w:pPr>
      <w:bookmarkStart w:id="50" w:name="_Toc29768_WPSOffice_Level2"/>
      <w:bookmarkStart w:id="51" w:name="_Toc251_WPSOffice_Level2"/>
      <w:bookmarkStart w:id="52" w:name="_Toc28172_WPSOffice_Level2"/>
      <w:bookmarkStart w:id="53" w:name="_Toc24153_WPSOffice_Level2"/>
      <w:r>
        <w:rPr>
          <w:rFonts w:hint="eastAsia" w:ascii="华文楷体" w:hAnsi="华文楷体" w:eastAsia="华文楷体" w:cs="华文楷体"/>
          <w:b/>
          <w:color w:val="000000"/>
          <w:szCs w:val="32"/>
        </w:rPr>
        <w:t>评价结论</w:t>
      </w:r>
      <w:bookmarkEnd w:id="50"/>
      <w:bookmarkEnd w:id="51"/>
      <w:bookmarkEnd w:id="52"/>
      <w:bookmarkEnd w:id="53"/>
    </w:p>
    <w:p>
      <w:pPr>
        <w:bidi w:val="0"/>
        <w:rPr>
          <w:rFonts w:hint="eastAsia"/>
          <w:color w:val="000000" w:themeColor="text1"/>
          <w14:textFill>
            <w14:solidFill>
              <w14:schemeClr w14:val="tx1"/>
            </w14:solidFill>
          </w14:textFill>
        </w:rPr>
      </w:pPr>
      <w:r>
        <w:rPr>
          <w:rFonts w:hint="eastAsia"/>
        </w:rPr>
        <w:t>评价组在</w:t>
      </w:r>
      <w:r>
        <w:t>全面了解</w:t>
      </w:r>
      <w:r>
        <w:rPr>
          <w:rFonts w:hint="eastAsia"/>
          <w:lang w:eastAsia="zh-CN"/>
        </w:rPr>
        <w:t>校车专项资金</w:t>
      </w:r>
      <w:r>
        <w:rPr>
          <w:rFonts w:hint="eastAsia"/>
        </w:rPr>
        <w:t>的立项背景依据、资金的使用情况、绩效目标的设定完成情况以及产生的效果</w:t>
      </w:r>
      <w:r>
        <w:t>的基础上</w:t>
      </w:r>
      <w:r>
        <w:rPr>
          <w:rFonts w:hint="eastAsia"/>
        </w:rPr>
        <w:t>，通过书面评价与现场核查，结合区财政局、</w:t>
      </w:r>
      <w:r>
        <w:rPr>
          <w:rFonts w:hint="eastAsia"/>
          <w:lang w:eastAsia="zh-CN"/>
        </w:rPr>
        <w:t>教育</w:t>
      </w:r>
      <w:r>
        <w:rPr>
          <w:rFonts w:hint="eastAsia"/>
        </w:rPr>
        <w:t>局</w:t>
      </w:r>
      <w:r>
        <w:rPr>
          <w:rFonts w:hint="eastAsia"/>
          <w:lang w:eastAsia="zh-CN"/>
        </w:rPr>
        <w:t>、校车公司</w:t>
      </w:r>
      <w:r>
        <w:rPr>
          <w:rFonts w:hint="eastAsia"/>
        </w:rPr>
        <w:t>提供的佐证材料，经综</w:t>
      </w:r>
      <w:r>
        <w:rPr>
          <w:rFonts w:hint="eastAsia"/>
          <w:color w:val="000000" w:themeColor="text1"/>
          <w14:textFill>
            <w14:solidFill>
              <w14:schemeClr w14:val="tx1"/>
            </w14:solidFill>
          </w14:textFill>
        </w:rPr>
        <w:t>合</w:t>
      </w:r>
      <w:r>
        <w:rPr>
          <w:color w:val="000000" w:themeColor="text1"/>
          <w14:textFill>
            <w14:solidFill>
              <w14:schemeClr w14:val="tx1"/>
            </w14:solidFill>
          </w14:textFill>
        </w:rPr>
        <w:t>评</w:t>
      </w:r>
      <w:r>
        <w:rPr>
          <w:rFonts w:hint="eastAsia"/>
          <w:color w:val="000000" w:themeColor="text1"/>
          <w:lang w:val="en-US" w:eastAsia="zh-CN"/>
          <w14:textFill>
            <w14:solidFill>
              <w14:schemeClr w14:val="tx1"/>
            </w14:solidFill>
          </w14:textFill>
        </w:rPr>
        <w:t>定</w:t>
      </w:r>
      <w:r>
        <w:rPr>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校车专项资</w:t>
      </w:r>
      <w:r>
        <w:rPr>
          <w:rFonts w:hint="eastAsia"/>
          <w:color w:val="000000" w:themeColor="text1"/>
          <w14:textFill>
            <w14:solidFill>
              <w14:schemeClr w14:val="tx1"/>
            </w14:solidFill>
          </w14:textFill>
        </w:rPr>
        <w:t>金绩效评价得分为</w:t>
      </w:r>
      <w:r>
        <w:rPr>
          <w:rFonts w:hint="eastAsia"/>
          <w:color w:val="000000" w:themeColor="text1"/>
          <w:lang w:val="en-US" w:eastAsia="zh-CN"/>
          <w14:textFill>
            <w14:solidFill>
              <w14:schemeClr w14:val="tx1"/>
            </w14:solidFill>
          </w14:textFill>
        </w:rPr>
        <w:t>93</w:t>
      </w:r>
      <w:r>
        <w:rPr>
          <w:rFonts w:hint="eastAsia"/>
          <w:color w:val="000000" w:themeColor="text1"/>
          <w14:textFill>
            <w14:solidFill>
              <w14:schemeClr w14:val="tx1"/>
            </w14:solidFill>
          </w14:textFill>
        </w:rPr>
        <w:t>分，评价等级为优。</w:t>
      </w:r>
    </w:p>
    <w:p>
      <w:pPr>
        <w:bidi w:val="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从评价结果看，</w:t>
      </w:r>
      <w:r>
        <w:rPr>
          <w:rFonts w:hint="eastAsia"/>
          <w:color w:val="000000" w:themeColor="text1"/>
          <w:lang w:eastAsia="zh-CN"/>
          <w14:textFill>
            <w14:solidFill>
              <w14:schemeClr w14:val="tx1"/>
            </w14:solidFill>
          </w14:textFill>
        </w:rPr>
        <w:t>校车专项经费社</w:t>
      </w:r>
      <w:r>
        <w:rPr>
          <w:rFonts w:hint="eastAsia"/>
          <w:color w:val="000000" w:themeColor="text1"/>
          <w14:textFill>
            <w14:solidFill>
              <w14:schemeClr w14:val="tx1"/>
            </w14:solidFill>
          </w14:textFill>
        </w:rPr>
        <w:t>会效益较好，</w:t>
      </w:r>
      <w:r>
        <w:rPr>
          <w:rFonts w:hint="eastAsia"/>
          <w:color w:val="000000" w:themeColor="text1"/>
          <w:lang w:eastAsia="zh-CN"/>
          <w14:textFill>
            <w14:solidFill>
              <w14:schemeClr w14:val="tx1"/>
            </w14:solidFill>
          </w14:textFill>
        </w:rPr>
        <w:t>使</w:t>
      </w:r>
      <w:r>
        <w:rPr>
          <w:rFonts w:hint="eastAsia"/>
          <w:color w:val="000000" w:themeColor="text1"/>
          <w14:textFill>
            <w14:solidFill>
              <w14:schemeClr w14:val="tx1"/>
            </w14:solidFill>
          </w14:textFill>
        </w:rPr>
        <w:t>全区农村区域所有村落100%实</w:t>
      </w:r>
      <w:r>
        <w:rPr>
          <w:rFonts w:hint="eastAsia"/>
        </w:rPr>
        <w:t>现校车通达</w:t>
      </w:r>
      <w:r>
        <w:rPr>
          <w:rFonts w:hint="eastAsia"/>
          <w:lang w:eastAsia="zh-CN"/>
        </w:rPr>
        <w:t>，保障了学生上下学途中的</w:t>
      </w:r>
      <w:r>
        <w:rPr>
          <w:rFonts w:hint="eastAsia"/>
          <w:color w:val="000000" w:themeColor="text1"/>
          <w:lang w:eastAsia="zh-CN"/>
          <w14:textFill>
            <w14:solidFill>
              <w14:schemeClr w14:val="tx1"/>
            </w14:solidFill>
          </w14:textFill>
        </w:rPr>
        <w:t>交通安全</w:t>
      </w:r>
      <w:r>
        <w:rPr>
          <w:rFonts w:hint="eastAsia"/>
          <w:color w:val="000000" w:themeColor="text1"/>
          <w14:textFill>
            <w14:solidFill>
              <w14:schemeClr w14:val="tx1"/>
            </w14:solidFill>
          </w14:textFill>
        </w:rPr>
        <w:t>。但该项目在绩效管理</w:t>
      </w:r>
      <w:r>
        <w:rPr>
          <w:rFonts w:hint="eastAsia"/>
          <w:color w:val="000000" w:themeColor="text1"/>
          <w:lang w:val="en-US" w:eastAsia="zh-CN"/>
          <w14:textFill>
            <w14:solidFill>
              <w14:schemeClr w14:val="tx1"/>
            </w14:solidFill>
          </w14:textFill>
        </w:rPr>
        <w:t>等</w:t>
      </w:r>
      <w:r>
        <w:rPr>
          <w:rFonts w:hint="eastAsia"/>
          <w:color w:val="000000" w:themeColor="text1"/>
          <w14:textFill>
            <w14:solidFill>
              <w14:schemeClr w14:val="tx1"/>
            </w14:solidFill>
          </w14:textFill>
        </w:rPr>
        <w:t>方面还有待进一步改进。</w:t>
      </w:r>
    </w:p>
    <w:p>
      <w:pPr>
        <w:keepNext w:val="0"/>
        <w:keepLines w:val="0"/>
        <w:pageBreakBefore w:val="0"/>
        <w:widowControl w:val="0"/>
        <w:numPr>
          <w:ilvl w:val="0"/>
          <w:numId w:val="3"/>
        </w:numPr>
        <w:kinsoku/>
        <w:wordWrap/>
        <w:overflowPunct/>
        <w:topLinePunct w:val="0"/>
        <w:autoSpaceDE/>
        <w:autoSpaceDN/>
        <w:bidi w:val="0"/>
        <w:adjustRightInd w:val="0"/>
        <w:snapToGrid w:val="0"/>
        <w:spacing w:line="600" w:lineRule="exact"/>
        <w:ind w:firstLine="643"/>
        <w:textAlignment w:val="auto"/>
        <w:outlineLvl w:val="1"/>
        <w:rPr>
          <w:rFonts w:hint="eastAsia" w:ascii="华文楷体" w:hAnsi="华文楷体" w:eastAsia="华文楷体" w:cs="华文楷体"/>
          <w:b/>
          <w:color w:val="000000"/>
          <w:szCs w:val="32"/>
        </w:rPr>
      </w:pPr>
      <w:bookmarkStart w:id="54" w:name="_Toc3870_WPSOffice_Level2"/>
      <w:bookmarkStart w:id="55" w:name="_Toc29678_WPSOffice_Level2"/>
      <w:bookmarkStart w:id="56" w:name="_Toc20621_WPSOffice_Level2"/>
      <w:bookmarkStart w:id="57" w:name="_Toc30788_WPSOffice_Level2"/>
      <w:r>
        <w:rPr>
          <w:rFonts w:hint="eastAsia" w:ascii="华文楷体" w:hAnsi="华文楷体" w:eastAsia="华文楷体" w:cs="华文楷体"/>
          <w:b/>
          <w:color w:val="000000"/>
          <w:szCs w:val="32"/>
        </w:rPr>
        <w:t>评价指标分析</w:t>
      </w:r>
      <w:bookmarkEnd w:id="54"/>
      <w:bookmarkEnd w:id="55"/>
      <w:bookmarkEnd w:id="56"/>
      <w:bookmarkEnd w:id="57"/>
    </w:p>
    <w:p>
      <w:pPr>
        <w:numPr>
          <w:ilvl w:val="0"/>
          <w:numId w:val="5"/>
        </w:numPr>
        <w:autoSpaceDN w:val="0"/>
        <w:adjustRightInd w:val="0"/>
        <w:snapToGrid w:val="0"/>
        <w:spacing w:line="600" w:lineRule="exact"/>
        <w:ind w:firstLine="641" w:firstLineChars="200"/>
        <w:rPr>
          <w:rFonts w:hint="eastAsia" w:ascii="华文仿宋" w:hAnsi="华文仿宋" w:eastAsia="华文仿宋" w:cs="华文仿宋"/>
          <w:b/>
          <w:color w:val="000000" w:themeColor="text1"/>
          <w:sz w:val="32"/>
          <w:szCs w:val="32"/>
          <w14:textFill>
            <w14:solidFill>
              <w14:schemeClr w14:val="tx1"/>
            </w14:solidFill>
          </w14:textFill>
        </w:rPr>
      </w:pPr>
      <w:bookmarkStart w:id="58" w:name="_Toc10581_WPSOffice_Level3"/>
      <w:bookmarkStart w:id="59" w:name="_Toc14064_WPSOffice_Level3"/>
      <w:bookmarkStart w:id="60" w:name="_Toc17661_WPSOffice_Level3"/>
      <w:r>
        <w:rPr>
          <w:rFonts w:hint="eastAsia" w:ascii="华文仿宋" w:hAnsi="华文仿宋" w:eastAsia="华文仿宋" w:cs="华文仿宋"/>
          <w:b/>
          <w:color w:val="000000" w:themeColor="text1"/>
          <w:sz w:val="32"/>
          <w:szCs w:val="32"/>
          <w14:textFill>
            <w14:solidFill>
              <w14:schemeClr w14:val="tx1"/>
            </w14:solidFill>
          </w14:textFill>
        </w:rPr>
        <w:t>项目投入</w:t>
      </w:r>
      <w:bookmarkEnd w:id="58"/>
      <w:bookmarkEnd w:id="59"/>
      <w:bookmarkEnd w:id="60"/>
    </w:p>
    <w:p>
      <w:pPr>
        <w:keepNext/>
        <w:keepLines/>
        <w:numPr>
          <w:ilvl w:val="0"/>
          <w:numId w:val="6"/>
        </w:numPr>
        <w:spacing w:line="60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立项决策情况</w:t>
      </w:r>
    </w:p>
    <w:p>
      <w:pPr>
        <w:widowControl/>
        <w:shd w:val="clear" w:color="auto" w:fill="FFFFFF"/>
        <w:spacing w:after="31" w:afterLines="10" w:line="400" w:lineRule="exact"/>
        <w:ind w:firstLine="720" w:firstLineChars="300"/>
        <w:jc w:val="left"/>
        <w:rPr>
          <w:rFonts w:ascii="Times New Roman" w:hAnsi="Times New Roman" w:eastAsia="仿宋" w:cs="Times New Roman"/>
          <w:sz w:val="24"/>
          <w:szCs w:val="24"/>
        </w:rPr>
      </w:pPr>
      <w:r>
        <w:rPr>
          <w:rFonts w:ascii="Times New Roman" w:hAnsi="Times New Roman" w:eastAsia="仿宋" w:cs="Times New Roman"/>
          <w:sz w:val="24"/>
          <w:szCs w:val="22"/>
        </w:rPr>
        <w:t>表</w:t>
      </w:r>
      <w:r>
        <w:rPr>
          <w:rFonts w:hint="eastAsia" w:ascii="Times New Roman" w:hAnsi="Times New Roman" w:eastAsia="仿宋" w:cs="Times New Roman"/>
          <w:sz w:val="24"/>
          <w:szCs w:val="22"/>
        </w:rPr>
        <w:t>2</w:t>
      </w:r>
      <w:r>
        <w:rPr>
          <w:rFonts w:ascii="Times New Roman" w:hAnsi="Times New Roman" w:eastAsia="仿宋" w:cs="Times New Roman"/>
          <w:sz w:val="24"/>
          <w:szCs w:val="22"/>
        </w:rPr>
        <w:t xml:space="preserve">-1         </w:t>
      </w:r>
      <w:r>
        <w:rPr>
          <w:rFonts w:hint="eastAsia" w:ascii="Times New Roman" w:hAnsi="Times New Roman" w:eastAsia="仿宋" w:cs="Times New Roman"/>
          <w:sz w:val="24"/>
          <w:szCs w:val="22"/>
        </w:rPr>
        <w:t xml:space="preserve">       </w:t>
      </w:r>
      <w:r>
        <w:rPr>
          <w:rFonts w:ascii="Times New Roman" w:hAnsi="Times New Roman" w:eastAsia="仿宋" w:cs="Times New Roman"/>
          <w:sz w:val="24"/>
          <w:szCs w:val="22"/>
        </w:rPr>
        <w:t>立项决策指标得分情况</w:t>
      </w:r>
    </w:p>
    <w:tbl>
      <w:tblPr>
        <w:tblStyle w:val="6"/>
        <w:tblW w:w="872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9"/>
        <w:gridCol w:w="1957"/>
        <w:gridCol w:w="1940"/>
        <w:gridCol w:w="948"/>
        <w:gridCol w:w="965"/>
        <w:gridCol w:w="1191"/>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9"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一级指标</w:t>
            </w:r>
          </w:p>
        </w:tc>
        <w:tc>
          <w:tcPr>
            <w:tcW w:w="1957"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二级指标</w:t>
            </w:r>
          </w:p>
        </w:tc>
        <w:tc>
          <w:tcPr>
            <w:tcW w:w="1940"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三级指标</w:t>
            </w:r>
          </w:p>
        </w:tc>
        <w:tc>
          <w:tcPr>
            <w:tcW w:w="948"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分值</w:t>
            </w:r>
          </w:p>
        </w:tc>
        <w:tc>
          <w:tcPr>
            <w:tcW w:w="965"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w:t>
            </w:r>
          </w:p>
        </w:tc>
        <w:tc>
          <w:tcPr>
            <w:tcW w:w="1191"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8" w:hRule="atLeast"/>
          <w:jc w:val="center"/>
        </w:trPr>
        <w:tc>
          <w:tcPr>
            <w:tcW w:w="171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A投入（20）</w:t>
            </w:r>
          </w:p>
        </w:tc>
        <w:tc>
          <w:tcPr>
            <w:tcW w:w="195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A1立项决策（7）</w:t>
            </w:r>
          </w:p>
        </w:tc>
        <w:tc>
          <w:tcPr>
            <w:tcW w:w="1940"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项目立项规范性</w:t>
            </w:r>
          </w:p>
        </w:tc>
        <w:tc>
          <w:tcPr>
            <w:tcW w:w="948"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2</w:t>
            </w:r>
          </w:p>
        </w:tc>
        <w:tc>
          <w:tcPr>
            <w:tcW w:w="965"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2</w:t>
            </w:r>
          </w:p>
        </w:tc>
        <w:tc>
          <w:tcPr>
            <w:tcW w:w="1191"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5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决策实施合规性</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3</w:t>
            </w: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3</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5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资金分配合理性</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2</w:t>
            </w: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2</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7" w:hRule="atLeast"/>
          <w:jc w:val="center"/>
        </w:trPr>
        <w:tc>
          <w:tcPr>
            <w:tcW w:w="1719"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合计</w:t>
            </w:r>
          </w:p>
        </w:tc>
        <w:tc>
          <w:tcPr>
            <w:tcW w:w="195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1940"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965"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7</w:t>
            </w:r>
          </w:p>
        </w:tc>
        <w:tc>
          <w:tcPr>
            <w:tcW w:w="1191"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eastAsia="zh-CN"/>
        </w:rPr>
      </w:pPr>
      <w:r>
        <w:rPr>
          <w:rFonts w:hint="eastAsia" w:ascii="华文仿宋" w:hAnsi="华文仿宋" w:eastAsia="华文仿宋" w:cs="华文仿宋"/>
          <w:lang w:eastAsia="zh-CN"/>
        </w:rPr>
        <w:t>《怀化市鹤城区人民政府区长办公会议纪要》（〔2015〕13号）</w:t>
      </w:r>
      <w:r>
        <w:rPr>
          <w:rFonts w:hint="eastAsia" w:ascii="华文仿宋" w:hAnsi="华文仿宋" w:cs="华文仿宋"/>
          <w:lang w:val="en-US" w:eastAsia="zh-CN"/>
        </w:rPr>
        <w:t>明确</w:t>
      </w:r>
      <w:r>
        <w:rPr>
          <w:rFonts w:hint="eastAsia" w:ascii="华文仿宋" w:hAnsi="华文仿宋" w:eastAsia="华文仿宋" w:cs="华文仿宋"/>
          <w:lang w:eastAsia="zh-CN"/>
        </w:rPr>
        <w:t>：从2015年秋季起，全面开通我区农村“4+1”区域学校校车，计划投入运营校车24台，开通校车路线21条。并同意通过政府采购程序，向市公交总公司购买校车服务，按服务费13.5万元/车包干，24台校车总服务费为324万元/年，其中按照湘政办发〔2011〕53号文件精神，280万元纳入财政预算，其余44万元从乘车学生乘车费中支出。会议还议定:……由教育部门督促市公交公司规范校车各项管理工作。因学生不断增加，已不能满足学生需求，须向怀化市公交交通集团增购4辆校车提供服务，《中共怀化市鹤城区委书记办公会议纪要》（〔2017〕第12号）同意 “由区财政预算追加4辆农村学校校车年服务费54万元”。</w:t>
      </w:r>
    </w:p>
    <w:p>
      <w:pPr>
        <w:keepNext/>
        <w:keepLines/>
        <w:numPr>
          <w:ilvl w:val="0"/>
          <w:numId w:val="6"/>
        </w:numPr>
        <w:spacing w:line="60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绩效目标</w:t>
      </w:r>
    </w:p>
    <w:p>
      <w:pPr>
        <w:widowControl/>
        <w:shd w:val="clear" w:color="auto" w:fill="FFFFFF"/>
        <w:spacing w:after="31" w:afterLines="10" w:line="400" w:lineRule="exact"/>
        <w:ind w:firstLine="720" w:firstLineChars="300"/>
        <w:rPr>
          <w:rFonts w:ascii="Times New Roman" w:hAnsi="Times New Roman" w:cs="Times New Roman"/>
          <w:szCs w:val="24"/>
        </w:rPr>
      </w:pPr>
      <w:r>
        <w:rPr>
          <w:rFonts w:ascii="Times New Roman" w:hAnsi="Times New Roman" w:eastAsia="仿宋" w:cs="Times New Roman"/>
          <w:sz w:val="24"/>
          <w:szCs w:val="22"/>
        </w:rPr>
        <w:t>表</w:t>
      </w:r>
      <w:r>
        <w:rPr>
          <w:rFonts w:hint="eastAsia" w:ascii="Times New Roman" w:hAnsi="Times New Roman" w:eastAsia="仿宋" w:cs="Times New Roman"/>
          <w:sz w:val="24"/>
          <w:szCs w:val="22"/>
        </w:rPr>
        <w:t>2</w:t>
      </w:r>
      <w:r>
        <w:rPr>
          <w:rFonts w:ascii="Times New Roman" w:hAnsi="Times New Roman" w:eastAsia="仿宋" w:cs="Times New Roman"/>
          <w:sz w:val="24"/>
          <w:szCs w:val="22"/>
        </w:rPr>
        <w:t xml:space="preserve">-2     </w:t>
      </w:r>
      <w:r>
        <w:rPr>
          <w:rFonts w:hint="eastAsia" w:ascii="Times New Roman" w:hAnsi="Times New Roman" w:eastAsia="仿宋" w:cs="Times New Roman"/>
          <w:sz w:val="24"/>
          <w:szCs w:val="22"/>
        </w:rPr>
        <w:t xml:space="preserve">            </w:t>
      </w:r>
      <w:r>
        <w:rPr>
          <w:rFonts w:ascii="Times New Roman" w:hAnsi="Times New Roman" w:eastAsia="仿宋" w:cs="Times New Roman"/>
          <w:sz w:val="24"/>
          <w:szCs w:val="22"/>
        </w:rPr>
        <w:t>绩效目标指标得分情况</w:t>
      </w:r>
    </w:p>
    <w:tbl>
      <w:tblPr>
        <w:tblStyle w:val="6"/>
        <w:tblW w:w="858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1"/>
        <w:gridCol w:w="1925"/>
        <w:gridCol w:w="1910"/>
        <w:gridCol w:w="933"/>
        <w:gridCol w:w="948"/>
        <w:gridCol w:w="1173"/>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691"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一级指标</w:t>
            </w:r>
          </w:p>
        </w:tc>
        <w:tc>
          <w:tcPr>
            <w:tcW w:w="1925"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二级指标</w:t>
            </w:r>
          </w:p>
        </w:tc>
        <w:tc>
          <w:tcPr>
            <w:tcW w:w="1910"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三级指标</w:t>
            </w:r>
          </w:p>
        </w:tc>
        <w:tc>
          <w:tcPr>
            <w:tcW w:w="933"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分值</w:t>
            </w:r>
          </w:p>
        </w:tc>
        <w:tc>
          <w:tcPr>
            <w:tcW w:w="948"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w:t>
            </w:r>
          </w:p>
        </w:tc>
        <w:tc>
          <w:tcPr>
            <w:tcW w:w="1173"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691" w:type="dxa"/>
            <w:vMerge w:val="restart"/>
            <w:tcBorders>
              <w:top w:val="dotted" w:color="auto" w:sz="2" w:space="0"/>
              <w:left w:val="dotted" w:color="auto" w:sz="8" w:space="0"/>
              <w:bottom w:val="nil"/>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A投入（20）</w:t>
            </w:r>
          </w:p>
        </w:tc>
        <w:tc>
          <w:tcPr>
            <w:tcW w:w="1925" w:type="dxa"/>
            <w:vMerge w:val="restart"/>
            <w:tcBorders>
              <w:top w:val="dotted" w:color="auto" w:sz="2" w:space="0"/>
              <w:left w:val="dotted" w:color="auto" w:sz="8" w:space="0"/>
              <w:bottom w:val="nil"/>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A2绩效目标（7）</w:t>
            </w:r>
          </w:p>
        </w:tc>
        <w:tc>
          <w:tcPr>
            <w:tcW w:w="1910"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绩效目标合理性</w:t>
            </w:r>
          </w:p>
        </w:tc>
        <w:tc>
          <w:tcPr>
            <w:tcW w:w="933"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3</w:t>
            </w:r>
          </w:p>
        </w:tc>
        <w:tc>
          <w:tcPr>
            <w:tcW w:w="948"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t>1</w:t>
            </w:r>
          </w:p>
        </w:tc>
        <w:tc>
          <w:tcPr>
            <w:tcW w:w="1173"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lang w:val="en-US" w:eastAsia="zh-CN"/>
              </w:rPr>
              <w:t>33</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1691" w:type="dxa"/>
            <w:vMerge w:val="continue"/>
            <w:tcBorders>
              <w:top w:val="dotted" w:color="auto" w:sz="2" w:space="0"/>
              <w:left w:val="dotted" w:color="auto" w:sz="8" w:space="0"/>
              <w:bottom w:val="nil"/>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25" w:type="dxa"/>
            <w:vMerge w:val="continue"/>
            <w:tcBorders>
              <w:top w:val="dotted" w:color="auto" w:sz="2" w:space="0"/>
              <w:left w:val="dotted" w:color="auto" w:sz="8" w:space="0"/>
              <w:bottom w:val="nil"/>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10"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绩效指标明确性</w:t>
            </w:r>
          </w:p>
        </w:tc>
        <w:tc>
          <w:tcPr>
            <w:tcW w:w="933"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4</w:t>
            </w: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t>1</w:t>
            </w:r>
          </w:p>
        </w:tc>
        <w:tc>
          <w:tcPr>
            <w:tcW w:w="1173"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lang w:val="en-US" w:eastAsia="zh-CN"/>
              </w:rPr>
              <w:t>25</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7" w:hRule="atLeast"/>
          <w:jc w:val="center"/>
        </w:trPr>
        <w:tc>
          <w:tcPr>
            <w:tcW w:w="1691"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合计</w:t>
            </w:r>
          </w:p>
        </w:tc>
        <w:tc>
          <w:tcPr>
            <w:tcW w:w="1925"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1910"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933"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94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t>2</w:t>
            </w:r>
          </w:p>
        </w:tc>
        <w:tc>
          <w:tcPr>
            <w:tcW w:w="1173"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r>
    </w:tbl>
    <w:p>
      <w:pPr>
        <w:keepNext w:val="0"/>
        <w:keepLines w:val="0"/>
        <w:pageBreakBefore w:val="0"/>
        <w:widowControl w:val="0"/>
        <w:kinsoku/>
        <w:wordWrap/>
        <w:overflowPunct/>
        <w:topLinePunct w:val="0"/>
        <w:autoSpaceDE/>
        <w:autoSpaceDN/>
        <w:bidi w:val="0"/>
        <w:adjustRightInd/>
        <w:snapToGrid/>
        <w:spacing w:before="46" w:beforeLines="15" w:line="600" w:lineRule="exact"/>
        <w:ind w:firstLine="640" w:firstLineChars="200"/>
        <w:textAlignment w:val="auto"/>
      </w:pPr>
      <w:r>
        <w:rPr>
          <w:rFonts w:hint="eastAsia"/>
          <w:lang w:val="en-US" w:eastAsia="zh-CN"/>
        </w:rPr>
        <w:t>区教育局将“</w:t>
      </w:r>
      <w:r>
        <w:rPr>
          <w:rFonts w:hint="eastAsia" w:ascii="华文仿宋" w:hAnsi="华文仿宋" w:eastAsia="华文仿宋" w:cs="华文仿宋"/>
          <w:sz w:val="32"/>
          <w:szCs w:val="32"/>
          <w:lang w:eastAsia="zh-CN"/>
        </w:rPr>
        <w:t>确保学校的正常运行，保障各项工作目标的实现，改善学校办学条件，加强教育工作管理与研究，大力推进提升教师队伍素质，提高教育教学质量，努力提高办学效益和质量，使全体师生面貌一新，使学校管理规范化、制度化、精细化、科学化</w:t>
      </w:r>
      <w:r>
        <w:rPr>
          <w:rFonts w:hint="eastAsia"/>
          <w:lang w:val="en-US" w:eastAsia="zh-CN"/>
        </w:rPr>
        <w:t>”设为校车</w:t>
      </w:r>
      <w:r>
        <w:rPr>
          <w:rFonts w:hint="eastAsia" w:ascii="华文仿宋" w:hAnsi="华文仿宋" w:eastAsia="华文仿宋" w:cs="华文仿宋"/>
          <w:sz w:val="32"/>
          <w:szCs w:val="32"/>
          <w:lang w:val="en-US" w:eastAsia="zh-CN"/>
        </w:rPr>
        <w:t>项目的</w:t>
      </w:r>
      <w:r>
        <w:rPr>
          <w:rFonts w:hint="eastAsia" w:ascii="华文仿宋" w:hAnsi="华文仿宋" w:eastAsia="华文仿宋" w:cs="华文仿宋"/>
          <w:sz w:val="32"/>
          <w:szCs w:val="32"/>
          <w:lang w:eastAsia="zh-CN"/>
        </w:rPr>
        <w:t>长期目标和年度目标。</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年度目标和长期目标设定一致，无法体现</w:t>
      </w:r>
      <w:r>
        <w:rPr>
          <w:rFonts w:hint="eastAsia" w:ascii="华文仿宋" w:hAnsi="华文仿宋" w:cs="华文仿宋"/>
          <w:color w:val="000000" w:themeColor="text1"/>
          <w:sz w:val="32"/>
          <w:szCs w:val="32"/>
          <w:lang w:val="en-US" w:eastAsia="zh-CN"/>
          <w14:textFill>
            <w14:solidFill>
              <w14:schemeClr w14:val="tx1"/>
            </w14:solidFill>
          </w14:textFill>
        </w:rPr>
        <w:t>该</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项目任务的年度计划及发展规划，且目标内容与</w:t>
      </w:r>
      <w:r>
        <w:rPr>
          <w:rFonts w:hint="eastAsia" w:ascii="华文仿宋" w:hAnsi="华文仿宋" w:cs="华文仿宋"/>
          <w:color w:val="000000" w:themeColor="text1"/>
          <w:sz w:val="32"/>
          <w:szCs w:val="32"/>
          <w:lang w:val="en-US" w:eastAsia="zh-CN"/>
          <w14:textFill>
            <w14:solidFill>
              <w14:schemeClr w14:val="tx1"/>
            </w14:solidFill>
          </w14:textFill>
        </w:rPr>
        <w:t>校车</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项目的相关性不大。</w:t>
      </w:r>
      <w:r>
        <w:rPr>
          <w:rFonts w:hint="eastAsia" w:ascii="华文仿宋" w:hAnsi="华文仿宋" w:eastAsia="华文仿宋" w:cs="华文仿宋"/>
          <w:color w:val="000000" w:themeColor="text1"/>
          <w:sz w:val="32"/>
          <w:szCs w:val="32"/>
          <w:lang w:eastAsia="zh-CN"/>
          <w14:textFill>
            <w14:solidFill>
              <w14:schemeClr w14:val="tx1"/>
            </w14:solidFill>
          </w14:textFill>
        </w:rPr>
        <w:t>区</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教育</w:t>
      </w:r>
      <w:r>
        <w:rPr>
          <w:rFonts w:hint="eastAsia" w:ascii="华文仿宋" w:hAnsi="华文仿宋" w:eastAsia="华文仿宋" w:cs="华文仿宋"/>
          <w:color w:val="000000" w:themeColor="text1"/>
          <w:sz w:val="32"/>
          <w:szCs w:val="32"/>
          <w:lang w:eastAsia="zh-CN"/>
          <w14:textFill>
            <w14:solidFill>
              <w14:schemeClr w14:val="tx1"/>
            </w14:solidFill>
          </w14:textFill>
        </w:rPr>
        <w:t>局</w:t>
      </w:r>
      <w:r>
        <w:rPr>
          <w:rFonts w:hint="eastAsia" w:ascii="华文仿宋" w:hAnsi="华文仿宋" w:eastAsia="华文仿宋" w:cs="华文仿宋"/>
          <w:color w:val="000000" w:themeColor="text1"/>
          <w:sz w:val="32"/>
          <w:szCs w:val="32"/>
          <w14:textFill>
            <w14:solidFill>
              <w14:schemeClr w14:val="tx1"/>
            </w14:solidFill>
          </w14:textFill>
        </w:rPr>
        <w:t>未制定项目产出的</w:t>
      </w:r>
      <w:r>
        <w:rPr>
          <w:rFonts w:hint="eastAsia" w:ascii="华文仿宋" w:hAnsi="华文仿宋" w:eastAsia="华文仿宋" w:cs="华文仿宋"/>
          <w:color w:val="000000" w:themeColor="text1"/>
          <w:sz w:val="32"/>
          <w:szCs w:val="32"/>
          <w:lang w:eastAsia="zh-CN"/>
          <w14:textFill>
            <w14:solidFill>
              <w14:schemeClr w14:val="tx1"/>
            </w14:solidFill>
          </w14:textFill>
        </w:rPr>
        <w:t>数量、</w:t>
      </w:r>
      <w:r>
        <w:rPr>
          <w:rFonts w:hint="eastAsia" w:ascii="华文仿宋" w:hAnsi="华文仿宋" w:eastAsia="华文仿宋" w:cs="华文仿宋"/>
          <w:color w:val="000000" w:themeColor="text1"/>
          <w:sz w:val="32"/>
          <w:szCs w:val="32"/>
          <w14:textFill>
            <w14:solidFill>
              <w14:schemeClr w14:val="tx1"/>
            </w14:solidFill>
          </w14:textFill>
        </w:rPr>
        <w:t>质量、时效</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成本指标，同时也未明确项目的效益指标。</w:t>
      </w:r>
    </w:p>
    <w:p>
      <w:pPr>
        <w:keepNext/>
        <w:keepLines/>
        <w:numPr>
          <w:ilvl w:val="0"/>
          <w:numId w:val="6"/>
        </w:numPr>
        <w:spacing w:line="60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资金落实情况</w:t>
      </w:r>
    </w:p>
    <w:p>
      <w:pPr>
        <w:bidi w:val="0"/>
        <w:ind w:firstLine="420"/>
        <w:rPr>
          <w:rFonts w:hint="default"/>
          <w:szCs w:val="24"/>
          <w:lang w:val="en-US" w:eastAsia="zh-CN"/>
        </w:rPr>
      </w:pPr>
      <w:r>
        <w:rPr>
          <w:rFonts w:eastAsia="仿宋"/>
          <w:sz w:val="24"/>
          <w:szCs w:val="22"/>
        </w:rPr>
        <w:t>表</w:t>
      </w:r>
      <w:r>
        <w:rPr>
          <w:rFonts w:hint="eastAsia" w:eastAsia="仿宋"/>
          <w:sz w:val="24"/>
          <w:szCs w:val="22"/>
        </w:rPr>
        <w:t>2</w:t>
      </w:r>
      <w:r>
        <w:rPr>
          <w:rFonts w:eastAsia="仿宋"/>
          <w:sz w:val="24"/>
          <w:szCs w:val="22"/>
        </w:rPr>
        <w:t xml:space="preserve">-3     </w:t>
      </w:r>
      <w:r>
        <w:rPr>
          <w:rFonts w:hint="eastAsia" w:eastAsia="仿宋"/>
          <w:sz w:val="24"/>
          <w:szCs w:val="22"/>
        </w:rPr>
        <w:t xml:space="preserve">             </w:t>
      </w:r>
      <w:r>
        <w:rPr>
          <w:rFonts w:eastAsia="仿宋"/>
          <w:sz w:val="24"/>
          <w:szCs w:val="22"/>
        </w:rPr>
        <w:t>资金落实指标得分情况</w:t>
      </w:r>
    </w:p>
    <w:tbl>
      <w:tblPr>
        <w:tblStyle w:val="6"/>
        <w:tblW w:w="862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9"/>
        <w:gridCol w:w="1934"/>
        <w:gridCol w:w="1918"/>
        <w:gridCol w:w="938"/>
        <w:gridCol w:w="952"/>
        <w:gridCol w:w="1179"/>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3" w:hRule="atLeast"/>
          <w:jc w:val="center"/>
        </w:trPr>
        <w:tc>
          <w:tcPr>
            <w:tcW w:w="1699"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一级指标</w:t>
            </w:r>
          </w:p>
        </w:tc>
        <w:tc>
          <w:tcPr>
            <w:tcW w:w="1934"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二级指标</w:t>
            </w:r>
          </w:p>
        </w:tc>
        <w:tc>
          <w:tcPr>
            <w:tcW w:w="1918"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三级指标</w:t>
            </w:r>
          </w:p>
        </w:tc>
        <w:tc>
          <w:tcPr>
            <w:tcW w:w="938"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分值</w:t>
            </w:r>
          </w:p>
        </w:tc>
        <w:tc>
          <w:tcPr>
            <w:tcW w:w="952"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w:t>
            </w:r>
          </w:p>
        </w:tc>
        <w:tc>
          <w:tcPr>
            <w:tcW w:w="1179"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9" w:hRule="atLeast"/>
          <w:jc w:val="center"/>
        </w:trPr>
        <w:tc>
          <w:tcPr>
            <w:tcW w:w="169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A投入（20）</w:t>
            </w:r>
          </w:p>
        </w:tc>
        <w:tc>
          <w:tcPr>
            <w:tcW w:w="1934"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A3资金落实（6）</w:t>
            </w:r>
          </w:p>
        </w:tc>
        <w:tc>
          <w:tcPr>
            <w:tcW w:w="1918"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资金到位率</w:t>
            </w:r>
          </w:p>
        </w:tc>
        <w:tc>
          <w:tcPr>
            <w:tcW w:w="938"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2</w:t>
            </w:r>
          </w:p>
        </w:tc>
        <w:tc>
          <w:tcPr>
            <w:tcW w:w="952"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eastAsia="zh-CN"/>
              </w:rPr>
            </w:pPr>
            <w:r>
              <w:rPr>
                <w:rFonts w:hint="eastAsia" w:ascii="Times New Roman" w:hAnsi="Times New Roman" w:eastAsia="仿宋" w:cs="Times New Roman"/>
                <w:color w:val="000000"/>
                <w:kern w:val="0"/>
                <w:sz w:val="24"/>
                <w:szCs w:val="24"/>
                <w:lang w:val="en-US" w:eastAsia="zh-CN"/>
              </w:rPr>
              <w:t>2</w:t>
            </w:r>
          </w:p>
        </w:tc>
        <w:tc>
          <w:tcPr>
            <w:tcW w:w="1179"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lang w:val="en-US" w:eastAsia="zh-CN"/>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8" w:hRule="atLeast"/>
          <w:jc w:val="center"/>
        </w:trPr>
        <w:tc>
          <w:tcPr>
            <w:tcW w:w="169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34"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1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到位及时率</w:t>
            </w:r>
          </w:p>
        </w:tc>
        <w:tc>
          <w:tcPr>
            <w:tcW w:w="93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2</w:t>
            </w:r>
          </w:p>
        </w:tc>
        <w:tc>
          <w:tcPr>
            <w:tcW w:w="952"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2</w:t>
            </w:r>
          </w:p>
        </w:tc>
        <w:tc>
          <w:tcPr>
            <w:tcW w:w="1179"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8" w:hRule="atLeast"/>
          <w:jc w:val="center"/>
        </w:trPr>
        <w:tc>
          <w:tcPr>
            <w:tcW w:w="169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34"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1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资金使用率</w:t>
            </w:r>
          </w:p>
        </w:tc>
        <w:tc>
          <w:tcPr>
            <w:tcW w:w="93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2</w:t>
            </w:r>
          </w:p>
        </w:tc>
        <w:tc>
          <w:tcPr>
            <w:tcW w:w="952"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eastAsia="zh-CN"/>
              </w:rPr>
            </w:pPr>
            <w:r>
              <w:rPr>
                <w:rFonts w:hint="eastAsia" w:ascii="Times New Roman" w:hAnsi="Times New Roman" w:eastAsia="仿宋" w:cs="Times New Roman"/>
                <w:color w:val="000000"/>
                <w:kern w:val="0"/>
                <w:sz w:val="24"/>
                <w:szCs w:val="24"/>
                <w:lang w:val="en-US" w:eastAsia="zh-CN"/>
              </w:rPr>
              <w:t>2</w:t>
            </w:r>
          </w:p>
        </w:tc>
        <w:tc>
          <w:tcPr>
            <w:tcW w:w="1179"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lang w:val="en-US" w:eastAsia="zh-CN"/>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jc w:val="center"/>
        </w:trPr>
        <w:tc>
          <w:tcPr>
            <w:tcW w:w="1699"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合计</w:t>
            </w:r>
          </w:p>
        </w:tc>
        <w:tc>
          <w:tcPr>
            <w:tcW w:w="1934"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191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93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952"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eastAsia="zh-CN"/>
              </w:rPr>
            </w:pPr>
            <w:r>
              <w:rPr>
                <w:rFonts w:hint="eastAsia" w:ascii="Times New Roman" w:hAnsi="Times New Roman" w:eastAsia="仿宋" w:cs="Times New Roman"/>
                <w:color w:val="000000"/>
                <w:kern w:val="0"/>
                <w:sz w:val="24"/>
                <w:szCs w:val="24"/>
                <w:lang w:val="en-US" w:eastAsia="zh-CN"/>
              </w:rPr>
              <w:t>6</w:t>
            </w:r>
          </w:p>
        </w:tc>
        <w:tc>
          <w:tcPr>
            <w:tcW w:w="1179"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华文仿宋" w:hAnsi="华文仿宋" w:eastAsia="华文仿宋" w:cs="华文仿宋"/>
          <w:lang w:val="en-US" w:eastAsia="zh-CN"/>
        </w:rPr>
      </w:pPr>
      <w:r>
        <w:rPr>
          <w:rFonts w:hint="eastAsia" w:ascii="华文仿宋" w:hAnsi="华文仿宋" w:eastAsia="华文仿宋" w:cs="华文仿宋"/>
          <w:lang w:val="en-US" w:eastAsia="zh-CN"/>
        </w:rPr>
        <w:t>2018年，市公交公司共申请区本级财政校车经费187.25万元。</w:t>
      </w:r>
      <w:r>
        <w:rPr>
          <w:rFonts w:hint="eastAsia" w:ascii="华文仿宋" w:hAnsi="华文仿宋" w:eastAsia="华文仿宋" w:cs="华文仿宋"/>
          <w:lang w:eastAsia="zh-CN"/>
        </w:rPr>
        <w:t>截止</w:t>
      </w:r>
      <w:r>
        <w:rPr>
          <w:rFonts w:hint="eastAsia" w:ascii="华文仿宋" w:hAnsi="华文仿宋" w:eastAsia="华文仿宋" w:cs="华文仿宋"/>
          <w:lang w:val="en-US" w:eastAsia="zh-CN"/>
        </w:rPr>
        <w:t>2018年12月6日，</w:t>
      </w:r>
      <w:r>
        <w:rPr>
          <w:rFonts w:hint="eastAsia" w:ascii="华文仿宋" w:hAnsi="华文仿宋" w:eastAsia="华文仿宋" w:cs="华文仿宋"/>
          <w:color w:val="000000" w:themeColor="text1"/>
          <w:lang w:val="en-US" w:eastAsia="zh-CN"/>
          <w14:textFill>
            <w14:solidFill>
              <w14:schemeClr w14:val="tx1"/>
            </w14:solidFill>
          </w14:textFill>
        </w:rPr>
        <w:t>区</w:t>
      </w:r>
      <w:r>
        <w:rPr>
          <w:rFonts w:hint="eastAsia" w:ascii="华文仿宋" w:hAnsi="华文仿宋" w:eastAsia="华文仿宋" w:cs="华文仿宋"/>
          <w:color w:val="000000" w:themeColor="text1"/>
          <w14:textFill>
            <w14:solidFill>
              <w14:schemeClr w14:val="tx1"/>
            </w14:solidFill>
          </w14:textFill>
        </w:rPr>
        <w:t>财政局</w:t>
      </w:r>
      <w:r>
        <w:rPr>
          <w:rFonts w:hint="eastAsia" w:ascii="华文仿宋" w:hAnsi="华文仿宋" w:eastAsia="华文仿宋" w:cs="华文仿宋"/>
          <w:color w:val="000000" w:themeColor="text1"/>
          <w:lang w:val="en-US" w:eastAsia="zh-CN"/>
          <w14:textFill>
            <w14:solidFill>
              <w14:schemeClr w14:val="tx1"/>
            </w14:solidFill>
          </w14:textFill>
        </w:rPr>
        <w:t>拨付校车经费</w:t>
      </w:r>
      <w:r>
        <w:rPr>
          <w:rFonts w:hint="eastAsia" w:ascii="华文仿宋" w:hAnsi="华文仿宋" w:eastAsia="华文仿宋" w:cs="华文仿宋"/>
          <w:lang w:val="en-US" w:eastAsia="zh-CN"/>
        </w:rPr>
        <w:t>187.25</w:t>
      </w:r>
      <w:r>
        <w:rPr>
          <w:rFonts w:hint="eastAsia" w:ascii="华文仿宋" w:hAnsi="华文仿宋" w:eastAsia="华文仿宋" w:cs="华文仿宋"/>
          <w:color w:val="000000" w:themeColor="text1"/>
          <w:lang w:val="en-US" w:eastAsia="zh-CN"/>
          <w14:textFill>
            <w14:solidFill>
              <w14:schemeClr w14:val="tx1"/>
            </w14:solidFill>
          </w14:textFill>
        </w:rPr>
        <w:t>万</w:t>
      </w:r>
      <w:r>
        <w:rPr>
          <w:rFonts w:hint="eastAsia" w:ascii="华文仿宋" w:hAnsi="华文仿宋" w:eastAsia="华文仿宋" w:cs="华文仿宋"/>
          <w:color w:val="000000" w:themeColor="text1"/>
          <w14:textFill>
            <w14:solidFill>
              <w14:schemeClr w14:val="tx1"/>
            </w14:solidFill>
          </w14:textFill>
        </w:rPr>
        <w:t>元，资金到位率为</w:t>
      </w:r>
      <w:r>
        <w:rPr>
          <w:rFonts w:hint="eastAsia" w:ascii="华文仿宋" w:hAnsi="华文仿宋" w:eastAsia="华文仿宋" w:cs="华文仿宋"/>
          <w:color w:val="000000" w:themeColor="text1"/>
          <w:lang w:val="en-US" w:eastAsia="zh-CN"/>
          <w14:textFill>
            <w14:solidFill>
              <w14:schemeClr w14:val="tx1"/>
            </w14:solidFill>
          </w14:textFill>
        </w:rPr>
        <w:t>100%</w:t>
      </w:r>
      <w:r>
        <w:rPr>
          <w:rFonts w:hint="eastAsia" w:ascii="华文仿宋" w:hAnsi="华文仿宋" w:eastAsia="华文仿宋" w:cs="华文仿宋"/>
          <w:color w:val="000000" w:themeColor="text1"/>
          <w14:textFill>
            <w14:solidFill>
              <w14:schemeClr w14:val="tx1"/>
            </w14:solidFill>
          </w14:textFill>
        </w:rPr>
        <w:t xml:space="preserve"> 。</w:t>
      </w:r>
      <w:r>
        <w:rPr>
          <w:rFonts w:hint="eastAsia" w:ascii="华文仿宋" w:hAnsi="华文仿宋" w:eastAsia="华文仿宋" w:cs="华文仿宋"/>
          <w:color w:val="000000" w:themeColor="text1"/>
          <w:lang w:val="en-US" w:eastAsia="zh-CN"/>
          <w14:textFill>
            <w14:solidFill>
              <w14:schemeClr w14:val="tx1"/>
            </w14:solidFill>
          </w14:textFill>
        </w:rPr>
        <w:t>201</w:t>
      </w:r>
      <w:r>
        <w:rPr>
          <w:rFonts w:hint="eastAsia" w:ascii="华文仿宋" w:hAnsi="华文仿宋" w:eastAsia="华文仿宋" w:cs="华文仿宋"/>
          <w:lang w:val="en-US" w:eastAsia="zh-CN"/>
        </w:rPr>
        <w:t>8年校车经费区本级财政实际支付市公交公司187.25万元，</w:t>
      </w:r>
      <w:r>
        <w:rPr>
          <w:rFonts w:hint="eastAsia" w:ascii="华文仿宋" w:hAnsi="华文仿宋" w:cs="华文仿宋"/>
          <w:lang w:val="en-US" w:eastAsia="zh-CN"/>
        </w:rPr>
        <w:t>资金使用率为100%（</w:t>
      </w:r>
      <w:r>
        <w:rPr>
          <w:rFonts w:hint="eastAsia" w:ascii="华文仿宋" w:hAnsi="华文仿宋" w:eastAsia="华文仿宋" w:cs="华文仿宋"/>
          <w:lang w:val="en-US" w:eastAsia="zh-CN"/>
        </w:rPr>
        <w:t>187.25</w:t>
      </w:r>
      <w:r>
        <w:rPr>
          <w:rFonts w:hint="eastAsia" w:ascii="华文仿宋" w:hAnsi="华文仿宋" w:cs="华文仿宋"/>
          <w:lang w:val="en-US" w:eastAsia="zh-CN"/>
        </w:rPr>
        <w:t>/</w:t>
      </w:r>
      <w:r>
        <w:rPr>
          <w:rFonts w:hint="eastAsia" w:ascii="华文仿宋" w:hAnsi="华文仿宋" w:eastAsia="华文仿宋" w:cs="华文仿宋"/>
          <w:lang w:val="en-US" w:eastAsia="zh-CN"/>
        </w:rPr>
        <w:t>187.25</w:t>
      </w:r>
      <w:r>
        <w:rPr>
          <w:rFonts w:hint="eastAsia" w:ascii="华文仿宋" w:hAnsi="华文仿宋" w:cs="华文仿宋"/>
          <w:lang w:val="en-US" w:eastAsia="zh-CN"/>
        </w:rPr>
        <w:t>*100%）。</w:t>
      </w:r>
    </w:p>
    <w:p>
      <w:pPr>
        <w:numPr>
          <w:ilvl w:val="0"/>
          <w:numId w:val="5"/>
        </w:numPr>
        <w:autoSpaceDN w:val="0"/>
        <w:adjustRightInd w:val="0"/>
        <w:snapToGrid w:val="0"/>
        <w:spacing w:line="600" w:lineRule="exact"/>
        <w:ind w:firstLine="641" w:firstLineChars="200"/>
        <w:rPr>
          <w:rFonts w:hint="eastAsia" w:ascii="华文仿宋" w:hAnsi="华文仿宋" w:eastAsia="华文仿宋" w:cs="华文仿宋"/>
          <w:b/>
          <w:color w:val="000000" w:themeColor="text1"/>
          <w:sz w:val="32"/>
          <w:szCs w:val="32"/>
          <w14:textFill>
            <w14:solidFill>
              <w14:schemeClr w14:val="tx1"/>
            </w14:solidFill>
          </w14:textFill>
        </w:rPr>
      </w:pPr>
      <w:bookmarkStart w:id="61" w:name="_Toc24472_WPSOffice_Level3"/>
      <w:bookmarkStart w:id="62" w:name="_Toc80_WPSOffice_Level3"/>
      <w:bookmarkStart w:id="63" w:name="_Toc4352_WPSOffice_Level3"/>
      <w:bookmarkStart w:id="64" w:name="_Toc5165_WPSOffice_Level3"/>
      <w:r>
        <w:rPr>
          <w:rFonts w:hint="eastAsia" w:ascii="华文仿宋" w:hAnsi="华文仿宋" w:eastAsia="华文仿宋" w:cs="华文仿宋"/>
          <w:b/>
          <w:color w:val="000000" w:themeColor="text1"/>
          <w:sz w:val="32"/>
          <w:szCs w:val="32"/>
          <w14:textFill>
            <w14:solidFill>
              <w14:schemeClr w14:val="tx1"/>
            </w14:solidFill>
          </w14:textFill>
        </w:rPr>
        <w:t>项目实施过程</w:t>
      </w:r>
      <w:bookmarkEnd w:id="61"/>
      <w:bookmarkEnd w:id="62"/>
      <w:bookmarkEnd w:id="63"/>
      <w:bookmarkEnd w:id="64"/>
    </w:p>
    <w:p>
      <w:pPr>
        <w:keepNext/>
        <w:keepLines/>
        <w:numPr>
          <w:ilvl w:val="0"/>
          <w:numId w:val="7"/>
        </w:numPr>
        <w:spacing w:line="52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业务管理</w:t>
      </w:r>
    </w:p>
    <w:p>
      <w:pPr>
        <w:bidi w:val="0"/>
        <w:rPr>
          <w:rFonts w:eastAsia="仿宋"/>
          <w:sz w:val="24"/>
          <w:szCs w:val="22"/>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4</w:t>
      </w:r>
      <w:r>
        <w:rPr>
          <w:rFonts w:eastAsia="仿宋"/>
          <w:sz w:val="24"/>
          <w:szCs w:val="22"/>
        </w:rPr>
        <w:t xml:space="preserve">       </w:t>
      </w:r>
      <w:r>
        <w:rPr>
          <w:rFonts w:hint="eastAsia" w:eastAsia="仿宋"/>
          <w:sz w:val="24"/>
          <w:szCs w:val="22"/>
        </w:rPr>
        <w:t xml:space="preserve">          </w:t>
      </w:r>
      <w:r>
        <w:rPr>
          <w:rFonts w:eastAsia="仿宋"/>
          <w:sz w:val="24"/>
          <w:szCs w:val="22"/>
        </w:rPr>
        <w:t>业务管理指标得分情况</w:t>
      </w:r>
    </w:p>
    <w:tbl>
      <w:tblPr>
        <w:tblStyle w:val="6"/>
        <w:tblW w:w="872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9"/>
        <w:gridCol w:w="1955"/>
        <w:gridCol w:w="1943"/>
        <w:gridCol w:w="947"/>
        <w:gridCol w:w="964"/>
        <w:gridCol w:w="1192"/>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3" w:hRule="atLeast"/>
          <w:jc w:val="center"/>
        </w:trPr>
        <w:tc>
          <w:tcPr>
            <w:tcW w:w="1719" w:type="dxa"/>
            <w:tcBorders>
              <w:top w:val="single" w:color="4F81BD" w:sz="8" w:space="0"/>
              <w:left w:val="single" w:color="4F81BD" w:sz="8" w:space="0"/>
              <w:bottom w:val="single" w:color="FFFFFF" w:sz="4" w:space="0"/>
              <w:right w:val="single" w:color="4F81BD" w:sz="8" w:space="0"/>
            </w:tcBorders>
            <w:shd w:val="clear" w:color="auto" w:fill="548DD4"/>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一级指标</w:t>
            </w:r>
          </w:p>
        </w:tc>
        <w:tc>
          <w:tcPr>
            <w:tcW w:w="1955" w:type="dxa"/>
            <w:tcBorders>
              <w:top w:val="single" w:color="4F81BD" w:sz="8" w:space="0"/>
              <w:left w:val="single" w:color="4F81BD" w:sz="8" w:space="0"/>
              <w:bottom w:val="single" w:color="FFFFFF" w:sz="4" w:space="0"/>
              <w:right w:val="single" w:color="4F81BD" w:sz="8" w:space="0"/>
            </w:tcBorders>
            <w:shd w:val="clear" w:color="auto" w:fill="548DD4"/>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二级指标</w:t>
            </w:r>
          </w:p>
        </w:tc>
        <w:tc>
          <w:tcPr>
            <w:tcW w:w="1943" w:type="dxa"/>
            <w:tcBorders>
              <w:top w:val="single" w:color="4F81BD" w:sz="8" w:space="0"/>
              <w:left w:val="single" w:color="4F81BD" w:sz="8" w:space="0"/>
              <w:bottom w:val="single" w:color="FFFFFF" w:sz="4" w:space="0"/>
              <w:right w:val="single" w:color="4F81BD" w:sz="8" w:space="0"/>
            </w:tcBorders>
            <w:shd w:val="clear" w:color="auto" w:fill="548DD4"/>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三级指标</w:t>
            </w:r>
          </w:p>
        </w:tc>
        <w:tc>
          <w:tcPr>
            <w:tcW w:w="947" w:type="dxa"/>
            <w:tcBorders>
              <w:top w:val="single" w:color="4F81BD" w:sz="8" w:space="0"/>
              <w:left w:val="single" w:color="4F81BD" w:sz="8" w:space="0"/>
              <w:bottom w:val="single" w:color="FFFFFF" w:sz="4" w:space="0"/>
              <w:right w:val="single" w:color="4F81BD" w:sz="8" w:space="0"/>
            </w:tcBorders>
            <w:shd w:val="clear" w:color="auto" w:fill="548DD4"/>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分值</w:t>
            </w:r>
          </w:p>
        </w:tc>
        <w:tc>
          <w:tcPr>
            <w:tcW w:w="964" w:type="dxa"/>
            <w:tcBorders>
              <w:top w:val="single" w:color="4F81BD" w:sz="8" w:space="0"/>
              <w:left w:val="single" w:color="4F81BD" w:sz="8" w:space="0"/>
              <w:bottom w:val="single" w:color="FFFFFF" w:sz="4" w:space="0"/>
              <w:right w:val="single" w:color="4F81BD" w:sz="8" w:space="0"/>
            </w:tcBorders>
            <w:shd w:val="clear" w:color="auto" w:fill="548DD4"/>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w:t>
            </w:r>
          </w:p>
        </w:tc>
        <w:tc>
          <w:tcPr>
            <w:tcW w:w="1192" w:type="dxa"/>
            <w:tcBorders>
              <w:top w:val="single" w:color="4F81BD" w:sz="8" w:space="0"/>
              <w:left w:val="single" w:color="4F81BD" w:sz="8" w:space="0"/>
              <w:bottom w:val="single" w:color="FFFFFF" w:sz="4" w:space="0"/>
              <w:right w:val="single" w:color="4F81BD" w:sz="8" w:space="0"/>
            </w:tcBorders>
            <w:shd w:val="clear" w:color="auto" w:fill="548DD4"/>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171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B过程（30）</w:t>
            </w:r>
          </w:p>
        </w:tc>
        <w:tc>
          <w:tcPr>
            <w:tcW w:w="1955"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B1业务管理（9）</w:t>
            </w:r>
          </w:p>
        </w:tc>
        <w:tc>
          <w:tcPr>
            <w:tcW w:w="1943"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管理制度健全性</w:t>
            </w:r>
          </w:p>
        </w:tc>
        <w:tc>
          <w:tcPr>
            <w:tcW w:w="947"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2</w:t>
            </w:r>
          </w:p>
        </w:tc>
        <w:tc>
          <w:tcPr>
            <w:tcW w:w="964"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2</w:t>
            </w:r>
          </w:p>
        </w:tc>
        <w:tc>
          <w:tcPr>
            <w:tcW w:w="1192"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5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43"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制度执行有效性</w:t>
            </w:r>
          </w:p>
        </w:tc>
        <w:tc>
          <w:tcPr>
            <w:tcW w:w="94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5</w:t>
            </w:r>
          </w:p>
        </w:tc>
        <w:tc>
          <w:tcPr>
            <w:tcW w:w="964"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eastAsia="zh-CN"/>
              </w:rPr>
            </w:pPr>
            <w:r>
              <w:rPr>
                <w:rFonts w:hint="eastAsia" w:ascii="Times New Roman" w:hAnsi="Times New Roman" w:eastAsia="仿宋" w:cs="Times New Roman"/>
                <w:color w:val="000000"/>
                <w:kern w:val="0"/>
                <w:sz w:val="24"/>
                <w:szCs w:val="24"/>
                <w:lang w:val="en-US" w:eastAsia="zh-CN"/>
              </w:rPr>
              <w:t>5</w:t>
            </w:r>
          </w:p>
        </w:tc>
        <w:tc>
          <w:tcPr>
            <w:tcW w:w="1192"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lang w:val="en-US" w:eastAsia="zh-CN"/>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jc w:val="center"/>
        </w:trPr>
        <w:tc>
          <w:tcPr>
            <w:tcW w:w="171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5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43"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项目质量可控性</w:t>
            </w:r>
          </w:p>
        </w:tc>
        <w:tc>
          <w:tcPr>
            <w:tcW w:w="94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2</w:t>
            </w:r>
          </w:p>
        </w:tc>
        <w:tc>
          <w:tcPr>
            <w:tcW w:w="964"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2</w:t>
            </w:r>
          </w:p>
        </w:tc>
        <w:tc>
          <w:tcPr>
            <w:tcW w:w="1192"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6" w:hRule="atLeast"/>
          <w:jc w:val="center"/>
        </w:trPr>
        <w:tc>
          <w:tcPr>
            <w:tcW w:w="5617"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合计</w:t>
            </w:r>
          </w:p>
        </w:tc>
        <w:tc>
          <w:tcPr>
            <w:tcW w:w="94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964"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eastAsia="zh-CN"/>
              </w:rPr>
            </w:pPr>
            <w:r>
              <w:rPr>
                <w:rFonts w:hint="eastAsia" w:ascii="Times New Roman" w:hAnsi="Times New Roman" w:eastAsia="仿宋" w:cs="Times New Roman"/>
                <w:color w:val="000000"/>
                <w:kern w:val="0"/>
                <w:sz w:val="24"/>
                <w:szCs w:val="24"/>
                <w:lang w:val="en-US" w:eastAsia="zh-CN"/>
              </w:rPr>
              <w:t>9</w:t>
            </w:r>
          </w:p>
        </w:tc>
        <w:tc>
          <w:tcPr>
            <w:tcW w:w="1192"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t>区教育局制定了《鹤城区校车安全管理工作合署办公制度》、《鹤城区校车安全管理工作联席会议制度》、《校车工作管理职责》以及《校车交通违法处置制度》等一系列管理办法，校车运行认真按照签订合同以及安全管理办法等相关要求实施，保证了校车的正常运行，有效预防了学生道路安全事故的发生。</w:t>
      </w:r>
    </w:p>
    <w:p>
      <w:pPr>
        <w:keepNext/>
        <w:keepLines/>
        <w:numPr>
          <w:ilvl w:val="0"/>
          <w:numId w:val="7"/>
        </w:numPr>
        <w:spacing w:line="52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财务管理</w:t>
      </w:r>
    </w:p>
    <w:p>
      <w:pPr>
        <w:bidi w:val="0"/>
        <w:rPr>
          <w:rFonts w:eastAsia="仿宋"/>
          <w:sz w:val="24"/>
          <w:szCs w:val="22"/>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5</w:t>
      </w:r>
      <w:r>
        <w:rPr>
          <w:rFonts w:eastAsia="仿宋"/>
          <w:sz w:val="24"/>
          <w:szCs w:val="22"/>
        </w:rPr>
        <w:t xml:space="preserve">     </w:t>
      </w:r>
      <w:r>
        <w:rPr>
          <w:rFonts w:hint="eastAsia" w:eastAsia="仿宋"/>
          <w:sz w:val="24"/>
          <w:szCs w:val="22"/>
        </w:rPr>
        <w:t xml:space="preserve">             </w:t>
      </w:r>
      <w:r>
        <w:rPr>
          <w:rFonts w:hint="eastAsia" w:eastAsia="仿宋"/>
          <w:sz w:val="24"/>
          <w:szCs w:val="22"/>
          <w:lang w:val="en-US" w:eastAsia="zh-CN"/>
        </w:rPr>
        <w:t>财务</w:t>
      </w:r>
      <w:r>
        <w:rPr>
          <w:rFonts w:eastAsia="仿宋"/>
          <w:sz w:val="24"/>
          <w:szCs w:val="22"/>
        </w:rPr>
        <w:t>管理指标得分情况</w:t>
      </w:r>
    </w:p>
    <w:tbl>
      <w:tblPr>
        <w:tblStyle w:val="6"/>
        <w:tblW w:w="860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5"/>
        <w:gridCol w:w="1929"/>
        <w:gridCol w:w="1915"/>
        <w:gridCol w:w="935"/>
        <w:gridCol w:w="950"/>
        <w:gridCol w:w="1176"/>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jc w:val="center"/>
        </w:trPr>
        <w:tc>
          <w:tcPr>
            <w:tcW w:w="1695" w:type="dxa"/>
            <w:tcBorders>
              <w:top w:val="single" w:color="4F81BD" w:sz="8" w:space="0"/>
              <w:left w:val="single" w:color="4F81BD" w:sz="8" w:space="0"/>
              <w:bottom w:val="single" w:color="FFFFFF" w:sz="4" w:space="0"/>
              <w:right w:val="single" w:color="4F81BD" w:sz="8" w:space="0"/>
            </w:tcBorders>
            <w:shd w:val="clear" w:color="auto" w:fill="548DD4"/>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一级指标</w:t>
            </w:r>
          </w:p>
        </w:tc>
        <w:tc>
          <w:tcPr>
            <w:tcW w:w="1929" w:type="dxa"/>
            <w:tcBorders>
              <w:top w:val="single" w:color="4F81BD" w:sz="8" w:space="0"/>
              <w:left w:val="single" w:color="4F81BD" w:sz="8" w:space="0"/>
              <w:bottom w:val="single" w:color="FFFFFF" w:sz="4" w:space="0"/>
              <w:right w:val="single" w:color="4F81BD" w:sz="8" w:space="0"/>
            </w:tcBorders>
            <w:shd w:val="clear" w:color="auto" w:fill="548DD4"/>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二级指标</w:t>
            </w:r>
          </w:p>
        </w:tc>
        <w:tc>
          <w:tcPr>
            <w:tcW w:w="1915" w:type="dxa"/>
            <w:tcBorders>
              <w:top w:val="single" w:color="4F81BD" w:sz="8" w:space="0"/>
              <w:left w:val="single" w:color="4F81BD" w:sz="8" w:space="0"/>
              <w:bottom w:val="single" w:color="FFFFFF" w:sz="4" w:space="0"/>
              <w:right w:val="single" w:color="4F81BD" w:sz="8" w:space="0"/>
            </w:tcBorders>
            <w:shd w:val="clear" w:color="auto" w:fill="548DD4"/>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三级指标</w:t>
            </w:r>
          </w:p>
        </w:tc>
        <w:tc>
          <w:tcPr>
            <w:tcW w:w="935" w:type="dxa"/>
            <w:tcBorders>
              <w:top w:val="single" w:color="4F81BD" w:sz="8" w:space="0"/>
              <w:left w:val="single" w:color="4F81BD" w:sz="8" w:space="0"/>
              <w:bottom w:val="single" w:color="FFFFFF" w:sz="4" w:space="0"/>
              <w:right w:val="single" w:color="4F81BD" w:sz="8" w:space="0"/>
            </w:tcBorders>
            <w:shd w:val="clear" w:color="auto" w:fill="548DD4"/>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分值</w:t>
            </w:r>
          </w:p>
        </w:tc>
        <w:tc>
          <w:tcPr>
            <w:tcW w:w="950" w:type="dxa"/>
            <w:tcBorders>
              <w:top w:val="single" w:color="4F81BD" w:sz="8" w:space="0"/>
              <w:left w:val="single" w:color="4F81BD" w:sz="8" w:space="0"/>
              <w:bottom w:val="single" w:color="FFFFFF" w:sz="4" w:space="0"/>
              <w:right w:val="single" w:color="4F81BD" w:sz="8" w:space="0"/>
            </w:tcBorders>
            <w:shd w:val="clear" w:color="auto" w:fill="548DD4"/>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w:t>
            </w:r>
          </w:p>
        </w:tc>
        <w:tc>
          <w:tcPr>
            <w:tcW w:w="1176" w:type="dxa"/>
            <w:tcBorders>
              <w:top w:val="single" w:color="4F81BD" w:sz="8" w:space="0"/>
              <w:left w:val="single" w:color="4F81BD" w:sz="8" w:space="0"/>
              <w:bottom w:val="single" w:color="FFFFFF" w:sz="4" w:space="0"/>
              <w:right w:val="single" w:color="4F81BD" w:sz="8" w:space="0"/>
            </w:tcBorders>
            <w:shd w:val="clear" w:color="auto" w:fill="548DD4"/>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jc w:val="center"/>
        </w:trPr>
        <w:tc>
          <w:tcPr>
            <w:tcW w:w="1695"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B过程（30）</w:t>
            </w:r>
          </w:p>
        </w:tc>
        <w:tc>
          <w:tcPr>
            <w:tcW w:w="1929"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B2财务管理（15）</w:t>
            </w:r>
          </w:p>
        </w:tc>
        <w:tc>
          <w:tcPr>
            <w:tcW w:w="1915"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管理制度健全性</w:t>
            </w:r>
          </w:p>
        </w:tc>
        <w:tc>
          <w:tcPr>
            <w:tcW w:w="935"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3</w:t>
            </w:r>
          </w:p>
        </w:tc>
        <w:tc>
          <w:tcPr>
            <w:tcW w:w="950"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3</w:t>
            </w:r>
          </w:p>
        </w:tc>
        <w:tc>
          <w:tcPr>
            <w:tcW w:w="1176"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2" w:hRule="atLeast"/>
          <w:jc w:val="center"/>
        </w:trPr>
        <w:tc>
          <w:tcPr>
            <w:tcW w:w="169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2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资金使用合规性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8</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8</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2" w:hRule="atLeast"/>
          <w:jc w:val="center"/>
        </w:trPr>
        <w:tc>
          <w:tcPr>
            <w:tcW w:w="1695"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29"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财务监控有效性</w:t>
            </w: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4</w:t>
            </w: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eastAsia="zh-CN"/>
              </w:rPr>
            </w:pPr>
            <w:r>
              <w:rPr>
                <w:rFonts w:hint="eastAsia" w:ascii="Times New Roman" w:hAnsi="Times New Roman" w:eastAsia="仿宋" w:cs="Times New Roman"/>
                <w:color w:val="000000"/>
                <w:kern w:val="0"/>
                <w:sz w:val="24"/>
                <w:szCs w:val="24"/>
                <w:lang w:val="en-US" w:eastAsia="zh-CN"/>
              </w:rPr>
              <w:t>4</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lang w:val="en-US" w:eastAsia="zh-CN"/>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4" w:hRule="atLeast"/>
          <w:jc w:val="center"/>
        </w:trPr>
        <w:tc>
          <w:tcPr>
            <w:tcW w:w="1695"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合计</w:t>
            </w:r>
          </w:p>
        </w:tc>
        <w:tc>
          <w:tcPr>
            <w:tcW w:w="1929"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1915"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935"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950"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t>15</w:t>
            </w:r>
          </w:p>
        </w:tc>
        <w:tc>
          <w:tcPr>
            <w:tcW w:w="1176"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t>区教育局根据相关财务会计制度规定，制定了《鹤城区教育局校财局管办工作细则》及《资产管理制度》，资金拨付有完整的审批程序和手续，未发现截留、挤占、挪用、乱发滥补、虚报冒领等违规违纪行为。</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bookmarkStart w:id="245" w:name="_GoBack"/>
      <w:bookmarkEnd w:id="245"/>
    </w:p>
    <w:p>
      <w:pPr>
        <w:keepNext/>
        <w:keepLines/>
        <w:numPr>
          <w:ilvl w:val="0"/>
          <w:numId w:val="7"/>
        </w:numPr>
        <w:spacing w:line="52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绩效管理</w:t>
      </w:r>
    </w:p>
    <w:p>
      <w:pPr>
        <w:bidi w:val="0"/>
        <w:rPr>
          <w:rFonts w:hint="default" w:eastAsia="仿宋"/>
          <w:sz w:val="24"/>
          <w:szCs w:val="22"/>
          <w:lang w:val="en-US" w:eastAsia="zh-CN"/>
        </w:rPr>
      </w:pPr>
      <w:r>
        <w:rPr>
          <w:rFonts w:hint="default" w:eastAsia="仿宋"/>
          <w:sz w:val="24"/>
          <w:szCs w:val="22"/>
          <w:lang w:val="en-US" w:eastAsia="zh-CN"/>
        </w:rPr>
        <w:t>表2-6                   绩效管理指标得分情况</w:t>
      </w:r>
    </w:p>
    <w:tbl>
      <w:tblPr>
        <w:tblStyle w:val="6"/>
        <w:tblW w:w="866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7"/>
        <w:gridCol w:w="1943"/>
        <w:gridCol w:w="1928"/>
        <w:gridCol w:w="941"/>
        <w:gridCol w:w="957"/>
        <w:gridCol w:w="1184"/>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6" w:hRule="atLeast"/>
          <w:jc w:val="center"/>
        </w:trPr>
        <w:tc>
          <w:tcPr>
            <w:tcW w:w="1707"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一级指标</w:t>
            </w:r>
          </w:p>
        </w:tc>
        <w:tc>
          <w:tcPr>
            <w:tcW w:w="1943"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二级指标</w:t>
            </w:r>
          </w:p>
        </w:tc>
        <w:tc>
          <w:tcPr>
            <w:tcW w:w="19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三级指标</w:t>
            </w:r>
          </w:p>
        </w:tc>
        <w:tc>
          <w:tcPr>
            <w:tcW w:w="941"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分值</w:t>
            </w:r>
          </w:p>
        </w:tc>
        <w:tc>
          <w:tcPr>
            <w:tcW w:w="957"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w:t>
            </w:r>
          </w:p>
        </w:tc>
        <w:tc>
          <w:tcPr>
            <w:tcW w:w="1184"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1" w:hRule="atLeast"/>
          <w:jc w:val="center"/>
        </w:trPr>
        <w:tc>
          <w:tcPr>
            <w:tcW w:w="170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B过程（30）</w:t>
            </w:r>
          </w:p>
        </w:tc>
        <w:tc>
          <w:tcPr>
            <w:tcW w:w="1943"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B3绩效管理（6）</w:t>
            </w:r>
          </w:p>
        </w:tc>
        <w:tc>
          <w:tcPr>
            <w:tcW w:w="1928"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信息质量</w:t>
            </w:r>
          </w:p>
        </w:tc>
        <w:tc>
          <w:tcPr>
            <w:tcW w:w="941"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2</w:t>
            </w:r>
          </w:p>
        </w:tc>
        <w:tc>
          <w:tcPr>
            <w:tcW w:w="957"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t>1</w:t>
            </w:r>
          </w:p>
        </w:tc>
        <w:tc>
          <w:tcPr>
            <w:tcW w:w="1184"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lang w:val="en-US" w:eastAsia="zh-CN"/>
              </w:rPr>
              <w:t>50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7"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4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2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监控质量</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t>2</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lang w:val="en-US" w:eastAsia="zh-CN"/>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7" w:hRule="atLeast"/>
          <w:jc w:val="center"/>
        </w:trPr>
        <w:tc>
          <w:tcPr>
            <w:tcW w:w="170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43"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2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自评质量</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2</w:t>
            </w: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1</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lang w:val="en-US" w:eastAsia="zh-CN"/>
              </w:rPr>
              <w:t>50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1" w:hRule="atLeast"/>
          <w:jc w:val="center"/>
        </w:trPr>
        <w:tc>
          <w:tcPr>
            <w:tcW w:w="5578"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合计</w:t>
            </w:r>
          </w:p>
        </w:tc>
        <w:tc>
          <w:tcPr>
            <w:tcW w:w="941"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95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lang w:val="en-US" w:eastAsia="zh-CN"/>
              </w:rPr>
              <w:t>4</w:t>
            </w:r>
          </w:p>
        </w:tc>
        <w:tc>
          <w:tcPr>
            <w:tcW w:w="1184"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r>
    </w:tbl>
    <w:p>
      <w:pPr>
        <w:keepNext w:val="0"/>
        <w:keepLines w:val="0"/>
        <w:pageBreakBefore w:val="0"/>
        <w:widowControl w:val="0"/>
        <w:kinsoku/>
        <w:wordWrap/>
        <w:overflowPunct/>
        <w:topLinePunct w:val="0"/>
        <w:autoSpaceDE/>
        <w:autoSpaceDN/>
        <w:bidi w:val="0"/>
        <w:adjustRightInd/>
        <w:snapToGrid/>
        <w:spacing w:before="31" w:beforeLines="10" w:line="600" w:lineRule="exact"/>
        <w:ind w:firstLine="640"/>
        <w:textAlignment w:val="auto"/>
        <w:rPr>
          <w:rFonts w:ascii="华文仿宋" w:hAnsi="华文仿宋" w:cs="华文仿宋"/>
          <w:szCs w:val="32"/>
        </w:rPr>
      </w:pPr>
      <w:r>
        <w:rPr>
          <w:rFonts w:hint="eastAsia" w:ascii="华文仿宋" w:hAnsi="华文仿宋" w:eastAsia="华文仿宋" w:cs="华文仿宋"/>
          <w:szCs w:val="24"/>
          <w:lang w:eastAsia="zh-CN"/>
        </w:rPr>
        <w:t>按照《关于全面实施预算绩效管理的的实施意见》（湘发办〔2019〕10号）和《2018年度预算绩效管理工作实施方案》（鹤财绩〔2018〕26号）文件要求，区教育局对2018年“</w:t>
      </w:r>
      <w:r>
        <w:rPr>
          <w:rFonts w:hint="eastAsia" w:ascii="华文仿宋" w:hAnsi="华文仿宋" w:eastAsia="华文仿宋" w:cs="华文仿宋"/>
          <w:szCs w:val="24"/>
          <w:lang w:val="en-US" w:eastAsia="zh-CN"/>
        </w:rPr>
        <w:t>校车</w:t>
      </w:r>
      <w:r>
        <w:rPr>
          <w:rFonts w:hint="eastAsia" w:ascii="华文仿宋" w:hAnsi="华文仿宋" w:cs="华文仿宋"/>
          <w:szCs w:val="24"/>
          <w:lang w:val="en-US" w:eastAsia="zh-CN"/>
        </w:rPr>
        <w:t>专项资金</w:t>
      </w:r>
      <w:r>
        <w:rPr>
          <w:rFonts w:hint="eastAsia" w:ascii="华文仿宋" w:hAnsi="华文仿宋" w:eastAsia="华文仿宋" w:cs="华文仿宋"/>
          <w:szCs w:val="24"/>
          <w:lang w:eastAsia="zh-CN"/>
        </w:rPr>
        <w:t>”等五个项目做出了《专项资金绩效自评报告》。但自评报告未对项目进行评分，也未客观地反映</w:t>
      </w:r>
      <w:r>
        <w:rPr>
          <w:rFonts w:hint="eastAsia" w:ascii="华文仿宋" w:hAnsi="华文仿宋" w:eastAsia="华文仿宋" w:cs="华文仿宋"/>
          <w:szCs w:val="32"/>
        </w:rPr>
        <w:t>该项目在绩效管理过程中存在的不足。</w:t>
      </w:r>
    </w:p>
    <w:p>
      <w:pPr>
        <w:numPr>
          <w:ilvl w:val="0"/>
          <w:numId w:val="5"/>
        </w:numPr>
        <w:autoSpaceDN w:val="0"/>
        <w:adjustRightInd w:val="0"/>
        <w:snapToGrid w:val="0"/>
        <w:spacing w:line="600" w:lineRule="exact"/>
        <w:ind w:firstLine="641" w:firstLineChars="200"/>
        <w:rPr>
          <w:rFonts w:hint="eastAsia" w:ascii="华文仿宋" w:hAnsi="华文仿宋" w:eastAsia="华文仿宋" w:cs="华文仿宋"/>
          <w:b/>
          <w:color w:val="000000" w:themeColor="text1"/>
          <w:sz w:val="32"/>
          <w:szCs w:val="32"/>
          <w14:textFill>
            <w14:solidFill>
              <w14:schemeClr w14:val="tx1"/>
            </w14:solidFill>
          </w14:textFill>
        </w:rPr>
      </w:pPr>
      <w:bookmarkStart w:id="65" w:name="_Toc12217_WPSOffice_Level3"/>
      <w:bookmarkStart w:id="66" w:name="_Toc9923_WPSOffice_Level3"/>
      <w:bookmarkStart w:id="67" w:name="_Toc18151_WPSOffice_Level3"/>
      <w:r>
        <w:rPr>
          <w:rFonts w:hint="eastAsia" w:ascii="华文仿宋" w:hAnsi="华文仿宋" w:eastAsia="华文仿宋" w:cs="华文仿宋"/>
          <w:b/>
          <w:color w:val="000000" w:themeColor="text1"/>
          <w:sz w:val="32"/>
          <w:szCs w:val="32"/>
          <w14:textFill>
            <w14:solidFill>
              <w14:schemeClr w14:val="tx1"/>
            </w14:solidFill>
          </w14:textFill>
        </w:rPr>
        <w:t>项目产出及效果</w:t>
      </w:r>
      <w:bookmarkEnd w:id="65"/>
      <w:bookmarkEnd w:id="66"/>
      <w:bookmarkEnd w:id="67"/>
    </w:p>
    <w:p>
      <w:pPr>
        <w:keepNext/>
        <w:keepLines/>
        <w:numPr>
          <w:ilvl w:val="0"/>
          <w:numId w:val="8"/>
        </w:numPr>
        <w:spacing w:line="52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项目产出</w:t>
      </w:r>
    </w:p>
    <w:p>
      <w:pPr>
        <w:ind w:firstLine="480"/>
        <w:rPr>
          <w:rFonts w:ascii="Times New Roman" w:hAnsi="Times New Roman" w:eastAsia="仿宋" w:cs="Times New Roman"/>
          <w:sz w:val="24"/>
          <w:szCs w:val="22"/>
        </w:rPr>
      </w:pPr>
      <w:r>
        <w:rPr>
          <w:rFonts w:ascii="Times New Roman" w:hAnsi="Times New Roman" w:eastAsia="仿宋" w:cs="Times New Roman"/>
          <w:sz w:val="24"/>
          <w:szCs w:val="22"/>
        </w:rPr>
        <w:t>表</w:t>
      </w:r>
      <w:r>
        <w:rPr>
          <w:rFonts w:hint="eastAsia" w:ascii="Times New Roman" w:hAnsi="Times New Roman" w:eastAsia="仿宋" w:cs="Times New Roman"/>
          <w:sz w:val="24"/>
          <w:szCs w:val="22"/>
        </w:rPr>
        <w:t>2</w:t>
      </w:r>
      <w:r>
        <w:rPr>
          <w:rFonts w:ascii="Times New Roman" w:hAnsi="Times New Roman" w:eastAsia="仿宋" w:cs="Times New Roman"/>
          <w:sz w:val="24"/>
          <w:szCs w:val="22"/>
        </w:rPr>
        <w:t>-</w:t>
      </w:r>
      <w:r>
        <w:rPr>
          <w:rFonts w:hint="eastAsia" w:ascii="Times New Roman" w:hAnsi="Times New Roman" w:eastAsia="仿宋" w:cs="Times New Roman"/>
          <w:sz w:val="24"/>
          <w:szCs w:val="22"/>
        </w:rPr>
        <w:t>7</w:t>
      </w:r>
      <w:r>
        <w:rPr>
          <w:rFonts w:ascii="Times New Roman" w:hAnsi="Times New Roman" w:eastAsia="仿宋" w:cs="Times New Roman"/>
          <w:sz w:val="24"/>
          <w:szCs w:val="22"/>
        </w:rPr>
        <w:t xml:space="preserve">         </w:t>
      </w:r>
      <w:r>
        <w:rPr>
          <w:rFonts w:hint="eastAsia" w:ascii="Times New Roman" w:hAnsi="Times New Roman" w:eastAsia="仿宋" w:cs="Times New Roman"/>
          <w:sz w:val="24"/>
          <w:szCs w:val="22"/>
        </w:rPr>
        <w:t xml:space="preserve">      </w:t>
      </w:r>
      <w:r>
        <w:rPr>
          <w:rFonts w:ascii="Times New Roman" w:hAnsi="Times New Roman" w:eastAsia="仿宋" w:cs="Times New Roman"/>
          <w:sz w:val="24"/>
          <w:szCs w:val="22"/>
        </w:rPr>
        <w:t xml:space="preserve"> 项目产出指标得分情况</w:t>
      </w:r>
    </w:p>
    <w:tbl>
      <w:tblPr>
        <w:tblStyle w:val="6"/>
        <w:tblW w:w="8680"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1"/>
        <w:gridCol w:w="1947"/>
        <w:gridCol w:w="1932"/>
        <w:gridCol w:w="944"/>
        <w:gridCol w:w="959"/>
        <w:gridCol w:w="11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jc w:val="center"/>
        </w:trPr>
        <w:tc>
          <w:tcPr>
            <w:tcW w:w="1711"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一级指标</w:t>
            </w:r>
          </w:p>
        </w:tc>
        <w:tc>
          <w:tcPr>
            <w:tcW w:w="1947"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二级指标</w:t>
            </w:r>
          </w:p>
        </w:tc>
        <w:tc>
          <w:tcPr>
            <w:tcW w:w="1932"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三级指标</w:t>
            </w:r>
          </w:p>
        </w:tc>
        <w:tc>
          <w:tcPr>
            <w:tcW w:w="944"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分值</w:t>
            </w:r>
          </w:p>
        </w:tc>
        <w:tc>
          <w:tcPr>
            <w:tcW w:w="959"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w:t>
            </w:r>
          </w:p>
        </w:tc>
        <w:tc>
          <w:tcPr>
            <w:tcW w:w="11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C</w:t>
            </w:r>
            <w:r>
              <w:rPr>
                <w:rFonts w:hint="eastAsia" w:ascii="Times New Roman" w:hAnsi="Times New Roman" w:eastAsia="仿宋" w:cs="Times New Roman"/>
                <w:color w:val="000000"/>
                <w:kern w:val="0"/>
                <w:sz w:val="24"/>
                <w:szCs w:val="24"/>
                <w:lang w:eastAsia="zh-CN"/>
              </w:rPr>
              <w:t>产出及效果</w:t>
            </w:r>
            <w:r>
              <w:rPr>
                <w:rFonts w:hint="default" w:ascii="Times New Roman" w:hAnsi="Times New Roman" w:eastAsia="仿宋" w:cs="Times New Roman"/>
                <w:color w:val="000000"/>
                <w:kern w:val="0"/>
                <w:sz w:val="24"/>
                <w:szCs w:val="24"/>
              </w:rPr>
              <w:t>（</w:t>
            </w:r>
            <w:r>
              <w:rPr>
                <w:rFonts w:hint="eastAsia" w:ascii="Times New Roman" w:hAnsi="Times New Roman" w:eastAsia="仿宋" w:cs="Times New Roman"/>
                <w:color w:val="000000"/>
                <w:kern w:val="0"/>
                <w:sz w:val="24"/>
                <w:szCs w:val="24"/>
                <w:lang w:val="en-US" w:eastAsia="zh-CN"/>
              </w:rPr>
              <w:t>50</w:t>
            </w:r>
            <w:r>
              <w:rPr>
                <w:rFonts w:hint="default" w:ascii="Times New Roman" w:hAnsi="Times New Roman" w:eastAsia="仿宋" w:cs="Times New Roman"/>
                <w:color w:val="000000"/>
                <w:kern w:val="0"/>
                <w:sz w:val="24"/>
                <w:szCs w:val="24"/>
              </w:rPr>
              <w:t>）</w:t>
            </w:r>
          </w:p>
        </w:tc>
        <w:tc>
          <w:tcPr>
            <w:tcW w:w="1947"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C1项目产出（</w:t>
            </w:r>
            <w:r>
              <w:rPr>
                <w:rFonts w:hint="eastAsia" w:ascii="Times New Roman" w:hAnsi="Times New Roman" w:eastAsia="仿宋" w:cs="Times New Roman"/>
                <w:color w:val="000000"/>
                <w:kern w:val="0"/>
                <w:sz w:val="24"/>
                <w:szCs w:val="24"/>
                <w:lang w:val="en-US" w:eastAsia="zh-CN"/>
              </w:rPr>
              <w:t>30</w:t>
            </w:r>
            <w:r>
              <w:rPr>
                <w:rFonts w:hint="default" w:ascii="Times New Roman" w:hAnsi="Times New Roman" w:eastAsia="仿宋" w:cs="Times New Roman"/>
                <w:color w:val="000000"/>
                <w:kern w:val="0"/>
                <w:sz w:val="24"/>
                <w:szCs w:val="24"/>
              </w:rPr>
              <w:t>）</w:t>
            </w:r>
          </w:p>
        </w:tc>
        <w:tc>
          <w:tcPr>
            <w:tcW w:w="1932"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实际完成率</w:t>
            </w:r>
          </w:p>
        </w:tc>
        <w:tc>
          <w:tcPr>
            <w:tcW w:w="944"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10</w:t>
            </w:r>
          </w:p>
        </w:tc>
        <w:tc>
          <w:tcPr>
            <w:tcW w:w="959"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10</w:t>
            </w:r>
          </w:p>
        </w:tc>
        <w:tc>
          <w:tcPr>
            <w:tcW w:w="1187"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完成及时率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eastAsia="zh-CN"/>
              </w:rPr>
            </w:pPr>
            <w:r>
              <w:rPr>
                <w:rFonts w:hint="eastAsia" w:ascii="Times New Roman" w:hAnsi="Times New Roman" w:eastAsia="仿宋" w:cs="Times New Roman"/>
                <w:color w:val="000000"/>
                <w:kern w:val="0"/>
                <w:sz w:val="24"/>
                <w:szCs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lang w:val="en-US" w:eastAsia="zh-CN"/>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质量达标率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成本节约率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leftChars="0" w:right="0" w:rightChars="0" w:firstLine="0" w:firstLineChars="0"/>
              <w:jc w:val="center"/>
              <w:rPr>
                <w:rFonts w:hint="eastAsia"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leftChars="0" w:right="0" w:rightChars="0" w:firstLine="0" w:firstLineChars="0"/>
              <w:jc w:val="center"/>
              <w:rPr>
                <w:rFonts w:hint="eastAsia"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71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47"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932"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eastAsia="zh-CN"/>
              </w:rPr>
            </w:pPr>
            <w:r>
              <w:rPr>
                <w:rFonts w:hint="eastAsia" w:ascii="Times New Roman" w:hAnsi="Times New Roman" w:eastAsia="仿宋" w:cs="Times New Roman"/>
                <w:color w:val="000000"/>
                <w:kern w:val="0"/>
                <w:sz w:val="24"/>
                <w:szCs w:val="24"/>
                <w:lang w:eastAsia="zh-CN"/>
              </w:rPr>
              <w:t>事故发生率</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5</w:t>
            </w: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Times New Roman" w:hAnsi="Times New Roman" w:eastAsia="仿宋" w:cs="Times New Roman"/>
                <w:color w:val="000000"/>
                <w:kern w:val="0"/>
                <w:sz w:val="24"/>
                <w:szCs w:val="24"/>
                <w:lang w:eastAsia="zh-CN"/>
              </w:rPr>
            </w:pPr>
            <w:r>
              <w:rPr>
                <w:rFonts w:hint="eastAsia" w:ascii="Times New Roman" w:hAnsi="Times New Roman" w:eastAsia="仿宋" w:cs="Times New Roman"/>
                <w:color w:val="000000"/>
                <w:kern w:val="0"/>
                <w:sz w:val="24"/>
                <w:szCs w:val="24"/>
                <w:lang w:val="en-US" w:eastAsia="zh-CN"/>
              </w:rPr>
              <w:t>5</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lang w:val="en-US" w:eastAsia="zh-CN"/>
              </w:rPr>
              <w:t>100</w:t>
            </w:r>
            <w:r>
              <w:rPr>
                <w:rFonts w:hint="default" w:ascii="Times New Roman" w:hAnsi="Times New Roman" w:eastAsia="仿宋" w:cs="Times New Roman"/>
                <w:color w:val="000000"/>
                <w:kern w:val="0"/>
                <w:sz w:val="24"/>
                <w:szCs w:val="24"/>
              </w:rPr>
              <w:t>%</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5590"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合计</w:t>
            </w:r>
          </w:p>
        </w:tc>
        <w:tc>
          <w:tcPr>
            <w:tcW w:w="944"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959"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t>30</w:t>
            </w:r>
          </w:p>
        </w:tc>
        <w:tc>
          <w:tcPr>
            <w:tcW w:w="118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2018年上学期（3月1日至8月31日）公交公司开通校车28台，下学期（9月1日至3月31日），开通校车27台，</w:t>
      </w:r>
      <w:r>
        <w:rPr>
          <w:rFonts w:hint="eastAsia"/>
          <w:lang w:eastAsia="zh-CN"/>
        </w:rPr>
        <w:t>使</w:t>
      </w:r>
      <w:r>
        <w:rPr>
          <w:rFonts w:hint="eastAsia"/>
        </w:rPr>
        <w:t>全区农村区域所有村落100%实现校车通达</w:t>
      </w:r>
      <w:r>
        <w:rPr>
          <w:rFonts w:hint="eastAsia"/>
          <w:lang w:eastAsia="zh-CN"/>
        </w:rPr>
        <w:t>。</w:t>
      </w:r>
      <w:r>
        <w:rPr>
          <w:rFonts w:hint="eastAsia" w:ascii="华文仿宋" w:hAnsi="华文仿宋" w:eastAsia="华文仿宋" w:cs="华文仿宋"/>
          <w:sz w:val="32"/>
          <w:szCs w:val="32"/>
          <w:lang w:val="en-US" w:eastAsia="zh-CN"/>
        </w:rPr>
        <w:t>校车全年运行良好，未发现违规驾驶和安全事故。</w:t>
      </w:r>
    </w:p>
    <w:p>
      <w:pPr>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br w:type="page"/>
      </w:r>
    </w:p>
    <w:p>
      <w:pPr>
        <w:keepNext/>
        <w:keepLines/>
        <w:numPr>
          <w:ilvl w:val="0"/>
          <w:numId w:val="8"/>
        </w:numPr>
        <w:spacing w:line="520" w:lineRule="exact"/>
        <w:ind w:left="640" w:leftChars="200" w:firstLine="0" w:firstLineChars="0"/>
        <w:outlineLvl w:val="3"/>
        <w:rPr>
          <w:rFonts w:hint="eastAsia" w:ascii="华文仿宋" w:hAnsi="华文仿宋" w:eastAsia="华文仿宋" w:cs="华文仿宋"/>
          <w:bCs/>
          <w:sz w:val="32"/>
          <w:szCs w:val="32"/>
        </w:rPr>
      </w:pPr>
      <w:r>
        <w:rPr>
          <w:rFonts w:hint="eastAsia" w:ascii="华文仿宋" w:hAnsi="华文仿宋" w:eastAsia="华文仿宋" w:cs="华文仿宋"/>
          <w:bCs/>
          <w:sz w:val="32"/>
          <w:szCs w:val="32"/>
        </w:rPr>
        <w:t>项目效果</w:t>
      </w:r>
    </w:p>
    <w:p>
      <w:pPr>
        <w:bidi w:val="0"/>
        <w:rPr>
          <w:rFonts w:eastAsia="仿宋"/>
          <w:sz w:val="24"/>
          <w:szCs w:val="22"/>
        </w:rPr>
      </w:pPr>
      <w:r>
        <w:rPr>
          <w:rFonts w:eastAsia="仿宋"/>
          <w:sz w:val="24"/>
          <w:szCs w:val="22"/>
        </w:rPr>
        <w:t>表</w:t>
      </w:r>
      <w:r>
        <w:rPr>
          <w:rFonts w:hint="eastAsia" w:eastAsia="仿宋"/>
          <w:sz w:val="24"/>
          <w:szCs w:val="22"/>
        </w:rPr>
        <w:t>2</w:t>
      </w:r>
      <w:r>
        <w:rPr>
          <w:rFonts w:eastAsia="仿宋"/>
          <w:sz w:val="24"/>
          <w:szCs w:val="22"/>
        </w:rPr>
        <w:t>-</w:t>
      </w:r>
      <w:r>
        <w:rPr>
          <w:rFonts w:hint="eastAsia" w:eastAsia="仿宋"/>
          <w:sz w:val="24"/>
          <w:szCs w:val="22"/>
        </w:rPr>
        <w:t>8</w:t>
      </w:r>
      <w:r>
        <w:rPr>
          <w:rFonts w:eastAsia="仿宋"/>
          <w:sz w:val="24"/>
          <w:szCs w:val="22"/>
        </w:rPr>
        <w:t xml:space="preserve">        </w:t>
      </w:r>
      <w:r>
        <w:rPr>
          <w:rFonts w:hint="eastAsia" w:eastAsia="仿宋"/>
          <w:sz w:val="24"/>
          <w:szCs w:val="22"/>
        </w:rPr>
        <w:t xml:space="preserve">        </w:t>
      </w:r>
      <w:r>
        <w:rPr>
          <w:rFonts w:eastAsia="仿宋"/>
          <w:sz w:val="24"/>
          <w:szCs w:val="22"/>
        </w:rPr>
        <w:t xml:space="preserve"> 项目效果指标得分情况</w:t>
      </w:r>
    </w:p>
    <w:tbl>
      <w:tblPr>
        <w:tblStyle w:val="6"/>
        <w:tblW w:w="8658" w:type="dxa"/>
        <w:jc w:val="center"/>
        <w:tblInd w:w="0" w:type="dxa"/>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71"/>
        <w:gridCol w:w="1500"/>
        <w:gridCol w:w="3162"/>
        <w:gridCol w:w="810"/>
        <w:gridCol w:w="828"/>
        <w:gridCol w:w="987"/>
      </w:tblGrid>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371"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一级指标</w:t>
            </w:r>
          </w:p>
        </w:tc>
        <w:tc>
          <w:tcPr>
            <w:tcW w:w="1500"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二级指标</w:t>
            </w:r>
          </w:p>
        </w:tc>
        <w:tc>
          <w:tcPr>
            <w:tcW w:w="3162"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三级指标</w:t>
            </w:r>
          </w:p>
        </w:tc>
        <w:tc>
          <w:tcPr>
            <w:tcW w:w="810"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分值</w:t>
            </w:r>
          </w:p>
        </w:tc>
        <w:tc>
          <w:tcPr>
            <w:tcW w:w="828"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w:t>
            </w:r>
          </w:p>
        </w:tc>
        <w:tc>
          <w:tcPr>
            <w:tcW w:w="987" w:type="dxa"/>
            <w:tcBorders>
              <w:top w:val="single" w:color="4F81BD" w:sz="8" w:space="0"/>
              <w:left w:val="single" w:color="4F81BD" w:sz="8" w:space="0"/>
              <w:bottom w:val="single" w:color="FFFFFF" w:sz="4" w:space="0"/>
              <w:right w:val="single" w:color="4F81BD" w:sz="8" w:space="0"/>
            </w:tcBorders>
            <w:shd w:val="clear" w:color="auto" w:fill="4F81BD"/>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color w:val="FFFFFF"/>
                <w:kern w:val="0"/>
                <w:sz w:val="24"/>
                <w:szCs w:val="24"/>
              </w:rPr>
            </w:pPr>
            <w:r>
              <w:rPr>
                <w:rFonts w:hint="default" w:ascii="Times New Roman" w:hAnsi="Times New Roman" w:eastAsia="仿宋" w:cs="Times New Roman"/>
                <w:b/>
                <w:color w:val="FFFFFF"/>
                <w:kern w:val="0"/>
                <w:sz w:val="24"/>
                <w:szCs w:val="24"/>
              </w:rPr>
              <w:t>得分率</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C</w:t>
            </w:r>
            <w:r>
              <w:rPr>
                <w:rFonts w:hint="eastAsia" w:ascii="Times New Roman" w:hAnsi="Times New Roman" w:eastAsia="仿宋" w:cs="Times New Roman"/>
                <w:color w:val="000000"/>
                <w:kern w:val="0"/>
                <w:sz w:val="24"/>
                <w:szCs w:val="24"/>
                <w:lang w:eastAsia="zh-CN"/>
              </w:rPr>
              <w:t>产出及效果</w:t>
            </w:r>
            <w:r>
              <w:rPr>
                <w:rFonts w:hint="default" w:ascii="Times New Roman" w:hAnsi="Times New Roman" w:eastAsia="仿宋" w:cs="Times New Roman"/>
                <w:color w:val="000000"/>
                <w:kern w:val="0"/>
                <w:sz w:val="24"/>
                <w:szCs w:val="24"/>
              </w:rPr>
              <w:t>（</w:t>
            </w:r>
            <w:r>
              <w:rPr>
                <w:rFonts w:hint="eastAsia" w:ascii="Times New Roman" w:hAnsi="Times New Roman" w:eastAsia="仿宋" w:cs="Times New Roman"/>
                <w:color w:val="000000"/>
                <w:kern w:val="0"/>
                <w:sz w:val="24"/>
                <w:szCs w:val="24"/>
                <w:lang w:val="en-US" w:eastAsia="zh-CN"/>
              </w:rPr>
              <w:t>50</w:t>
            </w:r>
            <w:r>
              <w:rPr>
                <w:rFonts w:hint="default" w:ascii="Times New Roman" w:hAnsi="Times New Roman" w:eastAsia="仿宋" w:cs="Times New Roman"/>
                <w:color w:val="000000"/>
                <w:kern w:val="0"/>
                <w:sz w:val="24"/>
                <w:szCs w:val="24"/>
              </w:rPr>
              <w:t>）</w:t>
            </w:r>
          </w:p>
        </w:tc>
        <w:tc>
          <w:tcPr>
            <w:tcW w:w="1500" w:type="dxa"/>
            <w:vMerge w:val="restart"/>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C2项目效果（</w:t>
            </w:r>
            <w:r>
              <w:rPr>
                <w:rFonts w:hint="eastAsia" w:ascii="Times New Roman" w:hAnsi="Times New Roman" w:eastAsia="仿宋" w:cs="Times New Roman"/>
                <w:color w:val="000000"/>
                <w:kern w:val="0"/>
                <w:sz w:val="24"/>
                <w:szCs w:val="24"/>
                <w:lang w:val="en-US" w:eastAsia="zh-CN"/>
              </w:rPr>
              <w:t>20</w:t>
            </w:r>
            <w:r>
              <w:rPr>
                <w:rFonts w:hint="default" w:ascii="Times New Roman" w:hAnsi="Times New Roman" w:eastAsia="仿宋" w:cs="Times New Roman"/>
                <w:color w:val="000000"/>
                <w:kern w:val="0"/>
                <w:sz w:val="24"/>
                <w:szCs w:val="24"/>
              </w:rPr>
              <w:t>）</w:t>
            </w:r>
          </w:p>
        </w:tc>
        <w:tc>
          <w:tcPr>
            <w:tcW w:w="3162"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经济效益</w:t>
            </w:r>
          </w:p>
        </w:tc>
        <w:tc>
          <w:tcPr>
            <w:tcW w:w="810"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5</w:t>
            </w:r>
          </w:p>
        </w:tc>
        <w:tc>
          <w:tcPr>
            <w:tcW w:w="828"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5</w:t>
            </w:r>
          </w:p>
        </w:tc>
        <w:tc>
          <w:tcPr>
            <w:tcW w:w="987" w:type="dxa"/>
            <w:tcBorders>
              <w:top w:val="dotted" w:color="auto" w:sz="2"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社会效益</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可持续影响</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371"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1500" w:type="dxa"/>
            <w:vMerge w:val="continue"/>
            <w:tcBorders>
              <w:top w:val="dotted" w:color="auto" w:sz="2" w:space="0"/>
              <w:left w:val="dotted" w:color="auto" w:sz="8" w:space="0"/>
              <w:bottom w:val="dotted" w:color="auto" w:sz="8" w:space="0"/>
              <w:right w:val="dotted" w:color="auto" w:sz="8"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left"/>
              <w:rPr>
                <w:rFonts w:hint="default" w:ascii="Times New Roman" w:hAnsi="Times New Roman" w:eastAsia="仿宋" w:cs="Times New Roman"/>
                <w:color w:val="000000"/>
                <w:kern w:val="0"/>
                <w:sz w:val="24"/>
                <w:szCs w:val="24"/>
              </w:rPr>
            </w:pPr>
          </w:p>
        </w:tc>
        <w:tc>
          <w:tcPr>
            <w:tcW w:w="3162"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社会公众或服务对象满意度</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5</w:t>
            </w: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t>5</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t>100%</w:t>
            </w:r>
          </w:p>
        </w:tc>
      </w:tr>
      <w:tr>
        <w:tblPrEx>
          <w:tblBorders>
            <w:top w:val="single" w:color="4BACC6" w:sz="8" w:space="0"/>
            <w:left w:val="none" w:color="auto" w:sz="0" w:space="0"/>
            <w:bottom w:val="single" w:color="4BACC6" w:sz="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6033" w:type="dxa"/>
            <w:gridSpan w:val="3"/>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r>
              <w:rPr>
                <w:rFonts w:hint="default" w:ascii="Times New Roman" w:hAnsi="Times New Roman" w:eastAsia="仿宋" w:cs="Times New Roman"/>
                <w:color w:val="000000"/>
                <w:kern w:val="0"/>
                <w:sz w:val="24"/>
                <w:szCs w:val="24"/>
              </w:rPr>
              <w:t>合计</w:t>
            </w:r>
          </w:p>
        </w:tc>
        <w:tc>
          <w:tcPr>
            <w:tcW w:w="810"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c>
          <w:tcPr>
            <w:tcW w:w="828"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lang w:val="en-US" w:eastAsia="zh-CN"/>
              </w:rPr>
            </w:pPr>
            <w:r>
              <w:rPr>
                <w:rFonts w:hint="eastAsia" w:ascii="Times New Roman" w:hAnsi="Times New Roman" w:eastAsia="仿宋" w:cs="Times New Roman"/>
                <w:color w:val="000000"/>
                <w:kern w:val="0"/>
                <w:sz w:val="24"/>
                <w:szCs w:val="24"/>
                <w:lang w:val="en-US" w:eastAsia="zh-CN"/>
              </w:rPr>
              <w:t>20</w:t>
            </w:r>
          </w:p>
        </w:tc>
        <w:tc>
          <w:tcPr>
            <w:tcW w:w="987" w:type="dxa"/>
            <w:tcBorders>
              <w:top w:val="dotted" w:color="auto" w:sz="8" w:space="0"/>
              <w:left w:val="dotted" w:color="auto" w:sz="8" w:space="0"/>
              <w:bottom w:val="dotted" w:color="auto" w:sz="8" w:space="0"/>
              <w:right w:val="dotted" w:color="auto" w:sz="8"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color w:val="000000"/>
                <w:kern w:val="0"/>
                <w:sz w:val="24"/>
                <w:szCs w:val="24"/>
              </w:rPr>
            </w:pP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华文仿宋" w:hAnsi="华文仿宋" w:eastAsia="华文仿宋" w:cs="华文仿宋"/>
          <w:lang w:val="en-US" w:eastAsia="zh-CN"/>
        </w:rPr>
      </w:pPr>
      <w:r>
        <w:rPr>
          <w:rFonts w:hint="eastAsia" w:ascii="华文仿宋" w:hAnsi="华文仿宋" w:eastAsia="华文仿宋" w:cs="华文仿宋"/>
          <w:lang w:val="en-US" w:eastAsia="zh-CN"/>
        </w:rPr>
        <w:t>该项目</w:t>
      </w:r>
      <w:r>
        <w:rPr>
          <w:rFonts w:hint="eastAsia" w:ascii="华文仿宋" w:hAnsi="华文仿宋" w:eastAsia="华文仿宋" w:cs="华文仿宋"/>
        </w:rPr>
        <w:t>开通</w:t>
      </w:r>
      <w:r>
        <w:rPr>
          <w:rFonts w:hint="eastAsia" w:ascii="华文仿宋" w:hAnsi="华文仿宋" w:eastAsia="华文仿宋" w:cs="华文仿宋"/>
          <w:lang w:val="en-US" w:eastAsia="zh-CN"/>
        </w:rPr>
        <w:t>了</w:t>
      </w:r>
      <w:r>
        <w:rPr>
          <w:rFonts w:hint="eastAsia" w:ascii="华文仿宋" w:hAnsi="华文仿宋" w:eastAsia="华文仿宋" w:cs="华文仿宋"/>
        </w:rPr>
        <w:t>农村学校校车线路25条</w:t>
      </w:r>
      <w:r>
        <w:rPr>
          <w:rFonts w:hint="eastAsia" w:ascii="华文仿宋" w:hAnsi="华文仿宋" w:eastAsia="华文仿宋" w:cs="华文仿宋"/>
          <w:lang w:eastAsia="zh-CN"/>
        </w:rPr>
        <w:t>，</w:t>
      </w:r>
      <w:r>
        <w:rPr>
          <w:rFonts w:hint="eastAsia" w:ascii="华文仿宋" w:hAnsi="华文仿宋" w:eastAsia="华文仿宋" w:cs="华文仿宋"/>
        </w:rPr>
        <w:t>配备</w:t>
      </w:r>
      <w:r>
        <w:rPr>
          <w:rFonts w:hint="eastAsia" w:ascii="华文仿宋" w:hAnsi="华文仿宋" w:eastAsia="华文仿宋" w:cs="华文仿宋"/>
          <w:lang w:val="en-US" w:eastAsia="zh-CN"/>
        </w:rPr>
        <w:t>了</w:t>
      </w:r>
      <w:r>
        <w:rPr>
          <w:rFonts w:hint="eastAsia" w:ascii="华文仿宋" w:hAnsi="华文仿宋" w:eastAsia="华文仿宋" w:cs="华文仿宋"/>
        </w:rPr>
        <w:t>国际校车28台，设置接送站点238个，同时安排随车照管人员，专项负责校车运行期间学生照管工作，</w:t>
      </w:r>
      <w:r>
        <w:rPr>
          <w:rFonts w:hint="eastAsia" w:ascii="华文仿宋" w:hAnsi="华文仿宋" w:eastAsia="华文仿宋" w:cs="华文仿宋"/>
          <w:lang w:eastAsia="zh-CN"/>
        </w:rPr>
        <w:t>使</w:t>
      </w:r>
      <w:r>
        <w:rPr>
          <w:rFonts w:hint="eastAsia" w:ascii="华文仿宋" w:hAnsi="华文仿宋" w:eastAsia="华文仿宋" w:cs="华文仿宋"/>
        </w:rPr>
        <w:t>全区农村区域所有村落实现</w:t>
      </w:r>
      <w:r>
        <w:rPr>
          <w:rFonts w:hint="eastAsia" w:ascii="华文仿宋" w:hAnsi="华文仿宋" w:eastAsia="华文仿宋" w:cs="华文仿宋"/>
          <w:lang w:val="en-US" w:eastAsia="zh-CN"/>
        </w:rPr>
        <w:t>了</w:t>
      </w:r>
      <w:r>
        <w:rPr>
          <w:rFonts w:hint="eastAsia" w:ascii="华文仿宋" w:hAnsi="华文仿宋" w:eastAsia="华文仿宋" w:cs="华文仿宋"/>
        </w:rPr>
        <w:t>校车通达</w:t>
      </w:r>
      <w:r>
        <w:rPr>
          <w:rFonts w:hint="eastAsia" w:ascii="华文仿宋" w:hAnsi="华文仿宋" w:eastAsia="华文仿宋" w:cs="华文仿宋"/>
          <w:lang w:eastAsia="zh-CN"/>
        </w:rPr>
        <w:t>，学生上下学途中的交通安全</w:t>
      </w:r>
      <w:r>
        <w:rPr>
          <w:rFonts w:hint="eastAsia" w:ascii="华文仿宋" w:hAnsi="华文仿宋" w:eastAsia="华文仿宋" w:cs="华文仿宋"/>
          <w:lang w:val="en-US" w:eastAsia="zh-CN"/>
        </w:rPr>
        <w:t>得以保障。乘车师生普遍对校车的环境、秩序、方便程度、安全性以及司机服务态度较为满意</w:t>
      </w:r>
      <w:r>
        <w:rPr>
          <w:rFonts w:hint="eastAsia" w:ascii="华文仿宋" w:hAnsi="华文仿宋" w:cs="华文仿宋"/>
          <w:lang w:val="en-US" w:eastAsia="zh-CN"/>
        </w:rPr>
        <w:t>。</w:t>
      </w:r>
      <w:r>
        <w:rPr>
          <w:rFonts w:hint="eastAsia" w:ascii="华文仿宋" w:hAnsi="华文仿宋" w:eastAsia="华文仿宋" w:cs="华文仿宋"/>
          <w:color w:val="000000" w:themeColor="text1"/>
          <w:sz w:val="32"/>
          <w:szCs w:val="32"/>
          <w14:textFill>
            <w14:solidFill>
              <w14:schemeClr w14:val="tx1"/>
            </w14:solidFill>
          </w14:textFill>
        </w:rPr>
        <w:t>通过随机向</w:t>
      </w:r>
      <w:r>
        <w:rPr>
          <w:rFonts w:hint="eastAsia" w:ascii="华文仿宋" w:hAnsi="华文仿宋" w:cs="华文仿宋"/>
          <w:color w:val="000000" w:themeColor="text1"/>
          <w:sz w:val="32"/>
          <w:szCs w:val="32"/>
          <w:lang w:val="en-US" w:eastAsia="zh-CN"/>
          <w14:textFill>
            <w14:solidFill>
              <w14:schemeClr w14:val="tx1"/>
            </w14:solidFill>
          </w14:textFill>
        </w:rPr>
        <w:t>校车开通学校的</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30位学生</w:t>
      </w:r>
      <w:r>
        <w:rPr>
          <w:rFonts w:hint="eastAsia" w:ascii="华文仿宋" w:hAnsi="华文仿宋" w:cs="华文仿宋"/>
          <w:color w:val="000000" w:themeColor="text1"/>
          <w:sz w:val="32"/>
          <w:szCs w:val="32"/>
          <w:lang w:val="en-US" w:eastAsia="zh-CN"/>
          <w14:textFill>
            <w14:solidFill>
              <w14:schemeClr w14:val="tx1"/>
            </w14:solidFill>
          </w14:textFill>
        </w:rPr>
        <w:t>和老师</w:t>
      </w:r>
      <w:r>
        <w:rPr>
          <w:rFonts w:hint="eastAsia" w:ascii="华文仿宋" w:hAnsi="华文仿宋" w:eastAsia="华文仿宋" w:cs="华文仿宋"/>
          <w:color w:val="000000" w:themeColor="text1"/>
          <w:sz w:val="32"/>
          <w:szCs w:val="32"/>
          <w14:textFill>
            <w14:solidFill>
              <w14:schemeClr w14:val="tx1"/>
            </w14:solidFill>
          </w14:textFill>
        </w:rPr>
        <w:t>发送关于</w:t>
      </w:r>
      <w:r>
        <w:rPr>
          <w:rFonts w:hint="eastAsia" w:ascii="华文仿宋" w:hAnsi="华文仿宋" w:cs="华文仿宋"/>
          <w:color w:val="000000" w:themeColor="text1"/>
          <w:sz w:val="32"/>
          <w:szCs w:val="32"/>
          <w:lang w:val="en-US" w:eastAsia="zh-CN"/>
          <w14:textFill>
            <w14:solidFill>
              <w14:schemeClr w14:val="tx1"/>
            </w14:solidFill>
          </w14:textFill>
        </w:rPr>
        <w:t>校车</w:t>
      </w:r>
      <w:r>
        <w:rPr>
          <w:rFonts w:hint="eastAsia" w:ascii="华文仿宋" w:hAnsi="华文仿宋" w:eastAsia="华文仿宋" w:cs="华文仿宋"/>
          <w:color w:val="000000" w:themeColor="text1"/>
          <w:sz w:val="32"/>
          <w:szCs w:val="32"/>
          <w14:textFill>
            <w14:solidFill>
              <w14:schemeClr w14:val="tx1"/>
            </w14:solidFill>
          </w14:textFill>
        </w:rPr>
        <w:t>项目调查问卷</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综合得出社会公众满意度为</w:t>
      </w:r>
      <w:r>
        <w:rPr>
          <w:rFonts w:hint="eastAsia" w:ascii="华文仿宋" w:hAnsi="华文仿宋" w:eastAsia="华文仿宋" w:cs="华文仿宋"/>
          <w:lang w:val="en-US" w:eastAsia="zh-CN"/>
        </w:rPr>
        <w:t>100%。</w:t>
      </w:r>
    </w:p>
    <w:p>
      <w:pPr>
        <w:pStyle w:val="5"/>
        <w:keepNext w:val="0"/>
        <w:keepLines w:val="0"/>
        <w:pageBreakBefore w:val="0"/>
        <w:numPr>
          <w:ilvl w:val="0"/>
          <w:numId w:val="1"/>
        </w:numPr>
        <w:shd w:val="clear" w:color="auto" w:fill="FFFFFF"/>
        <w:kinsoku/>
        <w:wordWrap/>
        <w:overflowPunct/>
        <w:topLinePunct w:val="0"/>
        <w:autoSpaceDE/>
        <w:autoSpaceDN/>
        <w:bidi w:val="0"/>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bookmarkStart w:id="68" w:name="_Toc2005_WPSOffice_Level1"/>
      <w:bookmarkStart w:id="69" w:name="_Toc9923_WPSOffice_Level1"/>
      <w:bookmarkStart w:id="70" w:name="_Toc20945_WPSOffice_Level1"/>
      <w:r>
        <w:rPr>
          <w:rFonts w:hint="eastAsia" w:ascii="黑体" w:hAnsi="黑体" w:eastAsia="黑体"/>
          <w:color w:val="000000" w:themeColor="text1"/>
          <w:sz w:val="32"/>
          <w:szCs w:val="32"/>
          <w14:textFill>
            <w14:solidFill>
              <w14:schemeClr w14:val="tx1"/>
            </w14:solidFill>
          </w14:textFill>
        </w:rPr>
        <w:t>存在的主要问题</w:t>
      </w:r>
      <w:bookmarkEnd w:id="68"/>
      <w:bookmarkEnd w:id="69"/>
      <w:bookmarkEnd w:id="70"/>
    </w:p>
    <w:p>
      <w:pPr>
        <w:keepNext w:val="0"/>
        <w:keepLines w:val="0"/>
        <w:pageBreakBefore w:val="0"/>
        <w:widowControl w:val="0"/>
        <w:kinsoku/>
        <w:wordWrap/>
        <w:overflowPunct/>
        <w:topLinePunct w:val="0"/>
        <w:autoSpaceDE/>
        <w:autoSpaceDN/>
        <w:bidi w:val="0"/>
        <w:adjustRightInd/>
        <w:snapToGrid/>
        <w:spacing w:before="46" w:beforeLines="15" w:line="600" w:lineRule="exact"/>
        <w:ind w:firstLine="641" w:firstLineChars="200"/>
        <w:textAlignment w:val="auto"/>
        <w:rPr>
          <w:rFonts w:hint="eastAsia" w:ascii="华文仿宋" w:hAnsi="华文仿宋" w:eastAsia="华文仿宋" w:cs="华文仿宋"/>
          <w:sz w:val="32"/>
          <w:szCs w:val="32"/>
        </w:rPr>
      </w:pPr>
      <w:bookmarkStart w:id="71" w:name="_Toc29639_WPSOffice_Level2"/>
      <w:bookmarkStart w:id="72" w:name="_Toc10853_WPSOffice_Level2"/>
      <w:bookmarkStart w:id="73" w:name="_Toc22699_WPSOffice_Level2"/>
      <w:r>
        <w:rPr>
          <w:rFonts w:hint="eastAsia" w:ascii="华文楷体" w:hAnsi="华文楷体" w:eastAsia="华文楷体"/>
          <w:b/>
          <w:color w:val="000000" w:themeColor="text1"/>
          <w:sz w:val="32"/>
          <w:szCs w:val="32"/>
          <w14:textFill>
            <w14:solidFill>
              <w14:schemeClr w14:val="tx1"/>
            </w14:solidFill>
          </w14:textFill>
        </w:rPr>
        <w:t>项目绩效管理不</w:t>
      </w:r>
      <w:bookmarkEnd w:id="71"/>
      <w:r>
        <w:rPr>
          <w:rFonts w:hint="eastAsia" w:ascii="华文楷体" w:hAnsi="华文楷体" w:eastAsia="华文楷体"/>
          <w:b/>
          <w:color w:val="000000" w:themeColor="text1"/>
          <w:sz w:val="32"/>
          <w:szCs w:val="32"/>
          <w14:textFill>
            <w14:solidFill>
              <w14:schemeClr w14:val="tx1"/>
            </w14:solidFill>
          </w14:textFill>
        </w:rPr>
        <w:t>到位：</w:t>
      </w:r>
      <w:r>
        <w:rPr>
          <w:rFonts w:hint="eastAsia"/>
          <w:lang w:val="en-US" w:eastAsia="zh-CN"/>
        </w:rPr>
        <w:t>区教育局关于校车</w:t>
      </w:r>
      <w:r>
        <w:rPr>
          <w:rFonts w:hint="eastAsia" w:ascii="华文仿宋" w:hAnsi="华文仿宋" w:eastAsia="华文仿宋" w:cs="华文仿宋"/>
          <w:sz w:val="32"/>
          <w:szCs w:val="32"/>
          <w:lang w:val="en-US" w:eastAsia="zh-CN"/>
        </w:rPr>
        <w:t>项目的</w:t>
      </w:r>
      <w:r>
        <w:rPr>
          <w:rFonts w:hint="eastAsia" w:ascii="华文仿宋" w:hAnsi="华文仿宋" w:eastAsia="华文仿宋" w:cs="华文仿宋"/>
          <w:sz w:val="32"/>
          <w:szCs w:val="32"/>
          <w:lang w:eastAsia="zh-CN"/>
        </w:rPr>
        <w:t>长期目标和年度目标</w:t>
      </w:r>
      <w:r>
        <w:rPr>
          <w:rFonts w:hint="eastAsia" w:ascii="华文仿宋" w:hAnsi="华文仿宋" w:cs="华文仿宋"/>
          <w:sz w:val="32"/>
          <w:szCs w:val="32"/>
          <w:lang w:val="en-US" w:eastAsia="zh-CN"/>
        </w:rPr>
        <w:t>均为：</w:t>
      </w:r>
      <w:r>
        <w:rPr>
          <w:rFonts w:hint="eastAsia" w:ascii="华文仿宋" w:hAnsi="华文仿宋" w:eastAsia="华文仿宋" w:cs="华文仿宋"/>
          <w:sz w:val="32"/>
          <w:szCs w:val="32"/>
          <w:lang w:eastAsia="zh-CN"/>
        </w:rPr>
        <w:t>确保学校的正常运行，保障各项工作目标的实现，改善学校办学条件，加强教育工作管理与研究，大力推进提升教师队伍素质，提高教育教学质量，努力提高办学效益和质量，使全体师生面貌一新，使学校管理规范化、制度化、精细化、科学化。</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年度目标和长期目标设定一致，无法体现项目任务的年度计划及发展规划，且目标内容与</w:t>
      </w:r>
      <w:r>
        <w:rPr>
          <w:rFonts w:hint="eastAsia" w:ascii="华文仿宋" w:hAnsi="华文仿宋" w:cs="华文仿宋"/>
          <w:color w:val="000000" w:themeColor="text1"/>
          <w:sz w:val="32"/>
          <w:szCs w:val="32"/>
          <w:lang w:val="en-US" w:eastAsia="zh-CN"/>
          <w14:textFill>
            <w14:solidFill>
              <w14:schemeClr w14:val="tx1"/>
            </w14:solidFill>
          </w14:textFill>
        </w:rPr>
        <w:t>校车</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项目的相关性不大。</w:t>
      </w:r>
      <w:r>
        <w:rPr>
          <w:rFonts w:hint="eastAsia" w:ascii="华文仿宋" w:hAnsi="华文仿宋" w:eastAsia="华文仿宋" w:cs="华文仿宋"/>
          <w:color w:val="000000" w:themeColor="text1"/>
          <w:sz w:val="32"/>
          <w:szCs w:val="32"/>
          <w:lang w:eastAsia="zh-CN"/>
          <w14:textFill>
            <w14:solidFill>
              <w14:schemeClr w14:val="tx1"/>
            </w14:solidFill>
          </w14:textFill>
        </w:rPr>
        <w:t>区</w:t>
      </w:r>
      <w:r>
        <w:rPr>
          <w:rFonts w:hint="eastAsia" w:ascii="华文仿宋" w:hAnsi="华文仿宋" w:eastAsia="华文仿宋" w:cs="华文仿宋"/>
          <w:color w:val="000000" w:themeColor="text1"/>
          <w:sz w:val="32"/>
          <w:szCs w:val="32"/>
          <w:lang w:val="en-US" w:eastAsia="zh-CN"/>
          <w14:textFill>
            <w14:solidFill>
              <w14:schemeClr w14:val="tx1"/>
            </w14:solidFill>
          </w14:textFill>
        </w:rPr>
        <w:t>教育</w:t>
      </w:r>
      <w:r>
        <w:rPr>
          <w:rFonts w:hint="eastAsia" w:ascii="华文仿宋" w:hAnsi="华文仿宋" w:eastAsia="华文仿宋" w:cs="华文仿宋"/>
          <w:color w:val="000000" w:themeColor="text1"/>
          <w:sz w:val="32"/>
          <w:szCs w:val="32"/>
          <w:lang w:eastAsia="zh-CN"/>
          <w14:textFill>
            <w14:solidFill>
              <w14:schemeClr w14:val="tx1"/>
            </w14:solidFill>
          </w14:textFill>
        </w:rPr>
        <w:t>局</w:t>
      </w:r>
      <w:r>
        <w:rPr>
          <w:rFonts w:hint="eastAsia" w:ascii="华文仿宋" w:hAnsi="华文仿宋" w:eastAsia="华文仿宋" w:cs="华文仿宋"/>
          <w:color w:val="000000" w:themeColor="text1"/>
          <w:sz w:val="32"/>
          <w:szCs w:val="32"/>
          <w14:textFill>
            <w14:solidFill>
              <w14:schemeClr w14:val="tx1"/>
            </w14:solidFill>
          </w14:textFill>
        </w:rPr>
        <w:t>未制定项目产出的</w:t>
      </w:r>
      <w:r>
        <w:rPr>
          <w:rFonts w:hint="eastAsia" w:ascii="华文仿宋" w:hAnsi="华文仿宋" w:eastAsia="华文仿宋" w:cs="华文仿宋"/>
          <w:color w:val="000000" w:themeColor="text1"/>
          <w:sz w:val="32"/>
          <w:szCs w:val="32"/>
          <w:lang w:eastAsia="zh-CN"/>
          <w14:textFill>
            <w14:solidFill>
              <w14:schemeClr w14:val="tx1"/>
            </w14:solidFill>
          </w14:textFill>
        </w:rPr>
        <w:t>数量、</w:t>
      </w:r>
      <w:r>
        <w:rPr>
          <w:rFonts w:hint="eastAsia" w:ascii="华文仿宋" w:hAnsi="华文仿宋" w:eastAsia="华文仿宋" w:cs="华文仿宋"/>
          <w:color w:val="000000" w:themeColor="text1"/>
          <w:sz w:val="32"/>
          <w:szCs w:val="32"/>
          <w14:textFill>
            <w14:solidFill>
              <w14:schemeClr w14:val="tx1"/>
            </w14:solidFill>
          </w14:textFill>
        </w:rPr>
        <w:t>质量、时效</w:t>
      </w:r>
      <w:r>
        <w:rPr>
          <w:rFonts w:hint="eastAsia" w:ascii="华文仿宋" w:hAnsi="华文仿宋" w:eastAsia="华文仿宋" w:cs="华文仿宋"/>
          <w:color w:val="000000" w:themeColor="text1"/>
          <w:sz w:val="32"/>
          <w:szCs w:val="32"/>
          <w:lang w:eastAsia="zh-CN"/>
          <w14:textFill>
            <w14:solidFill>
              <w14:schemeClr w14:val="tx1"/>
            </w14:solidFill>
          </w14:textFill>
        </w:rPr>
        <w:t>、</w:t>
      </w:r>
      <w:r>
        <w:rPr>
          <w:rFonts w:hint="eastAsia" w:ascii="华文仿宋" w:hAnsi="华文仿宋" w:eastAsia="华文仿宋" w:cs="华文仿宋"/>
          <w:color w:val="000000" w:themeColor="text1"/>
          <w:sz w:val="32"/>
          <w:szCs w:val="32"/>
          <w14:textFill>
            <w14:solidFill>
              <w14:schemeClr w14:val="tx1"/>
            </w14:solidFill>
          </w14:textFill>
        </w:rPr>
        <w:t>成本指标，也未明确项目的效益指标。同时，自评报告未能客观反映该项目在绩效管理过程中存在的不足，且未按要求进行打分评价。</w:t>
      </w:r>
    </w:p>
    <w:bookmarkEnd w:id="72"/>
    <w:bookmarkEnd w:id="73"/>
    <w:p>
      <w:pPr>
        <w:pStyle w:val="5"/>
        <w:keepNext w:val="0"/>
        <w:keepLines w:val="0"/>
        <w:pageBreakBefore w:val="0"/>
        <w:numPr>
          <w:ilvl w:val="0"/>
          <w:numId w:val="1"/>
        </w:numPr>
        <w:shd w:val="clear" w:color="auto" w:fill="FFFFFF"/>
        <w:kinsoku/>
        <w:wordWrap/>
        <w:overflowPunct/>
        <w:topLinePunct w:val="0"/>
        <w:autoSpaceDE/>
        <w:autoSpaceDN/>
        <w:bidi w:val="0"/>
        <w:spacing w:before="0" w:beforeAutospacing="0" w:after="0" w:afterAutospacing="0" w:line="600" w:lineRule="exact"/>
        <w:ind w:firstLine="640" w:firstLineChars="200"/>
        <w:jc w:val="both"/>
        <w:textAlignment w:val="auto"/>
        <w:rPr>
          <w:rFonts w:hint="eastAsia" w:ascii="黑体" w:hAnsi="黑体" w:eastAsia="黑体"/>
          <w:color w:val="000000" w:themeColor="text1"/>
          <w:sz w:val="32"/>
          <w:szCs w:val="32"/>
          <w14:textFill>
            <w14:solidFill>
              <w14:schemeClr w14:val="tx1"/>
            </w14:solidFill>
          </w14:textFill>
        </w:rPr>
      </w:pPr>
      <w:bookmarkStart w:id="74" w:name="_Toc20586_WPSOffice_Level1"/>
      <w:bookmarkStart w:id="75" w:name="_Toc25088_WPSOffice_Level1"/>
      <w:bookmarkStart w:id="76" w:name="_Toc12907_WPSOffice_Level1"/>
      <w:r>
        <w:rPr>
          <w:rFonts w:hint="eastAsia" w:ascii="黑体" w:hAnsi="黑体" w:eastAsia="黑体"/>
          <w:color w:val="000000" w:themeColor="text1"/>
          <w:sz w:val="32"/>
          <w:szCs w:val="32"/>
          <w14:textFill>
            <w14:solidFill>
              <w14:schemeClr w14:val="tx1"/>
            </w14:solidFill>
          </w14:textFill>
        </w:rPr>
        <w:t>相关意见及建议</w:t>
      </w:r>
      <w:bookmarkEnd w:id="74"/>
      <w:bookmarkEnd w:id="75"/>
      <w:bookmarkEnd w:id="76"/>
    </w:p>
    <w:p>
      <w:pPr>
        <w:numPr>
          <w:ilvl w:val="0"/>
          <w:numId w:val="9"/>
        </w:numPr>
        <w:spacing w:line="600" w:lineRule="exact"/>
        <w:ind w:firstLine="641" w:firstLineChars="200"/>
        <w:jc w:val="left"/>
        <w:rPr>
          <w:rFonts w:hint="eastAsia" w:ascii="华文楷体" w:hAnsi="华文楷体" w:eastAsia="华文楷体" w:cs="华文楷体"/>
          <w:b/>
          <w:color w:val="000000" w:themeColor="text1"/>
          <w:sz w:val="32"/>
          <w:szCs w:val="32"/>
          <w:lang w:eastAsia="zh-CN"/>
          <w14:textFill>
            <w14:solidFill>
              <w14:schemeClr w14:val="tx1"/>
            </w14:solidFill>
          </w14:textFill>
        </w:rPr>
      </w:pPr>
      <w:bookmarkStart w:id="77" w:name="_Toc15336_WPSOffice_Level2"/>
      <w:r>
        <w:rPr>
          <w:rFonts w:hint="eastAsia" w:ascii="华文楷体" w:hAnsi="华文楷体" w:eastAsia="华文楷体" w:cs="华文楷体"/>
          <w:b/>
          <w:color w:val="000000" w:themeColor="text1"/>
          <w:sz w:val="32"/>
          <w:szCs w:val="32"/>
          <w14:textFill>
            <w14:solidFill>
              <w14:schemeClr w14:val="tx1"/>
            </w14:solidFill>
          </w14:textFill>
        </w:rPr>
        <w:t>建议强化预算绩效管理意识</w:t>
      </w:r>
      <w:bookmarkEnd w:id="77"/>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1"/>
        <w:rPr>
          <w:rFonts w:hint="eastAsia"/>
          <w:szCs w:val="24"/>
        </w:rPr>
      </w:pPr>
      <w:r>
        <w:rPr>
          <w:rFonts w:hint="eastAsia" w:eastAsia="华文仿宋"/>
          <w:szCs w:val="24"/>
          <w:lang w:eastAsia="zh-CN"/>
        </w:rPr>
        <w:t>加强预算绩效管理是</w:t>
      </w:r>
      <w:r>
        <w:rPr>
          <w:rFonts w:hint="eastAsia"/>
          <w:szCs w:val="24"/>
          <w:lang w:eastAsia="zh-CN"/>
        </w:rPr>
        <w:t>深化财税体制改革、建立现代财政制度的重要内容，是优化财政资源配置、提升公共服务质量的关键举措。</w:t>
      </w:r>
      <w:r>
        <w:rPr>
          <w:rFonts w:hint="eastAsia"/>
          <w:szCs w:val="24"/>
        </w:rPr>
        <w:t>项目管理部门应强化预算绩效管理观念，完善项目预算绩效管理机制，依据项目的目标整体性和重要性，设定清晰明确、可量化的绩效指标，充分发挥绩效目标在项目实施及预算执行过程中的管理和规范作用，按计划产出、质量要求、进度及预期效益，以绩效目标作为标尺，监控项目实施过程，及时调整纠偏。同时，项目管理部门应进一步完善项目</w:t>
      </w:r>
      <w:r>
        <w:rPr>
          <w:rFonts w:hint="eastAsia"/>
          <w:szCs w:val="24"/>
          <w:lang w:eastAsia="zh-CN"/>
        </w:rPr>
        <w:t>绩效</w:t>
      </w:r>
      <w:r>
        <w:rPr>
          <w:rFonts w:hint="eastAsia"/>
          <w:szCs w:val="24"/>
        </w:rPr>
        <w:t>自评工作，建立科学合理的评价体系，逐步</w:t>
      </w:r>
      <w:r>
        <w:rPr>
          <w:szCs w:val="24"/>
        </w:rPr>
        <w:t>建立</w:t>
      </w:r>
      <w:r>
        <w:rPr>
          <w:rFonts w:hint="eastAsia"/>
          <w:szCs w:val="24"/>
        </w:rPr>
        <w:t>自我约束的机制。</w:t>
      </w:r>
    </w:p>
    <w:p>
      <w:pPr>
        <w:numPr>
          <w:ilvl w:val="0"/>
          <w:numId w:val="9"/>
        </w:numPr>
        <w:spacing w:line="600" w:lineRule="exact"/>
        <w:ind w:firstLine="641" w:firstLineChars="200"/>
        <w:jc w:val="left"/>
        <w:rPr>
          <w:rFonts w:hint="eastAsia" w:ascii="华文楷体" w:hAnsi="华文楷体" w:eastAsia="华文楷体" w:cs="华文楷体"/>
          <w:b/>
          <w:color w:val="000000" w:themeColor="text1"/>
          <w:sz w:val="32"/>
          <w:szCs w:val="32"/>
          <w:lang w:eastAsia="zh-CN"/>
          <w14:textFill>
            <w14:solidFill>
              <w14:schemeClr w14:val="tx1"/>
            </w14:solidFill>
          </w14:textFill>
        </w:rPr>
      </w:pPr>
      <w:bookmarkStart w:id="78" w:name="_Toc6076_WPSOffice_Level2"/>
      <w:r>
        <w:rPr>
          <w:rFonts w:hint="eastAsia" w:ascii="华文楷体" w:hAnsi="华文楷体" w:eastAsia="华文楷体" w:cs="华文楷体"/>
          <w:b/>
          <w:color w:val="000000" w:themeColor="text1"/>
          <w:sz w:val="32"/>
          <w:szCs w:val="32"/>
          <w:lang w:eastAsia="zh-CN"/>
          <w14:textFill>
            <w14:solidFill>
              <w14:schemeClr w14:val="tx1"/>
            </w14:solidFill>
          </w14:textFill>
        </w:rPr>
        <w:t>建议进一步完善校车管理制度</w:t>
      </w:r>
      <w:bookmarkEnd w:id="78"/>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lang w:val="en-US" w:eastAsia="zh-CN"/>
        </w:rPr>
      </w:pPr>
      <w:r>
        <w:rPr>
          <w:rFonts w:hint="eastAsia"/>
          <w:lang w:eastAsia="zh-CN"/>
        </w:rPr>
        <w:t>建议要求</w:t>
      </w:r>
      <w:r>
        <w:rPr>
          <w:rFonts w:hint="eastAsia"/>
          <w:lang w:val="en-US" w:eastAsia="zh-CN"/>
        </w:rPr>
        <w:t>公交公司单独列账核算校车专项资金，保证专项资金使用的合理性和规范性，同时建立校车驾驶员公示制度，明确驾驶员资格条件，接受公众监督，并定期对驾驶员开展业务安全培训，以增强校车司机的责任与安全意识。</w:t>
      </w: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bookmarkStart w:id="79" w:name="_Toc14055_WPSOffice_Level1"/>
      <w:bookmarkStart w:id="80" w:name="_Toc17600_WPSOffice_Level1"/>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bookmarkStart w:id="81" w:name="_Toc15615_WPSOffice_Level1"/>
      <w:r>
        <w:rPr>
          <w:rFonts w:hint="eastAsia" w:ascii="黑体" w:hAnsi="黑体" w:eastAsia="黑体" w:cs="黑体"/>
          <w:b w:val="0"/>
          <w:bCs w:val="0"/>
          <w:color w:val="000000" w:themeColor="text1"/>
          <w:sz w:val="32"/>
          <w:szCs w:val="32"/>
          <w14:textFill>
            <w14:solidFill>
              <w14:schemeClr w14:val="tx1"/>
            </w14:solidFill>
          </w14:textFill>
        </w:rPr>
        <w:t>附件</w:t>
      </w:r>
      <w:bookmarkEnd w:id="79"/>
      <w:bookmarkEnd w:id="80"/>
      <w:r>
        <w:rPr>
          <w:rFonts w:hint="eastAsia" w:ascii="黑体" w:hAnsi="黑体" w:eastAsia="黑体" w:cs="黑体"/>
          <w:b w:val="0"/>
          <w:bCs w:val="0"/>
          <w:color w:val="000000" w:themeColor="text1"/>
          <w:sz w:val="32"/>
          <w:szCs w:val="32"/>
          <w:lang w:val="en-US" w:eastAsia="zh-CN"/>
          <w14:textFill>
            <w14:solidFill>
              <w14:schemeClr w14:val="tx1"/>
            </w14:solidFill>
          </w14:textFill>
        </w:rPr>
        <w:t>:</w:t>
      </w:r>
      <w:bookmarkEnd w:id="81"/>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ascii="华文仿宋" w:hAnsi="华文仿宋" w:cs="华文仿宋"/>
          <w:szCs w:val="32"/>
        </w:rPr>
      </w:pPr>
      <w:bookmarkStart w:id="82" w:name="_Toc19246"/>
      <w:bookmarkStart w:id="83" w:name="_Toc30121_WPSOffice_Level1"/>
      <w:bookmarkStart w:id="84" w:name="_Toc2500_WPSOffice_Level1"/>
      <w:bookmarkStart w:id="85" w:name="_Toc1018_WPSOffice_Level1"/>
      <w:r>
        <w:rPr>
          <w:rFonts w:hint="eastAsia" w:ascii="华文仿宋" w:hAnsi="华文仿宋" w:cs="华文仿宋"/>
          <w:szCs w:val="32"/>
          <w:lang w:bidi="ar"/>
        </w:rPr>
        <w:t>1</w:t>
      </w:r>
      <w:bookmarkEnd w:id="82"/>
      <w:r>
        <w:rPr>
          <w:rFonts w:hint="eastAsia" w:ascii="华文仿宋" w:hAnsi="华文仿宋" w:cs="华文仿宋"/>
          <w:szCs w:val="32"/>
          <w:lang w:eastAsia="zh-CN" w:bidi="ar"/>
        </w:rPr>
        <w:t>、</w:t>
      </w:r>
      <w:r>
        <w:rPr>
          <w:rFonts w:hint="eastAsia" w:ascii="华文仿宋" w:hAnsi="华文仿宋" w:cs="华文仿宋"/>
          <w:szCs w:val="32"/>
          <w:lang w:bidi="ar"/>
        </w:rPr>
        <w:t>怀化市鹤城区</w:t>
      </w:r>
      <w:r>
        <w:rPr>
          <w:rFonts w:hint="eastAsia" w:ascii="华文仿宋" w:hAnsi="华文仿宋" w:cs="华文仿宋"/>
          <w:szCs w:val="32"/>
          <w:lang w:eastAsia="zh-CN" w:bidi="ar"/>
        </w:rPr>
        <w:t>教育局</w:t>
      </w:r>
      <w:r>
        <w:rPr>
          <w:rFonts w:hint="eastAsia" w:ascii="华文仿宋" w:hAnsi="华文仿宋" w:cs="华文仿宋"/>
          <w:szCs w:val="32"/>
          <w:lang w:val="en-US" w:eastAsia="zh-CN" w:bidi="ar"/>
        </w:rPr>
        <w:t>2018年度中小学幼儿园校车专项资金</w:t>
      </w:r>
      <w:r>
        <w:rPr>
          <w:rFonts w:hint="eastAsia" w:ascii="华文仿宋" w:hAnsi="华文仿宋" w:cs="华文仿宋"/>
          <w:szCs w:val="32"/>
          <w:lang w:bidi="ar"/>
        </w:rPr>
        <w:t>绩效评价指标体系及评分表</w:t>
      </w:r>
      <w:bookmarkEnd w:id="83"/>
      <w:bookmarkEnd w:id="84"/>
      <w:bookmarkEnd w:id="85"/>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ascii="华文仿宋" w:hAnsi="华文仿宋" w:cs="华文仿宋"/>
          <w:szCs w:val="32"/>
        </w:rPr>
      </w:pPr>
      <w:bookmarkStart w:id="86" w:name="_Toc17883"/>
      <w:bookmarkStart w:id="87" w:name="_Toc6496_WPSOffice_Level1"/>
      <w:bookmarkStart w:id="88" w:name="_Toc13724_WPSOffice_Level1"/>
      <w:bookmarkStart w:id="89" w:name="_Toc4997_WPSOffice_Level1"/>
      <w:r>
        <w:rPr>
          <w:rFonts w:hint="eastAsia" w:ascii="华文仿宋" w:hAnsi="华文仿宋" w:cs="华文仿宋"/>
          <w:szCs w:val="32"/>
          <w:lang w:bidi="ar"/>
        </w:rPr>
        <w:t>2</w:t>
      </w:r>
      <w:bookmarkEnd w:id="86"/>
      <w:bookmarkEnd w:id="87"/>
      <w:bookmarkEnd w:id="88"/>
      <w:bookmarkEnd w:id="89"/>
      <w:r>
        <w:rPr>
          <w:rFonts w:hint="eastAsia" w:ascii="华文仿宋" w:hAnsi="华文仿宋" w:cs="华文仿宋"/>
          <w:szCs w:val="32"/>
          <w:lang w:eastAsia="zh-CN" w:bidi="ar"/>
        </w:rPr>
        <w:t>、</w:t>
      </w:r>
      <w:r>
        <w:rPr>
          <w:rFonts w:hint="eastAsia" w:ascii="华文仿宋" w:hAnsi="华文仿宋" w:cs="华文仿宋"/>
          <w:szCs w:val="32"/>
          <w:lang w:val="en-US" w:eastAsia="zh-CN" w:bidi="ar"/>
        </w:rPr>
        <w:t>2018年度中小学幼儿园校车专项资金</w:t>
      </w:r>
      <w:r>
        <w:rPr>
          <w:rFonts w:hint="eastAsia" w:ascii="华文仿宋" w:hAnsi="华文仿宋" w:cs="华文仿宋"/>
          <w:szCs w:val="32"/>
          <w:lang w:bidi="ar"/>
        </w:rPr>
        <w:t>绩效评价调查问卷</w:t>
      </w: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eastAsia" w:ascii="华文仿宋" w:hAnsi="华文仿宋" w:cs="华文仿宋"/>
          <w:color w:val="000000"/>
          <w:szCs w:val="32"/>
          <w:lang w:val="en-US" w:eastAsia="zh-CN"/>
        </w:rPr>
      </w:pPr>
    </w:p>
    <w:p>
      <w:pPr>
        <w:keepNext w:val="0"/>
        <w:keepLines w:val="0"/>
        <w:pageBreakBefore w:val="0"/>
        <w:widowControl w:val="0"/>
        <w:kinsoku/>
        <w:wordWrap/>
        <w:overflowPunct/>
        <w:topLinePunct w:val="0"/>
        <w:autoSpaceDE/>
        <w:autoSpaceDN w:val="0"/>
        <w:bidi w:val="0"/>
        <w:adjustRightInd w:val="0"/>
        <w:snapToGrid w:val="0"/>
        <w:spacing w:line="600" w:lineRule="exact"/>
        <w:ind w:firstLine="0" w:firstLineChars="0"/>
        <w:jc w:val="right"/>
        <w:textAlignment w:val="auto"/>
        <w:rPr>
          <w:rFonts w:hint="default" w:ascii="华文仿宋" w:hAnsi="华文仿宋" w:cs="华文仿宋"/>
          <w:color w:val="000000"/>
          <w:szCs w:val="32"/>
          <w:lang w:val="en-US" w:eastAsia="zh-CN"/>
        </w:rPr>
      </w:pPr>
      <w:r>
        <w:rPr>
          <w:rFonts w:hint="eastAsia" w:ascii="华文仿宋" w:hAnsi="华文仿宋" w:cs="华文仿宋"/>
          <w:color w:val="000000"/>
          <w:szCs w:val="32"/>
          <w:lang w:val="en-US" w:eastAsia="zh-CN"/>
        </w:rPr>
        <w:t>湖南惟楚创智经济咨询有限责任公司</w:t>
      </w:r>
    </w:p>
    <w:p>
      <w:pPr>
        <w:autoSpaceDN w:val="0"/>
        <w:adjustRightInd w:val="0"/>
        <w:snapToGrid w:val="0"/>
        <w:spacing w:line="600" w:lineRule="exact"/>
        <w:ind w:firstLine="0" w:firstLineChars="0"/>
        <w:rPr>
          <w:rFonts w:hint="default" w:ascii="华文仿宋" w:hAnsi="华文仿宋" w:cs="华文仿宋"/>
          <w:color w:val="000000"/>
          <w:szCs w:val="32"/>
          <w:lang w:val="en-US" w:eastAsia="zh-CN"/>
        </w:rPr>
      </w:pPr>
      <w:r>
        <w:rPr>
          <w:rFonts w:hint="eastAsia" w:ascii="华文仿宋" w:hAnsi="华文仿宋" w:cs="华文仿宋"/>
          <w:color w:val="000000"/>
          <w:szCs w:val="32"/>
          <w:lang w:val="en-US" w:eastAsia="zh-CN"/>
        </w:rPr>
        <w:t xml:space="preserve">                                 2019年9月30日</w:t>
      </w:r>
    </w:p>
    <w:p>
      <w:pPr>
        <w:ind w:left="0" w:leftChars="0" w:firstLine="0" w:firstLineChars="0"/>
        <w:rPr>
          <w:rFonts w:hint="eastAsia" w:ascii="华文楷体" w:hAnsi="华文楷体" w:eastAsia="华文楷体" w:cs="华文楷体"/>
          <w:b/>
          <w:bCs/>
          <w:color w:val="333333"/>
          <w:kern w:val="0"/>
          <w:szCs w:val="32"/>
          <w:lang w:eastAsia="zh-CN" w:bidi="ar"/>
        </w:rPr>
      </w:pPr>
      <w:bookmarkStart w:id="90" w:name="_Toc5491_WPSOffice_Level1"/>
      <w:bookmarkStart w:id="91" w:name="_Toc5326_WPSOffice_Level1"/>
      <w:bookmarkStart w:id="92" w:name="_Toc30140_WPSOffice_Level1"/>
      <w:bookmarkStart w:id="93" w:name="_Toc22339_WPSOffice_Level1"/>
      <w:bookmarkStart w:id="94" w:name="_Toc27886_WPSOffice_Level1"/>
      <w:r>
        <w:rPr>
          <w:rFonts w:hint="eastAsia" w:ascii="华文楷体" w:hAnsi="华文楷体" w:eastAsia="华文楷体" w:cs="华文楷体"/>
          <w:b/>
          <w:bCs/>
          <w:szCs w:val="24"/>
        </w:rPr>
        <w:t>附件1：</w:t>
      </w:r>
      <w:r>
        <w:rPr>
          <w:rFonts w:hint="eastAsia" w:ascii="华文楷体" w:hAnsi="华文楷体" w:eastAsia="华文楷体" w:cs="华文楷体"/>
          <w:b/>
          <w:bCs/>
          <w:color w:val="333333"/>
          <w:kern w:val="0"/>
          <w:szCs w:val="32"/>
          <w:lang w:bidi="ar"/>
        </w:rPr>
        <w:t>怀化市鹤城区</w:t>
      </w:r>
      <w:r>
        <w:rPr>
          <w:rFonts w:hint="eastAsia" w:ascii="华文楷体" w:hAnsi="华文楷体" w:eastAsia="华文楷体" w:cs="华文楷体"/>
          <w:b/>
          <w:bCs/>
          <w:color w:val="333333"/>
          <w:kern w:val="0"/>
          <w:szCs w:val="32"/>
          <w:lang w:eastAsia="zh-CN" w:bidi="ar"/>
        </w:rPr>
        <w:t>教育</w:t>
      </w:r>
      <w:r>
        <w:rPr>
          <w:rFonts w:hint="eastAsia" w:ascii="华文楷体" w:hAnsi="华文楷体" w:eastAsia="华文楷体" w:cs="华文楷体"/>
          <w:b/>
          <w:bCs/>
          <w:color w:val="333333"/>
          <w:kern w:val="0"/>
          <w:szCs w:val="32"/>
          <w:lang w:bidi="ar"/>
        </w:rPr>
        <w:t>局2018年度</w:t>
      </w:r>
      <w:bookmarkStart w:id="95" w:name="_Toc22181_WPSOffice_Level1"/>
      <w:r>
        <w:rPr>
          <w:rFonts w:hint="eastAsia" w:ascii="华文楷体" w:hAnsi="华文楷体" w:eastAsia="华文楷体" w:cs="华文楷体"/>
          <w:b/>
          <w:bCs/>
          <w:color w:val="333333"/>
          <w:kern w:val="0"/>
          <w:szCs w:val="32"/>
          <w:lang w:eastAsia="zh-CN" w:bidi="ar"/>
        </w:rPr>
        <w:t>中小学幼儿园校车</w:t>
      </w:r>
      <w:bookmarkEnd w:id="90"/>
      <w:bookmarkEnd w:id="91"/>
      <w:bookmarkEnd w:id="92"/>
      <w:bookmarkEnd w:id="93"/>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华文楷体" w:hAnsi="华文楷体" w:eastAsia="华文楷体" w:cs="华文楷体"/>
          <w:b/>
          <w:bCs/>
          <w:color w:val="000000"/>
          <w:szCs w:val="24"/>
        </w:rPr>
      </w:pPr>
      <w:bookmarkStart w:id="96" w:name="_Toc2662_WPSOffice_Level2"/>
      <w:bookmarkStart w:id="97" w:name="_Toc4154_WPSOffice_Level2"/>
      <w:bookmarkStart w:id="98" w:name="_Toc5135_WPSOffice_Level2"/>
      <w:bookmarkStart w:id="99" w:name="_Toc26388_WPSOffice_Level2"/>
      <w:r>
        <w:rPr>
          <w:rFonts w:hint="eastAsia" w:ascii="华文楷体" w:hAnsi="华文楷体" w:eastAsia="华文楷体" w:cs="华文楷体"/>
          <w:b/>
          <w:bCs/>
          <w:color w:val="333333"/>
          <w:kern w:val="0"/>
          <w:szCs w:val="32"/>
          <w:lang w:eastAsia="zh-CN" w:bidi="ar"/>
        </w:rPr>
        <w:t>专项资金</w:t>
      </w:r>
      <w:bookmarkEnd w:id="94"/>
      <w:bookmarkStart w:id="100" w:name="_Toc26433_WPSOffice_Level2"/>
      <w:r>
        <w:rPr>
          <w:rFonts w:hint="eastAsia" w:ascii="华文楷体" w:hAnsi="华文楷体" w:eastAsia="华文楷体" w:cs="华文楷体"/>
          <w:b/>
          <w:bCs/>
          <w:color w:val="333333"/>
          <w:kern w:val="0"/>
          <w:szCs w:val="32"/>
          <w:lang w:bidi="ar"/>
        </w:rPr>
        <w:t>绩效评价指标体系及评分表</w:t>
      </w:r>
      <w:bookmarkEnd w:id="95"/>
      <w:bookmarkEnd w:id="96"/>
      <w:bookmarkEnd w:id="97"/>
      <w:bookmarkEnd w:id="98"/>
      <w:bookmarkEnd w:id="99"/>
      <w:bookmarkEnd w:id="100"/>
    </w:p>
    <w:tbl>
      <w:tblPr>
        <w:tblStyle w:val="6"/>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585"/>
        <w:gridCol w:w="698"/>
        <w:gridCol w:w="544"/>
        <w:gridCol w:w="1209"/>
        <w:gridCol w:w="585"/>
        <w:gridCol w:w="4040"/>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blHeader/>
          <w:jc w:val="center"/>
        </w:trPr>
        <w:tc>
          <w:tcPr>
            <w:tcW w:w="71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bCs/>
                <w:sz w:val="24"/>
                <w:szCs w:val="24"/>
              </w:rPr>
            </w:pPr>
            <w:r>
              <w:rPr>
                <w:rFonts w:hint="eastAsia" w:ascii="Times New Roman" w:hAnsi="Times New Roman" w:eastAsia="仿宋" w:cs="Times New Roman"/>
                <w:b/>
                <w:bCs/>
                <w:sz w:val="24"/>
                <w:szCs w:val="24"/>
              </w:rPr>
              <w:t>一级</w:t>
            </w:r>
            <w:r>
              <w:rPr>
                <w:rFonts w:hint="eastAsia" w:ascii="Times New Roman" w:hAnsi="Times New Roman" w:eastAsia="仿宋" w:cs="Times New Roman"/>
                <w:b/>
                <w:bCs/>
                <w:sz w:val="24"/>
                <w:szCs w:val="24"/>
              </w:rPr>
              <w:br w:type="textWrapping"/>
            </w:r>
            <w:r>
              <w:rPr>
                <w:rFonts w:hint="eastAsia" w:ascii="Times New Roman" w:hAnsi="Times New Roman" w:eastAsia="仿宋" w:cs="Times New Roman"/>
                <w:b/>
                <w:bCs/>
                <w:sz w:val="24"/>
                <w:szCs w:val="24"/>
              </w:rPr>
              <w:t>指标</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bCs/>
                <w:sz w:val="24"/>
                <w:szCs w:val="24"/>
              </w:rPr>
            </w:pPr>
            <w:r>
              <w:rPr>
                <w:rFonts w:hint="eastAsia" w:ascii="Times New Roman" w:hAnsi="Times New Roman" w:eastAsia="仿宋" w:cs="Times New Roman"/>
                <w:b/>
                <w:bCs/>
                <w:sz w:val="24"/>
                <w:szCs w:val="24"/>
              </w:rPr>
              <w:t>分值</w:t>
            </w:r>
          </w:p>
        </w:tc>
        <w:tc>
          <w:tcPr>
            <w:tcW w:w="69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bCs/>
                <w:sz w:val="24"/>
                <w:szCs w:val="24"/>
              </w:rPr>
            </w:pPr>
            <w:r>
              <w:rPr>
                <w:rFonts w:hint="eastAsia" w:ascii="Times New Roman" w:hAnsi="Times New Roman" w:eastAsia="仿宋" w:cs="Times New Roman"/>
                <w:b/>
                <w:bCs/>
                <w:sz w:val="24"/>
                <w:szCs w:val="24"/>
              </w:rPr>
              <w:t>二级    指标</w:t>
            </w:r>
          </w:p>
        </w:tc>
        <w:tc>
          <w:tcPr>
            <w:tcW w:w="54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bCs/>
                <w:sz w:val="24"/>
                <w:szCs w:val="24"/>
              </w:rPr>
            </w:pPr>
            <w:r>
              <w:rPr>
                <w:rFonts w:hint="eastAsia" w:ascii="Times New Roman" w:hAnsi="Times New Roman" w:eastAsia="仿宋" w:cs="Times New Roman"/>
                <w:b/>
                <w:bCs/>
                <w:sz w:val="24"/>
                <w:szCs w:val="24"/>
              </w:rPr>
              <w:t>分值</w:t>
            </w: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bCs/>
                <w:sz w:val="24"/>
                <w:szCs w:val="24"/>
              </w:rPr>
            </w:pPr>
            <w:r>
              <w:rPr>
                <w:rFonts w:hint="eastAsia" w:ascii="Times New Roman" w:hAnsi="Times New Roman" w:eastAsia="仿宋" w:cs="Times New Roman"/>
                <w:b/>
                <w:bCs/>
                <w:sz w:val="24"/>
                <w:szCs w:val="24"/>
              </w:rPr>
              <w:t>三级指标</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bCs/>
                <w:sz w:val="24"/>
                <w:szCs w:val="24"/>
              </w:rPr>
            </w:pPr>
            <w:r>
              <w:rPr>
                <w:rFonts w:hint="eastAsia" w:ascii="Times New Roman" w:hAnsi="Times New Roman" w:eastAsia="仿宋" w:cs="Times New Roman"/>
                <w:b/>
                <w:bCs/>
                <w:sz w:val="24"/>
                <w:szCs w:val="24"/>
              </w:rPr>
              <w:t>分值</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bCs/>
                <w:sz w:val="24"/>
                <w:szCs w:val="24"/>
              </w:rPr>
            </w:pPr>
            <w:r>
              <w:rPr>
                <w:rFonts w:hint="eastAsia" w:ascii="Times New Roman" w:hAnsi="Times New Roman" w:eastAsia="仿宋" w:cs="Times New Roman"/>
                <w:b/>
                <w:bCs/>
                <w:sz w:val="24"/>
                <w:szCs w:val="24"/>
              </w:rPr>
              <w:t>评价标准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Times New Roman" w:hAnsi="Times New Roman" w:eastAsia="仿宋" w:cs="Times New Roman"/>
                <w:b/>
                <w:bCs/>
                <w:sz w:val="24"/>
                <w:szCs w:val="24"/>
              </w:rPr>
            </w:pPr>
            <w:r>
              <w:rPr>
                <w:rFonts w:hint="eastAsia" w:ascii="Times New Roman" w:hAnsi="Times New Roman" w:eastAsia="仿宋" w:cs="Times New Roman"/>
                <w:b/>
                <w:bCs/>
                <w:sz w:val="24"/>
                <w:szCs w:val="24"/>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restart"/>
            <w:tcBorders>
              <w:top w:val="nil"/>
              <w:left w:val="single" w:color="auto" w:sz="4" w:space="0"/>
              <w:bottom w:val="single" w:color="auto" w:sz="4" w:space="0"/>
              <w:right w:val="single" w:color="auto" w:sz="4" w:space="0"/>
            </w:tcBorders>
            <w:textDirection w:val="tbRlV"/>
            <w:vAlign w:val="center"/>
          </w:tcPr>
          <w:p>
            <w:pPr>
              <w:keepNext w:val="0"/>
              <w:keepLines w:val="0"/>
              <w:widowControl/>
              <w:suppressLineNumbers w:val="0"/>
              <w:spacing w:before="0" w:beforeAutospacing="0" w:after="0" w:afterAutospacing="0" w:line="240" w:lineRule="exact"/>
              <w:ind w:left="113" w:right="113" w:firstLine="0" w:firstLineChars="0"/>
              <w:jc w:val="center"/>
              <w:rPr>
                <w:rFonts w:hint="default" w:ascii="宋体" w:hAnsi="宋体" w:eastAsia="宋体" w:cs="宋体"/>
                <w:kern w:val="0"/>
                <w:sz w:val="24"/>
                <w:szCs w:val="24"/>
              </w:rPr>
            </w:pPr>
            <w:r>
              <w:rPr>
                <w:rFonts w:hint="eastAsia" w:ascii="宋体" w:hAnsi="宋体" w:eastAsia="宋体" w:cs="宋体"/>
                <w:kern w:val="0"/>
                <w:sz w:val="24"/>
                <w:szCs w:val="24"/>
              </w:rPr>
              <w:t>投入</w:t>
            </w:r>
          </w:p>
        </w:tc>
        <w:tc>
          <w:tcPr>
            <w:tcW w:w="585"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20</w:t>
            </w:r>
          </w:p>
        </w:tc>
        <w:tc>
          <w:tcPr>
            <w:tcW w:w="698" w:type="dxa"/>
            <w:vMerge w:val="restart"/>
            <w:tcBorders>
              <w:top w:val="nil"/>
              <w:left w:val="nil"/>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立项决策</w:t>
            </w:r>
          </w:p>
        </w:tc>
        <w:tc>
          <w:tcPr>
            <w:tcW w:w="544" w:type="dxa"/>
            <w:vMerge w:val="restart"/>
            <w:tcBorders>
              <w:top w:val="nil"/>
              <w:left w:val="nil"/>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7</w:t>
            </w: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项目立项</w:t>
            </w:r>
          </w:p>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规范性</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①项目按规定程序申请设立，立项符合立项原则、立项重点和申报要求，1分；②事前经过可行性研究、专家论证、风险评估、集体决策，1分。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rPr>
            </w:pPr>
            <w:r>
              <w:rPr>
                <w:rFonts w:hint="eastAsia" w:ascii="仿宋" w:hAnsi="仿宋" w:eastAsia="仿宋" w:cs="仿宋"/>
                <w:color w:val="000000"/>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24"/>
                <w:szCs w:val="24"/>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决策实施</w:t>
            </w:r>
          </w:p>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合规性</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3</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①项目批复程序符合管理办法，1分；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②项目调整履行相应手续，1分；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③项目按计划进行开工，1分。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rPr>
            </w:pPr>
            <w:r>
              <w:rPr>
                <w:rFonts w:hint="eastAsia" w:ascii="仿宋" w:hAnsi="仿宋" w:eastAsia="仿宋" w:cs="仿宋"/>
                <w:color w:val="000000"/>
                <w:kern w:val="0"/>
                <w:sz w:val="21"/>
                <w:szCs w:val="21"/>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24"/>
                <w:szCs w:val="24"/>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资金分配</w:t>
            </w:r>
          </w:p>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合理性</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①符合申报目标，1分；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②符合相应的分配办法，1分。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rPr>
            </w:pPr>
            <w:r>
              <w:rPr>
                <w:rFonts w:hint="eastAsia" w:ascii="仿宋" w:hAnsi="仿宋" w:eastAsia="仿宋" w:cs="仿宋"/>
                <w:color w:val="000000"/>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24"/>
                <w:szCs w:val="24"/>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绩效目标</w:t>
            </w:r>
          </w:p>
        </w:tc>
        <w:tc>
          <w:tcPr>
            <w:tcW w:w="544"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7</w:t>
            </w: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绩效目标</w:t>
            </w:r>
          </w:p>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合理性</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3</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①预期目标明确具体，合理可行2分；基本可行1分，不可行0分；②项目总体目标和年度目标设定合理，1分。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24"/>
                <w:szCs w:val="24"/>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绩效指标</w:t>
            </w:r>
          </w:p>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明确性</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4</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①依目标设立的绩效指标细化，1分；②量化，1分；③项目年度任务数与计划数对应，1分；④项目与预算确定的投资额或资金量相匹配，1分。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24"/>
                <w:szCs w:val="24"/>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资金落实</w:t>
            </w:r>
          </w:p>
        </w:tc>
        <w:tc>
          <w:tcPr>
            <w:tcW w:w="544"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6</w:t>
            </w: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资金到位率</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资金到位率=100%，2分，未达按情况酌情扣分。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资金到位率=实际到位金额/计划投入金额×100%</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24"/>
                <w:szCs w:val="24"/>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到位及时率</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到位及时，2分；不及时但项目进度影响不大或未造成影响，1分，不及时且严重影响项目进度，0分。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kern w:val="0"/>
                <w:sz w:val="18"/>
                <w:szCs w:val="18"/>
              </w:rPr>
              <w:t>到位及时率=及时到位金额/应到位金额</w:t>
            </w:r>
            <w:r>
              <w:rPr>
                <w:rFonts w:hint="eastAsia" w:ascii="宋体" w:hAnsi="宋体" w:eastAsia="宋体" w:cs="宋体"/>
                <w:color w:val="333333"/>
                <w:kern w:val="0"/>
                <w:sz w:val="18"/>
                <w:szCs w:val="18"/>
              </w:rPr>
              <w:t xml:space="preserve">×100%                                                </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24"/>
                <w:szCs w:val="24"/>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资金使用率</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资金使用率</w:t>
            </w:r>
            <w:r>
              <w:rPr>
                <w:rFonts w:hint="eastAsia" w:ascii="宋体" w:hAnsi="宋体" w:eastAsia="宋体" w:cs="宋体"/>
                <w:kern w:val="0"/>
                <w:sz w:val="18"/>
                <w:szCs w:val="18"/>
              </w:rPr>
              <w:t>=</w:t>
            </w:r>
            <w:r>
              <w:rPr>
                <w:rFonts w:hint="eastAsia" w:ascii="宋体" w:hAnsi="宋体" w:eastAsia="宋体" w:cs="宋体"/>
                <w:color w:val="333333"/>
                <w:kern w:val="0"/>
                <w:sz w:val="18"/>
                <w:szCs w:val="18"/>
              </w:rPr>
              <w:t>100%，2分，每少1个百分点扣0.1分，扣完为止。</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kern w:val="0"/>
                <w:sz w:val="18"/>
                <w:szCs w:val="18"/>
              </w:rPr>
              <w:t>资金使用率=</w:t>
            </w:r>
            <w:r>
              <w:rPr>
                <w:rFonts w:hint="eastAsia" w:ascii="宋体" w:hAnsi="宋体" w:eastAsia="宋体" w:cs="宋体"/>
                <w:color w:val="333333"/>
                <w:kern w:val="0"/>
                <w:sz w:val="18"/>
                <w:szCs w:val="18"/>
              </w:rPr>
              <w:t>实际使用金额/实际到位金额×100%</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restart"/>
            <w:tcBorders>
              <w:top w:val="nil"/>
              <w:left w:val="single" w:color="auto" w:sz="4" w:space="0"/>
              <w:bottom w:val="single" w:color="auto" w:sz="4" w:space="0"/>
              <w:right w:val="single" w:color="auto" w:sz="4" w:space="0"/>
            </w:tcBorders>
            <w:textDirection w:val="tbRlV"/>
            <w:vAlign w:val="center"/>
          </w:tcPr>
          <w:p>
            <w:pPr>
              <w:keepNext w:val="0"/>
              <w:keepLines w:val="0"/>
              <w:widowControl/>
              <w:suppressLineNumbers w:val="0"/>
              <w:spacing w:before="0" w:beforeAutospacing="0" w:after="0" w:afterAutospacing="0" w:line="240" w:lineRule="exact"/>
              <w:ind w:left="113" w:right="113" w:firstLine="0" w:firstLineChars="0"/>
              <w:jc w:val="center"/>
              <w:rPr>
                <w:rFonts w:hint="default" w:ascii="宋体" w:hAnsi="宋体" w:eastAsia="宋体" w:cs="宋体"/>
                <w:kern w:val="0"/>
                <w:sz w:val="24"/>
                <w:szCs w:val="24"/>
              </w:rPr>
            </w:pPr>
            <w:r>
              <w:rPr>
                <w:rFonts w:hint="eastAsia" w:ascii="宋体" w:hAnsi="宋体" w:eastAsia="宋体" w:cs="宋体"/>
                <w:kern w:val="0"/>
                <w:sz w:val="24"/>
                <w:szCs w:val="24"/>
              </w:rPr>
              <w:t>过程</w:t>
            </w:r>
          </w:p>
        </w:tc>
        <w:tc>
          <w:tcPr>
            <w:tcW w:w="585"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30</w:t>
            </w:r>
          </w:p>
        </w:tc>
        <w:tc>
          <w:tcPr>
            <w:tcW w:w="698"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业务管理</w:t>
            </w:r>
          </w:p>
          <w:p>
            <w:pPr>
              <w:keepNext w:val="0"/>
              <w:keepLines w:val="0"/>
              <w:suppressLineNumbers w:val="0"/>
              <w:spacing w:before="0" w:beforeAutospacing="0" w:after="0" w:afterAutospacing="0" w:line="240" w:lineRule="exact"/>
              <w:ind w:left="0" w:right="0" w:firstLine="0" w:firstLineChars="0"/>
              <w:jc w:val="left"/>
              <w:rPr>
                <w:rFonts w:hint="default" w:ascii="宋体" w:hAnsi="宋体" w:eastAsia="宋体" w:cs="宋体"/>
                <w:kern w:val="0"/>
                <w:sz w:val="18"/>
                <w:szCs w:val="18"/>
              </w:rPr>
            </w:pPr>
            <w:r>
              <w:rPr>
                <w:rFonts w:hint="eastAsia" w:ascii="宋体" w:hAnsi="宋体" w:eastAsia="宋体" w:cs="宋体"/>
                <w:kern w:val="0"/>
                <w:sz w:val="18"/>
                <w:szCs w:val="18"/>
              </w:rPr>
              <w:t> </w:t>
            </w:r>
          </w:p>
        </w:tc>
        <w:tc>
          <w:tcPr>
            <w:tcW w:w="544"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9</w:t>
            </w: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管理制度</w:t>
            </w:r>
          </w:p>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健全性</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①制定相应业务管理制度，1分；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②业务管理制度合法合规完整，1分。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rPr>
            </w:pPr>
            <w:r>
              <w:rPr>
                <w:rFonts w:hint="eastAsia" w:ascii="仿宋" w:hAnsi="仿宋" w:eastAsia="仿宋" w:cs="仿宋"/>
                <w:color w:val="000000"/>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制度执行</w:t>
            </w:r>
          </w:p>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有效性</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5</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①遵守相关法律法规和业务管理规定，1分；②项目调整及支出调整手续完备，1分；③项目合同书、验收报告、技术鉴定等资料齐全，1分；④业务资料及时归档，1分；⑤项目实施的人员条件、场地设备、信息支撑等落实到位，1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项目质量</w:t>
            </w:r>
          </w:p>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可控性</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①已制定或其有相应的项目质量要求或标准，1分；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②项目质量检查、验收等采取了相应的必需的控制措施或手段，1分。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rPr>
            </w:pPr>
            <w:r>
              <w:rPr>
                <w:rFonts w:hint="eastAsia" w:ascii="仿宋" w:hAnsi="仿宋" w:eastAsia="仿宋" w:cs="仿宋"/>
                <w:color w:val="000000"/>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24"/>
                <w:szCs w:val="24"/>
              </w:rPr>
            </w:pPr>
            <w:r>
              <w:rPr>
                <w:rFonts w:hint="eastAsia" w:ascii="宋体" w:hAnsi="宋体" w:eastAsia="宋体" w:cs="宋体"/>
                <w:kern w:val="0"/>
                <w:sz w:val="24"/>
                <w:szCs w:val="24"/>
              </w:rPr>
              <w:t>过</w:t>
            </w:r>
          </w:p>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24"/>
                <w:szCs w:val="24"/>
              </w:rPr>
            </w:pPr>
            <w:r>
              <w:rPr>
                <w:rFonts w:hint="eastAsia" w:ascii="宋体" w:hAnsi="宋体" w:eastAsia="宋体" w:cs="宋体"/>
                <w:kern w:val="0"/>
                <w:sz w:val="24"/>
                <w:szCs w:val="24"/>
              </w:rPr>
              <w:t>程</w:t>
            </w: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财务管理</w:t>
            </w:r>
          </w:p>
        </w:tc>
        <w:tc>
          <w:tcPr>
            <w:tcW w:w="544"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15</w:t>
            </w: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管理制度</w:t>
            </w:r>
          </w:p>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健全性</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3</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①已制定或具有相应的项目资金管理办法，2分；②办法符合相关财务会计制度的规定，1分。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rPr>
            </w:pPr>
            <w:r>
              <w:rPr>
                <w:rFonts w:hint="eastAsia" w:ascii="仿宋" w:hAnsi="仿宋" w:eastAsia="仿宋" w:cs="仿宋"/>
                <w:color w:val="000000"/>
                <w:kern w:val="0"/>
                <w:sz w:val="21"/>
                <w:szCs w:val="21"/>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24"/>
                <w:szCs w:val="24"/>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资金使用</w:t>
            </w:r>
          </w:p>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合规性</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8</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①支出符合国家财经法规和财务管理以及有关专项资金管理办法的规定，5分。出现截留、挤占、挪用、虚列支出、乱存乱放、乱发滥补、虚报冒顶等违规违纪行为，每项扣1分，扣完为止； ②资金拨付有完整的审批程序和手续，1分；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③项目的重大开支经过评估认证，1分；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④符合项目预算批复或合同规定的用途，1分。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rPr>
            </w:pPr>
            <w:r>
              <w:rPr>
                <w:rFonts w:hint="eastAsia" w:ascii="仿宋" w:hAnsi="仿宋" w:eastAsia="仿宋" w:cs="仿宋"/>
                <w:color w:val="000000"/>
                <w:kern w:val="0"/>
                <w:sz w:val="21"/>
                <w:szCs w:val="21"/>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24"/>
                <w:szCs w:val="24"/>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财务监控</w:t>
            </w:r>
          </w:p>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有效性</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4</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①已制定或具有相应的监控机制，2分；②采取了相应的财务检查等必要的监控措施或手段，2分；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24"/>
                <w:szCs w:val="24"/>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绩效管理</w:t>
            </w:r>
          </w:p>
        </w:tc>
        <w:tc>
          <w:tcPr>
            <w:tcW w:w="544"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6</w:t>
            </w: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信息质量</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left"/>
              <w:rPr>
                <w:rFonts w:hint="default" w:ascii="宋体" w:hAnsi="宋体" w:eastAsia="宋体" w:cs="宋体"/>
                <w:kern w:val="0"/>
                <w:sz w:val="18"/>
                <w:szCs w:val="18"/>
              </w:rPr>
            </w:pPr>
            <w:r>
              <w:rPr>
                <w:rFonts w:hint="eastAsia" w:ascii="宋体" w:hAnsi="宋体" w:eastAsia="宋体" w:cs="宋体"/>
                <w:kern w:val="0"/>
                <w:sz w:val="18"/>
                <w:szCs w:val="18"/>
              </w:rPr>
              <w:t>①按规定及时报送绩效目标、监控、评价、应用等</w:t>
            </w:r>
            <w:r>
              <w:rPr>
                <w:rFonts w:hint="eastAsia" w:ascii="宋体" w:hAnsi="宋体" w:eastAsia="宋体" w:cs="宋体"/>
                <w:sz w:val="18"/>
                <w:szCs w:val="18"/>
                <w:lang w:bidi="ar"/>
              </w:rPr>
              <w:t>绩效资料和</w:t>
            </w:r>
            <w:r>
              <w:rPr>
                <w:rFonts w:hint="eastAsia" w:ascii="宋体" w:hAnsi="宋体" w:eastAsia="宋体" w:cs="宋体"/>
                <w:kern w:val="0"/>
                <w:sz w:val="18"/>
                <w:szCs w:val="18"/>
              </w:rPr>
              <w:t>信息，1分；</w:t>
            </w:r>
          </w:p>
          <w:p>
            <w:pPr>
              <w:keepNext w:val="0"/>
              <w:keepLines w:val="0"/>
              <w:widowControl/>
              <w:suppressLineNumbers w:val="0"/>
              <w:spacing w:before="0" w:beforeAutospacing="0" w:after="0" w:afterAutospacing="0" w:line="240" w:lineRule="exact"/>
              <w:ind w:left="0" w:right="0" w:firstLine="0" w:firstLineChars="0"/>
              <w:jc w:val="left"/>
              <w:rPr>
                <w:rFonts w:hint="default" w:ascii="宋体" w:hAnsi="宋体" w:eastAsia="宋体" w:cs="宋体"/>
                <w:color w:val="333333"/>
                <w:kern w:val="0"/>
                <w:sz w:val="18"/>
                <w:szCs w:val="18"/>
              </w:rPr>
            </w:pPr>
            <w:r>
              <w:rPr>
                <w:rFonts w:hint="eastAsia" w:ascii="宋体" w:hAnsi="宋体" w:eastAsia="宋体" w:cs="宋体"/>
                <w:kern w:val="0"/>
                <w:sz w:val="18"/>
                <w:szCs w:val="18"/>
              </w:rPr>
              <w:t>②按规定及时公开绩效信息，1分。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24"/>
                <w:szCs w:val="24"/>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监控质量</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kern w:val="0"/>
                <w:sz w:val="18"/>
                <w:szCs w:val="18"/>
              </w:rPr>
              <w:t>对绩效目标实施有效监控，（采取措施）确保目标如期实现，2分。偏离目标扣1分；不能完成预期目标扣1分；目标无效，不得分。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24"/>
                <w:szCs w:val="24"/>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自评质量</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2</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kern w:val="0"/>
                <w:sz w:val="18"/>
                <w:szCs w:val="18"/>
              </w:rPr>
              <w:t>认真开展自评，2分。自评得分与财政复评或重点评价评定得分相差1分扣0.2分；误差≥10分，不得分。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rPr>
            </w:pPr>
            <w:r>
              <w:rPr>
                <w:rFonts w:hint="eastAsia" w:ascii="仿宋" w:hAnsi="仿宋" w:eastAsia="仿宋" w:cs="仿宋"/>
                <w:color w:val="000000"/>
                <w:kern w:val="0"/>
                <w:sz w:val="21"/>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restart"/>
            <w:tcBorders>
              <w:top w:val="nil"/>
              <w:left w:val="single" w:color="auto" w:sz="4" w:space="0"/>
              <w:right w:val="single" w:color="auto" w:sz="4" w:space="0"/>
            </w:tcBorders>
            <w:textDirection w:val="tbRlV"/>
            <w:vAlign w:val="center"/>
          </w:tcPr>
          <w:p>
            <w:pPr>
              <w:keepNext w:val="0"/>
              <w:keepLines w:val="0"/>
              <w:widowControl/>
              <w:suppressLineNumbers w:val="0"/>
              <w:spacing w:before="0" w:beforeAutospacing="0" w:after="0" w:afterAutospacing="0" w:line="240" w:lineRule="exact"/>
              <w:ind w:left="113" w:right="113" w:firstLine="0" w:firstLineChars="0"/>
              <w:jc w:val="center"/>
              <w:rPr>
                <w:rFonts w:hint="default" w:ascii="宋体" w:hAnsi="宋体" w:eastAsia="宋体" w:cs="宋体"/>
                <w:kern w:val="0"/>
                <w:sz w:val="24"/>
                <w:szCs w:val="24"/>
              </w:rPr>
            </w:pPr>
            <w:r>
              <w:rPr>
                <w:rFonts w:hint="eastAsia" w:ascii="宋体" w:hAnsi="Times New Roman" w:eastAsia="宋体" w:cs="Times New Roman"/>
                <w:kern w:val="0"/>
                <w:sz w:val="24"/>
                <w:szCs w:val="24"/>
              </w:rPr>
              <w:t>产出</w:t>
            </w:r>
          </w:p>
        </w:tc>
        <w:tc>
          <w:tcPr>
            <w:tcW w:w="585"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50</w:t>
            </w:r>
          </w:p>
        </w:tc>
        <w:tc>
          <w:tcPr>
            <w:tcW w:w="698"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项目产出</w:t>
            </w:r>
          </w:p>
        </w:tc>
        <w:tc>
          <w:tcPr>
            <w:tcW w:w="544"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实际完成率</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10</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1.按年度项目实施计划批复，所有子项目建设个数不低于批复个数，能全部完成各项批复内容的，得10分；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2.基本完成各项批复内容，所有子项目建设个数不低于批复个数，但有个别子项建设内容与批复明细计划不一致的，得8分（经批准调整的项目除外）；</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3.对照设计或计划批复内容，个别子项目建设个数低于批复个数，发现有部分子项擅自改变批复内容，得6分；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4.对照设计或计划批复内容，所有子项目建设个数低于批复个数，发现有部分子项擅自改变批复内容，得4分；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5.未按设计或计划批复要求，有大量子项擅自改变建设规模或大量子项目擅自变更建设内容，得0分。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rPr>
            </w:pPr>
            <w:r>
              <w:rPr>
                <w:rFonts w:hint="eastAsia" w:ascii="仿宋" w:hAnsi="仿宋" w:eastAsia="仿宋" w:cs="仿宋"/>
                <w:color w:val="000000"/>
                <w:kern w:val="0"/>
                <w:sz w:val="21"/>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完成及时率</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5</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1.项目开工率：X＝100%不扣分，90%≤X＜100%扣1分，X＜90%扣2分；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2.项目完工率：X＝100%不扣分，90%≤X＜100%扣1分，X＜90%扣3分；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质量达标率</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5</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经检查、抽检和检测：</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1.项目全部完成，质量验收全部合格，现场踏勘，观感良好，且工程实体质量良好，得5分；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2.项目质量验收合格，现场踏勘，观感较好，实体质量较好，有少量存在缺陷、且及时整改处理的，得4分；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3.项目质量验收合格，现场踏勘，观感一般，实体质量一般，存在质量缺陷未能及时处理的，得2分；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4.验收不合格，实体质量差，得0分；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5.项目若出现重大质量、安全事故的，不论满足几项均得0分。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rPr>
            </w:pPr>
            <w:r>
              <w:rPr>
                <w:rFonts w:hint="eastAsia" w:ascii="仿宋" w:hAnsi="仿宋" w:eastAsia="仿宋" w:cs="仿宋"/>
                <w:color w:val="000000"/>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leftChars="0" w:right="0" w:rightChars="0"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成本节约率</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leftChars="0" w:right="0" w:rightChars="0"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项目完成成本控制在目标值内，5分，每超出5%扣2分。</w:t>
            </w:r>
          </w:p>
          <w:p>
            <w:pPr>
              <w:keepNext w:val="0"/>
              <w:keepLines w:val="0"/>
              <w:widowControl/>
              <w:suppressLineNumbers w:val="0"/>
              <w:spacing w:before="0" w:beforeAutospacing="0" w:after="0" w:afterAutospacing="0" w:line="240" w:lineRule="exact"/>
              <w:ind w:left="0" w:leftChars="0" w:right="0" w:rightChars="0" w:firstLine="0" w:firstLineChars="0"/>
              <w:rPr>
                <w:rFonts w:hint="eastAsia" w:ascii="宋体" w:hAnsi="宋体" w:eastAsia="宋体" w:cs="宋体"/>
                <w:color w:val="333333"/>
                <w:kern w:val="0"/>
                <w:sz w:val="18"/>
                <w:szCs w:val="18"/>
              </w:rPr>
            </w:pPr>
            <w:r>
              <w:rPr>
                <w:rFonts w:hint="eastAsia" w:ascii="宋体" w:hAnsi="宋体" w:eastAsia="宋体" w:cs="宋体"/>
                <w:color w:val="333333"/>
                <w:kern w:val="0"/>
                <w:sz w:val="18"/>
                <w:szCs w:val="18"/>
              </w:rPr>
              <w:t>成本节约率＝(计划成本-实际成本)/计划成本×100%</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leftChars="0" w:right="0" w:rightChars="0" w:firstLine="0" w:firstLineChars="0"/>
              <w:jc w:val="center"/>
              <w:textAlignment w:val="center"/>
              <w:rPr>
                <w:rFonts w:hint="eastAsia" w:ascii="仿宋" w:hAnsi="仿宋" w:eastAsia="仿宋" w:cs="仿宋"/>
                <w:color w:val="000000"/>
                <w:kern w:val="0"/>
                <w:sz w:val="21"/>
                <w:szCs w:val="21"/>
                <w:lang w:val="en-US" w:eastAsia="zh-CN" w:bidi="ar"/>
              </w:rPr>
            </w:pPr>
            <w:r>
              <w:rPr>
                <w:rFonts w:hint="eastAsia" w:ascii="仿宋" w:hAnsi="仿宋" w:eastAsia="仿宋" w:cs="仿宋"/>
                <w:color w:val="000000"/>
                <w:kern w:val="0"/>
                <w:sz w:val="21"/>
                <w:szCs w:val="21"/>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事故发生率</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5</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lang w:val="en-US" w:eastAsia="zh-CN"/>
              </w:rPr>
            </w:pPr>
            <w:r>
              <w:rPr>
                <w:rFonts w:hint="eastAsia" w:ascii="宋体" w:hAnsi="宋体" w:eastAsia="宋体" w:cs="宋体"/>
                <w:color w:val="333333"/>
                <w:kern w:val="0"/>
                <w:sz w:val="18"/>
                <w:szCs w:val="18"/>
                <w:lang w:eastAsia="zh-CN"/>
              </w:rPr>
              <w:t>事故发生率为</w:t>
            </w:r>
            <w:r>
              <w:rPr>
                <w:rFonts w:hint="eastAsia" w:ascii="宋体" w:hAnsi="宋体" w:eastAsia="宋体" w:cs="宋体"/>
                <w:color w:val="333333"/>
                <w:kern w:val="0"/>
                <w:sz w:val="18"/>
                <w:szCs w:val="18"/>
                <w:lang w:val="en-US" w:eastAsia="zh-CN"/>
              </w:rPr>
              <w:t>0,得5分，发生事故，得0分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eastAsia" w:ascii="仿宋" w:hAnsi="仿宋" w:eastAsia="仿宋" w:cs="仿宋"/>
                <w:color w:val="000000"/>
                <w:kern w:val="0"/>
                <w:sz w:val="21"/>
                <w:szCs w:val="21"/>
                <w:lang w:eastAsia="zh-CN"/>
              </w:rPr>
            </w:pPr>
            <w:r>
              <w:rPr>
                <w:rFonts w:hint="eastAsia" w:ascii="仿宋" w:hAnsi="仿宋" w:eastAsia="仿宋" w:cs="仿宋"/>
                <w:color w:val="000000"/>
                <w:kern w:val="0"/>
                <w:sz w:val="21"/>
                <w:szCs w:val="21"/>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restart"/>
            <w:tcBorders>
              <w:left w:val="single" w:color="auto" w:sz="4" w:space="0"/>
              <w:right w:val="single" w:color="auto" w:sz="4" w:space="0"/>
            </w:tcBorders>
            <w:textDirection w:val="tbRlV"/>
            <w:vAlign w:val="center"/>
          </w:tcPr>
          <w:p>
            <w:pPr>
              <w:keepNext w:val="0"/>
              <w:keepLines w:val="0"/>
              <w:widowControl/>
              <w:suppressLineNumbers w:val="0"/>
              <w:spacing w:before="0" w:beforeAutospacing="0" w:after="0" w:afterAutospacing="0" w:line="240" w:lineRule="auto"/>
              <w:ind w:left="113" w:right="113" w:firstLine="0" w:firstLineChars="0"/>
              <w:jc w:val="center"/>
              <w:rPr>
                <w:rFonts w:hint="default" w:ascii="宋体" w:hAnsi="宋体" w:eastAsia="宋体" w:cs="宋体"/>
                <w:kern w:val="0"/>
                <w:sz w:val="18"/>
                <w:szCs w:val="18"/>
              </w:rPr>
            </w:pPr>
            <w:r>
              <w:rPr>
                <w:rFonts w:hint="eastAsia" w:ascii="宋体" w:hAnsi="宋体" w:eastAsia="宋体" w:cs="宋体"/>
                <w:kern w:val="0"/>
                <w:sz w:val="24"/>
                <w:szCs w:val="24"/>
              </w:rPr>
              <w:t>效果</w:t>
            </w: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项目效果</w:t>
            </w:r>
          </w:p>
        </w:tc>
        <w:tc>
          <w:tcPr>
            <w:tcW w:w="544" w:type="dxa"/>
            <w:vMerge w:val="restart"/>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2</w:t>
            </w:r>
            <w:r>
              <w:rPr>
                <w:rFonts w:hint="eastAsia" w:ascii="宋体" w:hAnsi="宋体" w:eastAsia="宋体" w:cs="宋体"/>
                <w:kern w:val="0"/>
                <w:sz w:val="18"/>
                <w:szCs w:val="18"/>
                <w:lang w:val="en-US" w:eastAsia="zh-CN"/>
              </w:rPr>
              <w:t>0</w:t>
            </w: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经济效益</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5</w:t>
            </w:r>
          </w:p>
        </w:tc>
        <w:tc>
          <w:tcPr>
            <w:tcW w:w="4040" w:type="dxa"/>
            <w:vMerge w:val="restart"/>
            <w:tcBorders>
              <w:top w:val="nil"/>
              <w:left w:val="nil"/>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根据具体指标有选择的进行设置，并将其细化为相应的个性化指标。</w:t>
            </w:r>
          </w:p>
          <w:p>
            <w:pPr>
              <w:keepNext w:val="0"/>
              <w:keepLines w:val="0"/>
              <w:suppressLineNumbers w:val="0"/>
              <w:spacing w:before="0" w:beforeAutospacing="0" w:after="0" w:afterAutospacing="0" w:line="200" w:lineRule="exact"/>
              <w:ind w:left="0" w:right="0" w:firstLine="0" w:firstLineChars="0"/>
              <w:rPr>
                <w:rFonts w:hint="default" w:ascii="宋体" w:hAnsi="宋体" w:eastAsia="宋体" w:cs="宋体"/>
                <w:color w:val="333333"/>
                <w:kern w:val="0"/>
                <w:sz w:val="18"/>
                <w:szCs w:val="18"/>
              </w:rPr>
            </w:pPr>
          </w:p>
          <w:p>
            <w:pPr>
              <w:keepNext w:val="0"/>
              <w:keepLines w:val="0"/>
              <w:suppressLineNumbers w:val="0"/>
              <w:spacing w:before="0" w:beforeAutospacing="0" w:after="0" w:afterAutospacing="0" w:line="20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color w:val="333333"/>
                <w:kern w:val="0"/>
                <w:sz w:val="18"/>
                <w:szCs w:val="18"/>
              </w:rPr>
              <w:t>（各项中成效明显，5分；有一定成效，3</w:t>
            </w:r>
            <w:r>
              <w:rPr>
                <w:rFonts w:hint="eastAsia" w:ascii="宋体" w:hAnsi="宋体" w:eastAsia="宋体" w:cs="宋体"/>
                <w:kern w:val="0"/>
                <w:sz w:val="18"/>
                <w:szCs w:val="18"/>
              </w:rPr>
              <w:t>～</w:t>
            </w:r>
            <w:r>
              <w:rPr>
                <w:rFonts w:hint="eastAsia" w:ascii="宋体" w:hAnsi="宋体" w:eastAsia="宋体" w:cs="宋体"/>
                <w:color w:val="333333"/>
                <w:kern w:val="0"/>
                <w:sz w:val="18"/>
                <w:szCs w:val="18"/>
              </w:rPr>
              <w:t>5分；成效不明显，1</w:t>
            </w:r>
            <w:r>
              <w:rPr>
                <w:rFonts w:hint="eastAsia" w:ascii="宋体" w:hAnsi="宋体" w:eastAsia="宋体" w:cs="宋体"/>
                <w:kern w:val="0"/>
                <w:sz w:val="18"/>
                <w:szCs w:val="18"/>
              </w:rPr>
              <w:t>～</w:t>
            </w:r>
            <w:r>
              <w:rPr>
                <w:rFonts w:hint="eastAsia" w:ascii="宋体" w:hAnsi="宋体" w:eastAsia="宋体" w:cs="宋体"/>
                <w:color w:val="333333"/>
                <w:kern w:val="0"/>
                <w:sz w:val="18"/>
                <w:szCs w:val="18"/>
              </w:rPr>
              <w:t>3分；无成效，0分）</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rPr>
            </w:pPr>
            <w:r>
              <w:rPr>
                <w:rFonts w:hint="eastAsia" w:ascii="仿宋" w:hAnsi="仿宋" w:eastAsia="仿宋" w:cs="仿宋"/>
                <w:color w:val="000000"/>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社会效益</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5</w:t>
            </w:r>
          </w:p>
        </w:tc>
        <w:tc>
          <w:tcPr>
            <w:tcW w:w="4040"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color w:val="333333"/>
                <w:kern w:val="0"/>
                <w:sz w:val="18"/>
                <w:szCs w:val="18"/>
              </w:rPr>
            </w:pP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rPr>
            </w:pPr>
            <w:r>
              <w:rPr>
                <w:rFonts w:hint="eastAsia" w:ascii="仿宋" w:hAnsi="仿宋" w:eastAsia="仿宋" w:cs="仿宋"/>
                <w:color w:val="000000"/>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可持续影响</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5</w:t>
            </w:r>
          </w:p>
        </w:tc>
        <w:tc>
          <w:tcPr>
            <w:tcW w:w="4040"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color w:val="333333"/>
                <w:kern w:val="0"/>
                <w:sz w:val="18"/>
                <w:szCs w:val="18"/>
              </w:rPr>
            </w:pP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rPr>
            </w:pPr>
            <w:r>
              <w:rPr>
                <w:rFonts w:hint="eastAsia" w:ascii="仿宋" w:hAnsi="仿宋" w:eastAsia="仿宋" w:cs="仿宋"/>
                <w:color w:val="000000"/>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85"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698"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544" w:type="dxa"/>
            <w:vMerge w:val="continue"/>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left"/>
              <w:rPr>
                <w:rFonts w:hint="default" w:ascii="宋体" w:hAnsi="宋体" w:eastAsia="宋体" w:cs="宋体"/>
                <w:kern w:val="0"/>
                <w:sz w:val="18"/>
                <w:szCs w:val="18"/>
              </w:rPr>
            </w:pPr>
          </w:p>
        </w:tc>
        <w:tc>
          <w:tcPr>
            <w:tcW w:w="12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社会公众或服务对象满意度</w:t>
            </w:r>
          </w:p>
        </w:tc>
        <w:tc>
          <w:tcPr>
            <w:tcW w:w="5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eastAsia" w:ascii="宋体" w:hAnsi="宋体" w:eastAsia="宋体" w:cs="宋体"/>
                <w:kern w:val="0"/>
                <w:sz w:val="18"/>
                <w:szCs w:val="18"/>
              </w:rPr>
              <w:t>5</w:t>
            </w:r>
          </w:p>
        </w:tc>
        <w:tc>
          <w:tcPr>
            <w:tcW w:w="40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kern w:val="0"/>
                <w:sz w:val="18"/>
                <w:szCs w:val="18"/>
              </w:rPr>
            </w:pPr>
            <w:r>
              <w:rPr>
                <w:rFonts w:hint="eastAsia" w:ascii="宋体" w:hAnsi="宋体" w:eastAsia="宋体" w:cs="宋体"/>
                <w:kern w:val="0"/>
                <w:sz w:val="18"/>
                <w:szCs w:val="18"/>
              </w:rPr>
              <w:t>对项目立项、实施、结果和影响等的满意度≥95%，计5分；每降低一个百分点扣0.2分，满意度＜75%，计0分。</w:t>
            </w:r>
          </w:p>
          <w:p>
            <w:pPr>
              <w:keepNext w:val="0"/>
              <w:keepLines w:val="0"/>
              <w:widowControl/>
              <w:suppressLineNumbers w:val="0"/>
              <w:spacing w:before="0" w:beforeAutospacing="0" w:after="0" w:afterAutospacing="0" w:line="240" w:lineRule="exact"/>
              <w:ind w:left="0" w:right="0" w:firstLine="0" w:firstLineChars="0"/>
              <w:rPr>
                <w:rFonts w:hint="default" w:ascii="宋体" w:hAnsi="宋体" w:eastAsia="宋体" w:cs="宋体"/>
                <w:color w:val="333333"/>
                <w:kern w:val="0"/>
                <w:sz w:val="18"/>
                <w:szCs w:val="18"/>
              </w:rPr>
            </w:pPr>
            <w:r>
              <w:rPr>
                <w:rFonts w:hint="eastAsia" w:ascii="宋体" w:hAnsi="宋体" w:eastAsia="宋体" w:cs="宋体"/>
                <w:kern w:val="0"/>
                <w:sz w:val="18"/>
                <w:szCs w:val="18"/>
              </w:rPr>
              <w:t>社会公众或服务对象满意度=满意人数/被调查人数</w:t>
            </w:r>
            <w:r>
              <w:rPr>
                <w:rFonts w:hint="eastAsia" w:ascii="宋体" w:hAnsi="宋体" w:eastAsia="宋体" w:cs="宋体"/>
                <w:color w:val="333333"/>
                <w:kern w:val="0"/>
                <w:sz w:val="18"/>
                <w:szCs w:val="18"/>
              </w:rPr>
              <w:t>×100%</w:t>
            </w:r>
          </w:p>
        </w:tc>
        <w:tc>
          <w:tcPr>
            <w:tcW w:w="7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auto"/>
              <w:ind w:left="0" w:right="0" w:firstLine="0" w:firstLineChars="0"/>
              <w:jc w:val="center"/>
              <w:textAlignment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21"/>
                <w:szCs w:val="21"/>
              </w:rPr>
            </w:pPr>
            <w:r>
              <w:rPr>
                <w:rFonts w:hint="eastAsia" w:ascii="宋体" w:hAnsi="宋体" w:eastAsia="宋体" w:cs="宋体"/>
                <w:kern w:val="0"/>
                <w:sz w:val="21"/>
                <w:szCs w:val="21"/>
              </w:rPr>
              <w:t>总分</w:t>
            </w:r>
          </w:p>
        </w:tc>
        <w:tc>
          <w:tcPr>
            <w:tcW w:w="585" w:type="dxa"/>
            <w:tcBorders>
              <w:top w:val="single" w:color="auto" w:sz="4" w:space="0"/>
              <w:left w:val="nil"/>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21"/>
                <w:szCs w:val="21"/>
              </w:rPr>
            </w:pPr>
            <w:r>
              <w:rPr>
                <w:rFonts w:hint="eastAsia" w:ascii="宋体" w:hAnsi="宋体" w:eastAsia="宋体" w:cs="宋体"/>
                <w:kern w:val="0"/>
                <w:sz w:val="21"/>
                <w:szCs w:val="21"/>
              </w:rPr>
              <w:t>100</w:t>
            </w:r>
          </w:p>
        </w:tc>
        <w:tc>
          <w:tcPr>
            <w:tcW w:w="698" w:type="dxa"/>
            <w:tcBorders>
              <w:top w:val="single" w:color="auto" w:sz="4" w:space="0"/>
              <w:left w:val="nil"/>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21"/>
                <w:szCs w:val="21"/>
              </w:rPr>
            </w:pPr>
            <w:r>
              <w:rPr>
                <w:rFonts w:hint="eastAsia" w:ascii="宋体" w:hAnsi="宋体" w:eastAsia="宋体" w:cs="宋体"/>
                <w:kern w:val="0"/>
                <w:sz w:val="21"/>
                <w:szCs w:val="21"/>
              </w:rPr>
              <w:t>　</w:t>
            </w:r>
          </w:p>
        </w:tc>
        <w:tc>
          <w:tcPr>
            <w:tcW w:w="544" w:type="dxa"/>
            <w:tcBorders>
              <w:top w:val="single" w:color="auto" w:sz="4" w:space="0"/>
              <w:left w:val="nil"/>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21"/>
                <w:szCs w:val="21"/>
              </w:rPr>
            </w:pPr>
            <w:r>
              <w:rPr>
                <w:rFonts w:hint="eastAsia" w:ascii="宋体" w:hAnsi="宋体" w:eastAsia="宋体" w:cs="宋体"/>
                <w:kern w:val="0"/>
                <w:sz w:val="21"/>
                <w:szCs w:val="21"/>
              </w:rPr>
              <w:t>100</w:t>
            </w:r>
          </w:p>
        </w:tc>
        <w:tc>
          <w:tcPr>
            <w:tcW w:w="1209" w:type="dxa"/>
            <w:tcBorders>
              <w:top w:val="single" w:color="auto" w:sz="4" w:space="0"/>
              <w:left w:val="nil"/>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21"/>
                <w:szCs w:val="21"/>
              </w:rPr>
            </w:pPr>
            <w:r>
              <w:rPr>
                <w:rFonts w:hint="eastAsia" w:ascii="宋体" w:hAnsi="宋体" w:eastAsia="宋体" w:cs="宋体"/>
                <w:kern w:val="0"/>
                <w:sz w:val="21"/>
                <w:szCs w:val="21"/>
              </w:rPr>
              <w:t>　</w:t>
            </w:r>
          </w:p>
        </w:tc>
        <w:tc>
          <w:tcPr>
            <w:tcW w:w="585" w:type="dxa"/>
            <w:tcBorders>
              <w:top w:val="single" w:color="auto" w:sz="4" w:space="0"/>
              <w:left w:val="nil"/>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kern w:val="0"/>
                <w:sz w:val="21"/>
                <w:szCs w:val="21"/>
              </w:rPr>
            </w:pPr>
            <w:r>
              <w:rPr>
                <w:rFonts w:hint="eastAsia" w:ascii="宋体" w:hAnsi="宋体" w:eastAsia="宋体" w:cs="宋体"/>
                <w:kern w:val="0"/>
                <w:sz w:val="21"/>
                <w:szCs w:val="21"/>
              </w:rPr>
              <w:t>100</w:t>
            </w:r>
          </w:p>
        </w:tc>
        <w:tc>
          <w:tcPr>
            <w:tcW w:w="4040" w:type="dxa"/>
            <w:tcBorders>
              <w:top w:val="single" w:color="auto" w:sz="4" w:space="0"/>
              <w:left w:val="nil"/>
              <w:bottom w:val="single" w:color="auto" w:sz="4" w:space="0"/>
              <w:right w:val="single" w:color="auto" w:sz="4" w:space="0"/>
            </w:tcBorders>
            <w:shd w:val="clear" w:color="auto" w:fill="FFFFFF"/>
            <w:vAlign w:val="center"/>
          </w:tcPr>
          <w:p>
            <w:pPr>
              <w:keepNext w:val="0"/>
              <w:keepLines w:val="0"/>
              <w:widowControl/>
              <w:suppressLineNumbers w:val="0"/>
              <w:spacing w:before="0" w:beforeAutospacing="0" w:after="0" w:afterAutospacing="0" w:line="240" w:lineRule="exact"/>
              <w:ind w:left="0" w:right="0" w:firstLine="0" w:firstLineChars="0"/>
              <w:jc w:val="center"/>
              <w:rPr>
                <w:rFonts w:hint="default" w:ascii="宋体" w:hAnsi="宋体" w:eastAsia="宋体" w:cs="宋体"/>
                <w:b/>
                <w:bCs/>
                <w:kern w:val="0"/>
                <w:sz w:val="21"/>
                <w:szCs w:val="21"/>
              </w:rPr>
            </w:pPr>
            <w:r>
              <w:rPr>
                <w:rFonts w:hint="eastAsia" w:ascii="宋体" w:hAnsi="宋体" w:eastAsia="宋体" w:cs="宋体"/>
                <w:b/>
                <w:bCs/>
                <w:kern w:val="0"/>
                <w:sz w:val="21"/>
                <w:szCs w:val="21"/>
              </w:rPr>
              <w:t>　</w:t>
            </w:r>
          </w:p>
        </w:tc>
        <w:tc>
          <w:tcPr>
            <w:tcW w:w="763" w:type="dxa"/>
            <w:tcBorders>
              <w:top w:val="single" w:color="auto" w:sz="4" w:space="0"/>
              <w:left w:val="nil"/>
              <w:bottom w:val="single" w:color="auto" w:sz="4" w:space="0"/>
              <w:right w:val="single" w:color="auto" w:sz="4" w:space="0"/>
            </w:tcBorders>
            <w:shd w:val="clear" w:color="auto" w:fill="FFFFFF"/>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default" w:ascii="宋体" w:hAnsi="宋体" w:eastAsia="宋体" w:cs="宋体"/>
                <w:b/>
                <w:bCs/>
                <w:kern w:val="0"/>
                <w:sz w:val="21"/>
                <w:szCs w:val="21"/>
                <w:lang w:val="en-US" w:eastAsia="zh-CN"/>
              </w:rPr>
            </w:pPr>
            <w:r>
              <w:rPr>
                <w:rFonts w:hint="eastAsia" w:ascii="宋体" w:hAnsi="宋体" w:eastAsia="宋体" w:cs="宋体"/>
                <w:b/>
                <w:bCs/>
                <w:kern w:val="0"/>
                <w:sz w:val="21"/>
                <w:szCs w:val="21"/>
                <w:lang w:val="en-US" w:eastAsia="zh-CN"/>
              </w:rPr>
              <w:t>93</w:t>
            </w:r>
          </w:p>
        </w:tc>
      </w:tr>
    </w:tbl>
    <w:p>
      <w:pPr>
        <w:spacing w:line="240" w:lineRule="auto"/>
        <w:ind w:firstLine="0" w:firstLineChars="0"/>
        <w:jc w:val="center"/>
        <w:rPr>
          <w:rFonts w:hint="eastAsia" w:ascii="华文楷体" w:hAnsi="华文楷体" w:eastAsia="华文楷体" w:cs="华文楷体"/>
          <w:b/>
          <w:bCs/>
          <w:sz w:val="32"/>
          <w:szCs w:val="32"/>
          <w:lang w:val="en-US" w:eastAsia="zh-CN"/>
        </w:rPr>
      </w:pPr>
      <w:bookmarkStart w:id="101" w:name="_Toc2591_WPSOffice_Level1"/>
      <w:bookmarkStart w:id="102" w:name="_Toc3934_WPSOffice_Level1"/>
      <w:bookmarkStart w:id="103" w:name="_Toc16132_WPSOffice_Level1"/>
      <w:bookmarkStart w:id="104" w:name="_Toc26160_WPSOffice_Level1"/>
      <w:r>
        <w:rPr>
          <w:rFonts w:hint="eastAsia" w:ascii="华文楷体" w:hAnsi="华文楷体" w:eastAsia="华文楷体" w:cs="华文楷体"/>
          <w:b/>
          <w:bCs/>
          <w:sz w:val="32"/>
          <w:szCs w:val="32"/>
          <w:lang w:val="en-US" w:eastAsia="zh-CN"/>
        </w:rPr>
        <w:t>附件2：怀化市鹤城区</w:t>
      </w:r>
      <w:r>
        <w:rPr>
          <w:rFonts w:hint="eastAsia" w:ascii="华文楷体" w:hAnsi="华文楷体" w:eastAsia="华文楷体" w:cs="华文楷体"/>
          <w:b/>
          <w:bCs/>
          <w:sz w:val="32"/>
          <w:szCs w:val="32"/>
          <w:lang w:val="en-US" w:eastAsia="zh-CN"/>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楷体" w:hAnsi="华文楷体" w:eastAsia="华文楷体" w:cs="华文楷体"/>
          <w:b/>
          <w:bCs/>
          <w:sz w:val="32"/>
          <w:szCs w:val="32"/>
          <w:lang w:val="en-US" w:eastAsia="zh-CN"/>
        </w:rPr>
        <w:instrText xml:space="preserve">ADDIN CNKISM.User</w:instrText>
      </w:r>
      <w:bookmarkEnd w:id="101"/>
      <w:bookmarkEnd w:id="102"/>
      <w:bookmarkEnd w:id="103"/>
      <w:bookmarkEnd w:id="104"/>
      <w:r>
        <w:rPr>
          <w:rFonts w:hint="eastAsia" w:ascii="华文楷体" w:hAnsi="华文楷体" w:eastAsia="华文楷体" w:cs="华文楷体"/>
          <w:b/>
          <w:bCs/>
          <w:sz w:val="32"/>
          <w:szCs w:val="32"/>
          <w:lang w:val="en-US" w:eastAsia="zh-CN"/>
        </w:rPr>
        <w:instrText xml:space="preserve">Style</w:instrText>
      </w:r>
      <w:r>
        <w:rPr>
          <w:rFonts w:hint="eastAsia" w:ascii="华文楷体" w:hAnsi="华文楷体" w:eastAsia="华文楷体" w:cs="华文楷体"/>
          <w:b/>
          <w:bCs/>
          <w:sz w:val="32"/>
          <w:szCs w:val="32"/>
          <w:lang w:val="en-US" w:eastAsia="zh-CN"/>
        </w:rPr>
        <w:fldChar w:fldCharType="end"/>
      </w:r>
      <w:r>
        <w:rPr>
          <w:rFonts w:hint="eastAsia" w:ascii="华文楷体" w:hAnsi="华文楷体" w:eastAsia="华文楷体" w:cs="华文楷体"/>
          <w:b/>
          <w:bCs/>
          <w:sz w:val="32"/>
          <w:szCs w:val="32"/>
          <w:lang w:val="en-US" w:eastAsia="zh-CN"/>
        </w:rPr>
        <w:t>2018年度校车经费项目资金绩效评价</w:t>
      </w:r>
    </w:p>
    <w:p>
      <w:pPr>
        <w:spacing w:line="240" w:lineRule="auto"/>
        <w:ind w:firstLine="0" w:firstLineChars="0"/>
        <w:jc w:val="center"/>
        <w:rPr>
          <w:rFonts w:hint="eastAsia" w:ascii="华文楷体" w:hAnsi="华文楷体" w:eastAsia="华文楷体" w:cs="华文楷体"/>
          <w:b/>
          <w:bCs/>
          <w:sz w:val="32"/>
          <w:szCs w:val="32"/>
          <w:lang w:val="en-US" w:eastAsia="zh-CN"/>
        </w:rPr>
      </w:pPr>
      <w:bookmarkStart w:id="105" w:name="_Toc23902_WPSOffice_Level2"/>
      <w:bookmarkStart w:id="106" w:name="_Toc4058_WPSOffice_Level2"/>
      <w:bookmarkStart w:id="107" w:name="_Toc29758_WPSOffice_Level2"/>
      <w:bookmarkStart w:id="108" w:name="_Toc10373_WPSOffice_Level2"/>
      <w:r>
        <w:rPr>
          <w:rFonts w:hint="eastAsia" w:ascii="华文楷体" w:hAnsi="华文楷体" w:eastAsia="华文楷体" w:cs="华文楷体"/>
          <w:b/>
          <w:bCs/>
          <w:sz w:val="32"/>
          <w:szCs w:val="32"/>
          <w:lang w:val="en-US" w:eastAsia="zh-CN"/>
        </w:rPr>
        <w:t>调 查 问 卷</w:t>
      </w:r>
      <w:bookmarkEnd w:id="105"/>
      <w:bookmarkEnd w:id="106"/>
      <w:bookmarkEnd w:id="107"/>
      <w:bookmarkEnd w:id="108"/>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您好！目前，正在对您所在的区域实施的2018年度校车经费项目资金进行绩效评价，我们将就项目实施的情况向您做些了解，该调查仅用于财政资金绩效评价，不做任何商业用途，问卷内容我们将严格保密，请您实事求是地放心回答。</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ascii="华文仿宋" w:hAnsi="华文仿宋" w:eastAsia="华文仿宋" w:cs="华文仿宋"/>
          <w:b/>
          <w:sz w:val="24"/>
          <w:szCs w:val="24"/>
        </w:rPr>
      </w:pPr>
      <w:bookmarkStart w:id="109" w:name="_Toc9369_WPSOffice_Level1"/>
      <w:bookmarkStart w:id="110" w:name="_Toc28172_WPSOffice_Level1"/>
      <w:bookmarkStart w:id="111" w:name="_Toc25068_WPSOffice_Level1"/>
      <w:bookmarkStart w:id="112" w:name="_Toc26729_WPSOffice_Level1"/>
      <w:r>
        <w:rPr>
          <w:rFonts w:hint="eastAsia" w:ascii="华文仿宋" w:hAnsi="华文仿宋" w:eastAsia="华文仿宋" w:cs="华文仿宋"/>
          <w:b/>
          <w:sz w:val="24"/>
          <w:szCs w:val="24"/>
        </w:rPr>
        <w:t>一、基本信息</w:t>
      </w:r>
      <w:bookmarkEnd w:id="109"/>
      <w:bookmarkEnd w:id="110"/>
      <w:bookmarkEnd w:id="111"/>
      <w:bookmarkEnd w:id="112"/>
    </w:p>
    <w:p>
      <w:pPr>
        <w:keepNext w:val="0"/>
        <w:keepLines w:val="0"/>
        <w:pageBreakBefore w:val="0"/>
        <w:widowControl w:val="0"/>
        <w:numPr>
          <w:ilvl w:val="0"/>
          <w:numId w:val="10"/>
        </w:numPr>
        <w:kinsoku/>
        <w:wordWrap/>
        <w:overflowPunct/>
        <w:topLinePunct w:val="0"/>
        <w:autoSpaceDE/>
        <w:autoSpaceDN/>
        <w:bidi w:val="0"/>
        <w:adjustRightInd/>
        <w:snapToGrid/>
        <w:spacing w:line="280" w:lineRule="exact"/>
        <w:ind w:left="360" w:hanging="360" w:firstLineChars="0"/>
        <w:jc w:val="both"/>
        <w:textAlignment w:val="auto"/>
        <w:rPr>
          <w:rFonts w:hint="eastAsia" w:ascii="华文仿宋" w:hAnsi="华文仿宋" w:eastAsia="华文仿宋" w:cs="华文仿宋"/>
          <w:kern w:val="2"/>
          <w:sz w:val="24"/>
          <w:szCs w:val="24"/>
          <w:lang w:val="en-US" w:eastAsia="zh-CN" w:bidi="ar-SA"/>
        </w:rPr>
      </w:pPr>
      <w:bookmarkStart w:id="113" w:name="_Toc25100_WPSOffice_Level2"/>
      <w:bookmarkStart w:id="114" w:name="_Toc20499_WPSOffice_Level2"/>
      <w:bookmarkStart w:id="115" w:name="_Toc12320_WPSOffice_Level2"/>
      <w:bookmarkStart w:id="116" w:name="_Toc356_WPSOffice_Level2"/>
      <w:r>
        <w:rPr>
          <w:rFonts w:hint="eastAsia" w:ascii="华文仿宋" w:hAnsi="华文仿宋" w:eastAsia="华文仿宋" w:cs="华文仿宋"/>
          <w:kern w:val="2"/>
          <w:sz w:val="24"/>
          <w:szCs w:val="24"/>
          <w:lang w:val="en-US" w:eastAsia="zh-CN" w:bidi="ar-SA"/>
        </w:rPr>
        <w:t>您的身份？  A、□学生</w:t>
      </w:r>
      <w:r>
        <w:rPr>
          <w:rFonts w:hint="eastAsia" w:ascii="华文仿宋" w:hAnsi="华文仿宋" w:eastAsia="华文仿宋" w:cs="华文仿宋"/>
          <w:color w:val="FF0000"/>
          <w:kern w:val="2"/>
          <w:sz w:val="24"/>
          <w:szCs w:val="24"/>
          <w:lang w:val="en-US" w:eastAsia="zh-CN" w:bidi="ar-SA"/>
        </w:rPr>
        <w:t>74%</w:t>
      </w:r>
      <w:r>
        <w:rPr>
          <w:rFonts w:hint="eastAsia" w:ascii="华文仿宋" w:hAnsi="华文仿宋" w:eastAsia="华文仿宋" w:cs="华文仿宋"/>
          <w:kern w:val="2"/>
          <w:sz w:val="24"/>
          <w:szCs w:val="24"/>
          <w:lang w:val="en-US" w:eastAsia="zh-CN" w:bidi="ar-SA"/>
        </w:rPr>
        <w:t xml:space="preserve">            B、□家长      C、□老师</w:t>
      </w:r>
      <w:r>
        <w:rPr>
          <w:rFonts w:hint="eastAsia" w:ascii="华文仿宋" w:hAnsi="华文仿宋" w:eastAsia="华文仿宋" w:cs="华文仿宋"/>
          <w:color w:val="FF0000"/>
          <w:kern w:val="2"/>
          <w:sz w:val="24"/>
          <w:szCs w:val="24"/>
          <w:lang w:val="en-US" w:eastAsia="zh-CN" w:bidi="ar-SA"/>
        </w:rPr>
        <w:t>26%</w:t>
      </w:r>
      <w:bookmarkEnd w:id="113"/>
      <w:bookmarkEnd w:id="114"/>
      <w:bookmarkEnd w:id="115"/>
      <w:bookmarkEnd w:id="116"/>
      <w:r>
        <w:rPr>
          <w:rFonts w:hint="eastAsia" w:ascii="华文仿宋" w:hAnsi="华文仿宋" w:eastAsia="华文仿宋" w:cs="华文仿宋"/>
          <w:color w:val="FF0000"/>
          <w:kern w:val="2"/>
          <w:sz w:val="24"/>
          <w:szCs w:val="24"/>
          <w:lang w:val="en-US" w:eastAsia="zh-CN" w:bidi="ar-SA"/>
        </w:rPr>
        <w:t xml:space="preserve"> </w:t>
      </w:r>
      <w:r>
        <w:rPr>
          <w:rFonts w:hint="eastAsia" w:ascii="华文仿宋" w:hAnsi="华文仿宋" w:eastAsia="华文仿宋" w:cs="华文仿宋"/>
          <w:kern w:val="2"/>
          <w:sz w:val="24"/>
          <w:szCs w:val="24"/>
          <w:lang w:val="en-US" w:eastAsia="zh-CN" w:bidi="ar-SA"/>
        </w:rPr>
        <w:t xml:space="preserve">    </w:t>
      </w:r>
    </w:p>
    <w:p>
      <w:pPr>
        <w:keepNext w:val="0"/>
        <w:keepLines w:val="0"/>
        <w:pageBreakBefore w:val="0"/>
        <w:widowControl w:val="0"/>
        <w:numPr>
          <w:ilvl w:val="0"/>
          <w:numId w:val="10"/>
        </w:numPr>
        <w:kinsoku/>
        <w:wordWrap/>
        <w:overflowPunct/>
        <w:topLinePunct w:val="0"/>
        <w:autoSpaceDE/>
        <w:autoSpaceDN/>
        <w:bidi w:val="0"/>
        <w:adjustRightInd/>
        <w:snapToGrid/>
        <w:spacing w:line="280" w:lineRule="exact"/>
        <w:ind w:left="360" w:hanging="360" w:firstLineChars="0"/>
        <w:jc w:val="both"/>
        <w:textAlignment w:val="auto"/>
        <w:rPr>
          <w:rFonts w:hint="eastAsia" w:ascii="华文仿宋" w:hAnsi="华文仿宋" w:eastAsia="华文仿宋" w:cs="华文仿宋"/>
          <w:kern w:val="2"/>
          <w:sz w:val="24"/>
          <w:szCs w:val="24"/>
          <w:lang w:val="en-US" w:eastAsia="zh-CN" w:bidi="ar-SA"/>
        </w:rPr>
      </w:pPr>
      <w:bookmarkStart w:id="117" w:name="_Toc15099_WPSOffice_Level2"/>
      <w:bookmarkStart w:id="118" w:name="_Toc29580_WPSOffice_Level2"/>
      <w:bookmarkStart w:id="119" w:name="_Toc32103_WPSOffice_Level2"/>
      <w:bookmarkStart w:id="120" w:name="_Toc5005_WPSOffice_Level2"/>
      <w:r>
        <w:rPr>
          <w:rFonts w:hint="eastAsia" w:ascii="华文仿宋" w:hAnsi="华文仿宋" w:eastAsia="华文仿宋" w:cs="华文仿宋"/>
          <w:kern w:val="2"/>
          <w:sz w:val="24"/>
          <w:szCs w:val="24"/>
          <w:lang w:val="en-US" w:eastAsia="zh-CN" w:bidi="ar-SA"/>
        </w:rPr>
        <w:t>您目前就读（或工作或小孩就读）于哪所学校？</w:t>
      </w:r>
      <w:bookmarkEnd w:id="117"/>
      <w:bookmarkEnd w:id="118"/>
      <w:bookmarkEnd w:id="119"/>
      <w:bookmarkEnd w:id="120"/>
      <w:r>
        <w:rPr>
          <w:rFonts w:hint="eastAsia" w:ascii="华文仿宋" w:hAnsi="华文仿宋" w:eastAsia="华文仿宋" w:cs="华文仿宋"/>
          <w:kern w:val="2"/>
          <w:sz w:val="24"/>
          <w:szCs w:val="24"/>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ascii="华文仿宋" w:hAnsi="华文仿宋" w:eastAsia="华文仿宋" w:cs="华文仿宋"/>
          <w:b/>
          <w:sz w:val="24"/>
          <w:szCs w:val="24"/>
        </w:rPr>
      </w:pPr>
      <w:bookmarkStart w:id="121" w:name="_Toc3870_WPSOffice_Level1"/>
      <w:bookmarkStart w:id="122" w:name="_Toc30932_WPSOffice_Level1"/>
      <w:bookmarkStart w:id="123" w:name="_Toc21026_WPSOffice_Level1"/>
      <w:bookmarkStart w:id="124" w:name="_Toc18932_WPSOffice_Level1"/>
      <w:r>
        <w:rPr>
          <w:rFonts w:hint="eastAsia" w:ascii="华文仿宋" w:hAnsi="华文仿宋" w:eastAsia="华文仿宋" w:cs="华文仿宋"/>
          <w:b/>
          <w:sz w:val="24"/>
          <w:szCs w:val="24"/>
        </w:rPr>
        <w:t>二、项目情况</w:t>
      </w:r>
      <w:bookmarkEnd w:id="121"/>
      <w:bookmarkEnd w:id="122"/>
      <w:bookmarkEnd w:id="123"/>
      <w:bookmarkEnd w:id="124"/>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125" w:name="_Toc3479_WPSOffice_Level2"/>
      <w:bookmarkStart w:id="126" w:name="_Toc26572_WPSOffice_Level2"/>
      <w:bookmarkStart w:id="127" w:name="_Toc8314_WPSOffice_Level2"/>
      <w:bookmarkStart w:id="128" w:name="_Toc14438_WPSOffice_Level2"/>
      <w:r>
        <w:rPr>
          <w:rFonts w:hint="eastAsia" w:ascii="华文仿宋" w:hAnsi="华文仿宋" w:eastAsia="华文仿宋" w:cs="华文仿宋"/>
          <w:kern w:val="2"/>
          <w:sz w:val="24"/>
          <w:szCs w:val="24"/>
          <w:lang w:val="en-US" w:eastAsia="zh-CN" w:bidi="ar-SA"/>
        </w:rPr>
        <w:t>您乘坐校车的频率是多少？</w:t>
      </w:r>
      <w:bookmarkEnd w:id="125"/>
      <w:bookmarkEnd w:id="126"/>
      <w:bookmarkEnd w:id="127"/>
      <w:bookmarkEnd w:id="128"/>
    </w:p>
    <w:p>
      <w:pPr>
        <w:keepNext w:val="0"/>
        <w:keepLines w:val="0"/>
        <w:pageBreakBefore w:val="0"/>
        <w:widowControl w:val="0"/>
        <w:kinsoku/>
        <w:wordWrap/>
        <w:overflowPunct/>
        <w:topLinePunct w:val="0"/>
        <w:autoSpaceDE/>
        <w:autoSpaceDN/>
        <w:bidi w:val="0"/>
        <w:adjustRightInd/>
        <w:snapToGrid/>
        <w:spacing w:line="280" w:lineRule="exact"/>
        <w:ind w:firstLine="420" w:firstLineChars="0"/>
        <w:textAlignment w:val="auto"/>
        <w:rPr>
          <w:rFonts w:hint="default" w:ascii="华文仿宋" w:hAnsi="华文仿宋" w:eastAsia="华文仿宋" w:cs="华文仿宋"/>
          <w:color w:val="FF0000"/>
          <w:sz w:val="24"/>
          <w:szCs w:val="24"/>
          <w:lang w:val="en-US" w:eastAsia="zh-CN"/>
        </w:rPr>
      </w:pPr>
      <w:bookmarkStart w:id="129" w:name="_Toc25088_WPSOffice_Level3"/>
      <w:bookmarkStart w:id="130" w:name="_Toc32196_WPSOffice_Level3"/>
      <w:bookmarkStart w:id="131" w:name="_Toc24258_WPSOffice_Level3"/>
      <w:bookmarkStart w:id="132" w:name="_Toc27935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每天都做</w:t>
      </w:r>
      <w:r>
        <w:rPr>
          <w:rFonts w:hint="eastAsia" w:ascii="华文仿宋" w:hAnsi="华文仿宋" w:eastAsia="华文仿宋" w:cs="华文仿宋"/>
          <w:color w:val="FF0000"/>
          <w:sz w:val="24"/>
          <w:szCs w:val="24"/>
          <w:lang w:val="en-US" w:eastAsia="zh-CN"/>
        </w:rPr>
        <w:t>84%</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偶尔坐</w:t>
      </w:r>
      <w:r>
        <w:rPr>
          <w:rFonts w:hint="eastAsia" w:ascii="华文仿宋" w:hAnsi="华文仿宋" w:eastAsia="华文仿宋" w:cs="华文仿宋"/>
          <w:color w:val="FF0000"/>
          <w:sz w:val="24"/>
          <w:szCs w:val="24"/>
          <w:lang w:val="en-US" w:eastAsia="zh-CN"/>
        </w:rPr>
        <w:t>15%</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基本不坐</w:t>
      </w:r>
      <w:r>
        <w:rPr>
          <w:rFonts w:hint="eastAsia" w:ascii="华文仿宋" w:hAnsi="华文仿宋" w:eastAsia="华文仿宋" w:cs="华文仿宋"/>
          <w:color w:val="FF0000"/>
          <w:sz w:val="24"/>
          <w:szCs w:val="24"/>
          <w:lang w:val="en-US" w:eastAsia="zh-CN"/>
        </w:rPr>
        <w:t>1%</w:t>
      </w:r>
      <w:bookmarkEnd w:id="129"/>
      <w:bookmarkEnd w:id="130"/>
      <w:bookmarkEnd w:id="131"/>
      <w:bookmarkEnd w:id="132"/>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133" w:name="_Toc23281_WPSOffice_Level2"/>
      <w:bookmarkStart w:id="134" w:name="_Toc8717_WPSOffice_Level2"/>
      <w:bookmarkStart w:id="135" w:name="_Toc7881_WPSOffice_Level2"/>
      <w:bookmarkStart w:id="136" w:name="_Toc2295_WPSOffice_Level2"/>
      <w:r>
        <w:rPr>
          <w:rFonts w:hint="eastAsia" w:ascii="华文仿宋" w:hAnsi="华文仿宋" w:eastAsia="华文仿宋" w:cs="华文仿宋"/>
          <w:kern w:val="2"/>
          <w:sz w:val="24"/>
          <w:szCs w:val="24"/>
          <w:lang w:val="en-US" w:eastAsia="zh-CN" w:bidi="ar-SA"/>
        </w:rPr>
        <w:t>您通过什么途径了解乘车信息？</w:t>
      </w:r>
      <w:bookmarkEnd w:id="133"/>
      <w:bookmarkEnd w:id="134"/>
      <w:bookmarkEnd w:id="135"/>
      <w:bookmarkEnd w:id="136"/>
    </w:p>
    <w:p>
      <w:pPr>
        <w:keepNext w:val="0"/>
        <w:keepLines w:val="0"/>
        <w:pageBreakBefore w:val="0"/>
        <w:widowControl w:val="0"/>
        <w:kinsoku/>
        <w:wordWrap/>
        <w:overflowPunct/>
        <w:topLinePunct w:val="0"/>
        <w:autoSpaceDE/>
        <w:autoSpaceDN/>
        <w:bidi w:val="0"/>
        <w:adjustRightInd/>
        <w:snapToGrid/>
        <w:spacing w:line="280" w:lineRule="exact"/>
        <w:ind w:firstLine="420" w:firstLineChars="0"/>
        <w:textAlignment w:val="auto"/>
        <w:rPr>
          <w:rFonts w:hint="eastAsia" w:ascii="华文仿宋" w:hAnsi="华文仿宋" w:eastAsia="华文仿宋" w:cs="华文仿宋"/>
          <w:sz w:val="24"/>
          <w:szCs w:val="24"/>
          <w:lang w:eastAsia="zh-CN"/>
        </w:rPr>
      </w:pPr>
      <w:bookmarkStart w:id="137" w:name="_Toc15615_WPSOffice_Level3"/>
      <w:bookmarkStart w:id="138" w:name="_Toc5491_WPSOffice_Level3"/>
      <w:bookmarkStart w:id="139" w:name="_Toc17629_WPSOffice_Level3"/>
      <w:bookmarkStart w:id="140" w:name="_Toc30140_WPSOffice_Level3"/>
      <w:r>
        <w:rPr>
          <w:rFonts w:hint="eastAsia" w:ascii="华文仿宋" w:hAnsi="华文仿宋" w:eastAsia="华文仿宋" w:cs="华文仿宋"/>
          <w:sz w:val="24"/>
          <w:szCs w:val="24"/>
        </w:rPr>
        <w:t>A、□学校公示</w:t>
      </w:r>
      <w:r>
        <w:rPr>
          <w:rFonts w:hint="eastAsia" w:ascii="华文仿宋" w:hAnsi="华文仿宋" w:eastAsia="华文仿宋" w:cs="华文仿宋"/>
          <w:color w:val="FF0000"/>
          <w:sz w:val="24"/>
          <w:szCs w:val="24"/>
          <w:lang w:val="en-US" w:eastAsia="zh-CN"/>
        </w:rPr>
        <w:t>100%</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rPr>
        <w:sym w:font="Wingdings 2" w:char="00A3"/>
      </w:r>
      <w:r>
        <w:rPr>
          <w:rFonts w:hint="eastAsia" w:ascii="华文仿宋" w:hAnsi="华文仿宋" w:eastAsia="华文仿宋" w:cs="华文仿宋"/>
          <w:sz w:val="24"/>
          <w:szCs w:val="24"/>
          <w:lang w:val="en-US" w:eastAsia="zh-CN"/>
        </w:rPr>
        <w:t>同学告知</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其他</w:t>
      </w:r>
      <w:bookmarkEnd w:id="137"/>
      <w:bookmarkEnd w:id="138"/>
      <w:bookmarkEnd w:id="139"/>
      <w:bookmarkEnd w:id="140"/>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141" w:name="_Toc29470_WPSOffice_Level2"/>
      <w:bookmarkStart w:id="142" w:name="_Toc5255_WPSOffice_Level2"/>
      <w:bookmarkStart w:id="143" w:name="_Toc19217_WPSOffice_Level2"/>
      <w:bookmarkStart w:id="144" w:name="_Toc2275_WPSOffice_Level2"/>
      <w:r>
        <w:rPr>
          <w:rFonts w:hint="eastAsia" w:ascii="华文仿宋" w:hAnsi="华文仿宋" w:eastAsia="华文仿宋" w:cs="华文仿宋"/>
          <w:kern w:val="2"/>
          <w:sz w:val="24"/>
          <w:szCs w:val="24"/>
          <w:lang w:val="en-US" w:eastAsia="zh-CN" w:bidi="ar-SA"/>
        </w:rPr>
        <w:t>您认为校车是否方便了师生的出行？</w:t>
      </w:r>
      <w:bookmarkEnd w:id="141"/>
      <w:bookmarkEnd w:id="142"/>
      <w:bookmarkEnd w:id="143"/>
      <w:bookmarkEnd w:id="144"/>
    </w:p>
    <w:p>
      <w:pPr>
        <w:keepNext w:val="0"/>
        <w:keepLines w:val="0"/>
        <w:pageBreakBefore w:val="0"/>
        <w:widowControl w:val="0"/>
        <w:kinsoku/>
        <w:wordWrap/>
        <w:overflowPunct/>
        <w:topLinePunct w:val="0"/>
        <w:autoSpaceDE/>
        <w:autoSpaceDN/>
        <w:bidi w:val="0"/>
        <w:adjustRightInd/>
        <w:snapToGrid/>
        <w:spacing w:line="280" w:lineRule="exact"/>
        <w:ind w:firstLine="420" w:firstLineChars="0"/>
        <w:textAlignment w:val="auto"/>
        <w:rPr>
          <w:rFonts w:hint="eastAsia" w:ascii="华文仿宋" w:hAnsi="华文仿宋" w:eastAsia="华文仿宋" w:cs="华文仿宋"/>
          <w:sz w:val="24"/>
          <w:szCs w:val="24"/>
          <w:lang w:val="en-US" w:eastAsia="zh-CN"/>
        </w:rPr>
      </w:pPr>
      <w:bookmarkStart w:id="145" w:name="_Toc22339_WPSOffice_Level3"/>
      <w:bookmarkStart w:id="146" w:name="_Toc16132_WPSOffice_Level3"/>
      <w:bookmarkStart w:id="147" w:name="_Toc5326_WPSOffice_Level3"/>
      <w:bookmarkStart w:id="148" w:name="_Toc2591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方便</w:t>
      </w:r>
      <w:r>
        <w:rPr>
          <w:rFonts w:hint="eastAsia" w:ascii="华文仿宋" w:hAnsi="华文仿宋" w:eastAsia="华文仿宋" w:cs="华文仿宋"/>
          <w:color w:val="FF0000"/>
          <w:sz w:val="24"/>
          <w:szCs w:val="24"/>
          <w:lang w:val="en-US" w:eastAsia="zh-CN"/>
        </w:rPr>
        <w:t>100%</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eastAsia="zh-CN"/>
        </w:rPr>
        <w:t>一般</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不方便</w:t>
      </w:r>
      <w:bookmarkEnd w:id="145"/>
      <w:bookmarkEnd w:id="146"/>
      <w:bookmarkEnd w:id="147"/>
      <w:bookmarkEnd w:id="148"/>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149" w:name="_Toc381_WPSOffice_Level2"/>
      <w:bookmarkStart w:id="150" w:name="_Toc19589_WPSOffice_Level2"/>
      <w:bookmarkStart w:id="151" w:name="_Toc15451_WPSOffice_Level2"/>
      <w:bookmarkStart w:id="152" w:name="_Toc13705_WPSOffice_Level2"/>
      <w:r>
        <w:rPr>
          <w:rFonts w:hint="eastAsia" w:ascii="华文仿宋" w:hAnsi="华文仿宋" w:eastAsia="华文仿宋" w:cs="华文仿宋"/>
          <w:kern w:val="2"/>
          <w:sz w:val="24"/>
          <w:szCs w:val="24"/>
          <w:lang w:val="en-US" w:eastAsia="zh-CN" w:bidi="ar-SA"/>
        </w:rPr>
        <w:t>您认为学生上校车的秩序如何？</w:t>
      </w:r>
      <w:bookmarkEnd w:id="149"/>
      <w:bookmarkEnd w:id="150"/>
      <w:bookmarkEnd w:id="151"/>
      <w:bookmarkEnd w:id="152"/>
    </w:p>
    <w:p>
      <w:pPr>
        <w:keepNext w:val="0"/>
        <w:keepLines w:val="0"/>
        <w:pageBreakBefore w:val="0"/>
        <w:widowControl w:val="0"/>
        <w:kinsoku/>
        <w:wordWrap/>
        <w:overflowPunct/>
        <w:topLinePunct w:val="0"/>
        <w:autoSpaceDE/>
        <w:autoSpaceDN/>
        <w:bidi w:val="0"/>
        <w:adjustRightInd/>
        <w:snapToGrid/>
        <w:spacing w:line="280" w:lineRule="exact"/>
        <w:ind w:firstLine="420" w:firstLineChars="0"/>
        <w:textAlignment w:val="auto"/>
        <w:rPr>
          <w:rFonts w:hint="eastAsia" w:ascii="华文仿宋" w:hAnsi="华文仿宋" w:eastAsia="华文仿宋" w:cs="华文仿宋"/>
          <w:sz w:val="24"/>
          <w:szCs w:val="24"/>
          <w:lang w:eastAsia="zh-CN"/>
        </w:rPr>
      </w:pPr>
      <w:bookmarkStart w:id="153" w:name="_Toc26729_WPSOffice_Level3"/>
      <w:bookmarkStart w:id="154" w:name="_Toc25068_WPSOffice_Level3"/>
      <w:bookmarkStart w:id="155" w:name="_Toc3934_WPSOffice_Level3"/>
      <w:bookmarkStart w:id="156" w:name="_Toc26160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非常好</w:t>
      </w:r>
      <w:r>
        <w:rPr>
          <w:rFonts w:hint="eastAsia" w:ascii="华文仿宋" w:hAnsi="华文仿宋" w:eastAsia="华文仿宋" w:cs="华文仿宋"/>
          <w:color w:val="FF0000"/>
          <w:sz w:val="24"/>
          <w:szCs w:val="24"/>
          <w:lang w:val="en-US" w:eastAsia="zh-CN"/>
        </w:rPr>
        <w:t>99%</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还可以</w:t>
      </w:r>
      <w:r>
        <w:rPr>
          <w:rFonts w:hint="eastAsia" w:ascii="华文仿宋" w:hAnsi="华文仿宋" w:eastAsia="华文仿宋" w:cs="华文仿宋"/>
          <w:color w:val="FF0000"/>
          <w:sz w:val="24"/>
          <w:szCs w:val="24"/>
          <w:lang w:val="en-US" w:eastAsia="zh-CN"/>
        </w:rPr>
        <w:t>1%</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非常差</w:t>
      </w:r>
      <w:bookmarkEnd w:id="153"/>
      <w:bookmarkEnd w:id="154"/>
      <w:bookmarkEnd w:id="155"/>
      <w:bookmarkEnd w:id="156"/>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157" w:name="_Toc28243_WPSOffice_Level2"/>
      <w:bookmarkStart w:id="158" w:name="_Toc1263_WPSOffice_Level2"/>
      <w:bookmarkStart w:id="159" w:name="_Toc11875_WPSOffice_Level2"/>
      <w:bookmarkStart w:id="160" w:name="_Toc12151_WPSOffice_Level2"/>
      <w:r>
        <w:rPr>
          <w:rFonts w:hint="eastAsia" w:ascii="华文仿宋" w:hAnsi="华文仿宋" w:eastAsia="华文仿宋" w:cs="华文仿宋"/>
          <w:kern w:val="2"/>
          <w:sz w:val="24"/>
          <w:szCs w:val="24"/>
          <w:lang w:val="en-US" w:eastAsia="zh-CN" w:bidi="ar-SA"/>
        </w:rPr>
        <w:t>您对校车环境满意吗？</w:t>
      </w:r>
      <w:bookmarkEnd w:id="157"/>
      <w:bookmarkEnd w:id="158"/>
      <w:bookmarkEnd w:id="159"/>
      <w:bookmarkEnd w:id="160"/>
    </w:p>
    <w:p>
      <w:pPr>
        <w:keepNext w:val="0"/>
        <w:keepLines w:val="0"/>
        <w:pageBreakBefore w:val="0"/>
        <w:widowControl w:val="0"/>
        <w:kinsoku/>
        <w:wordWrap/>
        <w:overflowPunct/>
        <w:topLinePunct w:val="0"/>
        <w:autoSpaceDE/>
        <w:autoSpaceDN/>
        <w:bidi w:val="0"/>
        <w:adjustRightInd/>
        <w:snapToGrid/>
        <w:spacing w:line="280" w:lineRule="exact"/>
        <w:ind w:firstLine="420" w:firstLineChars="0"/>
        <w:textAlignment w:val="auto"/>
        <w:rPr>
          <w:rFonts w:hint="eastAsia" w:ascii="华文仿宋" w:hAnsi="华文仿宋" w:eastAsia="华文仿宋" w:cs="华文仿宋"/>
          <w:sz w:val="24"/>
          <w:szCs w:val="24"/>
          <w:lang w:eastAsia="zh-CN"/>
        </w:rPr>
      </w:pPr>
      <w:bookmarkStart w:id="161" w:name="_Toc9369_WPSOffice_Level3"/>
      <w:bookmarkStart w:id="162" w:name="_Toc30932_WPSOffice_Level3"/>
      <w:bookmarkStart w:id="163" w:name="_Toc28172_WPSOffice_Level3"/>
      <w:bookmarkStart w:id="164" w:name="_Toc21026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满意</w:t>
      </w:r>
      <w:r>
        <w:rPr>
          <w:rFonts w:hint="eastAsia" w:ascii="华文仿宋" w:hAnsi="华文仿宋" w:eastAsia="华文仿宋" w:cs="华文仿宋"/>
          <w:color w:val="FF0000"/>
          <w:sz w:val="24"/>
          <w:szCs w:val="24"/>
          <w:lang w:val="en-US" w:eastAsia="zh-CN"/>
        </w:rPr>
        <w:t>100%</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eastAsia="zh-CN"/>
        </w:rPr>
        <w:t>一般</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不满意</w:t>
      </w:r>
      <w:bookmarkEnd w:id="161"/>
      <w:bookmarkEnd w:id="162"/>
      <w:bookmarkEnd w:id="163"/>
      <w:bookmarkEnd w:id="164"/>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165" w:name="_Toc29065_WPSOffice_Level2"/>
      <w:bookmarkStart w:id="166" w:name="_Toc744_WPSOffice_Level2"/>
      <w:bookmarkStart w:id="167" w:name="_Toc26788_WPSOffice_Level2"/>
      <w:bookmarkStart w:id="168" w:name="_Toc31678_WPSOffice_Level2"/>
      <w:r>
        <w:rPr>
          <w:rFonts w:hint="eastAsia" w:ascii="华文仿宋" w:hAnsi="华文仿宋" w:eastAsia="华文仿宋" w:cs="华文仿宋"/>
          <w:kern w:val="2"/>
          <w:sz w:val="24"/>
          <w:szCs w:val="24"/>
          <w:lang w:val="en-US" w:eastAsia="zh-CN" w:bidi="ar-SA"/>
        </w:rPr>
        <w:t>您认为校车的速度如何？</w:t>
      </w:r>
      <w:bookmarkEnd w:id="165"/>
      <w:bookmarkEnd w:id="166"/>
      <w:bookmarkEnd w:id="167"/>
      <w:bookmarkEnd w:id="168"/>
    </w:p>
    <w:p>
      <w:pPr>
        <w:keepNext w:val="0"/>
        <w:keepLines w:val="0"/>
        <w:pageBreakBefore w:val="0"/>
        <w:widowControl w:val="0"/>
        <w:kinsoku/>
        <w:wordWrap/>
        <w:overflowPunct/>
        <w:topLinePunct w:val="0"/>
        <w:autoSpaceDE/>
        <w:autoSpaceDN/>
        <w:bidi w:val="0"/>
        <w:adjustRightInd/>
        <w:snapToGrid/>
        <w:spacing w:line="280" w:lineRule="exact"/>
        <w:ind w:firstLine="420" w:firstLineChars="0"/>
        <w:textAlignment w:val="auto"/>
        <w:rPr>
          <w:rFonts w:hint="eastAsia" w:ascii="华文仿宋" w:hAnsi="华文仿宋" w:eastAsia="华文仿宋" w:cs="华文仿宋"/>
          <w:sz w:val="24"/>
          <w:szCs w:val="24"/>
          <w:lang w:val="en-US" w:eastAsia="zh-CN"/>
        </w:rPr>
      </w:pPr>
      <w:bookmarkStart w:id="169" w:name="_Toc415_WPSOffice_Level3"/>
      <w:bookmarkStart w:id="170" w:name="_Toc6833_WPSOffice_Level3"/>
      <w:bookmarkStart w:id="171" w:name="_Toc18932_WPSOffice_Level3"/>
      <w:bookmarkStart w:id="172" w:name="_Toc3870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太慢</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适中</w:t>
      </w:r>
      <w:r>
        <w:rPr>
          <w:rFonts w:hint="eastAsia" w:ascii="华文仿宋" w:hAnsi="华文仿宋" w:eastAsia="华文仿宋" w:cs="华文仿宋"/>
          <w:color w:val="FF0000"/>
          <w:sz w:val="24"/>
          <w:szCs w:val="24"/>
          <w:lang w:val="en-US" w:eastAsia="zh-CN"/>
        </w:rPr>
        <w:t>100%</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太快</w:t>
      </w:r>
      <w:bookmarkEnd w:id="169"/>
      <w:bookmarkEnd w:id="170"/>
      <w:bookmarkEnd w:id="171"/>
      <w:bookmarkEnd w:id="172"/>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173" w:name="_Toc17833_WPSOffice_Level2"/>
      <w:bookmarkStart w:id="174" w:name="_Toc17493_WPSOffice_Level2"/>
      <w:bookmarkStart w:id="175" w:name="_Toc21929_WPSOffice_Level2"/>
      <w:bookmarkStart w:id="176" w:name="_Toc20159_WPSOffice_Level2"/>
      <w:r>
        <w:rPr>
          <w:rFonts w:hint="eastAsia" w:ascii="华文仿宋" w:hAnsi="华文仿宋" w:eastAsia="华文仿宋" w:cs="华文仿宋"/>
          <w:kern w:val="2"/>
          <w:sz w:val="24"/>
          <w:szCs w:val="24"/>
          <w:lang w:val="en-US" w:eastAsia="zh-CN" w:bidi="ar-SA"/>
        </w:rPr>
        <w:t>您对跟车老师的服务态度是否满意？</w:t>
      </w:r>
      <w:bookmarkEnd w:id="173"/>
      <w:bookmarkEnd w:id="174"/>
      <w:bookmarkEnd w:id="175"/>
      <w:bookmarkEnd w:id="176"/>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0"/>
        <w:textAlignment w:val="auto"/>
        <w:rPr>
          <w:rFonts w:hint="eastAsia" w:ascii="华文仿宋" w:hAnsi="华文仿宋" w:eastAsia="华文仿宋" w:cs="华文仿宋"/>
          <w:sz w:val="24"/>
          <w:szCs w:val="24"/>
          <w:lang w:val="en-US" w:eastAsia="zh-CN"/>
        </w:rPr>
      </w:pPr>
      <w:bookmarkStart w:id="177" w:name="_Toc15336_WPSOffice_Level3"/>
      <w:bookmarkStart w:id="178" w:name="_Toc18818_WPSOffice_Level3"/>
      <w:bookmarkStart w:id="179" w:name="_Toc17769_WPSOffice_Level3"/>
      <w:bookmarkStart w:id="180" w:name="_Toc4526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满意</w:t>
      </w:r>
      <w:r>
        <w:rPr>
          <w:rFonts w:hint="eastAsia" w:ascii="华文仿宋" w:hAnsi="华文仿宋" w:eastAsia="华文仿宋" w:cs="华文仿宋"/>
          <w:color w:val="FF0000"/>
          <w:sz w:val="24"/>
          <w:szCs w:val="24"/>
          <w:lang w:val="en-US" w:eastAsia="zh-CN"/>
        </w:rPr>
        <w:t>100%</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eastAsia="zh-CN"/>
        </w:rPr>
        <w:t>一般</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不满意</w:t>
      </w:r>
      <w:bookmarkEnd w:id="177"/>
      <w:bookmarkEnd w:id="178"/>
      <w:bookmarkEnd w:id="179"/>
      <w:bookmarkEnd w:id="180"/>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181" w:name="_Toc3963_WPSOffice_Level2"/>
      <w:bookmarkStart w:id="182" w:name="_Toc29876_WPSOffice_Level2"/>
      <w:bookmarkStart w:id="183" w:name="_Toc5816_WPSOffice_Level2"/>
      <w:bookmarkStart w:id="184" w:name="_Toc28773_WPSOffice_Level2"/>
      <w:r>
        <w:rPr>
          <w:rFonts w:hint="eastAsia" w:ascii="华文仿宋" w:hAnsi="华文仿宋" w:eastAsia="华文仿宋" w:cs="华文仿宋"/>
          <w:kern w:val="2"/>
          <w:sz w:val="24"/>
          <w:szCs w:val="24"/>
          <w:lang w:val="en-US" w:eastAsia="zh-CN" w:bidi="ar-SA"/>
        </w:rPr>
        <w:t>您对校车司机的服务态度是否满意？</w:t>
      </w:r>
      <w:bookmarkEnd w:id="181"/>
      <w:bookmarkEnd w:id="182"/>
      <w:bookmarkEnd w:id="183"/>
      <w:bookmarkEnd w:id="184"/>
    </w:p>
    <w:p>
      <w:pPr>
        <w:keepNext w:val="0"/>
        <w:keepLines w:val="0"/>
        <w:pageBreakBefore w:val="0"/>
        <w:widowControl w:val="0"/>
        <w:kinsoku/>
        <w:wordWrap/>
        <w:overflowPunct/>
        <w:topLinePunct w:val="0"/>
        <w:autoSpaceDE/>
        <w:autoSpaceDN/>
        <w:bidi w:val="0"/>
        <w:adjustRightInd/>
        <w:snapToGrid/>
        <w:spacing w:line="280" w:lineRule="exact"/>
        <w:ind w:firstLine="420" w:firstLineChars="0"/>
        <w:textAlignment w:val="auto"/>
        <w:rPr>
          <w:rFonts w:hint="eastAsia" w:ascii="华文仿宋" w:hAnsi="华文仿宋" w:eastAsia="华文仿宋" w:cs="华文仿宋"/>
          <w:sz w:val="24"/>
          <w:szCs w:val="24"/>
          <w:lang w:val="en-US" w:eastAsia="zh-CN"/>
        </w:rPr>
      </w:pPr>
      <w:bookmarkStart w:id="185" w:name="_Toc19324_WPSOffice_Level3"/>
      <w:bookmarkStart w:id="186" w:name="_Toc5760_WPSOffice_Level3"/>
      <w:bookmarkStart w:id="187" w:name="_Toc6076_WPSOffice_Level3"/>
      <w:bookmarkStart w:id="188" w:name="_Toc7765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满意</w:t>
      </w:r>
      <w:r>
        <w:rPr>
          <w:rFonts w:hint="eastAsia" w:ascii="华文仿宋" w:hAnsi="华文仿宋" w:eastAsia="华文仿宋" w:cs="华文仿宋"/>
          <w:color w:val="FF0000"/>
          <w:sz w:val="24"/>
          <w:szCs w:val="24"/>
          <w:lang w:val="en-US" w:eastAsia="zh-CN"/>
        </w:rPr>
        <w:t>100%</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eastAsia="zh-CN"/>
        </w:rPr>
        <w:t>一般</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不满意</w:t>
      </w:r>
      <w:bookmarkEnd w:id="185"/>
      <w:bookmarkEnd w:id="186"/>
      <w:bookmarkEnd w:id="187"/>
      <w:bookmarkEnd w:id="188"/>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189" w:name="_Toc6394_WPSOffice_Level2"/>
      <w:bookmarkStart w:id="190" w:name="_Toc14787_WPSOffice_Level2"/>
      <w:bookmarkStart w:id="191" w:name="_Toc607_WPSOffice_Level2"/>
      <w:bookmarkStart w:id="192" w:name="_Toc7012_WPSOffice_Level2"/>
      <w:r>
        <w:rPr>
          <w:rFonts w:hint="eastAsia" w:ascii="华文仿宋" w:hAnsi="华文仿宋" w:eastAsia="华文仿宋" w:cs="华文仿宋"/>
          <w:kern w:val="2"/>
          <w:sz w:val="24"/>
          <w:szCs w:val="24"/>
          <w:lang w:val="en-US" w:eastAsia="zh-CN" w:bidi="ar-SA"/>
        </w:rPr>
        <w:t>您认为校车的价格是否合理？</w:t>
      </w:r>
      <w:bookmarkEnd w:id="189"/>
      <w:bookmarkEnd w:id="190"/>
      <w:bookmarkEnd w:id="191"/>
      <w:bookmarkEnd w:id="192"/>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0"/>
        <w:textAlignment w:val="auto"/>
        <w:rPr>
          <w:rFonts w:hint="eastAsia" w:ascii="华文仿宋" w:hAnsi="华文仿宋" w:eastAsia="华文仿宋" w:cs="华文仿宋"/>
          <w:sz w:val="24"/>
          <w:szCs w:val="24"/>
          <w:lang w:val="en-US" w:eastAsia="zh-CN"/>
        </w:rPr>
      </w:pPr>
      <w:bookmarkStart w:id="193" w:name="_Toc16672_WPSOffice_Level3"/>
      <w:bookmarkStart w:id="194" w:name="_Toc2662_WPSOffice_Level3"/>
      <w:bookmarkStart w:id="195" w:name="_Toc26388_WPSOffice_Level3"/>
      <w:bookmarkStart w:id="196" w:name="_Toc27472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合理</w:t>
      </w:r>
      <w:r>
        <w:rPr>
          <w:rFonts w:hint="eastAsia" w:ascii="华文仿宋" w:hAnsi="华文仿宋" w:eastAsia="华文仿宋" w:cs="华文仿宋"/>
          <w:color w:val="FF0000"/>
          <w:sz w:val="24"/>
          <w:szCs w:val="24"/>
          <w:lang w:val="en-US" w:eastAsia="zh-CN"/>
        </w:rPr>
        <w:t>99%</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一般</w:t>
      </w:r>
      <w:r>
        <w:rPr>
          <w:rFonts w:hint="eastAsia" w:ascii="华文仿宋" w:hAnsi="华文仿宋" w:eastAsia="华文仿宋" w:cs="华文仿宋"/>
          <w:color w:val="FF0000"/>
          <w:sz w:val="24"/>
          <w:szCs w:val="24"/>
          <w:lang w:val="en-US" w:eastAsia="zh-CN"/>
        </w:rPr>
        <w:t>1%</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 xml:space="preserve">   </w:t>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不合理</w:t>
      </w:r>
      <w:bookmarkEnd w:id="193"/>
      <w:bookmarkEnd w:id="194"/>
      <w:bookmarkEnd w:id="195"/>
      <w:bookmarkEnd w:id="196"/>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197" w:name="_Toc7522_WPSOffice_Level2"/>
      <w:bookmarkStart w:id="198" w:name="_Toc14002_WPSOffice_Level2"/>
      <w:bookmarkStart w:id="199" w:name="_Toc28317_WPSOffice_Level2"/>
      <w:bookmarkStart w:id="200" w:name="_Toc19520_WPSOffice_Level2"/>
      <w:r>
        <w:rPr>
          <w:rFonts w:hint="eastAsia" w:ascii="华文仿宋" w:hAnsi="华文仿宋" w:eastAsia="华文仿宋" w:cs="华文仿宋"/>
          <w:kern w:val="2"/>
          <w:sz w:val="24"/>
          <w:szCs w:val="24"/>
          <w:lang w:val="en-US" w:eastAsia="zh-CN" w:bidi="ar-SA"/>
        </w:rPr>
        <w:t>您所在学校提供校车班次是否合理？</w:t>
      </w:r>
      <w:bookmarkEnd w:id="197"/>
      <w:bookmarkEnd w:id="198"/>
      <w:bookmarkEnd w:id="199"/>
      <w:bookmarkEnd w:id="200"/>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0"/>
        <w:textAlignment w:val="auto"/>
        <w:rPr>
          <w:rFonts w:hint="eastAsia" w:ascii="华文仿宋" w:hAnsi="华文仿宋" w:eastAsia="华文仿宋" w:cs="华文仿宋"/>
          <w:sz w:val="24"/>
          <w:szCs w:val="24"/>
          <w:lang w:val="en-US" w:eastAsia="zh-CN"/>
        </w:rPr>
      </w:pPr>
      <w:bookmarkStart w:id="201" w:name="_Toc5135_WPSOffice_Level3"/>
      <w:bookmarkStart w:id="202" w:name="_Toc10373_WPSOffice_Level3"/>
      <w:bookmarkStart w:id="203" w:name="_Toc4154_WPSOffice_Level3"/>
      <w:bookmarkStart w:id="204" w:name="_Toc29758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正好</w:t>
      </w:r>
      <w:r>
        <w:rPr>
          <w:rFonts w:hint="eastAsia" w:ascii="华文仿宋" w:hAnsi="华文仿宋" w:eastAsia="华文仿宋" w:cs="华文仿宋"/>
          <w:color w:val="FF0000"/>
          <w:sz w:val="24"/>
          <w:szCs w:val="24"/>
          <w:lang w:val="en-US" w:eastAsia="zh-CN"/>
        </w:rPr>
        <w:t>100%</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班次过少</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班次过多</w:t>
      </w:r>
      <w:bookmarkEnd w:id="201"/>
      <w:bookmarkEnd w:id="202"/>
      <w:bookmarkEnd w:id="203"/>
      <w:bookmarkEnd w:id="204"/>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205" w:name="_Toc31185_WPSOffice_Level2"/>
      <w:bookmarkStart w:id="206" w:name="_Toc16004_WPSOffice_Level2"/>
      <w:bookmarkStart w:id="207" w:name="_Toc21374_WPSOffice_Level2"/>
      <w:bookmarkStart w:id="208" w:name="_Toc30816_WPSOffice_Level2"/>
      <w:r>
        <w:rPr>
          <w:rFonts w:hint="eastAsia" w:ascii="华文仿宋" w:hAnsi="华文仿宋" w:eastAsia="华文仿宋" w:cs="华文仿宋"/>
          <w:kern w:val="2"/>
          <w:sz w:val="24"/>
          <w:szCs w:val="24"/>
          <w:lang w:val="en-US" w:eastAsia="zh-CN" w:bidi="ar-SA"/>
        </w:rPr>
        <w:t>您对校车站点设计是否合理？</w:t>
      </w:r>
      <w:bookmarkEnd w:id="205"/>
      <w:bookmarkEnd w:id="206"/>
      <w:bookmarkEnd w:id="207"/>
      <w:bookmarkEnd w:id="208"/>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0"/>
        <w:textAlignment w:val="auto"/>
        <w:rPr>
          <w:rFonts w:hint="eastAsia" w:ascii="华文仿宋" w:hAnsi="华文仿宋" w:eastAsia="华文仿宋" w:cs="华文仿宋"/>
          <w:sz w:val="24"/>
          <w:szCs w:val="24"/>
          <w:lang w:val="en-US" w:eastAsia="zh-CN"/>
        </w:rPr>
      </w:pPr>
      <w:bookmarkStart w:id="209" w:name="_Toc4058_WPSOffice_Level3"/>
      <w:bookmarkStart w:id="210" w:name="_Toc23902_WPSOffice_Level3"/>
      <w:bookmarkStart w:id="211" w:name="_Toc356_WPSOffice_Level3"/>
      <w:bookmarkStart w:id="212" w:name="_Toc12320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合理</w:t>
      </w:r>
      <w:r>
        <w:rPr>
          <w:rFonts w:hint="eastAsia" w:ascii="华文仿宋" w:hAnsi="华文仿宋" w:eastAsia="华文仿宋" w:cs="华文仿宋"/>
          <w:color w:val="FF0000"/>
          <w:sz w:val="24"/>
          <w:szCs w:val="24"/>
          <w:lang w:val="en-US" w:eastAsia="zh-CN"/>
        </w:rPr>
        <w:t>99%</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一般</w:t>
      </w:r>
      <w:r>
        <w:rPr>
          <w:rFonts w:hint="eastAsia" w:ascii="华文仿宋" w:hAnsi="华文仿宋" w:eastAsia="华文仿宋" w:cs="华文仿宋"/>
          <w:color w:val="FF0000"/>
          <w:sz w:val="24"/>
          <w:szCs w:val="24"/>
          <w:lang w:val="en-US" w:eastAsia="zh-CN"/>
        </w:rPr>
        <w:t>1%</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不合理</w:t>
      </w:r>
      <w:bookmarkEnd w:id="209"/>
      <w:bookmarkEnd w:id="210"/>
      <w:bookmarkEnd w:id="211"/>
      <w:bookmarkEnd w:id="212"/>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213" w:name="_Toc28581_WPSOffice_Level2"/>
      <w:bookmarkStart w:id="214" w:name="_Toc6784_WPSOffice_Level2"/>
      <w:bookmarkStart w:id="215" w:name="_Toc9934_WPSOffice_Level2"/>
      <w:bookmarkStart w:id="216" w:name="_Toc20870_WPSOffice_Level2"/>
      <w:r>
        <w:rPr>
          <w:rFonts w:hint="eastAsia" w:ascii="华文仿宋" w:hAnsi="华文仿宋" w:eastAsia="华文仿宋" w:cs="华文仿宋"/>
          <w:kern w:val="2"/>
          <w:sz w:val="24"/>
          <w:szCs w:val="24"/>
          <w:lang w:val="en-US" w:eastAsia="zh-CN" w:bidi="ar-SA"/>
        </w:rPr>
        <w:t>您所在学校的校车是否按时发车？</w:t>
      </w:r>
      <w:bookmarkEnd w:id="213"/>
      <w:bookmarkEnd w:id="214"/>
      <w:bookmarkEnd w:id="215"/>
      <w:bookmarkEnd w:id="216"/>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0"/>
        <w:textAlignment w:val="auto"/>
        <w:rPr>
          <w:rFonts w:hint="eastAsia" w:ascii="华文仿宋" w:hAnsi="华文仿宋" w:eastAsia="华文仿宋" w:cs="华文仿宋"/>
          <w:sz w:val="24"/>
          <w:szCs w:val="24"/>
          <w:lang w:val="en-US" w:eastAsia="zh-CN"/>
        </w:rPr>
      </w:pPr>
      <w:bookmarkStart w:id="217" w:name="_Toc25100_WPSOffice_Level3"/>
      <w:bookmarkStart w:id="218" w:name="_Toc5005_WPSOffice_Level3"/>
      <w:bookmarkStart w:id="219" w:name="_Toc15099_WPSOffice_Level3"/>
      <w:bookmarkStart w:id="220" w:name="_Toc20499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按时</w:t>
      </w:r>
      <w:r>
        <w:rPr>
          <w:rFonts w:hint="eastAsia" w:ascii="华文仿宋" w:hAnsi="华文仿宋" w:eastAsia="华文仿宋" w:cs="华文仿宋"/>
          <w:color w:val="FF0000"/>
          <w:sz w:val="24"/>
          <w:szCs w:val="24"/>
          <w:lang w:val="en-US" w:eastAsia="zh-CN"/>
        </w:rPr>
        <w:t>100%</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不一定</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从未按时</w:t>
      </w:r>
      <w:bookmarkEnd w:id="217"/>
      <w:bookmarkEnd w:id="218"/>
      <w:bookmarkEnd w:id="219"/>
      <w:bookmarkEnd w:id="220"/>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221" w:name="_Toc32039_WPSOffice_Level2"/>
      <w:bookmarkStart w:id="222" w:name="_Toc9398_WPSOffice_Level2"/>
      <w:bookmarkStart w:id="223" w:name="_Toc18078_WPSOffice_Level2"/>
      <w:bookmarkStart w:id="224" w:name="_Toc5571_WPSOffice_Level2"/>
      <w:r>
        <w:rPr>
          <w:rFonts w:hint="eastAsia" w:ascii="华文仿宋" w:hAnsi="华文仿宋" w:eastAsia="华文仿宋" w:cs="华文仿宋"/>
          <w:kern w:val="2"/>
          <w:sz w:val="24"/>
          <w:szCs w:val="24"/>
          <w:lang w:val="en-US" w:eastAsia="zh-CN" w:bidi="ar-SA"/>
        </w:rPr>
        <w:t>校车是否有搭载其他乘客（学生家长除外）的情况？</w:t>
      </w:r>
      <w:bookmarkEnd w:id="221"/>
      <w:bookmarkEnd w:id="222"/>
      <w:bookmarkEnd w:id="223"/>
      <w:bookmarkEnd w:id="224"/>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0"/>
        <w:textAlignment w:val="auto"/>
        <w:rPr>
          <w:rFonts w:hint="default" w:ascii="华文仿宋" w:hAnsi="华文仿宋" w:eastAsia="华文仿宋" w:cs="华文仿宋"/>
          <w:sz w:val="24"/>
          <w:szCs w:val="24"/>
          <w:lang w:val="en-US" w:eastAsia="zh-CN"/>
        </w:rPr>
      </w:pPr>
      <w:bookmarkStart w:id="225" w:name="_Toc32103_WPSOffice_Level3"/>
      <w:bookmarkStart w:id="226" w:name="_Toc8314_WPSOffice_Level3"/>
      <w:bookmarkStart w:id="227" w:name="_Toc29580_WPSOffice_Level3"/>
      <w:bookmarkStart w:id="228" w:name="_Toc26572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有</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不清楚</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没有</w:t>
      </w:r>
      <w:r>
        <w:rPr>
          <w:rFonts w:hint="eastAsia" w:ascii="华文仿宋" w:hAnsi="华文仿宋" w:eastAsia="华文仿宋" w:cs="华文仿宋"/>
          <w:color w:val="FF0000"/>
          <w:sz w:val="24"/>
          <w:szCs w:val="24"/>
          <w:lang w:val="en-US" w:eastAsia="zh-CN"/>
        </w:rPr>
        <w:t>100%</w:t>
      </w:r>
      <w:bookmarkEnd w:id="225"/>
      <w:bookmarkEnd w:id="226"/>
      <w:bookmarkEnd w:id="227"/>
      <w:bookmarkEnd w:id="228"/>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229" w:name="_Toc31508_WPSOffice_Level2"/>
      <w:bookmarkStart w:id="230" w:name="_Toc17159_WPSOffice_Level2"/>
      <w:bookmarkStart w:id="231" w:name="_Toc13496_WPSOffice_Level2"/>
      <w:bookmarkStart w:id="232" w:name="_Toc530_WPSOffice_Level2"/>
      <w:r>
        <w:rPr>
          <w:rFonts w:hint="eastAsia" w:ascii="华文仿宋" w:hAnsi="华文仿宋" w:eastAsia="华文仿宋" w:cs="华文仿宋"/>
          <w:kern w:val="2"/>
          <w:sz w:val="24"/>
          <w:szCs w:val="24"/>
          <w:lang w:val="en-US" w:eastAsia="zh-CN" w:bidi="ar-SA"/>
        </w:rPr>
        <w:t>校车司机在开车过程中是否有抽烟或接电话的现象？</w:t>
      </w:r>
      <w:bookmarkEnd w:id="229"/>
      <w:bookmarkEnd w:id="230"/>
      <w:bookmarkEnd w:id="231"/>
      <w:bookmarkEnd w:id="232"/>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0"/>
        <w:textAlignment w:val="auto"/>
        <w:rPr>
          <w:rFonts w:hint="default" w:ascii="华文仿宋" w:hAnsi="华文仿宋" w:eastAsia="华文仿宋" w:cs="华文仿宋"/>
          <w:sz w:val="24"/>
          <w:szCs w:val="24"/>
          <w:lang w:val="en-US" w:eastAsia="zh-CN"/>
        </w:rPr>
      </w:pPr>
      <w:bookmarkStart w:id="233" w:name="_Toc14438_WPSOffice_Level3"/>
      <w:bookmarkStart w:id="234" w:name="_Toc3479_WPSOffice_Level3"/>
      <w:bookmarkStart w:id="235" w:name="_Toc8717_WPSOffice_Level3"/>
      <w:bookmarkStart w:id="236" w:name="_Toc7881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有</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没注意</w:t>
      </w:r>
      <w:r>
        <w:rPr>
          <w:rFonts w:hint="eastAsia" w:ascii="华文仿宋" w:hAnsi="华文仿宋" w:eastAsia="华文仿宋" w:cs="华文仿宋"/>
          <w:color w:val="FF0000"/>
          <w:sz w:val="24"/>
          <w:szCs w:val="24"/>
          <w:lang w:val="en-US" w:eastAsia="zh-CN"/>
        </w:rPr>
        <w:t>1%</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没有</w:t>
      </w:r>
      <w:r>
        <w:rPr>
          <w:rFonts w:hint="eastAsia" w:ascii="华文仿宋" w:hAnsi="华文仿宋" w:eastAsia="华文仿宋" w:cs="华文仿宋"/>
          <w:color w:val="FF0000"/>
          <w:sz w:val="24"/>
          <w:szCs w:val="24"/>
          <w:lang w:val="en-US" w:eastAsia="zh-CN"/>
        </w:rPr>
        <w:t>99%</w:t>
      </w:r>
      <w:bookmarkEnd w:id="233"/>
      <w:bookmarkEnd w:id="234"/>
      <w:bookmarkEnd w:id="235"/>
      <w:bookmarkEnd w:id="236"/>
    </w:p>
    <w:p>
      <w:pPr>
        <w:keepNext w:val="0"/>
        <w:keepLines w:val="0"/>
        <w:pageBreakBefore w:val="0"/>
        <w:widowControl w:val="0"/>
        <w:numPr>
          <w:ilvl w:val="0"/>
          <w:numId w:val="11"/>
        </w:numPr>
        <w:kinsoku/>
        <w:wordWrap/>
        <w:overflowPunct/>
        <w:topLinePunct w:val="0"/>
        <w:autoSpaceDE/>
        <w:autoSpaceDN/>
        <w:bidi w:val="0"/>
        <w:adjustRightInd/>
        <w:snapToGrid/>
        <w:spacing w:line="280" w:lineRule="exact"/>
        <w:ind w:leftChars="0" w:firstLine="0" w:firstLineChars="0"/>
        <w:jc w:val="both"/>
        <w:textAlignment w:val="auto"/>
        <w:rPr>
          <w:rFonts w:hint="eastAsia" w:ascii="华文仿宋" w:hAnsi="华文仿宋" w:eastAsia="华文仿宋" w:cs="华文仿宋"/>
          <w:kern w:val="2"/>
          <w:sz w:val="24"/>
          <w:szCs w:val="24"/>
          <w:lang w:val="en-US" w:eastAsia="zh-CN" w:bidi="ar-SA"/>
        </w:rPr>
      </w:pPr>
      <w:bookmarkStart w:id="237" w:name="_Toc26862_WPSOffice_Level2"/>
      <w:bookmarkStart w:id="238" w:name="_Toc32665_WPSOffice_Level2"/>
      <w:bookmarkStart w:id="239" w:name="_Toc30990_WPSOffice_Level2"/>
      <w:bookmarkStart w:id="240" w:name="_Toc2102_WPSOffice_Level2"/>
      <w:r>
        <w:rPr>
          <w:rFonts w:hint="eastAsia" w:ascii="华文仿宋" w:hAnsi="华文仿宋" w:eastAsia="华文仿宋" w:cs="华文仿宋"/>
          <w:kern w:val="2"/>
          <w:sz w:val="24"/>
          <w:szCs w:val="24"/>
          <w:lang w:val="en-US" w:eastAsia="zh-CN" w:bidi="ar-SA"/>
        </w:rPr>
        <w:t>校车在途中是否有发生过车辆故障（或交通事故）？</w:t>
      </w:r>
      <w:bookmarkEnd w:id="237"/>
      <w:bookmarkEnd w:id="238"/>
      <w:bookmarkEnd w:id="239"/>
      <w:bookmarkEnd w:id="240"/>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20" w:firstLineChars="0"/>
        <w:textAlignment w:val="auto"/>
        <w:rPr>
          <w:rFonts w:hint="default" w:ascii="华文仿宋" w:hAnsi="华文仿宋" w:eastAsia="华文仿宋" w:cs="华文仿宋"/>
          <w:sz w:val="24"/>
          <w:szCs w:val="24"/>
          <w:lang w:val="en-US" w:eastAsia="zh-CN"/>
        </w:rPr>
      </w:pPr>
      <w:bookmarkStart w:id="241" w:name="_Toc5255_WPSOffice_Level3"/>
      <w:bookmarkStart w:id="242" w:name="_Toc23281_WPSOffice_Level3"/>
      <w:bookmarkStart w:id="243" w:name="_Toc2295_WPSOffice_Level3"/>
      <w:bookmarkStart w:id="244" w:name="_Toc2275_WPSOffice_Level3"/>
      <w:r>
        <w:rPr>
          <w:rFonts w:hint="eastAsia" w:ascii="华文仿宋" w:hAnsi="华文仿宋" w:eastAsia="华文仿宋" w:cs="华文仿宋"/>
          <w:sz w:val="24"/>
          <w:szCs w:val="24"/>
        </w:rPr>
        <w:t>A、□</w:t>
      </w:r>
      <w:r>
        <w:rPr>
          <w:rFonts w:hint="eastAsia" w:ascii="华文仿宋" w:hAnsi="华文仿宋" w:eastAsia="华文仿宋" w:cs="华文仿宋"/>
          <w:sz w:val="24"/>
          <w:szCs w:val="24"/>
          <w:lang w:val="en-US" w:eastAsia="zh-CN"/>
        </w:rPr>
        <w:t>有</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B、□</w:t>
      </w:r>
      <w:r>
        <w:rPr>
          <w:rFonts w:hint="eastAsia" w:ascii="华文仿宋" w:hAnsi="华文仿宋" w:eastAsia="华文仿宋" w:cs="华文仿宋"/>
          <w:sz w:val="24"/>
          <w:szCs w:val="24"/>
          <w:lang w:val="en-US" w:eastAsia="zh-CN"/>
        </w:rPr>
        <w:t>不清楚</w:t>
      </w:r>
      <w:r>
        <w:rPr>
          <w:rFonts w:hint="eastAsia" w:ascii="华文仿宋" w:hAnsi="华文仿宋" w:eastAsia="华文仿宋" w:cs="华文仿宋"/>
          <w:color w:val="FF0000"/>
          <w:sz w:val="24"/>
          <w:szCs w:val="24"/>
          <w:lang w:val="en-US" w:eastAsia="zh-CN"/>
        </w:rPr>
        <w:t>1%</w:t>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lang w:val="en-US" w:eastAsia="zh-CN"/>
        </w:rPr>
        <w:tab/>
      </w:r>
      <w:r>
        <w:rPr>
          <w:rFonts w:hint="eastAsia" w:ascii="华文仿宋" w:hAnsi="华文仿宋" w:eastAsia="华文仿宋" w:cs="华文仿宋"/>
          <w:sz w:val="24"/>
          <w:szCs w:val="24"/>
        </w:rPr>
        <w:t>C、□</w:t>
      </w:r>
      <w:r>
        <w:rPr>
          <w:rFonts w:hint="eastAsia" w:ascii="华文仿宋" w:hAnsi="华文仿宋" w:eastAsia="华文仿宋" w:cs="华文仿宋"/>
          <w:sz w:val="24"/>
          <w:szCs w:val="24"/>
          <w:lang w:val="en-US" w:eastAsia="zh-CN"/>
        </w:rPr>
        <w:t>没有</w:t>
      </w:r>
      <w:r>
        <w:rPr>
          <w:rFonts w:hint="eastAsia" w:ascii="华文仿宋" w:hAnsi="华文仿宋" w:eastAsia="华文仿宋" w:cs="华文仿宋"/>
          <w:color w:val="FF0000"/>
          <w:sz w:val="24"/>
          <w:szCs w:val="24"/>
          <w:lang w:val="en-US" w:eastAsia="zh-CN"/>
        </w:rPr>
        <w:t>99%</w:t>
      </w:r>
      <w:bookmarkEnd w:id="241"/>
      <w:bookmarkEnd w:id="242"/>
      <w:bookmarkEnd w:id="243"/>
      <w:bookmarkEnd w:id="244"/>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此外，您对该类项目在今后有什么意见或建议：</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ascii="华文仿宋" w:hAnsi="华文仿宋" w:eastAsia="华文仿宋" w:cs="华文仿宋"/>
          <w:sz w:val="24"/>
          <w:szCs w:val="24"/>
        </w:rPr>
      </w:pPr>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default" w:ascii="华文仿宋" w:hAnsi="华文仿宋" w:eastAsia="华文仿宋" w:cs="华文仿宋"/>
          <w:sz w:val="24"/>
          <w:szCs w:val="24"/>
          <w:lang w:val="en-US" w:eastAsia="zh-CN"/>
        </w:rPr>
      </w:pPr>
      <w:r>
        <w:rPr>
          <w:rFonts w:hint="eastAsia" w:ascii="华文仿宋" w:hAnsi="华文仿宋" w:eastAsia="华文仿宋" w:cs="华文仿宋"/>
          <w:sz w:val="24"/>
          <w:szCs w:val="24"/>
          <w:lang w:val="en-US" w:eastAsia="zh-CN"/>
        </w:rPr>
        <w:t>谢谢您的合作！</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right"/>
        <w:textAlignment w:val="auto"/>
        <w:rPr>
          <w:rFonts w:hint="eastAsia" w:ascii="华文仿宋" w:hAnsi="华文仿宋" w:eastAsia="华文仿宋" w:cs="华文仿宋"/>
          <w:sz w:val="24"/>
          <w:szCs w:val="24"/>
        </w:rPr>
      </w:pPr>
      <w:r>
        <w:rPr>
          <w:rFonts w:hint="eastAsia" w:ascii="华文仿宋" w:hAnsi="华文仿宋" w:eastAsia="华文仿宋" w:cs="华文仿宋"/>
          <w:sz w:val="24"/>
          <w:szCs w:val="24"/>
        </w:rPr>
        <w:t>怀化市鹤城区</w:t>
      </w:r>
      <w:r>
        <w:rPr>
          <w:rFonts w:hint="eastAsia" w:ascii="华文仿宋" w:hAnsi="华文仿宋" w:eastAsia="华文仿宋" w:cs="华文仿宋"/>
          <w:sz w:val="24"/>
          <w:szCs w:val="24"/>
          <w:lang w:val="en-US" w:eastAsia="zh-CN"/>
        </w:rPr>
        <w:t>项目</w:t>
      </w:r>
      <w:r>
        <w:rPr>
          <w:rFonts w:hint="eastAsia" w:ascii="华文仿宋" w:hAnsi="华文仿宋" w:eastAsia="华文仿宋" w:cs="华文仿宋"/>
          <w:sz w:val="24"/>
          <w:szCs w:val="24"/>
        </w:rPr>
        <w:t>资金绩效评价组</w:t>
      </w:r>
    </w:p>
    <w:p>
      <w:pPr>
        <w:keepNext w:val="0"/>
        <w:keepLines w:val="0"/>
        <w:pageBreakBefore w:val="0"/>
        <w:widowControl w:val="0"/>
        <w:kinsoku/>
        <w:wordWrap/>
        <w:overflowPunct/>
        <w:topLinePunct w:val="0"/>
        <w:autoSpaceDE/>
        <w:autoSpaceDN/>
        <w:bidi w:val="0"/>
        <w:adjustRightInd/>
        <w:snapToGrid/>
        <w:spacing w:line="280" w:lineRule="exact"/>
        <w:ind w:right="720" w:firstLine="0" w:firstLineChars="0"/>
        <w:jc w:val="right"/>
        <w:textAlignment w:val="auto"/>
        <w:rPr>
          <w:rFonts w:hint="default"/>
          <w:lang w:val="en-US" w:eastAsia="zh-CN"/>
        </w:rPr>
      </w:pPr>
      <w:r>
        <w:rPr>
          <w:rFonts w:hint="eastAsia" w:ascii="华文仿宋" w:hAnsi="华文仿宋" w:eastAsia="华文仿宋" w:cs="华文仿宋"/>
          <w:sz w:val="24"/>
          <w:szCs w:val="24"/>
        </w:rPr>
        <w:t>2019年</w:t>
      </w:r>
      <w:r>
        <w:rPr>
          <w:rFonts w:hint="eastAsia" w:ascii="华文仿宋" w:hAnsi="华文仿宋" w:eastAsia="华文仿宋" w:cs="华文仿宋"/>
          <w:sz w:val="24"/>
          <w:szCs w:val="24"/>
          <w:lang w:val="en-US" w:eastAsia="zh-CN"/>
        </w:rPr>
        <w:t>9</w:t>
      </w:r>
      <w:r>
        <w:rPr>
          <w:rFonts w:hint="eastAsia" w:ascii="华文仿宋" w:hAnsi="华文仿宋" w:cs="华文仿宋"/>
          <w:sz w:val="24"/>
          <w:szCs w:val="24"/>
          <w:lang w:val="en-US" w:eastAsia="zh-CN"/>
        </w:rPr>
        <w:t>月</w:t>
      </w:r>
    </w:p>
    <w:sectPr>
      <w:footerReference r:id="rId3" w:type="default"/>
      <w:pgSz w:w="11906" w:h="16838"/>
      <w:pgMar w:top="1440" w:right="1474" w:bottom="1440" w:left="1587"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华文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3"/>
                      <w:rPr>
                        <w:rFonts w:hint="eastAsia" w:eastAsia="华文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F86BF1"/>
    <w:multiLevelType w:val="singleLevel"/>
    <w:tmpl w:val="91F86BF1"/>
    <w:lvl w:ilvl="0" w:tentative="0">
      <w:start w:val="1"/>
      <w:numFmt w:val="decimal"/>
      <w:suff w:val="nothing"/>
      <w:lvlText w:val="%1、"/>
      <w:lvlJc w:val="left"/>
    </w:lvl>
  </w:abstractNum>
  <w:abstractNum w:abstractNumId="1">
    <w:nsid w:val="B366420A"/>
    <w:multiLevelType w:val="singleLevel"/>
    <w:tmpl w:val="B366420A"/>
    <w:lvl w:ilvl="0" w:tentative="0">
      <w:start w:val="1"/>
      <w:numFmt w:val="chineseCounting"/>
      <w:suff w:val="nothing"/>
      <w:lvlText w:val="（%1）"/>
      <w:lvlJc w:val="left"/>
      <w:rPr>
        <w:rFonts w:hint="eastAsia"/>
      </w:rPr>
    </w:lvl>
  </w:abstractNum>
  <w:abstractNum w:abstractNumId="2">
    <w:nsid w:val="BBBF2115"/>
    <w:multiLevelType w:val="singleLevel"/>
    <w:tmpl w:val="BBBF2115"/>
    <w:lvl w:ilvl="0" w:tentative="0">
      <w:start w:val="1"/>
      <w:numFmt w:val="chineseCounting"/>
      <w:suff w:val="nothing"/>
      <w:lvlText w:val="%1、"/>
      <w:lvlJc w:val="left"/>
      <w:rPr>
        <w:rFonts w:hint="eastAsia"/>
      </w:rPr>
    </w:lvl>
  </w:abstractNum>
  <w:abstractNum w:abstractNumId="3">
    <w:nsid w:val="C8A2AAFB"/>
    <w:multiLevelType w:val="singleLevel"/>
    <w:tmpl w:val="C8A2AAFB"/>
    <w:lvl w:ilvl="0" w:tentative="0">
      <w:start w:val="1"/>
      <w:numFmt w:val="decimal"/>
      <w:lvlText w:val="%1."/>
      <w:lvlJc w:val="left"/>
      <w:pPr>
        <w:tabs>
          <w:tab w:val="left" w:pos="312"/>
        </w:tabs>
      </w:pPr>
    </w:lvl>
  </w:abstractNum>
  <w:abstractNum w:abstractNumId="4">
    <w:nsid w:val="DD1908F7"/>
    <w:multiLevelType w:val="singleLevel"/>
    <w:tmpl w:val="DD1908F7"/>
    <w:lvl w:ilvl="0" w:tentative="0">
      <w:start w:val="1"/>
      <w:numFmt w:val="decimal"/>
      <w:suff w:val="nothing"/>
      <w:lvlText w:val="（%1）"/>
      <w:lvlJc w:val="left"/>
    </w:lvl>
  </w:abstractNum>
  <w:abstractNum w:abstractNumId="5">
    <w:nsid w:val="ED24D58D"/>
    <w:multiLevelType w:val="singleLevel"/>
    <w:tmpl w:val="ED24D58D"/>
    <w:lvl w:ilvl="0" w:tentative="0">
      <w:start w:val="1"/>
      <w:numFmt w:val="chineseCounting"/>
      <w:suff w:val="nothing"/>
      <w:lvlText w:val="（%1）"/>
      <w:lvlJc w:val="left"/>
      <w:rPr>
        <w:rFonts w:hint="eastAsia"/>
      </w:rPr>
    </w:lvl>
  </w:abstractNum>
  <w:abstractNum w:abstractNumId="6">
    <w:nsid w:val="1ACBA50E"/>
    <w:multiLevelType w:val="singleLevel"/>
    <w:tmpl w:val="1ACBA50E"/>
    <w:lvl w:ilvl="0" w:tentative="0">
      <w:start w:val="1"/>
      <w:numFmt w:val="chineseCounting"/>
      <w:suff w:val="nothing"/>
      <w:lvlText w:val="（%1）"/>
      <w:lvlJc w:val="left"/>
      <w:rPr>
        <w:rFonts w:hint="eastAsia"/>
      </w:rPr>
    </w:lvl>
  </w:abstractNum>
  <w:abstractNum w:abstractNumId="7">
    <w:nsid w:val="2147BE08"/>
    <w:multiLevelType w:val="singleLevel"/>
    <w:tmpl w:val="2147BE08"/>
    <w:lvl w:ilvl="0" w:tentative="0">
      <w:start w:val="1"/>
      <w:numFmt w:val="decimal"/>
      <w:suff w:val="nothing"/>
      <w:lvlText w:val="（%1）"/>
      <w:lvlJc w:val="left"/>
    </w:lvl>
  </w:abstractNum>
  <w:abstractNum w:abstractNumId="8">
    <w:nsid w:val="296967D5"/>
    <w:multiLevelType w:val="multilevel"/>
    <w:tmpl w:val="296967D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21A746B"/>
    <w:multiLevelType w:val="singleLevel"/>
    <w:tmpl w:val="421A746B"/>
    <w:lvl w:ilvl="0" w:tentative="0">
      <w:start w:val="1"/>
      <w:numFmt w:val="decimal"/>
      <w:suff w:val="nothing"/>
      <w:lvlText w:val="（%1）"/>
      <w:lvlJc w:val="left"/>
    </w:lvl>
  </w:abstractNum>
  <w:abstractNum w:abstractNumId="10">
    <w:nsid w:val="72B330D5"/>
    <w:multiLevelType w:val="singleLevel"/>
    <w:tmpl w:val="72B330D5"/>
    <w:lvl w:ilvl="0" w:tentative="0">
      <w:start w:val="1"/>
      <w:numFmt w:val="decimal"/>
      <w:suff w:val="nothing"/>
      <w:lvlText w:val="（%1）"/>
      <w:lvlJc w:val="left"/>
    </w:lvl>
  </w:abstractNum>
  <w:num w:numId="1">
    <w:abstractNumId w:val="2"/>
  </w:num>
  <w:num w:numId="2">
    <w:abstractNumId w:val="6"/>
  </w:num>
  <w:num w:numId="3">
    <w:abstractNumId w:val="5"/>
  </w:num>
  <w:num w:numId="4">
    <w:abstractNumId w:val="4"/>
  </w:num>
  <w:num w:numId="5">
    <w:abstractNumId w:val="3"/>
  </w:num>
  <w:num w:numId="6">
    <w:abstractNumId w:val="10"/>
  </w:num>
  <w:num w:numId="7">
    <w:abstractNumId w:val="9"/>
  </w:num>
  <w:num w:numId="8">
    <w:abstractNumId w:val="7"/>
  </w:num>
  <w:num w:numId="9">
    <w:abstractNumId w:val="1"/>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132B5"/>
    <w:rsid w:val="064730E2"/>
    <w:rsid w:val="06E71678"/>
    <w:rsid w:val="083C6AEA"/>
    <w:rsid w:val="10191A4A"/>
    <w:rsid w:val="1A6144BA"/>
    <w:rsid w:val="1B142D7A"/>
    <w:rsid w:val="23962772"/>
    <w:rsid w:val="2CD747BA"/>
    <w:rsid w:val="2EA24C3F"/>
    <w:rsid w:val="336C0E08"/>
    <w:rsid w:val="37A31787"/>
    <w:rsid w:val="37AB1CB1"/>
    <w:rsid w:val="3BF32917"/>
    <w:rsid w:val="4163349B"/>
    <w:rsid w:val="445C35E8"/>
    <w:rsid w:val="456110F2"/>
    <w:rsid w:val="4C3616AA"/>
    <w:rsid w:val="4CCD3937"/>
    <w:rsid w:val="596A1E3C"/>
    <w:rsid w:val="5A4E2F33"/>
    <w:rsid w:val="5A9E7140"/>
    <w:rsid w:val="5AA619CA"/>
    <w:rsid w:val="609511B3"/>
    <w:rsid w:val="60B43B73"/>
    <w:rsid w:val="63EA32E6"/>
    <w:rsid w:val="643D2D98"/>
    <w:rsid w:val="66633A66"/>
    <w:rsid w:val="6FF876CF"/>
    <w:rsid w:val="717471A0"/>
    <w:rsid w:val="761E57AD"/>
    <w:rsid w:val="7B533FAE"/>
    <w:rsid w:val="7BF60482"/>
    <w:rsid w:val="7C374497"/>
    <w:rsid w:val="7E6B0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1" w:firstLineChars="200"/>
      <w:jc w:val="both"/>
    </w:pPr>
    <w:rPr>
      <w:rFonts w:eastAsia="华文仿宋" w:asciiTheme="minorAscii" w:hAnsiTheme="minorAscii" w:cstheme="minorBidi"/>
      <w:kern w:val="2"/>
      <w:sz w:val="32"/>
      <w:szCs w:val="22"/>
      <w:lang w:val="en-US" w:eastAsia="zh-CN" w:bidi="ar-SA"/>
    </w:rPr>
  </w:style>
  <w:style w:type="paragraph" w:styleId="2">
    <w:name w:val="heading 1"/>
    <w:basedOn w:val="1"/>
    <w:next w:val="1"/>
    <w:link w:val="9"/>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标题 1 Char"/>
    <w:link w:val="2"/>
    <w:qFormat/>
    <w:uiPriority w:val="0"/>
    <w:rPr>
      <w:b/>
      <w:kern w:val="44"/>
      <w:sz w:val="44"/>
    </w:rPr>
  </w:style>
  <w:style w:type="paragraph" w:customStyle="1" w:styleId="10">
    <w:name w:val="WPSOffice手动目录 1"/>
    <w:qFormat/>
    <w:uiPriority w:val="0"/>
    <w:pPr>
      <w:ind w:leftChars="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50982f-d5d3-4082-a906-b72fb6dc315c}"/>
        <w:style w:val=""/>
        <w:category>
          <w:name w:val="常规"/>
          <w:gallery w:val="placeholder"/>
        </w:category>
        <w:types>
          <w:type w:val="bbPlcHdr"/>
        </w:types>
        <w:behaviors>
          <w:behavior w:val="content"/>
        </w:behaviors>
        <w:description w:val=""/>
        <w:guid w:val="{de50982f-d5d3-4082-a906-b72fb6dc315c}"/>
      </w:docPartPr>
      <w:docPartBody>
        <w:p>
          <w:r>
            <w:rPr>
              <w:color w:val="808080"/>
            </w:rPr>
            <w:t>单击此处输入文字。</w:t>
          </w:r>
        </w:p>
      </w:docPartBody>
    </w:docPart>
    <w:docPart>
      <w:docPartPr>
        <w:name w:val="{e28a2577-308e-4b83-8765-2049f7ad944c}"/>
        <w:style w:val=""/>
        <w:category>
          <w:name w:val="常规"/>
          <w:gallery w:val="placeholder"/>
        </w:category>
        <w:types>
          <w:type w:val="bbPlcHdr"/>
        </w:types>
        <w:behaviors>
          <w:behavior w:val="content"/>
        </w:behaviors>
        <w:description w:val=""/>
        <w:guid w:val="{e28a2577-308e-4b83-8765-2049f7ad944c}"/>
      </w:docPartPr>
      <w:docPartBody>
        <w:p>
          <w:r>
            <w:rPr>
              <w:color w:val="808080"/>
            </w:rPr>
            <w:t>单击此处输入文字。</w:t>
          </w:r>
        </w:p>
      </w:docPartBody>
    </w:docPart>
    <w:docPart>
      <w:docPartPr>
        <w:name w:val="{e5fd7e4c-90fa-4389-b9ed-512039be6914}"/>
        <w:style w:val=""/>
        <w:category>
          <w:name w:val="常规"/>
          <w:gallery w:val="placeholder"/>
        </w:category>
        <w:types>
          <w:type w:val="bbPlcHdr"/>
        </w:types>
        <w:behaviors>
          <w:behavior w:val="content"/>
        </w:behaviors>
        <w:description w:val=""/>
        <w:guid w:val="{e5fd7e4c-90fa-4389-b9ed-512039be6914}"/>
      </w:docPartPr>
      <w:docPartBody>
        <w:p>
          <w:r>
            <w:rPr>
              <w:color w:val="808080"/>
            </w:rPr>
            <w:t>单击此处输入文字。</w:t>
          </w:r>
        </w:p>
      </w:docPartBody>
    </w:docPart>
    <w:docPart>
      <w:docPartPr>
        <w:name w:val="{7a3e90b7-5443-47b7-bfda-4d6eda08b29d}"/>
        <w:style w:val=""/>
        <w:category>
          <w:name w:val="常规"/>
          <w:gallery w:val="placeholder"/>
        </w:category>
        <w:types>
          <w:type w:val="bbPlcHdr"/>
        </w:types>
        <w:behaviors>
          <w:behavior w:val="content"/>
        </w:behaviors>
        <w:description w:val=""/>
        <w:guid w:val="{7a3e90b7-5443-47b7-bfda-4d6eda08b29d}"/>
      </w:docPartPr>
      <w:docPartBody>
        <w:p>
          <w:r>
            <w:rPr>
              <w:color w:val="808080"/>
            </w:rPr>
            <w:t>单击此处输入文字。</w:t>
          </w:r>
        </w:p>
      </w:docPartBody>
    </w:docPart>
    <w:docPart>
      <w:docPartPr>
        <w:name w:val="{45b81753-c65d-4233-a74d-527bbe4c2dd4}"/>
        <w:style w:val=""/>
        <w:category>
          <w:name w:val="常规"/>
          <w:gallery w:val="placeholder"/>
        </w:category>
        <w:types>
          <w:type w:val="bbPlcHdr"/>
        </w:types>
        <w:behaviors>
          <w:behavior w:val="content"/>
        </w:behaviors>
        <w:description w:val=""/>
        <w:guid w:val="{45b81753-c65d-4233-a74d-527bbe4c2dd4}"/>
      </w:docPartPr>
      <w:docPartBody>
        <w:p>
          <w:r>
            <w:rPr>
              <w:color w:val="808080"/>
            </w:rPr>
            <w:t>单击此处输入文字。</w:t>
          </w:r>
        </w:p>
      </w:docPartBody>
    </w:docPart>
    <w:docPart>
      <w:docPartPr>
        <w:name w:val="{0a9a689d-f528-45e9-b49d-df6e32824e54}"/>
        <w:style w:val=""/>
        <w:category>
          <w:name w:val="常规"/>
          <w:gallery w:val="placeholder"/>
        </w:category>
        <w:types>
          <w:type w:val="bbPlcHdr"/>
        </w:types>
        <w:behaviors>
          <w:behavior w:val="content"/>
        </w:behaviors>
        <w:description w:val=""/>
        <w:guid w:val="{0a9a689d-f528-45e9-b49d-df6e32824e54}"/>
      </w:docPartPr>
      <w:docPartBody>
        <w:p>
          <w:r>
            <w:rPr>
              <w:color w:val="808080"/>
            </w:rPr>
            <w:t>单击此处输入文字。</w:t>
          </w:r>
        </w:p>
      </w:docPartBody>
    </w:docPart>
    <w:docPart>
      <w:docPartPr>
        <w:name w:val="{378d577d-a331-4191-898f-29319fc168b3}"/>
        <w:style w:val=""/>
        <w:category>
          <w:name w:val="常规"/>
          <w:gallery w:val="placeholder"/>
        </w:category>
        <w:types>
          <w:type w:val="bbPlcHdr"/>
        </w:types>
        <w:behaviors>
          <w:behavior w:val="content"/>
        </w:behaviors>
        <w:description w:val=""/>
        <w:guid w:val="{378d577d-a331-4191-898f-29319fc168b3}"/>
      </w:docPartPr>
      <w:docPartBody>
        <w:p>
          <w:r>
            <w:rPr>
              <w:color w:val="808080"/>
            </w:rPr>
            <w:t>单击此处输入文字。</w:t>
          </w:r>
        </w:p>
      </w:docPartBody>
    </w:docPart>
    <w:docPart>
      <w:docPartPr>
        <w:name w:val="{bd67d9d5-626c-4d30-a9af-4e7e496b64c1}"/>
        <w:style w:val=""/>
        <w:category>
          <w:name w:val="常规"/>
          <w:gallery w:val="placeholder"/>
        </w:category>
        <w:types>
          <w:type w:val="bbPlcHdr"/>
        </w:types>
        <w:behaviors>
          <w:behavior w:val="content"/>
        </w:behaviors>
        <w:description w:val=""/>
        <w:guid w:val="{bd67d9d5-626c-4d30-a9af-4e7e496b64c1}"/>
      </w:docPartPr>
      <w:docPartBody>
        <w:p>
          <w:r>
            <w:rPr>
              <w:color w:val="808080"/>
            </w:rPr>
            <w:t>单击此处输入文字。</w:t>
          </w:r>
        </w:p>
      </w:docPartBody>
    </w:docPart>
    <w:docPart>
      <w:docPartPr>
        <w:name w:val="{b77cf839-3587-4f2e-be78-57a6f9cec35f}"/>
        <w:style w:val=""/>
        <w:category>
          <w:name w:val="常规"/>
          <w:gallery w:val="placeholder"/>
        </w:category>
        <w:types>
          <w:type w:val="bbPlcHdr"/>
        </w:types>
        <w:behaviors>
          <w:behavior w:val="content"/>
        </w:behaviors>
        <w:description w:val=""/>
        <w:guid w:val="{b77cf839-3587-4f2e-be78-57a6f9cec35f}"/>
      </w:docPartPr>
      <w:docPartBody>
        <w:p>
          <w:r>
            <w:rPr>
              <w:color w:val="808080"/>
            </w:rPr>
            <w:t>单击此处输入文字。</w:t>
          </w:r>
        </w:p>
      </w:docPartBody>
    </w:docPart>
    <w:docPart>
      <w:docPartPr>
        <w:name w:val="{528ff3a8-7efa-469a-a5cd-f8523b5e77a9}"/>
        <w:style w:val=""/>
        <w:category>
          <w:name w:val="常规"/>
          <w:gallery w:val="placeholder"/>
        </w:category>
        <w:types>
          <w:type w:val="bbPlcHdr"/>
        </w:types>
        <w:behaviors>
          <w:behavior w:val="content"/>
        </w:behaviors>
        <w:description w:val=""/>
        <w:guid w:val="{528ff3a8-7efa-469a-a5cd-f8523b5e77a9}"/>
      </w:docPartPr>
      <w:docPartBody>
        <w:p>
          <w:r>
            <w:rPr>
              <w:color w:val="808080"/>
            </w:rPr>
            <w:t>单击此处输入文字。</w:t>
          </w:r>
        </w:p>
      </w:docPartBody>
    </w:docPart>
    <w:docPart>
      <w:docPartPr>
        <w:name w:val="{b99db4ca-c269-4752-badd-78452149ea1b}"/>
        <w:style w:val=""/>
        <w:category>
          <w:name w:val="常规"/>
          <w:gallery w:val="placeholder"/>
        </w:category>
        <w:types>
          <w:type w:val="bbPlcHdr"/>
        </w:types>
        <w:behaviors>
          <w:behavior w:val="content"/>
        </w:behaviors>
        <w:description w:val=""/>
        <w:guid w:val="{b99db4ca-c269-4752-badd-78452149ea1b}"/>
      </w:docPartPr>
      <w:docPartBody>
        <w:p>
          <w:r>
            <w:rPr>
              <w:color w:val="808080"/>
            </w:rPr>
            <w:t>单击此处输入文字。</w:t>
          </w:r>
        </w:p>
      </w:docPartBody>
    </w:docPart>
    <w:docPart>
      <w:docPartPr>
        <w:name w:val="{2659e867-0393-494a-af58-1681420693c1}"/>
        <w:style w:val=""/>
        <w:category>
          <w:name w:val="常规"/>
          <w:gallery w:val="placeholder"/>
        </w:category>
        <w:types>
          <w:type w:val="bbPlcHdr"/>
        </w:types>
        <w:behaviors>
          <w:behavior w:val="content"/>
        </w:behaviors>
        <w:description w:val=""/>
        <w:guid w:val="{2659e867-0393-494a-af58-1681420693c1}"/>
      </w:docPartPr>
      <w:docPartBody>
        <w:p>
          <w:r>
            <w:rPr>
              <w:color w:val="808080"/>
            </w:rPr>
            <w:t>单击此处输入文字。</w:t>
          </w:r>
        </w:p>
      </w:docPartBody>
    </w:docPart>
    <w:docPart>
      <w:docPartPr>
        <w:name w:val="{400c4f05-8744-4039-a0b7-63ba3c753d4f}"/>
        <w:style w:val=""/>
        <w:category>
          <w:name w:val="常规"/>
          <w:gallery w:val="placeholder"/>
        </w:category>
        <w:types>
          <w:type w:val="bbPlcHdr"/>
        </w:types>
        <w:behaviors>
          <w:behavior w:val="content"/>
        </w:behaviors>
        <w:description w:val=""/>
        <w:guid w:val="{400c4f05-8744-4039-a0b7-63ba3c753d4f}"/>
      </w:docPartPr>
      <w:docPartBody>
        <w:p>
          <w:r>
            <w:rPr>
              <w:color w:val="808080"/>
            </w:rPr>
            <w:t>单击此处输入文字。</w:t>
          </w:r>
        </w:p>
      </w:docPartBody>
    </w:docPart>
    <w:docPart>
      <w:docPartPr>
        <w:name w:val="{73df4bc1-9af7-405a-8f4c-9ba98fd0440d}"/>
        <w:style w:val=""/>
        <w:category>
          <w:name w:val="常规"/>
          <w:gallery w:val="placeholder"/>
        </w:category>
        <w:types>
          <w:type w:val="bbPlcHdr"/>
        </w:types>
        <w:behaviors>
          <w:behavior w:val="content"/>
        </w:behaviors>
        <w:description w:val=""/>
        <w:guid w:val="{73df4bc1-9af7-405a-8f4c-9ba98fd0440d}"/>
      </w:docPartPr>
      <w:docPartBody>
        <w:p>
          <w:r>
            <w:rPr>
              <w:color w:val="808080"/>
            </w:rPr>
            <w:t>单击此处输入文字。</w:t>
          </w:r>
        </w:p>
      </w:docPartBody>
    </w:docPart>
    <w:docPart>
      <w:docPartPr>
        <w:name w:val="{df06e076-d720-4d66-82eb-db350c0ffbcd}"/>
        <w:style w:val=""/>
        <w:category>
          <w:name w:val="常规"/>
          <w:gallery w:val="placeholder"/>
        </w:category>
        <w:types>
          <w:type w:val="bbPlcHdr"/>
        </w:types>
        <w:behaviors>
          <w:behavior w:val="content"/>
        </w:behaviors>
        <w:description w:val=""/>
        <w:guid w:val="{df06e076-d720-4d66-82eb-db350c0ffbcd}"/>
      </w:docPartPr>
      <w:docPartBody>
        <w:p>
          <w:r>
            <w:rPr>
              <w:color w:val="808080"/>
            </w:rPr>
            <w:t>单击此处输入文字。</w:t>
          </w:r>
        </w:p>
      </w:docPartBody>
    </w:docPart>
    <w:docPart>
      <w:docPartPr>
        <w:name w:val="{73adea3b-bed9-4ac6-b128-aaef275f72aa}"/>
        <w:style w:val=""/>
        <w:category>
          <w:name w:val="常规"/>
          <w:gallery w:val="placeholder"/>
        </w:category>
        <w:types>
          <w:type w:val="bbPlcHdr"/>
        </w:types>
        <w:behaviors>
          <w:behavior w:val="content"/>
        </w:behaviors>
        <w:description w:val=""/>
        <w:guid w:val="{73adea3b-bed9-4ac6-b128-aaef275f72aa}"/>
      </w:docPartPr>
      <w:docPartBody>
        <w:p>
          <w:r>
            <w:rPr>
              <w:color w:val="808080"/>
            </w:rPr>
            <w:t>单击此处输入文字。</w:t>
          </w:r>
        </w:p>
      </w:docPartBody>
    </w:docPart>
    <w:docPart>
      <w:docPartPr>
        <w:name w:val="{79cf518d-689c-47dd-a0df-f9bb29a690f7}"/>
        <w:style w:val=""/>
        <w:category>
          <w:name w:val="常规"/>
          <w:gallery w:val="placeholder"/>
        </w:category>
        <w:types>
          <w:type w:val="bbPlcHdr"/>
        </w:types>
        <w:behaviors>
          <w:behavior w:val="content"/>
        </w:behaviors>
        <w:description w:val=""/>
        <w:guid w:val="{79cf518d-689c-47dd-a0df-f9bb29a690f7}"/>
      </w:docPartPr>
      <w:docPartBody>
        <w:p>
          <w:r>
            <w:rPr>
              <w:color w:val="808080"/>
            </w:rPr>
            <w:t>单击此处输入文字。</w:t>
          </w:r>
        </w:p>
      </w:docPartBody>
    </w:docPart>
    <w:docPart>
      <w:docPartPr>
        <w:name w:val="{48ee7e88-85c8-4d0e-a98a-af1616c073e3}"/>
        <w:style w:val=""/>
        <w:category>
          <w:name w:val="常规"/>
          <w:gallery w:val="placeholder"/>
        </w:category>
        <w:types>
          <w:type w:val="bbPlcHdr"/>
        </w:types>
        <w:behaviors>
          <w:behavior w:val="content"/>
        </w:behaviors>
        <w:description w:val=""/>
        <w:guid w:val="{48ee7e88-85c8-4d0e-a98a-af1616c073e3}"/>
      </w:docPartPr>
      <w:docPartBody>
        <w:p>
          <w:r>
            <w:rPr>
              <w:color w:val="808080"/>
            </w:rPr>
            <w:t>单击此处输入文字。</w:t>
          </w:r>
        </w:p>
      </w:docPartBody>
    </w:docPart>
    <w:docPart>
      <w:docPartPr>
        <w:name w:val="{fd9d72e2-2521-4820-9ce1-d41132ab2777}"/>
        <w:style w:val=""/>
        <w:category>
          <w:name w:val="常规"/>
          <w:gallery w:val="placeholder"/>
        </w:category>
        <w:types>
          <w:type w:val="bbPlcHdr"/>
        </w:types>
        <w:behaviors>
          <w:behavior w:val="content"/>
        </w:behaviors>
        <w:description w:val=""/>
        <w:guid w:val="{fd9d72e2-2521-4820-9ce1-d41132ab2777}"/>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2019-10-16T07:21:00Z</dcterms:created>
  <dc:creator>Administrator.BF-20190821KPWS</dc:creator>
  <cp:lastModifiedBy>Administrator</cp:lastModifiedBy>
  <dcterms:modified xsi:type="dcterms:W3CDTF">2019-10-28T06:48:47Z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