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left="0" w:leftChars="0" w:firstLine="0" w:firstLineChars="0"/>
      </w:pPr>
      <w:r>
        <w:drawing>
          <wp:inline distT="0" distB="0" distL="0" distR="0">
            <wp:extent cx="1931035" cy="756285"/>
            <wp:effectExtent l="0" t="0" r="1206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931035" cy="756285"/>
                    </a:xfrm>
                    <a:prstGeom prst="rect">
                      <a:avLst/>
                    </a:prstGeom>
                    <a:noFill/>
                  </pic:spPr>
                </pic:pic>
              </a:graphicData>
            </a:graphic>
          </wp:inline>
        </w:drawing>
      </w:r>
    </w:p>
    <w:p/>
    <w:p>
      <w:pPr>
        <w:spacing w:line="600" w:lineRule="exact"/>
        <w:ind w:firstLine="0" w:firstLineChars="0"/>
        <w:jc w:val="center"/>
        <w:rPr>
          <w:rFonts w:hint="eastAsia"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怀化市鹤城区2018年度</w:t>
      </w:r>
      <w:r>
        <w:rPr>
          <w:rFonts w:hint="eastAsia" w:ascii="华文中宋" w:hAnsi="华文中宋" w:eastAsia="华文中宋"/>
          <w:b/>
          <w:bCs/>
          <w:color w:val="000000" w:themeColor="text1"/>
          <w:kern w:val="0"/>
          <w:sz w:val="44"/>
          <w:szCs w:val="44"/>
          <w:lang w:eastAsia="zh-CN"/>
          <w14:textFill>
            <w14:solidFill>
              <w14:schemeClr w14:val="tx1"/>
            </w14:solidFill>
          </w14:textFill>
        </w:rPr>
        <w:t>教师培训</w:t>
      </w:r>
      <w:r>
        <w:rPr>
          <w:rFonts w:hint="eastAsia" w:ascii="华文中宋" w:hAnsi="华文中宋" w:eastAsia="华文中宋"/>
          <w:b/>
          <w:bCs/>
          <w:color w:val="000000" w:themeColor="text1"/>
          <w:kern w:val="0"/>
          <w:sz w:val="44"/>
          <w:szCs w:val="44"/>
          <w14:textFill>
            <w14:solidFill>
              <w14:schemeClr w14:val="tx1"/>
            </w14:solidFill>
          </w14:textFill>
        </w:rPr>
        <w:t>专项</w:t>
      </w:r>
    </w:p>
    <w:p>
      <w:pPr>
        <w:spacing w:line="600" w:lineRule="exact"/>
        <w:ind w:firstLine="0" w:firstLineChars="0"/>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资金绩效评价</w:t>
      </w:r>
      <w:r>
        <w:rPr>
          <w:rFonts w:hint="eastAsia" w:ascii="华文中宋" w:hAnsi="华文中宋" w:eastAsia="华文中宋"/>
          <w:b/>
          <w:bCs/>
          <w:color w:val="000000" w:themeColor="text1"/>
          <w:kern w:val="0"/>
          <w:sz w:val="44"/>
          <w:szCs w:val="44"/>
          <w:lang w:eastAsia="zh-CN"/>
          <w14:textFill>
            <w14:solidFill>
              <w14:schemeClr w14:val="tx1"/>
            </w14:solidFill>
          </w14:textFill>
        </w:rPr>
        <w:t>报</w:t>
      </w:r>
      <w:r>
        <w:rPr>
          <w:rFonts w:hint="eastAsia" w:ascii="华文中宋" w:hAnsi="华文中宋" w:eastAsia="华文中宋"/>
          <w:b/>
          <w:bCs/>
          <w:color w:val="000000" w:themeColor="text1"/>
          <w:kern w:val="0"/>
          <w:sz w:val="44"/>
          <w:szCs w:val="44"/>
          <w14:textFill>
            <w14:solidFill>
              <w14:schemeClr w14:val="tx1"/>
            </w14:solidFill>
          </w14:textFill>
        </w:rPr>
        <w:t>告</w:t>
      </w:r>
    </w:p>
    <w:p>
      <w:pPr>
        <w:spacing w:line="800" w:lineRule="exact"/>
        <w:ind w:firstLine="198" w:firstLineChars="62"/>
        <w:rPr>
          <w:rFonts w:ascii="仿宋_GB2312" w:eastAsia="仿宋_GB2312"/>
          <w:color w:val="000000" w:themeColor="text1"/>
          <w14:textFill>
            <w14:solidFill>
              <w14:schemeClr w14:val="tx1"/>
            </w14:solidFill>
          </w14:textFill>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adjustRightInd w:val="0"/>
        <w:snapToGrid w:val="0"/>
        <w:spacing w:line="360" w:lineRule="auto"/>
        <w:ind w:firstLine="1600" w:firstLineChars="500"/>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委托部门：</w:t>
      </w:r>
      <w:r>
        <w:rPr>
          <w:rFonts w:hint="eastAsia" w:ascii="仿宋_GB2312" w:hAnsi="Times New Roman" w:eastAsia="仿宋_GB2312" w:cs="Times New Roman"/>
          <w:color w:val="000000"/>
          <w:sz w:val="32"/>
          <w:szCs w:val="32"/>
          <w:u w:val="single"/>
        </w:rPr>
        <w:t xml:space="preserve">怀化市鹤城区财政局              </w:t>
      </w:r>
    </w:p>
    <w:p>
      <w:pPr>
        <w:adjustRightInd w:val="0"/>
        <w:snapToGrid w:val="0"/>
        <w:spacing w:line="360" w:lineRule="auto"/>
        <w:ind w:firstLine="1600" w:firstLineChars="500"/>
        <w:rPr>
          <w:rFonts w:ascii="仿宋_GB2312" w:hAnsi="Times New Roman" w:eastAsia="仿宋_GB2312" w:cs="Times New Roman"/>
          <w:color w:val="000000"/>
          <w:sz w:val="32"/>
          <w:szCs w:val="32"/>
          <w:u w:val="single"/>
        </w:rPr>
      </w:pPr>
      <w:r>
        <w:rPr>
          <w:rFonts w:hint="eastAsia" w:ascii="仿宋_GB2312" w:hAnsi="Times New Roman" w:eastAsia="仿宋_GB2312" w:cs="Times New Roman"/>
          <w:color w:val="000000"/>
          <w:sz w:val="32"/>
          <w:szCs w:val="32"/>
        </w:rPr>
        <w:t>受</w:t>
      </w:r>
      <w:r>
        <w:rPr>
          <w:rFonts w:ascii="仿宋_GB2312" w:hAnsi="Times New Roman" w:eastAsia="仿宋_GB2312" w:cs="Times New Roman"/>
          <w:color w:val="000000"/>
          <w:sz w:val="32"/>
          <w:szCs w:val="32"/>
        </w:rPr>
        <w:t>评</w:t>
      </w:r>
      <w:r>
        <w:rPr>
          <w:rFonts w:hint="eastAsia" w:ascii="仿宋_GB2312" w:hAnsi="Times New Roman" w:eastAsia="仿宋_GB2312" w:cs="Times New Roman"/>
          <w:color w:val="000000"/>
          <w:sz w:val="32"/>
          <w:szCs w:val="32"/>
        </w:rPr>
        <w:t>单位：</w:t>
      </w:r>
      <w:r>
        <w:rPr>
          <w:rFonts w:hint="eastAsia" w:ascii="仿宋_GB2312" w:hAnsi="Times New Roman" w:eastAsia="仿宋_GB2312" w:cs="Times New Roman"/>
          <w:color w:val="000000"/>
          <w:sz w:val="32"/>
          <w:szCs w:val="32"/>
          <w:u w:val="single"/>
        </w:rPr>
        <w:t>怀化市</w:t>
      </w:r>
      <w:r>
        <w:rPr>
          <w:rFonts w:hint="eastAsia" w:ascii="仿宋_GB2312" w:hAnsi="Times New Roman" w:eastAsia="仿宋_GB2312" w:cs="Times New Roman"/>
          <w:color w:val="000000"/>
          <w:sz w:val="32"/>
          <w:szCs w:val="32"/>
          <w:u w:val="single"/>
          <w:lang w:val="en-US" w:eastAsia="zh-CN"/>
        </w:rPr>
        <w:t>鹤城区教育局</w:t>
      </w:r>
      <w:r>
        <w:rPr>
          <w:rFonts w:hint="eastAsia" w:ascii="仿宋_GB2312" w:hAnsi="Times New Roman" w:eastAsia="仿宋_GB2312" w:cs="Times New Roman"/>
          <w:color w:val="000000"/>
          <w:sz w:val="32"/>
          <w:szCs w:val="32"/>
          <w:u w:val="single"/>
        </w:rPr>
        <w:t xml:space="preserve">              </w:t>
      </w:r>
    </w:p>
    <w:p>
      <w:pPr>
        <w:adjustRightInd w:val="0"/>
        <w:snapToGrid w:val="0"/>
        <w:spacing w:line="360" w:lineRule="auto"/>
        <w:ind w:firstLine="1600" w:firstLineChars="500"/>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评价机构</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u w:val="single"/>
        </w:rPr>
        <w:t>湖南惟楚创智</w:t>
      </w:r>
      <w:r>
        <w:rPr>
          <w:rFonts w:ascii="仿宋_GB2312" w:hAnsi="Times New Roman" w:eastAsia="仿宋_GB2312" w:cs="Times New Roman"/>
          <w:color w:val="000000"/>
          <w:sz w:val="32"/>
          <w:szCs w:val="32"/>
          <w:u w:val="single"/>
        </w:rPr>
        <w:t>经济咨询有限责任公司</w:t>
      </w:r>
      <w:r>
        <w:rPr>
          <w:rFonts w:hint="eastAsia" w:ascii="仿宋_GB2312" w:hAnsi="Times New Roman" w:eastAsia="仿宋_GB2312" w:cs="Times New Roman"/>
          <w:color w:val="000000"/>
          <w:sz w:val="32"/>
          <w:szCs w:val="32"/>
        </w:rPr>
        <w:t xml:space="preserve"> </w:t>
      </w: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spacing w:line="360" w:lineRule="auto"/>
        <w:ind w:firstLine="640"/>
        <w:jc w:val="center"/>
        <w:rPr>
          <w:rFonts w:ascii="方正小标宋简体" w:hAnsi="黑体" w:eastAsia="方正小标宋简体"/>
          <w:color w:val="000000" w:themeColor="text1"/>
          <w:sz w:val="36"/>
          <w:szCs w:val="36"/>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二零一九</w:t>
      </w:r>
      <w:r>
        <w:rPr>
          <w:rFonts w:ascii="仿宋_GB2312" w:hAnsi="仿宋" w:eastAsia="仿宋_GB2312"/>
          <w:color w:val="000000" w:themeColor="text1"/>
          <w14:textFill>
            <w14:solidFill>
              <w14:schemeClr w14:val="tx1"/>
            </w14:solidFill>
          </w14:textFill>
        </w:rPr>
        <w:t>年</w:t>
      </w:r>
      <w:r>
        <w:rPr>
          <w:rFonts w:hint="eastAsia" w:ascii="仿宋_GB2312" w:hAnsi="仿宋" w:eastAsia="仿宋_GB2312"/>
          <w:color w:val="000000" w:themeColor="text1"/>
          <w:lang w:val="en-US" w:eastAsia="zh-CN"/>
          <w14:textFill>
            <w14:solidFill>
              <w14:schemeClr w14:val="tx1"/>
            </w14:solidFill>
          </w14:textFill>
        </w:rPr>
        <w:t>十</w:t>
      </w:r>
      <w:r>
        <w:rPr>
          <w:rFonts w:ascii="仿宋_GB2312" w:hAnsi="仿宋" w:eastAsia="仿宋_GB2312"/>
          <w:color w:val="000000" w:themeColor="text1"/>
          <w14:textFill>
            <w14:solidFill>
              <w14:schemeClr w14:val="tx1"/>
            </w14:solidFill>
          </w14:textFill>
        </w:rPr>
        <w:t>月</w:t>
      </w:r>
    </w:p>
    <w:p>
      <w:pPr>
        <w:ind w:left="0" w:leftChars="0" w:firstLine="0" w:firstLineChars="0"/>
        <w:rPr>
          <w:rFonts w:hint="default"/>
          <w:lang w:val="en-US" w:eastAsia="zh-CN"/>
        </w:rPr>
      </w:pPr>
    </w:p>
    <w:p>
      <w:pPr>
        <w:spacing w:before="0" w:beforeLines="0" w:after="0" w:afterLines="0" w:line="240" w:lineRule="auto"/>
        <w:ind w:left="0" w:leftChars="0" w:right="0" w:rightChars="0" w:firstLine="0" w:firstLineChars="0"/>
        <w:jc w:val="center"/>
        <w:rPr>
          <w:rFonts w:hint="eastAsia" w:ascii="华文楷体" w:hAnsi="华文楷体" w:eastAsia="华文楷体" w:cs="华文楷体"/>
          <w:b/>
          <w:bCs/>
          <w:kern w:val="2"/>
          <w:sz w:val="32"/>
          <w:szCs w:val="32"/>
          <w:lang w:val="en-US" w:eastAsia="zh-CN" w:bidi="ar-SA"/>
        </w:rPr>
        <w:sectPr>
          <w:pgSz w:w="11906" w:h="16838"/>
          <w:pgMar w:top="1440" w:right="1474" w:bottom="1440" w:left="1587"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p>
    <w:sdt>
      <w:sdtPr>
        <w:rPr>
          <w:rFonts w:ascii="宋体" w:hAnsi="宋体" w:eastAsia="宋体" w:cstheme="minorBidi"/>
          <w:kern w:val="2"/>
          <w:sz w:val="21"/>
          <w:szCs w:val="24"/>
          <w:lang w:val="en-US" w:eastAsia="zh-CN" w:bidi="ar-SA"/>
        </w:rPr>
        <w:id w:val="147476535"/>
        <w15:color w:val="DBDBDB"/>
        <w:docPartObj>
          <w:docPartGallery w:val="Table of Contents"/>
          <w:docPartUnique/>
        </w:docPartObj>
      </w:sdtPr>
      <w:sdtEndPr>
        <w:rPr>
          <w:rFonts w:asciiTheme="minorHAnsi" w:hAnsiTheme="minorHAnsi" w:eastAsiaTheme="minorEastAsia" w:cstheme="minorBidi"/>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1474_WPSOffice_Type3"/>
          <w:r>
            <w:rPr>
              <w:rFonts w:hint="eastAsia" w:ascii="华文中宋" w:hAnsi="华文中宋" w:eastAsia="华文中宋" w:cs="华文中宋"/>
              <w:b/>
              <w:bCs/>
              <w:sz w:val="36"/>
              <w:szCs w:val="36"/>
            </w:rPr>
            <w:t>目录</w:t>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_Toc25181_WPSOffice_Level1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c97ef302-0aa7-46a2-9fbf-7844114e8788}"/>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一、 项目基本情况</w:t>
              </w:r>
            </w:sdtContent>
          </w:sdt>
          <w:r>
            <w:rPr>
              <w:sz w:val="24"/>
              <w:szCs w:val="24"/>
            </w:rPr>
            <w:tab/>
          </w:r>
          <w:bookmarkStart w:id="1" w:name="_Toc25181_WPSOffice_Level1Page"/>
          <w:r>
            <w:rPr>
              <w:sz w:val="24"/>
              <w:szCs w:val="24"/>
            </w:rPr>
            <w:t>2</w:t>
          </w:r>
          <w:bookmarkEnd w:id="1"/>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_Toc1474_WPSOffice_Level2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f2e734d0-cef1-44d1-b7ca-eb9eae8db745}"/>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imes New Roman"/>
                  <w:sz w:val="24"/>
                  <w:szCs w:val="24"/>
                </w:rPr>
                <w:t>（一） 受评单位相关职责</w:t>
              </w:r>
            </w:sdtContent>
          </w:sdt>
          <w:r>
            <w:rPr>
              <w:sz w:val="24"/>
              <w:szCs w:val="24"/>
            </w:rPr>
            <w:tab/>
          </w:r>
          <w:bookmarkStart w:id="2" w:name="_Toc1474_WPSOffice_Level2Page"/>
          <w:r>
            <w:rPr>
              <w:sz w:val="24"/>
              <w:szCs w:val="24"/>
            </w:rPr>
            <w:t>2</w:t>
          </w:r>
          <w:bookmarkEnd w:id="2"/>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_Toc25181_WPSOffice_Level2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4c35266c-1e7c-4ce3-af6a-d1add7f3dbb7}"/>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imes New Roman"/>
                  <w:sz w:val="24"/>
                  <w:szCs w:val="24"/>
                </w:rPr>
                <w:t>（二） 项目计划安排及实施情况</w:t>
              </w:r>
            </w:sdtContent>
          </w:sdt>
          <w:r>
            <w:rPr>
              <w:sz w:val="24"/>
              <w:szCs w:val="24"/>
            </w:rPr>
            <w:tab/>
          </w:r>
          <w:bookmarkStart w:id="3" w:name="_Toc25181_WPSOffice_Level2Page"/>
          <w:r>
            <w:rPr>
              <w:sz w:val="24"/>
              <w:szCs w:val="24"/>
            </w:rPr>
            <w:t>2</w:t>
          </w:r>
          <w:bookmarkEnd w:id="3"/>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_Toc10087_WPSOffice_Level2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cc003f7d-173a-4123-85a0-a7d4607ad199}"/>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imes New Roman"/>
                  <w:sz w:val="24"/>
                  <w:szCs w:val="24"/>
                </w:rPr>
                <w:t>（三） 项目资金安排及使用情况</w:t>
              </w:r>
            </w:sdtContent>
          </w:sdt>
          <w:r>
            <w:rPr>
              <w:sz w:val="24"/>
              <w:szCs w:val="24"/>
            </w:rPr>
            <w:tab/>
          </w:r>
          <w:bookmarkStart w:id="4" w:name="_Toc10087_WPSOffice_Level2Page"/>
          <w:r>
            <w:rPr>
              <w:sz w:val="24"/>
              <w:szCs w:val="24"/>
            </w:rPr>
            <w:t>3</w:t>
          </w:r>
          <w:bookmarkEnd w:id="4"/>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_Toc2159_WPSOffice_Level2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94128620-f2af-4377-b19a-2da36f26dc06}"/>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imes New Roman"/>
                  <w:sz w:val="24"/>
                  <w:szCs w:val="24"/>
                </w:rPr>
                <w:t>（四） 项目完成情况及成效</w:t>
              </w:r>
            </w:sdtContent>
          </w:sdt>
          <w:r>
            <w:rPr>
              <w:sz w:val="24"/>
              <w:szCs w:val="24"/>
            </w:rPr>
            <w:tab/>
          </w:r>
          <w:bookmarkStart w:id="5" w:name="_Toc2159_WPSOffice_Level2Page"/>
          <w:r>
            <w:rPr>
              <w:sz w:val="24"/>
              <w:szCs w:val="24"/>
            </w:rPr>
            <w:t>4</w:t>
          </w:r>
          <w:bookmarkEnd w:id="5"/>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_Toc10087_WPSOffice_Level1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efd8f67b-bc19-4fce-9769-3edc156baf28}"/>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二、 项目资金绩效评价及分析</w:t>
              </w:r>
            </w:sdtContent>
          </w:sdt>
          <w:r>
            <w:rPr>
              <w:sz w:val="24"/>
              <w:szCs w:val="24"/>
            </w:rPr>
            <w:tab/>
          </w:r>
          <w:bookmarkStart w:id="6" w:name="_Toc10087_WPSOffice_Level1Page"/>
          <w:r>
            <w:rPr>
              <w:sz w:val="24"/>
              <w:szCs w:val="24"/>
            </w:rPr>
            <w:t>5</w:t>
          </w:r>
          <w:bookmarkEnd w:id="6"/>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_Toc21201_WPSOffice_Level2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51ef6dcd-72a6-4923-a77c-4a81c74a9e2d}"/>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楷体_GB2312" w:hAnsi="文星仿宋" w:eastAsia="楷体_GB2312" w:cstheme="minorBidi"/>
                  <w:sz w:val="24"/>
                  <w:szCs w:val="24"/>
                </w:rPr>
                <w:t>（一） 评价依据</w:t>
              </w:r>
            </w:sdtContent>
          </w:sdt>
          <w:r>
            <w:rPr>
              <w:sz w:val="24"/>
              <w:szCs w:val="24"/>
            </w:rPr>
            <w:tab/>
          </w:r>
          <w:bookmarkStart w:id="7" w:name="_Toc21201_WPSOffice_Level2Page"/>
          <w:r>
            <w:rPr>
              <w:sz w:val="24"/>
              <w:szCs w:val="24"/>
            </w:rPr>
            <w:t>5</w:t>
          </w:r>
          <w:bookmarkEnd w:id="7"/>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_Toc29032_WPSOffice_Level2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f994d81e-01e0-4953-bcc4-c9c225cc707c}"/>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楷体_GB2312" w:hAnsi="文星仿宋" w:eastAsia="楷体_GB2312" w:cstheme="minorBidi"/>
                  <w:sz w:val="24"/>
                  <w:szCs w:val="24"/>
                </w:rPr>
                <w:t>（二） 评价</w:t>
              </w:r>
              <w:r>
                <w:rPr>
                  <w:rFonts w:ascii="楷体_GB2312" w:hAnsi="文星仿宋" w:eastAsia="楷体_GB2312" w:cstheme="minorBidi"/>
                  <w:sz w:val="24"/>
                  <w:szCs w:val="24"/>
                </w:rPr>
                <w:t>方法</w:t>
              </w:r>
            </w:sdtContent>
          </w:sdt>
          <w:r>
            <w:rPr>
              <w:sz w:val="24"/>
              <w:szCs w:val="24"/>
            </w:rPr>
            <w:tab/>
          </w:r>
          <w:bookmarkStart w:id="8" w:name="_Toc29032_WPSOffice_Level2Page"/>
          <w:r>
            <w:rPr>
              <w:sz w:val="24"/>
              <w:szCs w:val="24"/>
            </w:rPr>
            <w:t>6</w:t>
          </w:r>
          <w:bookmarkEnd w:id="8"/>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_Toc2524_WPSOffice_Level2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5b9f144c-9f6a-40d1-a92d-475d33242249}"/>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楷体_GB2312" w:hAnsi="文星仿宋" w:eastAsia="楷体_GB2312" w:cstheme="minorBidi"/>
                  <w:sz w:val="24"/>
                  <w:szCs w:val="24"/>
                </w:rPr>
                <w:t>（三） 评价</w:t>
              </w:r>
              <w:r>
                <w:rPr>
                  <w:rFonts w:ascii="楷体_GB2312" w:hAnsi="文星仿宋" w:eastAsia="楷体_GB2312" w:cstheme="minorBidi"/>
                  <w:sz w:val="24"/>
                  <w:szCs w:val="24"/>
                </w:rPr>
                <w:t>指标</w:t>
              </w:r>
            </w:sdtContent>
          </w:sdt>
          <w:r>
            <w:rPr>
              <w:sz w:val="24"/>
              <w:szCs w:val="24"/>
            </w:rPr>
            <w:tab/>
          </w:r>
          <w:bookmarkStart w:id="9" w:name="_Toc2524_WPSOffice_Level2Page"/>
          <w:r>
            <w:rPr>
              <w:sz w:val="24"/>
              <w:szCs w:val="24"/>
            </w:rPr>
            <w:t>6</w:t>
          </w:r>
          <w:bookmarkEnd w:id="9"/>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_Toc23427_WPSOffice_Level2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3946e6bc-f9cd-4889-bb3b-d5e19858775b}"/>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楷体_GB2312" w:hAnsi="文星仿宋" w:eastAsia="楷体_GB2312" w:cs="Times New Roman"/>
                  <w:sz w:val="24"/>
                  <w:szCs w:val="24"/>
                </w:rPr>
                <w:t>（四） 评价结论</w:t>
              </w:r>
            </w:sdtContent>
          </w:sdt>
          <w:r>
            <w:rPr>
              <w:sz w:val="24"/>
              <w:szCs w:val="24"/>
            </w:rPr>
            <w:tab/>
          </w:r>
          <w:bookmarkStart w:id="10" w:name="_Toc23427_WPSOffice_Level2Page"/>
          <w:r>
            <w:rPr>
              <w:sz w:val="24"/>
              <w:szCs w:val="24"/>
            </w:rPr>
            <w:t>7</w:t>
          </w:r>
          <w:bookmarkEnd w:id="10"/>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_Toc28281_WPSOffice_Level2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334316ec-df4c-429e-bc4b-3908913173ad}"/>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楷体_GB2312" w:hAnsi="文星仿宋" w:eastAsia="楷体_GB2312" w:cs="Times New Roman"/>
                  <w:sz w:val="24"/>
                  <w:szCs w:val="24"/>
                </w:rPr>
                <w:t>（五） 评价指标分析</w:t>
              </w:r>
            </w:sdtContent>
          </w:sdt>
          <w:r>
            <w:rPr>
              <w:sz w:val="24"/>
              <w:szCs w:val="24"/>
            </w:rPr>
            <w:tab/>
          </w:r>
          <w:bookmarkStart w:id="11" w:name="_Toc28281_WPSOffice_Level2Page"/>
          <w:r>
            <w:rPr>
              <w:sz w:val="24"/>
              <w:szCs w:val="24"/>
            </w:rPr>
            <w:t>7</w:t>
          </w:r>
          <w:bookmarkEnd w:id="11"/>
          <w:r>
            <w:rPr>
              <w:sz w:val="24"/>
              <w:szCs w:val="24"/>
            </w:rPr>
            <w:fldChar w:fldCharType="end"/>
          </w:r>
        </w:p>
        <w:p>
          <w:pPr>
            <w:pStyle w:val="12"/>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_Toc1474_WPSOffice_Level3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640fef91-ccdb-43e9-914d-89abd22eabf9}"/>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仿宋" w:hAnsi="华文仿宋" w:eastAsia="华文仿宋" w:cs="华文仿宋"/>
                  <w:sz w:val="24"/>
                  <w:szCs w:val="24"/>
                </w:rPr>
                <w:t>1. 项目投入</w:t>
              </w:r>
            </w:sdtContent>
          </w:sdt>
          <w:r>
            <w:rPr>
              <w:sz w:val="24"/>
              <w:szCs w:val="24"/>
            </w:rPr>
            <w:tab/>
          </w:r>
          <w:bookmarkStart w:id="12" w:name="_Toc1474_WPSOffice_Level3Page"/>
          <w:r>
            <w:rPr>
              <w:sz w:val="24"/>
              <w:szCs w:val="24"/>
            </w:rPr>
            <w:t>7</w:t>
          </w:r>
          <w:bookmarkEnd w:id="12"/>
          <w:r>
            <w:rPr>
              <w:sz w:val="24"/>
              <w:szCs w:val="24"/>
            </w:rPr>
            <w:fldChar w:fldCharType="end"/>
          </w:r>
        </w:p>
        <w:p>
          <w:pPr>
            <w:pStyle w:val="12"/>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_Toc25181_WPSOffice_Level3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3ed7cbd2-4aee-458d-9d06-9288dd64acf4}"/>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仿宋" w:hAnsi="华文仿宋" w:eastAsia="华文仿宋" w:cs="华文仿宋"/>
                  <w:sz w:val="24"/>
                  <w:szCs w:val="24"/>
                </w:rPr>
                <w:t>2. 项目实施过程</w:t>
              </w:r>
            </w:sdtContent>
          </w:sdt>
          <w:r>
            <w:rPr>
              <w:sz w:val="24"/>
              <w:szCs w:val="24"/>
            </w:rPr>
            <w:tab/>
          </w:r>
          <w:bookmarkStart w:id="13" w:name="_Toc25181_WPSOffice_Level3Page"/>
          <w:r>
            <w:rPr>
              <w:sz w:val="24"/>
              <w:szCs w:val="24"/>
            </w:rPr>
            <w:t>9</w:t>
          </w:r>
          <w:bookmarkEnd w:id="13"/>
          <w:r>
            <w:rPr>
              <w:sz w:val="24"/>
              <w:szCs w:val="24"/>
            </w:rPr>
            <w:fldChar w:fldCharType="end"/>
          </w:r>
        </w:p>
        <w:p>
          <w:pPr>
            <w:pStyle w:val="12"/>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_Toc10087_WPSOffice_Level3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458d3702-a28f-412f-abf4-8e802be3dba2}"/>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仿宋" w:hAnsi="华文仿宋" w:eastAsia="华文仿宋" w:cs="华文仿宋"/>
                  <w:sz w:val="24"/>
                  <w:szCs w:val="24"/>
                </w:rPr>
                <w:t>3. 项目产出及效果</w:t>
              </w:r>
            </w:sdtContent>
          </w:sdt>
          <w:r>
            <w:rPr>
              <w:sz w:val="24"/>
              <w:szCs w:val="24"/>
            </w:rPr>
            <w:tab/>
          </w:r>
          <w:bookmarkStart w:id="14" w:name="_Toc10087_WPSOffice_Level3Page"/>
          <w:r>
            <w:rPr>
              <w:sz w:val="24"/>
              <w:szCs w:val="24"/>
            </w:rPr>
            <w:t>10</w:t>
          </w:r>
          <w:bookmarkEnd w:id="14"/>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_Toc2159_WPSOffice_Level1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b9234bb6-9994-4fbf-945f-f914b8b63cba}"/>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三、 存在的主要问题</w:t>
              </w:r>
            </w:sdtContent>
          </w:sdt>
          <w:r>
            <w:rPr>
              <w:sz w:val="24"/>
              <w:szCs w:val="24"/>
            </w:rPr>
            <w:tab/>
          </w:r>
          <w:bookmarkStart w:id="15" w:name="_Toc2159_WPSOffice_Level1Page"/>
          <w:r>
            <w:rPr>
              <w:sz w:val="24"/>
              <w:szCs w:val="24"/>
            </w:rPr>
            <w:t>11</w:t>
          </w:r>
          <w:bookmarkEnd w:id="15"/>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_Toc21252_WPSOffice_Level2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9d0ecda0-6ad0-458b-ae70-bd7ad06d2e5e}"/>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（一） 项目绩效管理不到位</w:t>
              </w:r>
            </w:sdtContent>
          </w:sdt>
          <w:r>
            <w:rPr>
              <w:sz w:val="24"/>
              <w:szCs w:val="24"/>
            </w:rPr>
            <w:tab/>
          </w:r>
          <w:bookmarkStart w:id="16" w:name="_Toc21252_WPSOffice_Level2Page"/>
          <w:r>
            <w:rPr>
              <w:sz w:val="24"/>
              <w:szCs w:val="24"/>
            </w:rPr>
            <w:t>11</w:t>
          </w:r>
          <w:bookmarkEnd w:id="16"/>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_Toc28045_WPSOffice_Level2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f8396245-1b13-4390-88a7-df9f5dcd821d}"/>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（二） 项目资金使用率不高</w:t>
              </w:r>
            </w:sdtContent>
          </w:sdt>
          <w:r>
            <w:rPr>
              <w:sz w:val="24"/>
              <w:szCs w:val="24"/>
            </w:rPr>
            <w:tab/>
          </w:r>
          <w:bookmarkStart w:id="17" w:name="_Toc28045_WPSOffice_Level2Page"/>
          <w:r>
            <w:rPr>
              <w:sz w:val="24"/>
              <w:szCs w:val="24"/>
            </w:rPr>
            <w:t>12</w:t>
          </w:r>
          <w:bookmarkEnd w:id="17"/>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_Toc9257_WPSOffice_Level2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1ec7a830-71ee-4152-8a87-41073870ada9}"/>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（三） 项目服务对象满意度有待提升</w:t>
              </w:r>
            </w:sdtContent>
          </w:sdt>
          <w:r>
            <w:rPr>
              <w:sz w:val="24"/>
              <w:szCs w:val="24"/>
            </w:rPr>
            <w:tab/>
          </w:r>
          <w:bookmarkStart w:id="18" w:name="_Toc9257_WPSOffice_Level2Page"/>
          <w:r>
            <w:rPr>
              <w:sz w:val="24"/>
              <w:szCs w:val="24"/>
            </w:rPr>
            <w:t>12</w:t>
          </w:r>
          <w:bookmarkEnd w:id="18"/>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_Toc21201_WPSOffice_Level1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eb369808-1e09-42ba-b366-339f85874a38}"/>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四、 相关意见及建议</w:t>
              </w:r>
            </w:sdtContent>
          </w:sdt>
          <w:r>
            <w:rPr>
              <w:sz w:val="24"/>
              <w:szCs w:val="24"/>
            </w:rPr>
            <w:tab/>
          </w:r>
          <w:bookmarkStart w:id="19" w:name="_Toc21201_WPSOffice_Level1Page"/>
          <w:r>
            <w:rPr>
              <w:sz w:val="24"/>
              <w:szCs w:val="24"/>
            </w:rPr>
            <w:t>12</w:t>
          </w:r>
          <w:bookmarkEnd w:id="19"/>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_Toc4508_WPSOffice_Level2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a7945f52-fbc6-4a4e-bce7-36ce7a3c6a1e}"/>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（一） 建议强化预算绩效管理意识</w:t>
              </w:r>
            </w:sdtContent>
          </w:sdt>
          <w:r>
            <w:rPr>
              <w:sz w:val="24"/>
              <w:szCs w:val="24"/>
            </w:rPr>
            <w:tab/>
          </w:r>
          <w:bookmarkStart w:id="20" w:name="_Toc4508_WPSOffice_Level2Page"/>
          <w:r>
            <w:rPr>
              <w:sz w:val="24"/>
              <w:szCs w:val="24"/>
            </w:rPr>
            <w:t>12</w:t>
          </w:r>
          <w:bookmarkEnd w:id="20"/>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_Toc27038_WPSOffice_Level2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d0847f75-5226-4f6f-a832-ec1d6dd9708b}"/>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（二） 建议规范预算资金的申报与使用</w:t>
              </w:r>
            </w:sdtContent>
          </w:sdt>
          <w:r>
            <w:rPr>
              <w:sz w:val="24"/>
              <w:szCs w:val="24"/>
            </w:rPr>
            <w:tab/>
          </w:r>
          <w:bookmarkStart w:id="21" w:name="_Toc27038_WPSOffice_Level2Page"/>
          <w:r>
            <w:rPr>
              <w:sz w:val="24"/>
              <w:szCs w:val="24"/>
            </w:rPr>
            <w:t>13</w:t>
          </w:r>
          <w:bookmarkEnd w:id="21"/>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_Toc17402_WPSOffice_Level2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edb06d5e-2e46-45bf-ba1f-c51deeb8123c}"/>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（三） 建议科学调整培训任务与方案</w:t>
              </w:r>
            </w:sdtContent>
          </w:sdt>
          <w:r>
            <w:rPr>
              <w:sz w:val="24"/>
              <w:szCs w:val="24"/>
            </w:rPr>
            <w:tab/>
          </w:r>
          <w:bookmarkStart w:id="22" w:name="_Toc17402_WPSOffice_Level2Page"/>
          <w:r>
            <w:rPr>
              <w:sz w:val="24"/>
              <w:szCs w:val="24"/>
            </w:rPr>
            <w:t>13</w:t>
          </w:r>
          <w:bookmarkEnd w:id="22"/>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rFonts w:hint="eastAsia" w:ascii="华文中宋" w:hAnsi="华文中宋" w:eastAsia="华文中宋" w:cs="Times New Roman"/>
              <w:b/>
              <w:color w:val="000000" w:themeColor="text1"/>
              <w:sz w:val="24"/>
              <w:szCs w:val="24"/>
              <w14:textFill>
                <w14:solidFill>
                  <w14:schemeClr w14:val="tx1"/>
                </w14:solidFill>
              </w14:textFill>
            </w:rPr>
            <w:sectPr>
              <w:footerReference r:id="rId3" w:type="default"/>
              <w:pgSz w:w="11906" w:h="16838"/>
              <w:pgMar w:top="1440" w:right="1474" w:bottom="1440" w:left="1587"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r>
            <w:rPr>
              <w:sz w:val="24"/>
              <w:szCs w:val="24"/>
            </w:rPr>
            <w:fldChar w:fldCharType="begin"/>
          </w:r>
          <w:r>
            <w:rPr>
              <w:sz w:val="24"/>
              <w:szCs w:val="24"/>
            </w:rPr>
            <w:instrText xml:space="preserve"> HYPERLINK \l _Toc29032_WPSOffice_Level1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76535"/>
              <w:placeholder>
                <w:docPart w:val="{09b625d7-ebe3-486a-befb-20f8b44dd1b4}"/>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黑体"/>
                  <w:sz w:val="24"/>
                  <w:szCs w:val="24"/>
                </w:rPr>
                <w:t>附件：</w:t>
              </w:r>
            </w:sdtContent>
          </w:sdt>
          <w:r>
            <w:rPr>
              <w:sz w:val="24"/>
              <w:szCs w:val="24"/>
            </w:rPr>
            <w:tab/>
          </w:r>
          <w:bookmarkStart w:id="23" w:name="_Toc29032_WPSOffice_Level1Page"/>
          <w:r>
            <w:rPr>
              <w:sz w:val="24"/>
              <w:szCs w:val="24"/>
            </w:rPr>
            <w:t>14</w:t>
          </w:r>
          <w:bookmarkEnd w:id="23"/>
          <w:r>
            <w:rPr>
              <w:sz w:val="24"/>
              <w:szCs w:val="24"/>
            </w:rPr>
            <w:fldChar w:fldCharType="end"/>
          </w:r>
          <w:bookmarkEnd w:id="0"/>
          <w:bookmarkStart w:id="24" w:name="_Toc28331_WPSOffice_Level1"/>
        </w:p>
      </w:sdtContent>
    </w:sdt>
    <w:p>
      <w:pPr>
        <w:spacing w:line="600" w:lineRule="exact"/>
        <w:ind w:firstLine="0" w:firstLineChars="0"/>
        <w:jc w:val="center"/>
        <w:rPr>
          <w:rFonts w:hint="eastAsia" w:ascii="华文中宋" w:hAnsi="华文中宋" w:eastAsia="华文中宋" w:cs="Times New Roman"/>
          <w:b/>
          <w:color w:val="000000" w:themeColor="text1"/>
          <w:sz w:val="44"/>
          <w:szCs w:val="44"/>
          <w14:textFill>
            <w14:solidFill>
              <w14:schemeClr w14:val="tx1"/>
            </w14:solidFill>
          </w14:textFill>
        </w:rPr>
      </w:pPr>
      <w:bookmarkStart w:id="25" w:name="_Toc21887_WPSOffice_Level1"/>
      <w:bookmarkStart w:id="26" w:name="_Toc25755_WPSOffice_Level1"/>
      <w:bookmarkStart w:id="27" w:name="_Toc17159_WPSOffice_Level1"/>
      <w:bookmarkStart w:id="28" w:name="_Toc23077_WPSOffice_Level1"/>
      <w:bookmarkStart w:id="29" w:name="_Toc14769_WPSOffice_Level1"/>
      <w:r>
        <w:rPr>
          <w:rFonts w:hint="eastAsia" w:ascii="华文中宋" w:hAnsi="华文中宋" w:eastAsia="华文中宋" w:cs="Times New Roman"/>
          <w:b/>
          <w:color w:val="000000" w:themeColor="text1"/>
          <w:sz w:val="44"/>
          <w:szCs w:val="44"/>
          <w14:textFill>
            <w14:solidFill>
              <w14:schemeClr w14:val="tx1"/>
            </w14:solidFill>
          </w14:textFill>
        </w:rPr>
        <w:t>怀化市鹤城区2018年度</w:t>
      </w:r>
      <w:r>
        <w:rPr>
          <w:rFonts w:hint="eastAsia" w:ascii="华文中宋" w:hAnsi="华文中宋" w:eastAsia="华文中宋" w:cs="Times New Roman"/>
          <w:b/>
          <w:color w:val="000000" w:themeColor="text1"/>
          <w:sz w:val="44"/>
          <w:szCs w:val="44"/>
          <w:lang w:eastAsia="zh-CN"/>
          <w14:textFill>
            <w14:solidFill>
              <w14:schemeClr w14:val="tx1"/>
            </w14:solidFill>
          </w14:textFill>
        </w:rPr>
        <w:t>教师培训</w:t>
      </w:r>
      <w:r>
        <w:rPr>
          <w:rFonts w:hint="eastAsia" w:ascii="华文中宋" w:hAnsi="华文中宋" w:eastAsia="华文中宋" w:cs="Times New Roman"/>
          <w:b/>
          <w:color w:val="000000" w:themeColor="text1"/>
          <w:sz w:val="44"/>
          <w:szCs w:val="44"/>
          <w14:textFill>
            <w14:solidFill>
              <w14:schemeClr w14:val="tx1"/>
            </w14:solidFill>
          </w14:textFill>
        </w:rPr>
        <w:t>专项</w:t>
      </w:r>
      <w:bookmarkEnd w:id="24"/>
      <w:bookmarkEnd w:id="25"/>
      <w:bookmarkEnd w:id="26"/>
      <w:bookmarkEnd w:id="27"/>
      <w:bookmarkEnd w:id="28"/>
      <w:bookmarkEnd w:id="29"/>
    </w:p>
    <w:p>
      <w:pPr>
        <w:spacing w:line="600" w:lineRule="exact"/>
        <w:ind w:firstLine="0" w:firstLineChars="0"/>
        <w:jc w:val="center"/>
        <w:rPr>
          <w:rFonts w:hint="eastAsia" w:ascii="华文中宋" w:hAnsi="华文中宋" w:eastAsia="华文中宋" w:cs="Times New Roman"/>
          <w:b/>
          <w:color w:val="000000" w:themeColor="text1"/>
          <w:sz w:val="44"/>
          <w:szCs w:val="44"/>
          <w14:textFill>
            <w14:solidFill>
              <w14:schemeClr w14:val="tx1"/>
            </w14:solidFill>
          </w14:textFill>
        </w:rPr>
      </w:pPr>
      <w:bookmarkStart w:id="30" w:name="_Toc31528_WPSOffice_Level1"/>
      <w:bookmarkStart w:id="31" w:name="_Toc29081_WPSOffice_Level1"/>
      <w:bookmarkStart w:id="32" w:name="_Toc1474_WPSOffice_Level1"/>
      <w:bookmarkStart w:id="33" w:name="_Toc15091_WPSOffice_Level1"/>
      <w:bookmarkStart w:id="34" w:name="_Toc14064_WPSOffice_Level1"/>
      <w:bookmarkStart w:id="35" w:name="_Toc30691_WPSOffice_Level1"/>
      <w:bookmarkStart w:id="36" w:name="_Toc18584_WPSOffice_Level1"/>
      <w:bookmarkStart w:id="37" w:name="_Toc27906_WPSOffice_Level1"/>
      <w:r>
        <w:rPr>
          <w:rFonts w:hint="eastAsia" w:ascii="华文中宋" w:hAnsi="华文中宋" w:eastAsia="华文中宋" w:cs="Times New Roman"/>
          <w:b/>
          <w:color w:val="000000" w:themeColor="text1"/>
          <w:sz w:val="44"/>
          <w:szCs w:val="44"/>
          <w14:textFill>
            <w14:solidFill>
              <w14:schemeClr w14:val="tx1"/>
            </w14:solidFill>
          </w14:textFill>
        </w:rPr>
        <w:t>资金绩效评价</w:t>
      </w:r>
      <w:r>
        <w:rPr>
          <w:rFonts w:hint="eastAsia" w:ascii="华文中宋" w:hAnsi="华文中宋" w:eastAsia="华文中宋" w:cs="Times New Roman"/>
          <w:b/>
          <w:color w:val="000000" w:themeColor="text1"/>
          <w:sz w:val="44"/>
          <w:szCs w:val="44"/>
          <w:lang w:eastAsia="zh-CN"/>
          <w14:textFill>
            <w14:solidFill>
              <w14:schemeClr w14:val="tx1"/>
            </w14:solidFill>
          </w14:textFill>
        </w:rPr>
        <w:t>报</w:t>
      </w:r>
      <w:r>
        <w:rPr>
          <w:rFonts w:hint="eastAsia" w:ascii="华文中宋" w:hAnsi="华文中宋" w:eastAsia="华文中宋" w:cs="Times New Roman"/>
          <w:b/>
          <w:color w:val="000000" w:themeColor="text1"/>
          <w:sz w:val="44"/>
          <w:szCs w:val="44"/>
          <w14:textFill>
            <w14:solidFill>
              <w14:schemeClr w14:val="tx1"/>
            </w14:solidFill>
          </w14:textFill>
        </w:rPr>
        <w:t>告</w:t>
      </w:r>
      <w:bookmarkEnd w:id="30"/>
      <w:bookmarkEnd w:id="31"/>
      <w:bookmarkEnd w:id="32"/>
      <w:bookmarkEnd w:id="33"/>
      <w:bookmarkEnd w:id="34"/>
      <w:bookmarkEnd w:id="35"/>
      <w:bookmarkEnd w:id="36"/>
      <w:bookmarkEnd w:id="37"/>
    </w:p>
    <w:p>
      <w:pPr>
        <w:bidi w:val="0"/>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华文仿宋" w:hAnsi="华文仿宋" w:eastAsia="华文仿宋" w:cs="华文仿宋"/>
          <w:color w:val="000000" w:themeColor="text1"/>
          <w:lang w:val="en-US" w:eastAsia="zh-CN"/>
          <w14:textFill>
            <w14:solidFill>
              <w14:schemeClr w14:val="tx1"/>
            </w14:solidFill>
          </w14:textFill>
        </w:rPr>
      </w:pPr>
      <w:r>
        <w:rPr>
          <w:rFonts w:hint="eastAsia" w:ascii="华文仿宋" w:hAnsi="华文仿宋" w:eastAsia="华文仿宋" w:cs="华文仿宋"/>
          <w:lang w:val="en-US" w:eastAsia="zh-CN"/>
        </w:rPr>
        <w:t>为确保预算绩效管理工作落到实处，不断提高财政资源配置效率和使用效益，</w:t>
      </w:r>
      <w:r>
        <w:rPr>
          <w:rFonts w:hint="eastAsia" w:ascii="华文仿宋" w:hAnsi="华文仿宋" w:eastAsia="华文仿宋" w:cs="华文仿宋"/>
        </w:rPr>
        <w:t>依据《中华人民共和国预算法》、《党政机关厉行节约反对浪费条例》、《中共中央国务院关于全面实施预算绩效管理的意见》（中发〔2018〕34号）、《中共湖南省委办公厅湖南省人民政府办公厅关于全面实施预算绩效管理的实施意见》（湘办发〔2019〕10号）等有关规定，按照鹤城区财政局《2018年度预算绩效管理工作实施方案》（鹤财绩〔2018〕26号）等文件要求，受怀化市鹤城区财政局委托，湖南惟楚创智经济咨询有限责任公司（以下简称惟</w:t>
      </w:r>
      <w:r>
        <w:rPr>
          <w:rFonts w:hint="eastAsia" w:ascii="华文仿宋" w:hAnsi="华文仿宋" w:eastAsia="华文仿宋" w:cs="华文仿宋"/>
          <w:color w:val="000000" w:themeColor="text1"/>
          <w14:textFill>
            <w14:solidFill>
              <w14:schemeClr w14:val="tx1"/>
            </w14:solidFill>
          </w14:textFill>
        </w:rPr>
        <w:t>楚创智）于2019年9月</w:t>
      </w:r>
      <w:r>
        <w:rPr>
          <w:rFonts w:hint="eastAsia" w:ascii="华文仿宋" w:hAnsi="华文仿宋" w:eastAsia="华文仿宋" w:cs="华文仿宋"/>
          <w:color w:val="000000" w:themeColor="text1"/>
          <w:lang w:eastAsia="zh-CN"/>
          <w14:textFill>
            <w14:solidFill>
              <w14:schemeClr w14:val="tx1"/>
            </w14:solidFill>
          </w14:textFill>
        </w:rPr>
        <w:t>对</w:t>
      </w:r>
      <w:r>
        <w:rPr>
          <w:rFonts w:hint="eastAsia" w:ascii="华文仿宋" w:hAnsi="华文仿宋" w:eastAsia="华文仿宋" w:cs="华文仿宋"/>
          <w:color w:val="000000" w:themeColor="text1"/>
          <w:lang w:val="en-US" w:eastAsia="zh-CN"/>
          <w14:textFill>
            <w14:solidFill>
              <w14:schemeClr w14:val="tx1"/>
            </w14:solidFill>
          </w14:textFill>
        </w:rPr>
        <w:t>2018年度</w:t>
      </w:r>
      <w:r>
        <w:rPr>
          <w:rFonts w:hint="eastAsia" w:ascii="华文仿宋" w:hAnsi="华文仿宋" w:eastAsia="华文仿宋" w:cs="华文仿宋"/>
          <w:color w:val="000000" w:themeColor="text1"/>
          <w:lang w:eastAsia="zh-CN"/>
          <w14:textFill>
            <w14:solidFill>
              <w14:schemeClr w14:val="tx1"/>
            </w14:solidFill>
          </w14:textFill>
        </w:rPr>
        <w:t>怀化市鹤城区</w:t>
      </w:r>
      <w:r>
        <w:rPr>
          <w:rFonts w:hint="eastAsia" w:ascii="华文仿宋" w:hAnsi="华文仿宋" w:eastAsia="华文仿宋" w:cs="华文仿宋"/>
          <w:color w:val="000000" w:themeColor="text1"/>
          <w:lang w:val="en-US" w:eastAsia="zh-CN"/>
          <w14:textFill>
            <w14:solidFill>
              <w14:schemeClr w14:val="tx1"/>
            </w14:solidFill>
          </w14:textFill>
        </w:rPr>
        <w:t>财政直拨给区</w:t>
      </w:r>
      <w:r>
        <w:rPr>
          <w:rFonts w:hint="eastAsia" w:ascii="华文仿宋" w:hAnsi="华文仿宋" w:eastAsia="华文仿宋" w:cs="华文仿宋"/>
          <w:color w:val="000000" w:themeColor="text1"/>
          <w:lang w:eastAsia="zh-CN"/>
          <w14:textFill>
            <w14:solidFill>
              <w14:schemeClr w14:val="tx1"/>
            </w14:solidFill>
          </w14:textFill>
        </w:rPr>
        <w:t>教育局</w:t>
      </w:r>
      <w:r>
        <w:rPr>
          <w:rFonts w:hint="eastAsia" w:ascii="华文仿宋" w:hAnsi="华文仿宋" w:eastAsia="华文仿宋" w:cs="华文仿宋"/>
          <w:color w:val="000000" w:themeColor="text1"/>
          <w:lang w:val="en-US" w:eastAsia="zh-CN"/>
          <w14:textFill>
            <w14:solidFill>
              <w14:schemeClr w14:val="tx1"/>
            </w14:solidFill>
          </w14:textFill>
        </w:rPr>
        <w:t>的教师培训专</w:t>
      </w:r>
      <w:r>
        <w:rPr>
          <w:rFonts w:hint="eastAsia" w:ascii="华文仿宋" w:hAnsi="华文仿宋" w:eastAsia="华文仿宋" w:cs="华文仿宋"/>
          <w:color w:val="auto"/>
          <w:lang w:val="en-US" w:eastAsia="zh-CN"/>
        </w:rPr>
        <w:t>项资金（以下简称该教师培训</w:t>
      </w:r>
      <w:r>
        <w:rPr>
          <w:rFonts w:hint="eastAsia" w:ascii="华文仿宋" w:hAnsi="华文仿宋" w:cs="华文仿宋"/>
          <w:color w:val="auto"/>
          <w:lang w:val="en-US" w:eastAsia="zh-CN"/>
        </w:rPr>
        <w:t>资金</w:t>
      </w:r>
      <w:r>
        <w:rPr>
          <w:rFonts w:hint="eastAsia" w:ascii="华文仿宋" w:hAnsi="华文仿宋" w:eastAsia="华文仿宋" w:cs="华文仿宋"/>
          <w:color w:val="auto"/>
          <w:lang w:val="en-US" w:eastAsia="zh-CN"/>
        </w:rPr>
        <w:t>）</w:t>
      </w:r>
      <w:r>
        <w:rPr>
          <w:rFonts w:hint="eastAsia" w:ascii="华文仿宋" w:hAnsi="华文仿宋" w:eastAsia="华文仿宋" w:cs="华文仿宋"/>
          <w:lang w:eastAsia="zh-CN"/>
        </w:rPr>
        <w:t>开展</w:t>
      </w:r>
      <w:r>
        <w:rPr>
          <w:rFonts w:hint="eastAsia" w:ascii="华文仿宋" w:hAnsi="华文仿宋" w:eastAsia="华文仿宋" w:cs="华文仿宋"/>
        </w:rPr>
        <w:t>了预算绩效评价</w:t>
      </w:r>
      <w:r>
        <w:rPr>
          <w:rFonts w:hint="eastAsia" w:ascii="华文仿宋" w:hAnsi="华文仿宋" w:eastAsia="华文仿宋" w:cs="华文仿宋"/>
          <w:lang w:eastAsia="zh-CN"/>
        </w:rPr>
        <w:t>工作。</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szCs w:val="32"/>
        </w:rPr>
        <w:t>惟楚创智遵循科学规范的评价原则，运用合理的绩效评价指标与评价方法，结合项目资金实际使用情况及现场调研结果，经综合评</w:t>
      </w:r>
      <w:r>
        <w:rPr>
          <w:rFonts w:hint="eastAsia" w:ascii="华文仿宋" w:hAnsi="华文仿宋" w:cs="华文仿宋"/>
          <w:szCs w:val="32"/>
          <w:lang w:val="en-US" w:eastAsia="zh-CN"/>
        </w:rPr>
        <w:t>定</w:t>
      </w:r>
      <w:r>
        <w:rPr>
          <w:rFonts w:hint="eastAsia" w:ascii="华文仿宋" w:hAnsi="华文仿宋" w:eastAsia="华文仿宋" w:cs="华文仿宋"/>
          <w:szCs w:val="32"/>
        </w:rPr>
        <w:t>，</w:t>
      </w:r>
      <w:r>
        <w:rPr>
          <w:rFonts w:hint="eastAsia" w:ascii="华文仿宋" w:hAnsi="华文仿宋" w:eastAsia="华文仿宋" w:cs="华文仿宋"/>
          <w:szCs w:val="32"/>
          <w:lang w:eastAsia="zh-CN"/>
        </w:rPr>
        <w:t>该教师培训</w:t>
      </w:r>
      <w:r>
        <w:rPr>
          <w:rFonts w:hint="eastAsia" w:ascii="华文仿宋" w:hAnsi="华文仿宋" w:cs="华文仿宋"/>
          <w:szCs w:val="32"/>
          <w:lang w:val="en-US" w:eastAsia="zh-CN"/>
        </w:rPr>
        <w:t>资金绩效评价</w:t>
      </w:r>
      <w:r>
        <w:rPr>
          <w:rFonts w:hint="eastAsia" w:ascii="华文仿宋" w:hAnsi="华文仿宋" w:eastAsia="华文仿宋" w:cs="华文仿宋"/>
          <w:color w:val="000000" w:themeColor="text1"/>
          <w:szCs w:val="32"/>
          <w14:textFill>
            <w14:solidFill>
              <w14:schemeClr w14:val="tx1"/>
            </w14:solidFill>
          </w14:textFill>
        </w:rPr>
        <w:t>得分为</w:t>
      </w:r>
      <w:r>
        <w:rPr>
          <w:rFonts w:hint="eastAsia" w:ascii="华文仿宋" w:hAnsi="华文仿宋" w:cs="华文仿宋"/>
          <w:color w:val="000000" w:themeColor="text1"/>
          <w:szCs w:val="32"/>
          <w:lang w:val="en-US" w:eastAsia="zh-CN"/>
          <w14:textFill>
            <w14:solidFill>
              <w14:schemeClr w14:val="tx1"/>
            </w14:solidFill>
          </w14:textFill>
        </w:rPr>
        <w:t>88.4</w:t>
      </w:r>
      <w:r>
        <w:rPr>
          <w:rFonts w:hint="eastAsia" w:ascii="华文仿宋" w:hAnsi="华文仿宋" w:eastAsia="华文仿宋" w:cs="华文仿宋"/>
          <w:color w:val="000000" w:themeColor="text1"/>
          <w:szCs w:val="32"/>
          <w14:textFill>
            <w14:solidFill>
              <w14:schemeClr w14:val="tx1"/>
            </w14:solidFill>
          </w14:textFill>
        </w:rPr>
        <w:t>分，绩效评定级别为</w:t>
      </w:r>
      <w:r>
        <w:rPr>
          <w:rFonts w:hint="eastAsia" w:ascii="华文仿宋" w:hAnsi="华文仿宋" w:cs="华文仿宋"/>
          <w:color w:val="000000" w:themeColor="text1"/>
          <w:szCs w:val="32"/>
          <w:lang w:val="en-US" w:eastAsia="zh-CN"/>
          <w14:textFill>
            <w14:solidFill>
              <w14:schemeClr w14:val="tx1"/>
            </w14:solidFill>
          </w14:textFill>
        </w:rPr>
        <w:t>良</w:t>
      </w:r>
      <w:r>
        <w:rPr>
          <w:rFonts w:hint="eastAsia" w:ascii="华文仿宋" w:hAnsi="华文仿宋" w:eastAsia="华文仿宋" w:cs="华文仿宋"/>
          <w:color w:val="000000" w:themeColor="text1"/>
          <w:szCs w:val="32"/>
          <w14:textFill>
            <w14:solidFill>
              <w14:schemeClr w14:val="tx1"/>
            </w14:solidFill>
          </w14:textFill>
        </w:rPr>
        <w:t>。</w:t>
      </w:r>
      <w:r>
        <w:rPr>
          <w:rFonts w:hint="eastAsia" w:ascii="华文仿宋" w:hAnsi="华文仿宋" w:eastAsia="华文仿宋" w:cs="华文仿宋"/>
          <w:szCs w:val="32"/>
        </w:rPr>
        <w:t>但该项目在</w:t>
      </w:r>
      <w:r>
        <w:rPr>
          <w:rFonts w:hint="eastAsia" w:ascii="华文仿宋" w:hAnsi="华文仿宋" w:cs="华文仿宋"/>
          <w:szCs w:val="32"/>
          <w:lang w:val="en-US" w:eastAsia="zh-CN"/>
        </w:rPr>
        <w:t>绩效管理</w:t>
      </w:r>
      <w:r>
        <w:rPr>
          <w:rFonts w:hint="eastAsia" w:ascii="华文仿宋" w:hAnsi="华文仿宋" w:eastAsia="华文仿宋" w:cs="华文仿宋"/>
          <w:szCs w:val="32"/>
        </w:rPr>
        <w:t>、</w:t>
      </w:r>
      <w:r>
        <w:rPr>
          <w:rFonts w:hint="eastAsia" w:ascii="华文仿宋" w:hAnsi="华文仿宋" w:eastAsia="华文仿宋" w:cs="华文仿宋"/>
          <w:szCs w:val="32"/>
          <w:lang w:eastAsia="zh-CN"/>
        </w:rPr>
        <w:t>资金使用率以及服务对象满意度</w:t>
      </w:r>
      <w:r>
        <w:rPr>
          <w:rFonts w:hint="eastAsia" w:ascii="华文仿宋" w:hAnsi="华文仿宋" w:eastAsia="华文仿宋" w:cs="华文仿宋"/>
          <w:szCs w:val="32"/>
        </w:rPr>
        <w:t>等方面还有待进一步改进</w:t>
      </w:r>
      <w:r>
        <w:rPr>
          <w:rFonts w:hint="eastAsia" w:ascii="华文仿宋" w:hAnsi="华文仿宋" w:eastAsia="华文仿宋" w:cs="华文仿宋"/>
          <w:szCs w:val="32"/>
          <w:lang w:eastAsia="zh-CN"/>
        </w:rPr>
        <w:t>，</w:t>
      </w:r>
      <w:r>
        <w:rPr>
          <w:rFonts w:hint="eastAsia" w:ascii="华文仿宋" w:hAnsi="华文仿宋" w:eastAsia="华文仿宋" w:cs="华文仿宋"/>
          <w:szCs w:val="32"/>
        </w:rPr>
        <w:t>现将有关情况报告如下：</w:t>
      </w:r>
    </w:p>
    <w:p>
      <w:pPr>
        <w:rPr>
          <w:rFonts w:hint="eastAsia" w:ascii="黑体" w:hAnsi="黑体" w:eastAsia="黑体"/>
          <w:color w:val="000000" w:themeColor="text1"/>
          <w:sz w:val="32"/>
          <w:szCs w:val="32"/>
          <w14:textFill>
            <w14:solidFill>
              <w14:schemeClr w14:val="tx1"/>
            </w14:solidFill>
          </w14:textFill>
        </w:rPr>
      </w:pPr>
      <w:bookmarkStart w:id="38" w:name="_Toc4352_WPSOffice_Level1"/>
      <w:r>
        <w:rPr>
          <w:rFonts w:hint="eastAsia" w:ascii="黑体" w:hAnsi="黑体" w:eastAsia="黑体"/>
          <w:color w:val="000000" w:themeColor="text1"/>
          <w:sz w:val="32"/>
          <w:szCs w:val="32"/>
          <w14:textFill>
            <w14:solidFill>
              <w14:schemeClr w14:val="tx1"/>
            </w14:solidFill>
          </w14:textFill>
        </w:rPr>
        <w:br w:type="page"/>
      </w:r>
    </w:p>
    <w:p>
      <w:pPr>
        <w:pStyle w:val="6"/>
        <w:numPr>
          <w:ilvl w:val="0"/>
          <w:numId w:val="1"/>
        </w:numPr>
        <w:shd w:val="clear" w:color="auto" w:fill="FFFFFF"/>
        <w:spacing w:before="0" w:beforeAutospacing="0" w:after="0" w:afterAutospacing="0" w:line="600" w:lineRule="exact"/>
        <w:ind w:firstLine="640" w:firstLineChars="200"/>
        <w:jc w:val="both"/>
        <w:rPr>
          <w:rFonts w:hint="eastAsia" w:ascii="黑体" w:hAnsi="黑体" w:eastAsia="黑体"/>
          <w:color w:val="000000" w:themeColor="text1"/>
          <w:sz w:val="32"/>
          <w:szCs w:val="32"/>
          <w14:textFill>
            <w14:solidFill>
              <w14:schemeClr w14:val="tx1"/>
            </w14:solidFill>
          </w14:textFill>
        </w:rPr>
      </w:pPr>
      <w:bookmarkStart w:id="39" w:name="_Toc15806_WPSOffice_Level1"/>
      <w:bookmarkStart w:id="40" w:name="_Toc25181_WPSOffice_Level1"/>
      <w:r>
        <w:rPr>
          <w:rFonts w:hint="eastAsia" w:ascii="黑体" w:hAnsi="黑体" w:eastAsia="黑体"/>
          <w:color w:val="000000" w:themeColor="text1"/>
          <w:sz w:val="32"/>
          <w:szCs w:val="32"/>
          <w14:textFill>
            <w14:solidFill>
              <w14:schemeClr w14:val="tx1"/>
            </w14:solidFill>
          </w14:textFill>
        </w:rPr>
        <w:t>项目基本情况</w:t>
      </w:r>
      <w:bookmarkEnd w:id="38"/>
      <w:bookmarkEnd w:id="39"/>
      <w:bookmarkEnd w:id="40"/>
    </w:p>
    <w:p>
      <w:pPr>
        <w:numPr>
          <w:ilvl w:val="0"/>
          <w:numId w:val="2"/>
        </w:numPr>
        <w:adjustRightInd w:val="0"/>
        <w:snapToGrid w:val="0"/>
        <w:spacing w:line="600" w:lineRule="exact"/>
        <w:ind w:firstLine="641" w:firstLineChars="200"/>
        <w:jc w:val="left"/>
        <w:rPr>
          <w:rFonts w:hint="default" w:ascii="华文楷体" w:hAnsi="华文楷体" w:eastAsia="华文楷体" w:cs="Times New Roman"/>
          <w:b/>
          <w:color w:val="000000" w:themeColor="text1"/>
          <w:sz w:val="32"/>
          <w:szCs w:val="32"/>
          <w:lang w:val="en-US" w:eastAsia="zh-CN"/>
          <w14:textFill>
            <w14:solidFill>
              <w14:schemeClr w14:val="tx1"/>
            </w14:solidFill>
          </w14:textFill>
        </w:rPr>
      </w:pPr>
      <w:bookmarkStart w:id="41" w:name="_Toc1474_WPSOffice_Level2"/>
      <w:bookmarkStart w:id="42" w:name="_Toc31528_WPSOffice_Level2"/>
      <w:r>
        <w:rPr>
          <w:rFonts w:hint="eastAsia" w:ascii="华文楷体" w:hAnsi="华文楷体" w:eastAsia="华文楷体" w:cs="Times New Roman"/>
          <w:b/>
          <w:color w:val="000000" w:themeColor="text1"/>
          <w:sz w:val="32"/>
          <w:szCs w:val="32"/>
          <w:lang w:val="en-US" w:eastAsia="zh-CN"/>
          <w14:textFill>
            <w14:solidFill>
              <w14:schemeClr w14:val="tx1"/>
            </w14:solidFill>
          </w14:textFill>
        </w:rPr>
        <w:t>受评单位相关职责</w:t>
      </w:r>
      <w:bookmarkEnd w:id="41"/>
      <w:bookmarkEnd w:id="42"/>
    </w:p>
    <w:p>
      <w:pPr>
        <w:keepNext w:val="0"/>
        <w:keepLines w:val="0"/>
        <w:pageBreakBefore w:val="0"/>
        <w:widowControl w:val="0"/>
        <w:kinsoku/>
        <w:wordWrap/>
        <w:overflowPunct/>
        <w:topLinePunct w:val="0"/>
        <w:autoSpaceDE/>
        <w:autoSpaceDN/>
        <w:bidi w:val="0"/>
        <w:adjustRightInd/>
        <w:snapToGrid/>
        <w:spacing w:line="600" w:lineRule="exact"/>
        <w:ind w:firstLine="881"/>
        <w:textAlignment w:val="auto"/>
        <w:rPr>
          <w:rFonts w:hint="eastAsia" w:ascii="华文仿宋" w:hAnsi="华文仿宋" w:eastAsia="华文仿宋" w:cs="华文仿宋"/>
        </w:rPr>
      </w:pPr>
      <w:r>
        <w:rPr>
          <w:rFonts w:hint="eastAsia" w:ascii="华文仿宋" w:hAnsi="华文仿宋" w:eastAsia="华文仿宋" w:cs="华文仿宋"/>
          <w:lang w:val="en-US" w:eastAsia="zh-CN"/>
        </w:rPr>
        <w:t>《怀化市鹤城区教育局主要职责内设机构和人员编制规定》</w:t>
      </w:r>
      <w:r>
        <w:rPr>
          <w:rFonts w:hint="eastAsia" w:ascii="华文仿宋" w:hAnsi="华文仿宋" w:cs="华文仿宋"/>
          <w:lang w:val="en-US" w:eastAsia="zh-CN"/>
        </w:rPr>
        <w:t>明确：</w:t>
      </w:r>
      <w:r>
        <w:rPr>
          <w:rFonts w:hint="eastAsia" w:ascii="华文仿宋" w:hAnsi="华文仿宋" w:eastAsia="华文仿宋" w:cs="华文仿宋"/>
          <w:lang w:val="en-US" w:eastAsia="zh-CN"/>
        </w:rPr>
        <w:t>怀化市教育局</w:t>
      </w:r>
      <w:r>
        <w:rPr>
          <w:rFonts w:hint="eastAsia" w:ascii="华文仿宋" w:hAnsi="华文仿宋" w:cs="华文仿宋"/>
          <w:lang w:val="en-US" w:eastAsia="zh-CN"/>
        </w:rPr>
        <w:t>主要</w:t>
      </w:r>
      <w:r>
        <w:rPr>
          <w:rFonts w:hint="eastAsia" w:ascii="华文仿宋" w:hAnsi="华文仿宋" w:eastAsia="华文仿宋" w:cs="华文仿宋"/>
          <w:lang w:val="en-US" w:eastAsia="zh-CN"/>
        </w:rPr>
        <w:t>承担“组织普通高中学业水平考试”、“加强基础教育工作……”、“……大力发展职业教育……”、“……贯彻落实国家教育工作的方针、政策和法律法规……”、“……负责推进义务教育均衡发展和促进教育公平……”、“统筹管理全区的基础教育、职业技术教育、成人教育、高等教育自学考试、民办教育等工作”、“组织对普及九年义务教育的督导”、“统筹管理本部门教育经费……”、“主管全区的教育工作……”、“统筹管理各类高等、中等学历教育的招生考试工作……”、“组织、指导全区教育督导工作”、“管理区属中小学校和内设机构……”、“指导全区教育系统的纪检、监察工作……”、“承办区委、区人民政府交办的其他事项”等职责。</w:t>
      </w:r>
    </w:p>
    <w:p>
      <w:pPr>
        <w:numPr>
          <w:ilvl w:val="0"/>
          <w:numId w:val="2"/>
        </w:numPr>
        <w:adjustRightInd w:val="0"/>
        <w:snapToGrid w:val="0"/>
        <w:spacing w:line="600" w:lineRule="exact"/>
        <w:ind w:firstLine="641" w:firstLineChars="200"/>
        <w:jc w:val="left"/>
        <w:rPr>
          <w:rFonts w:hint="eastAsia" w:ascii="华文楷体" w:hAnsi="华文楷体" w:eastAsia="华文楷体" w:cs="Times New Roman"/>
          <w:b/>
          <w:color w:val="000000" w:themeColor="text1"/>
          <w:sz w:val="32"/>
          <w:szCs w:val="32"/>
          <w:lang w:val="en-US" w:eastAsia="zh-CN"/>
          <w14:textFill>
            <w14:solidFill>
              <w14:schemeClr w14:val="tx1"/>
            </w14:solidFill>
          </w14:textFill>
        </w:rPr>
      </w:pPr>
      <w:bookmarkStart w:id="43" w:name="_Toc15806_WPSOffice_Level2"/>
      <w:bookmarkStart w:id="44" w:name="_Toc12217_WPSOffice_Level2"/>
      <w:bookmarkStart w:id="45" w:name="_Toc25181_WPSOffice_Level2"/>
      <w:r>
        <w:rPr>
          <w:rFonts w:hint="eastAsia" w:ascii="华文楷体" w:hAnsi="华文楷体" w:eastAsia="华文楷体" w:cs="Times New Roman"/>
          <w:b/>
          <w:color w:val="000000" w:themeColor="text1"/>
          <w:sz w:val="32"/>
          <w:szCs w:val="32"/>
          <w:lang w:val="en-US" w:eastAsia="zh-CN"/>
          <w14:textFill>
            <w14:solidFill>
              <w14:schemeClr w14:val="tx1"/>
            </w14:solidFill>
          </w14:textFill>
        </w:rPr>
        <w:t>项目计划安排及实施情况</w:t>
      </w:r>
      <w:bookmarkEnd w:id="43"/>
      <w:bookmarkEnd w:id="44"/>
      <w:bookmarkEnd w:id="45"/>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lang w:val="en-US" w:eastAsia="zh-CN"/>
        </w:rPr>
      </w:pPr>
      <w:r>
        <w:rPr>
          <w:rFonts w:hint="eastAsia" w:ascii="华文仿宋" w:hAnsi="华文仿宋" w:cs="华文仿宋"/>
          <w:lang w:val="en-US" w:eastAsia="zh-CN"/>
        </w:rPr>
        <w:t>怀化</w:t>
      </w:r>
      <w:r>
        <w:rPr>
          <w:rFonts w:hint="eastAsia" w:ascii="华文仿宋" w:hAnsi="华文仿宋" w:eastAsia="华文仿宋" w:cs="华文仿宋"/>
          <w:lang w:val="en-US" w:eastAsia="zh-CN"/>
        </w:rPr>
        <w:t>市教育局</w:t>
      </w:r>
      <w:r>
        <w:rPr>
          <w:rFonts w:hint="eastAsia" w:ascii="华文仿宋" w:hAnsi="华文仿宋" w:cs="华文仿宋"/>
          <w:lang w:val="en-US" w:eastAsia="zh-CN"/>
        </w:rPr>
        <w:t>按照</w:t>
      </w:r>
      <w:r>
        <w:rPr>
          <w:rFonts w:hint="eastAsia" w:ascii="华文仿宋" w:hAnsi="华文仿宋" w:eastAsia="华文仿宋" w:cs="华文仿宋"/>
          <w:lang w:val="en-US" w:eastAsia="zh-CN"/>
        </w:rPr>
        <w:t>《湖南省县级人民政府教育工作督导评估方案（2014年—2020年）》（湘政教督〔2013〕4号）</w:t>
      </w:r>
      <w:r>
        <w:rPr>
          <w:rFonts w:hint="eastAsia" w:ascii="华文仿宋" w:hAnsi="华文仿宋" w:cs="华文仿宋"/>
          <w:lang w:val="en-US" w:eastAsia="zh-CN"/>
        </w:rPr>
        <w:t>部署</w:t>
      </w:r>
      <w:r>
        <w:rPr>
          <w:rFonts w:hint="eastAsia" w:ascii="华文仿宋" w:hAnsi="华文仿宋" w:eastAsia="华文仿宋" w:cs="华文仿宋"/>
          <w:lang w:val="en-US" w:eastAsia="zh-CN"/>
        </w:rPr>
        <w:t>，进一步</w:t>
      </w:r>
      <w:r>
        <w:rPr>
          <w:rFonts w:hint="eastAsia" w:ascii="华文仿宋" w:hAnsi="华文仿宋" w:cs="华文仿宋"/>
          <w:lang w:val="en-US" w:eastAsia="zh-CN"/>
        </w:rPr>
        <w:t>明确</w:t>
      </w:r>
      <w:r>
        <w:rPr>
          <w:rFonts w:hint="eastAsia" w:ascii="华文仿宋" w:hAnsi="华文仿宋" w:eastAsia="华文仿宋" w:cs="华文仿宋"/>
          <w:lang w:val="en-US" w:eastAsia="zh-CN"/>
        </w:rPr>
        <w:t>了</w:t>
      </w:r>
      <w:r>
        <w:rPr>
          <w:rFonts w:hint="eastAsia" w:ascii="华文仿宋" w:hAnsi="华文仿宋" w:cs="华文仿宋"/>
          <w:lang w:val="en-US" w:eastAsia="zh-CN"/>
        </w:rPr>
        <w:t>全市</w:t>
      </w:r>
      <w:r>
        <w:rPr>
          <w:rFonts w:hint="eastAsia" w:ascii="华文仿宋" w:hAnsi="华文仿宋" w:eastAsia="华文仿宋" w:cs="华文仿宋"/>
          <w:lang w:val="en-US" w:eastAsia="zh-CN"/>
        </w:rPr>
        <w:t>教育工作</w:t>
      </w:r>
      <w:r>
        <w:rPr>
          <w:rFonts w:hint="eastAsia" w:ascii="华文仿宋" w:hAnsi="华文仿宋" w:cs="华文仿宋"/>
          <w:lang w:val="en-US" w:eastAsia="zh-CN"/>
        </w:rPr>
        <w:t>规划</w:t>
      </w:r>
      <w:r>
        <w:rPr>
          <w:rFonts w:hint="eastAsia" w:ascii="华文仿宋" w:hAnsi="华文仿宋" w:eastAsia="华文仿宋" w:cs="华文仿宋"/>
          <w:lang w:val="en-US" w:eastAsia="zh-CN"/>
        </w:rPr>
        <w:t>。区教育局按照市教育局的工作要求，2018年计划搞好教师全员岗位培训、继续教育培训；抓好“国培计划”和“省培计划”；做好农村小学和幼儿园教师招生选拔，岗位落实及履约管理工作；搞好非师范类毕业生教师资格考试与面试工作；认真做好教师学历提升工作和专业不对口教师的适岗培训工作；抓好语言文字工作六个方面的教师培训任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lang w:val="en-US" w:eastAsia="zh-CN"/>
        </w:rPr>
      </w:pPr>
      <w:r>
        <w:rPr>
          <w:rFonts w:hint="eastAsia" w:ascii="华文仿宋" w:hAnsi="华文仿宋" w:eastAsia="华文仿宋" w:cs="华文仿宋"/>
          <w:lang w:val="en-US" w:eastAsia="zh-CN"/>
        </w:rPr>
        <w:t>截止2018年底，区教育局相继开展了2018年暑期教师培训、鹤城区学校教师普通话培训与测试、2018年华都小学暑假教师培训、2018年黄金坳完小暑期校本培训、“魅力鹤城、活力体育”教师培训活动、“国培计划”中小学“送培到县”示范性培训项目、“国培计划”鹤城区“送教下乡”项目暨培训师团队“总结提升”；区教师发展中心教师发展与培训等一系列教师培训工作，以认真的态度统筹推进各项培训工作，较好地完成了全年各项培训任务。</w:t>
      </w:r>
    </w:p>
    <w:p>
      <w:pPr>
        <w:numPr>
          <w:ilvl w:val="0"/>
          <w:numId w:val="2"/>
        </w:numPr>
        <w:adjustRightInd w:val="0"/>
        <w:snapToGrid w:val="0"/>
        <w:spacing w:line="600" w:lineRule="exact"/>
        <w:ind w:firstLine="641" w:firstLineChars="200"/>
        <w:jc w:val="left"/>
        <w:rPr>
          <w:rFonts w:hint="eastAsia" w:ascii="华文楷体" w:hAnsi="华文楷体" w:eastAsia="华文楷体" w:cs="Times New Roman"/>
          <w:b/>
          <w:color w:val="000000" w:themeColor="text1"/>
          <w:sz w:val="32"/>
          <w:szCs w:val="32"/>
          <w:lang w:val="en-US" w:eastAsia="zh-CN"/>
          <w14:textFill>
            <w14:solidFill>
              <w14:schemeClr w14:val="tx1"/>
            </w14:solidFill>
          </w14:textFill>
        </w:rPr>
      </w:pPr>
      <w:bookmarkStart w:id="46" w:name="_Toc20945_WPSOffice_Level2"/>
      <w:bookmarkStart w:id="47" w:name="_Toc2849_WPSOffice_Level2"/>
      <w:bookmarkStart w:id="48" w:name="_Toc10087_WPSOffice_Level2"/>
      <w:r>
        <w:rPr>
          <w:rFonts w:hint="eastAsia" w:ascii="华文楷体" w:hAnsi="华文楷体" w:eastAsia="华文楷体" w:cs="Times New Roman"/>
          <w:b/>
          <w:color w:val="000000" w:themeColor="text1"/>
          <w:sz w:val="32"/>
          <w:szCs w:val="32"/>
          <w:lang w:val="en-US" w:eastAsia="zh-CN"/>
          <w14:textFill>
            <w14:solidFill>
              <w14:schemeClr w14:val="tx1"/>
            </w14:solidFill>
          </w14:textFill>
        </w:rPr>
        <w:t>项目资金安排及使用情况</w:t>
      </w:r>
      <w:bookmarkEnd w:id="46"/>
      <w:bookmarkEnd w:id="47"/>
      <w:bookmarkEnd w:id="48"/>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lang w:eastAsia="zh-CN"/>
        </w:rPr>
      </w:pPr>
      <w:r>
        <w:rPr>
          <w:rFonts w:hint="eastAsia" w:ascii="华文仿宋" w:hAnsi="华文仿宋" w:eastAsia="华文仿宋" w:cs="华文仿宋"/>
          <w:lang w:eastAsia="zh-CN"/>
        </w:rPr>
        <w:t>2018年，区财政年初预算安排教师培训资金303.28万元。根据（鹤财教追字〔2018〕0390号）和（鹤财教追字〔2018〕0963号），2018年度，区财政局实际拨付区教育局教师培训资金1840570元。截止2019年9月份，区教育局2018年教师培训费实际支出1311203.62元，其中2018年12月31日记账凭证有20000元支出记为其他污染防治支出，区教育局解释为系统故障，记账科目错误。详细情况</w:t>
      </w:r>
      <w:r>
        <w:rPr>
          <w:rFonts w:hint="eastAsia" w:ascii="华文仿宋" w:hAnsi="华文仿宋" w:cs="华文仿宋"/>
          <w:lang w:val="en-US" w:eastAsia="zh-CN"/>
        </w:rPr>
        <w:t>如下</w:t>
      </w:r>
      <w:r>
        <w:rPr>
          <w:rFonts w:hint="eastAsia" w:ascii="华文仿宋" w:hAnsi="华文仿宋" w:eastAsia="华文仿宋" w:cs="华文仿宋"/>
          <w:lang w:eastAsia="zh-CN"/>
        </w:rPr>
        <w:t>：</w:t>
      </w:r>
      <w:bookmarkStart w:id="49" w:name="_Toc12907_WPSOffice_Level2"/>
    </w:p>
    <w:p>
      <w:r>
        <w:br w:type="page"/>
      </w:r>
    </w:p>
    <w:p>
      <w:pPr>
        <w:pStyle w:val="3"/>
        <w:spacing w:line="240" w:lineRule="auto"/>
      </w:pPr>
      <w:r>
        <w:t xml:space="preserve">表 </w:t>
      </w:r>
      <w:r>
        <w:fldChar w:fldCharType="begin"/>
      </w:r>
      <w:r>
        <w:instrText xml:space="preserve"> SEQ 表 \* ARABIC </w:instrText>
      </w:r>
      <w:r>
        <w:fldChar w:fldCharType="separate"/>
      </w:r>
      <w:r>
        <w:t>1</w:t>
      </w:r>
      <w:r>
        <w:fldChar w:fldCharType="end"/>
      </w:r>
    </w:p>
    <w:tbl>
      <w:tblPr>
        <w:tblStyle w:val="7"/>
        <w:tblW w:w="9580" w:type="dxa"/>
        <w:jc w:val="center"/>
        <w:tblInd w:w="185"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
      <w:tblGrid>
        <w:gridCol w:w="602"/>
        <w:gridCol w:w="964"/>
        <w:gridCol w:w="2478"/>
        <w:gridCol w:w="4660"/>
        <w:gridCol w:w="876"/>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Ex>
        <w:trPr>
          <w:trHeight w:val="526" w:hRule="atLeast"/>
          <w:jc w:val="center"/>
        </w:trPr>
        <w:tc>
          <w:tcPr>
            <w:tcW w:w="9580" w:type="dxa"/>
            <w:gridSpan w:val="5"/>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cs="华文仿宋"/>
                <w:b/>
                <w:bCs/>
                <w:i w:val="0"/>
                <w:color w:val="000000"/>
                <w:kern w:val="0"/>
                <w:sz w:val="20"/>
                <w:szCs w:val="20"/>
                <w:u w:val="none"/>
                <w:lang w:val="en-US" w:eastAsia="zh-CN" w:bidi="ar"/>
              </w:rPr>
            </w:pPr>
            <w:r>
              <w:rPr>
                <w:rFonts w:hint="eastAsia" w:ascii="华文仿宋" w:hAnsi="华文仿宋" w:eastAsia="华文仿宋" w:cs="华文仿宋"/>
                <w:b/>
                <w:bCs/>
                <w:i w:val="0"/>
                <w:color w:val="000000"/>
                <w:kern w:val="0"/>
                <w:sz w:val="20"/>
                <w:szCs w:val="20"/>
                <w:u w:val="none"/>
                <w:lang w:val="en-US" w:eastAsia="zh-CN" w:bidi="ar"/>
              </w:rPr>
              <w:t>怀化市鹤城区2018年教师培训专项资金</w:t>
            </w:r>
            <w:r>
              <w:rPr>
                <w:rFonts w:hint="eastAsia" w:ascii="华文仿宋" w:hAnsi="华文仿宋" w:cs="华文仿宋"/>
                <w:b/>
                <w:bCs/>
                <w:i w:val="0"/>
                <w:color w:val="000000"/>
                <w:kern w:val="0"/>
                <w:sz w:val="20"/>
                <w:szCs w:val="20"/>
                <w:u w:val="none"/>
                <w:lang w:val="en-US" w:eastAsia="zh-CN" w:bidi="ar"/>
              </w:rPr>
              <w:t>支出明细</w:t>
            </w:r>
          </w:p>
          <w:p>
            <w:pPr>
              <w:keepNext w:val="0"/>
              <w:keepLines w:val="0"/>
              <w:widowControl/>
              <w:suppressLineNumbers w:val="0"/>
              <w:spacing w:line="240" w:lineRule="auto"/>
              <w:ind w:firstLine="0" w:firstLineChars="0"/>
              <w:jc w:val="center"/>
              <w:textAlignment w:val="center"/>
              <w:rPr>
                <w:rFonts w:hint="default" w:ascii="华文仿宋" w:hAnsi="华文仿宋" w:cs="华文仿宋"/>
                <w:b/>
                <w:bCs/>
                <w:i w:val="0"/>
                <w:color w:val="000000"/>
                <w:kern w:val="0"/>
                <w:sz w:val="20"/>
                <w:szCs w:val="20"/>
                <w:u w:val="none"/>
                <w:lang w:val="en-US" w:eastAsia="zh-CN" w:bidi="ar"/>
              </w:rPr>
            </w:pPr>
            <w:r>
              <w:rPr>
                <w:rFonts w:hint="eastAsia" w:ascii="华文仿宋" w:hAnsi="华文仿宋" w:cs="华文仿宋"/>
                <w:b/>
                <w:bCs/>
                <w:i w:val="0"/>
                <w:color w:val="000000"/>
                <w:kern w:val="0"/>
                <w:sz w:val="20"/>
                <w:szCs w:val="20"/>
                <w:u w:val="none"/>
                <w:lang w:val="en-US" w:eastAsia="zh-CN" w:bidi="ar"/>
              </w:rPr>
              <w:t xml:space="preserve">                                                                        单位：元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b/>
                <w:bCs/>
                <w:i w:val="0"/>
                <w:color w:val="000000"/>
                <w:kern w:val="0"/>
                <w:sz w:val="18"/>
                <w:szCs w:val="18"/>
                <w:u w:val="none"/>
                <w:lang w:val="en-US" w:eastAsia="zh-CN" w:bidi="ar"/>
              </w:rPr>
            </w:pPr>
            <w:r>
              <w:rPr>
                <w:rFonts w:hint="eastAsia" w:ascii="华文仿宋" w:hAnsi="华文仿宋" w:eastAsia="华文仿宋" w:cs="华文仿宋"/>
                <w:b/>
                <w:bCs/>
                <w:i w:val="0"/>
                <w:color w:val="000000"/>
                <w:kern w:val="0"/>
                <w:sz w:val="18"/>
                <w:szCs w:val="18"/>
                <w:u w:val="none"/>
                <w:lang w:val="en-US" w:eastAsia="zh-CN" w:bidi="ar"/>
              </w:rPr>
              <w:t>序号</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b/>
                <w:bCs/>
                <w:i w:val="0"/>
                <w:color w:val="000000"/>
                <w:kern w:val="0"/>
                <w:sz w:val="18"/>
                <w:szCs w:val="18"/>
                <w:u w:val="none"/>
                <w:lang w:val="en-US" w:eastAsia="zh-CN" w:bidi="ar"/>
              </w:rPr>
            </w:pPr>
            <w:r>
              <w:rPr>
                <w:rFonts w:hint="eastAsia" w:ascii="华文仿宋" w:hAnsi="华文仿宋" w:eastAsia="华文仿宋" w:cs="华文仿宋"/>
                <w:b/>
                <w:bCs/>
                <w:i w:val="0"/>
                <w:color w:val="000000"/>
                <w:kern w:val="0"/>
                <w:sz w:val="18"/>
                <w:szCs w:val="18"/>
                <w:u w:val="none"/>
                <w:lang w:val="en-US" w:eastAsia="zh-CN" w:bidi="ar"/>
              </w:rPr>
              <w:t>支付时间</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b/>
                <w:bCs/>
                <w:i w:val="0"/>
                <w:color w:val="000000"/>
                <w:kern w:val="0"/>
                <w:sz w:val="18"/>
                <w:szCs w:val="18"/>
                <w:u w:val="none"/>
                <w:lang w:val="en-US" w:eastAsia="zh-CN" w:bidi="ar"/>
              </w:rPr>
            </w:pPr>
            <w:r>
              <w:rPr>
                <w:rFonts w:hint="eastAsia" w:ascii="华文仿宋" w:hAnsi="华文仿宋" w:eastAsia="华文仿宋" w:cs="华文仿宋"/>
                <w:b/>
                <w:bCs/>
                <w:i w:val="0"/>
                <w:color w:val="000000"/>
                <w:kern w:val="0"/>
                <w:sz w:val="18"/>
                <w:szCs w:val="18"/>
                <w:u w:val="none"/>
                <w:lang w:val="en-US" w:eastAsia="zh-CN" w:bidi="ar"/>
              </w:rPr>
              <w:t>支付单位</w:t>
            </w:r>
          </w:p>
        </w:tc>
        <w:tc>
          <w:tcPr>
            <w:tcW w:w="46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b/>
                <w:bCs/>
                <w:i w:val="0"/>
                <w:color w:val="000000"/>
                <w:kern w:val="0"/>
                <w:sz w:val="18"/>
                <w:szCs w:val="18"/>
                <w:u w:val="none"/>
                <w:lang w:val="en-US" w:eastAsia="zh-CN" w:bidi="ar"/>
              </w:rPr>
            </w:pPr>
            <w:r>
              <w:rPr>
                <w:rFonts w:hint="eastAsia" w:ascii="华文仿宋" w:hAnsi="华文仿宋" w:eastAsia="华文仿宋" w:cs="华文仿宋"/>
                <w:b/>
                <w:bCs/>
                <w:i w:val="0"/>
                <w:color w:val="000000"/>
                <w:kern w:val="0"/>
                <w:sz w:val="18"/>
                <w:szCs w:val="18"/>
                <w:u w:val="none"/>
                <w:lang w:val="en-US" w:eastAsia="zh-CN" w:bidi="ar"/>
              </w:rPr>
              <w:t>支付内容</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b/>
                <w:bCs/>
                <w:i w:val="0"/>
                <w:color w:val="000000"/>
                <w:kern w:val="0"/>
                <w:sz w:val="18"/>
                <w:szCs w:val="18"/>
                <w:u w:val="none"/>
                <w:lang w:val="en-US" w:eastAsia="zh-CN" w:bidi="ar"/>
              </w:rPr>
            </w:pPr>
            <w:r>
              <w:rPr>
                <w:rFonts w:hint="eastAsia" w:ascii="华文仿宋" w:hAnsi="华文仿宋" w:eastAsia="华文仿宋" w:cs="华文仿宋"/>
                <w:b/>
                <w:bCs/>
                <w:i w:val="0"/>
                <w:color w:val="000000"/>
                <w:kern w:val="0"/>
                <w:sz w:val="18"/>
                <w:szCs w:val="18"/>
                <w:u w:val="none"/>
                <w:lang w:val="en-US" w:eastAsia="zh-CN" w:bidi="ar"/>
              </w:rPr>
              <w:t>金额</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2019/2/2</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怀化学院</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鹤城区幼儿园园长200人在职培训</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130500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26"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2019/8/2</w:t>
            </w:r>
          </w:p>
        </w:tc>
        <w:tc>
          <w:tcPr>
            <w:tcW w:w="2478"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北京世纪明德教育科技股份有限公司</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2018年怀化市鹤城区教育局德才名师工程“名校长名师名班主任”高级研修培训费</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679000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3</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2018/7/10</w:t>
            </w:r>
          </w:p>
        </w:tc>
        <w:tc>
          <w:tcPr>
            <w:tcW w:w="2478"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区教育系统干部赴福建古田研修费</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155341</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444"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4</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2018/12/19</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湖南广播电视大学</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2017-2018年湖南省乡村中小学幼儿园教师专业适岗培训费</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152606.62</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5</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2018/10/9</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尹秀刚</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鹤城区乡村中小学教师培训</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4539</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26"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6</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2018/10/23</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蒋海燕</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3名教研员参加2018年义务教育道德与法治、语文、历史三科培训</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1995</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444"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7</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2018/10/23</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广州市歌德教育有限责任公司</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5天的保育员培训费用（200人*5天*139元/人/天）</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139000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1030"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8</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2018/10/16</w:t>
            </w:r>
          </w:p>
        </w:tc>
        <w:tc>
          <w:tcPr>
            <w:tcW w:w="2478"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欧杰</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“国培计划”2018鹤城区“送教下乡”通识研修环节域外专家授课及交通、差补6370元、参加“国培计划”教师培训机构专业化建设主题高研班培训1530元、湖南省2018年项目县培训成果展示高研班培训2690元、</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10590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851"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9</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2018/12/17</w:t>
            </w:r>
          </w:p>
        </w:tc>
        <w:tc>
          <w:tcPr>
            <w:tcW w:w="2478"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“国培计划”665元、省中小学教师发展中心跟岗学习3715元、农村教师公费定向培养与教育教学研讨会1026元、“国培计划、省培计划”培训管理者高级研修班2980元。</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8386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1788"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10</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2019/1/22</w:t>
            </w:r>
          </w:p>
        </w:tc>
        <w:tc>
          <w:tcPr>
            <w:tcW w:w="2478"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年中小学教师信息科技应用能力提升管理者高研班培训”665元、省“国培计划”2018第四批项目县教师培训团队院校集中培训574元、第四批项目县乡村中小学教师培训团队影子教师跟岗时间培训实施研讨会665元、“国培计划”2018-师范性专职培训团队研修中小学教师培训管理者培训1247元、“国培计划”2018县级教师发展机构资深教师提升培训665元。</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3816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26"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11</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2019/1/22</w:t>
            </w:r>
          </w:p>
        </w:tc>
        <w:tc>
          <w:tcPr>
            <w:tcW w:w="2478"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教师培训授课费</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2018年国培计划B203、B206、A312项目总结提升环节国培专家食宿及授课费</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14660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12</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2019/1/29</w:t>
            </w:r>
          </w:p>
        </w:tc>
        <w:tc>
          <w:tcPr>
            <w:tcW w:w="2478"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2018年鹤城区新教师培训授课费</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8100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13</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2019/1/22</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杨嫔</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省教育厅政府会计及教育经费统计培训</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1340</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73"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14</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2019/1/23</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李松</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教育精准扶贫“一单式”培训</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665</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88" w:hRule="atLeast"/>
          <w:jc w:val="center"/>
        </w:trPr>
        <w:tc>
          <w:tcPr>
            <w:tcW w:w="60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15</w:t>
            </w:r>
          </w:p>
        </w:tc>
        <w:tc>
          <w:tcPr>
            <w:tcW w:w="9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2019/1/22</w:t>
            </w:r>
          </w:p>
        </w:tc>
        <w:tc>
          <w:tcPr>
            <w:tcW w:w="247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符苹</w:t>
            </w:r>
          </w:p>
        </w:tc>
        <w:tc>
          <w:tcPr>
            <w:tcW w:w="46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关于开展全国中小学生学籍信息管理系统（二期）应用培训和湖南省普通高中学生综合素质评价平台应用培训</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665</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81" w:hRule="atLeast"/>
          <w:jc w:val="center"/>
        </w:trPr>
        <w:tc>
          <w:tcPr>
            <w:tcW w:w="4044" w:type="dxa"/>
            <w:gridSpan w:val="3"/>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合计</w:t>
            </w:r>
          </w:p>
        </w:tc>
        <w:tc>
          <w:tcPr>
            <w:tcW w:w="46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w:t>
            </w:r>
          </w:p>
        </w:tc>
        <w:tc>
          <w:tcPr>
            <w:tcW w:w="876"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华文仿宋" w:hAnsi="华文仿宋" w:eastAsia="华文仿宋" w:cs="华文仿宋"/>
                <w:i w:val="0"/>
                <w:color w:val="000000"/>
                <w:kern w:val="0"/>
                <w:sz w:val="18"/>
                <w:szCs w:val="18"/>
                <w:u w:val="none"/>
                <w:lang w:val="en-US" w:eastAsia="zh-CN" w:bidi="ar"/>
              </w:rPr>
            </w:pPr>
            <w:r>
              <w:rPr>
                <w:rFonts w:hint="eastAsia" w:ascii="华文仿宋" w:hAnsi="华文仿宋" w:eastAsia="华文仿宋" w:cs="华文仿宋"/>
                <w:i w:val="0"/>
                <w:color w:val="000000"/>
                <w:kern w:val="0"/>
                <w:sz w:val="18"/>
                <w:szCs w:val="18"/>
                <w:u w:val="none"/>
                <w:lang w:val="en-US" w:eastAsia="zh-CN" w:bidi="ar"/>
              </w:rPr>
              <w:t>1311203.62</w:t>
            </w:r>
          </w:p>
        </w:tc>
      </w:tr>
    </w:tbl>
    <w:p>
      <w:pPr>
        <w:numPr>
          <w:ilvl w:val="0"/>
          <w:numId w:val="2"/>
        </w:numPr>
        <w:adjustRightInd w:val="0"/>
        <w:snapToGrid w:val="0"/>
        <w:spacing w:line="600" w:lineRule="exact"/>
        <w:ind w:firstLine="641" w:firstLineChars="200"/>
        <w:jc w:val="left"/>
        <w:rPr>
          <w:rFonts w:hint="eastAsia" w:ascii="华文楷体" w:hAnsi="华文楷体" w:eastAsia="华文楷体" w:cs="Times New Roman"/>
          <w:b/>
          <w:color w:val="000000" w:themeColor="text1"/>
          <w:sz w:val="32"/>
          <w:szCs w:val="32"/>
          <w:lang w:val="en-US" w:eastAsia="zh-CN"/>
          <w14:textFill>
            <w14:solidFill>
              <w14:schemeClr w14:val="tx1"/>
            </w14:solidFill>
          </w14:textFill>
        </w:rPr>
      </w:pPr>
      <w:bookmarkStart w:id="50" w:name="_Toc16889_WPSOffice_Level2"/>
      <w:bookmarkStart w:id="51" w:name="_Toc2159_WPSOffice_Level2"/>
      <w:r>
        <w:rPr>
          <w:rFonts w:hint="eastAsia" w:ascii="华文楷体" w:hAnsi="华文楷体" w:eastAsia="华文楷体" w:cs="Times New Roman"/>
          <w:b/>
          <w:color w:val="000000" w:themeColor="text1"/>
          <w:sz w:val="32"/>
          <w:szCs w:val="32"/>
          <w:lang w:val="en-US" w:eastAsia="zh-CN"/>
          <w14:textFill>
            <w14:solidFill>
              <w14:schemeClr w14:val="tx1"/>
            </w14:solidFill>
          </w14:textFill>
        </w:rPr>
        <w:t>项目完成情况及成效</w:t>
      </w:r>
      <w:bookmarkEnd w:id="50"/>
      <w:bookmarkEnd w:id="51"/>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b/>
          <w:color w:val="000000" w:themeColor="text1"/>
          <w:szCs w:val="32"/>
          <w14:textFill>
            <w14:solidFill>
              <w14:schemeClr w14:val="tx1"/>
            </w14:solidFill>
          </w14:textFill>
        </w:rPr>
      </w:pPr>
      <w:r>
        <w:rPr>
          <w:rFonts w:hint="eastAsia" w:ascii="华文仿宋" w:hAnsi="华文仿宋" w:eastAsia="华文仿宋" w:cs="华文仿宋"/>
          <w:sz w:val="32"/>
          <w:szCs w:val="32"/>
          <w:lang w:val="en-US" w:eastAsia="zh-CN"/>
        </w:rPr>
        <w:t>2018年度，区教育局相继开展了2018年暑期教师培训、“魅力鹤城、活力体育”教师培训活动、“国培计划”中小学“送培到县”示范性培训等一系列教师培训工作，以认真的态度统筹推进各项培训工作，较好地完成了全年培训任务。通过该教师培训项目，完善了教师培训服务体系的建设，组织开展了各级各类培训80余项，参培教师5353人次，完成了各项教师继续教育相关工作，教师的整体素质得以稳步提升。同时搭建出专业平台，打造了教师本土培训新生态，创新了教育活动载体，语言文字工作得以</w:t>
      </w:r>
      <w:r>
        <w:rPr>
          <w:rFonts w:hint="eastAsia" w:ascii="华文仿宋" w:hAnsi="华文仿宋" w:cs="华文仿宋"/>
          <w:sz w:val="32"/>
          <w:szCs w:val="32"/>
          <w:lang w:val="en-US" w:eastAsia="zh-CN"/>
        </w:rPr>
        <w:t>不断</w:t>
      </w:r>
      <w:r>
        <w:rPr>
          <w:rFonts w:hint="eastAsia" w:ascii="华文仿宋" w:hAnsi="华文仿宋" w:eastAsia="华文仿宋" w:cs="华文仿宋"/>
          <w:sz w:val="32"/>
          <w:szCs w:val="32"/>
          <w:lang w:val="en-US" w:eastAsia="zh-CN"/>
        </w:rPr>
        <w:t>发展。</w:t>
      </w:r>
    </w:p>
    <w:bookmarkEnd w:id="49"/>
    <w:p>
      <w:pPr>
        <w:pStyle w:val="6"/>
        <w:numPr>
          <w:ilvl w:val="0"/>
          <w:numId w:val="1"/>
        </w:numPr>
        <w:shd w:val="clear" w:color="auto" w:fill="FFFFFF"/>
        <w:spacing w:before="0" w:beforeAutospacing="0" w:after="0" w:afterAutospacing="0" w:line="600" w:lineRule="exact"/>
        <w:ind w:firstLine="640" w:firstLineChars="200"/>
        <w:jc w:val="both"/>
        <w:rPr>
          <w:rFonts w:hint="eastAsia" w:ascii="黑体" w:hAnsi="黑体" w:eastAsia="黑体"/>
          <w:color w:val="000000" w:themeColor="text1"/>
          <w:sz w:val="32"/>
          <w:szCs w:val="32"/>
          <w14:textFill>
            <w14:solidFill>
              <w14:schemeClr w14:val="tx1"/>
            </w14:solidFill>
          </w14:textFill>
        </w:rPr>
      </w:pPr>
      <w:bookmarkStart w:id="52" w:name="_Toc2849_WPSOffice_Level1"/>
      <w:bookmarkStart w:id="53" w:name="_Toc12217_WPSOffice_Level1"/>
      <w:bookmarkStart w:id="54" w:name="_Toc10087_WPSOffice_Level1"/>
      <w:r>
        <w:rPr>
          <w:rFonts w:hint="eastAsia" w:ascii="黑体" w:hAnsi="黑体" w:eastAsia="黑体"/>
          <w:color w:val="000000" w:themeColor="text1"/>
          <w:sz w:val="32"/>
          <w:szCs w:val="32"/>
          <w14:textFill>
            <w14:solidFill>
              <w14:schemeClr w14:val="tx1"/>
            </w14:solidFill>
          </w14:textFill>
        </w:rPr>
        <w:t>项目资金绩效评价及分析</w:t>
      </w:r>
      <w:bookmarkEnd w:id="52"/>
      <w:bookmarkEnd w:id="53"/>
      <w:bookmarkEnd w:id="54"/>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对该教育培训费进行绩效评价,目的在于通过全面了解该教师培训项目管理和资金使用情况，强化项目监督，提高项目资金使用效益和支出透明度，针对存在的问题提出合理化建议。实施评价前，惟楚创智与区财政局、教育局进行了充分沟通，成立了评价组，评价组根据该教师培训项目实施情况，拟订了绩效评价工作方案，设计了评价指标和标准，对该项目进行了绩效评价工作。</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55" w:name="_Toc21201_WPSOffice_Level2"/>
      <w:bookmarkStart w:id="56" w:name="_Toc25884_WPSOffice_Level2"/>
      <w:bookmarkStart w:id="57" w:name="_Toc1478_WPSOffice_Level2"/>
      <w:r>
        <w:rPr>
          <w:rFonts w:hint="eastAsia" w:ascii="楷体_GB2312" w:hAnsi="文星仿宋" w:eastAsia="楷体_GB2312"/>
          <w:b/>
          <w:color w:val="000000" w:themeColor="text1"/>
          <w:sz w:val="32"/>
          <w:szCs w:val="32"/>
          <w14:textFill>
            <w14:solidFill>
              <w14:schemeClr w14:val="tx1"/>
            </w14:solidFill>
          </w14:textFill>
        </w:rPr>
        <w:t>评价依据</w:t>
      </w:r>
      <w:bookmarkEnd w:id="55"/>
      <w:bookmarkEnd w:id="56"/>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《中华人民共和国预算法》；</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《党政机关厉行节约反对浪费条例》；</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《中共中央国务院关于全面实施预算绩效管理的意见》的通知（</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sz w:val="32"/>
          <w:szCs w:val="32"/>
        </w:rPr>
        <w:t>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财政部《财政财政支出绩效评价管理暂行办法》（财预〔2011〕285号）</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《中共湖南省委办公厅湖南省人民政府办公厅关于全面实施预算绩效管理的实施意见》（湘办发〔2019〕10号）；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现行有关</w:t>
      </w:r>
      <w:r>
        <w:rPr>
          <w:rFonts w:ascii="华文仿宋" w:hAnsi="华文仿宋" w:eastAsia="华文仿宋" w:cs="华文仿宋"/>
          <w:sz w:val="32"/>
          <w:szCs w:val="32"/>
        </w:rPr>
        <w:t>财政</w:t>
      </w:r>
      <w:r>
        <w:rPr>
          <w:rFonts w:hint="eastAsia" w:ascii="华文仿宋" w:hAnsi="华文仿宋" w:eastAsia="华文仿宋" w:cs="华文仿宋"/>
          <w:sz w:val="32"/>
          <w:szCs w:val="32"/>
        </w:rPr>
        <w:t>财务会计制度；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《2018年度预算绩效管理工作实施方案》（鹤财绩〔2018〕26号）；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项目申报资料、预算执行和项目实施的有关材料等；</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评价组现场调研资料及与评价有关的其他资料。</w:t>
      </w:r>
    </w:p>
    <w:bookmarkEnd w:id="57"/>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58" w:name="_Toc29032_WPSOffice_Level2"/>
      <w:bookmarkStart w:id="59" w:name="_Toc30367_WPSOffice_Level2"/>
      <w:bookmarkStart w:id="60" w:name="_Toc22181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方法</w:t>
      </w:r>
      <w:bookmarkEnd w:id="58"/>
      <w:bookmarkEnd w:id="59"/>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评价组</w:t>
      </w:r>
      <w:r>
        <w:rPr>
          <w:rFonts w:ascii="Times New Roman" w:hAnsi="Times New Roman" w:eastAsia="仿宋"/>
          <w:bCs/>
          <w:sz w:val="32"/>
          <w:szCs w:val="32"/>
        </w:rPr>
        <w:t>结合项目的特点，坚持定量分析和定性分析相结合，</w:t>
      </w:r>
      <w:r>
        <w:rPr>
          <w:rFonts w:hint="eastAsia" w:eastAsia="仿宋"/>
          <w:bCs/>
          <w:sz w:val="32"/>
          <w:szCs w:val="32"/>
          <w:lang w:eastAsia="zh-CN"/>
        </w:rPr>
        <w:t>充分</w:t>
      </w:r>
      <w:r>
        <w:rPr>
          <w:rFonts w:hint="eastAsia" w:ascii="华文仿宋" w:hAnsi="华文仿宋" w:cs="华文仿宋"/>
          <w:color w:val="000000" w:themeColor="text1"/>
          <w:szCs w:val="32"/>
          <w14:textFill>
            <w14:solidFill>
              <w14:schemeClr w14:val="tx1"/>
            </w14:solidFill>
          </w14:textFill>
        </w:rPr>
        <w:t>运用比较</w:t>
      </w:r>
      <w:r>
        <w:rPr>
          <w:rFonts w:ascii="华文仿宋" w:hAnsi="华文仿宋" w:cs="华文仿宋"/>
          <w:color w:val="000000" w:themeColor="text1"/>
          <w:szCs w:val="32"/>
          <w14:textFill>
            <w14:solidFill>
              <w14:schemeClr w14:val="tx1"/>
            </w14:solidFill>
          </w14:textFill>
        </w:rPr>
        <w:t>法、</w:t>
      </w:r>
      <w:r>
        <w:rPr>
          <w:rFonts w:hint="eastAsia" w:ascii="华文仿宋" w:hAnsi="华文仿宋" w:cs="华文仿宋"/>
          <w:color w:val="000000" w:themeColor="text1"/>
          <w:szCs w:val="32"/>
          <w14:textFill>
            <w14:solidFill>
              <w14:schemeClr w14:val="tx1"/>
            </w14:solidFill>
          </w14:textFill>
        </w:rPr>
        <w:t>公众</w:t>
      </w:r>
      <w:r>
        <w:rPr>
          <w:rFonts w:ascii="华文仿宋" w:hAnsi="华文仿宋" w:cs="华文仿宋"/>
          <w:color w:val="000000" w:themeColor="text1"/>
          <w:szCs w:val="32"/>
          <w14:textFill>
            <w14:solidFill>
              <w14:schemeClr w14:val="tx1"/>
            </w14:solidFill>
          </w14:textFill>
        </w:rPr>
        <w:t>评判</w:t>
      </w:r>
      <w:r>
        <w:rPr>
          <w:rFonts w:hint="eastAsia" w:ascii="华文仿宋" w:hAnsi="华文仿宋" w:cs="华文仿宋"/>
          <w:color w:val="000000" w:themeColor="text1"/>
          <w:szCs w:val="32"/>
          <w14:textFill>
            <w14:solidFill>
              <w14:schemeClr w14:val="tx1"/>
            </w14:solidFill>
          </w14:textFill>
        </w:rPr>
        <w:t>法、因素分析法、数据分析法等方法，</w:t>
      </w:r>
      <w:r>
        <w:rPr>
          <w:rFonts w:hint="eastAsia" w:ascii="华文仿宋" w:hAnsi="华文仿宋" w:eastAsia="华文仿宋" w:cs="华文仿宋"/>
          <w:color w:val="000000" w:themeColor="text1"/>
          <w:sz w:val="32"/>
          <w:szCs w:val="32"/>
          <w14:textFill>
            <w14:solidFill>
              <w14:schemeClr w14:val="tx1"/>
            </w14:solidFill>
          </w14:textFill>
        </w:rPr>
        <w:t>对</w:t>
      </w:r>
      <w:r>
        <w:rPr>
          <w:rFonts w:hint="eastAsia" w:ascii="华文仿宋" w:hAnsi="华文仿宋" w:cs="华文仿宋"/>
          <w:color w:val="000000" w:themeColor="text1"/>
          <w:sz w:val="32"/>
          <w:szCs w:val="32"/>
          <w:lang w:val="en-US" w:eastAsia="zh-CN"/>
          <w14:textFill>
            <w14:solidFill>
              <w14:schemeClr w14:val="tx1"/>
            </w14:solidFill>
          </w14:textFill>
        </w:rPr>
        <w:t>教师培训项目</w:t>
      </w:r>
      <w:r>
        <w:rPr>
          <w:rFonts w:ascii="华文仿宋" w:hAnsi="华文仿宋" w:eastAsia="华文仿宋" w:cs="华文仿宋"/>
          <w:color w:val="000000" w:themeColor="text1"/>
          <w:sz w:val="32"/>
          <w:szCs w:val="32"/>
          <w14:textFill>
            <w14:solidFill>
              <w14:schemeClr w14:val="tx1"/>
            </w14:solidFill>
          </w14:textFill>
        </w:rPr>
        <w:t>及</w:t>
      </w:r>
      <w:r>
        <w:rPr>
          <w:rFonts w:hint="eastAsia" w:ascii="华文仿宋" w:hAnsi="华文仿宋" w:eastAsia="华文仿宋" w:cs="华文仿宋"/>
          <w:color w:val="000000" w:themeColor="text1"/>
          <w:sz w:val="32"/>
          <w:szCs w:val="32"/>
          <w14:textFill>
            <w14:solidFill>
              <w14:schemeClr w14:val="tx1"/>
            </w14:solidFill>
          </w14:textFill>
        </w:rPr>
        <w:t>资金绩效情况进行</w:t>
      </w:r>
      <w:r>
        <w:rPr>
          <w:rFonts w:ascii="华文仿宋" w:hAnsi="华文仿宋" w:eastAsia="华文仿宋" w:cs="华文仿宋"/>
          <w:color w:val="000000" w:themeColor="text1"/>
          <w:sz w:val="32"/>
          <w:szCs w:val="32"/>
          <w14:textFill>
            <w14:solidFill>
              <w14:schemeClr w14:val="tx1"/>
            </w14:solidFill>
          </w14:textFill>
        </w:rPr>
        <w:t>了绩效评价</w:t>
      </w:r>
      <w:r>
        <w:rPr>
          <w:rFonts w:hint="eastAsia" w:ascii="华文仿宋" w:hAnsi="华文仿宋" w:eastAsia="华文仿宋" w:cs="华文仿宋"/>
          <w:color w:val="000000" w:themeColor="text1"/>
          <w:sz w:val="32"/>
          <w:szCs w:val="32"/>
          <w14:textFill>
            <w14:solidFill>
              <w14:schemeClr w14:val="tx1"/>
            </w14:solidFill>
          </w14:textFill>
        </w:rPr>
        <w:t>。</w:t>
      </w:r>
    </w:p>
    <w:bookmarkEnd w:id="60"/>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61" w:name="_Toc7040_WPSOffice_Level2"/>
      <w:bookmarkStart w:id="62" w:name="_Toc2524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指标</w:t>
      </w:r>
      <w:bookmarkEnd w:id="61"/>
      <w:bookmarkEnd w:id="62"/>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color w:val="000000" w:themeColor="text1"/>
          <w:sz w:val="32"/>
          <w:szCs w:val="32"/>
          <w14:textFill>
            <w14:solidFill>
              <w14:schemeClr w14:val="tx1"/>
            </w14:solidFill>
          </w14:textFill>
        </w:rPr>
        <w:t>按照区财政局《2018年度预算绩效管理工作实施方案》（鹤财绩〔2018〕26号）的有关要求，评价组结合项目具体情况，设计了该项目的评价指标体系，</w:t>
      </w:r>
      <w:r>
        <w:rPr>
          <w:rFonts w:ascii="华文仿宋" w:hAnsi="华文仿宋" w:eastAsia="华文仿宋" w:cs="华文仿宋"/>
          <w:color w:val="000000" w:themeColor="text1"/>
          <w:sz w:val="32"/>
          <w:szCs w:val="32"/>
          <w14:textFill>
            <w14:solidFill>
              <w14:schemeClr w14:val="tx1"/>
            </w14:solidFill>
          </w14:textFill>
        </w:rPr>
        <w:t>指标体系包括共性指标和个性指标两部分</w:t>
      </w:r>
      <w:r>
        <w:rPr>
          <w:rFonts w:hint="eastAsia" w:ascii="华文仿宋" w:hAnsi="华文仿宋" w:eastAsia="华文仿宋" w:cs="华文仿宋"/>
          <w:color w:val="000000" w:themeColor="text1"/>
          <w:sz w:val="32"/>
          <w:szCs w:val="32"/>
          <w14:textFill>
            <w14:solidFill>
              <w14:schemeClr w14:val="tx1"/>
            </w14:solidFill>
          </w14:textFill>
        </w:rPr>
        <w:t>。指标体系由三级指标组成，包括4项一级指标，9项二级指标，30项三级指标，主要包括投入、过程、产出和效果四个维度，满分100分。</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二是过程（30 分），</w:t>
      </w:r>
      <w:r>
        <w:rPr>
          <w:rFonts w:hint="eastAsia" w:ascii="华文仿宋" w:hAnsi="华文仿宋" w:eastAsia="华文仿宋" w:cs="华文仿宋"/>
          <w:color w:val="000000" w:themeColor="text1"/>
          <w:sz w:val="32"/>
          <w:szCs w:val="32"/>
          <w:lang w:eastAsia="zh-CN"/>
          <w14:textFill>
            <w14:solidFill>
              <w14:schemeClr w14:val="tx1"/>
            </w14:solidFill>
          </w14:textFill>
        </w:rPr>
        <w:t>主要</w:t>
      </w:r>
      <w:r>
        <w:rPr>
          <w:rFonts w:ascii="华文仿宋" w:hAnsi="华文仿宋" w:eastAsia="华文仿宋" w:cs="华文仿宋"/>
          <w:color w:val="000000" w:themeColor="text1"/>
          <w:sz w:val="32"/>
          <w:szCs w:val="32"/>
          <w14:textFill>
            <w14:solidFill>
              <w14:schemeClr w14:val="tx1"/>
            </w14:solidFill>
          </w14:textFill>
        </w:rPr>
        <w:t>从业务管理的角度，对管理制度健全性、制度执行有效性、项目质量可控性等方面进行评价；</w:t>
      </w:r>
      <w:r>
        <w:rPr>
          <w:rFonts w:hint="eastAsia" w:ascii="华文仿宋" w:hAnsi="华文仿宋" w:eastAsia="华文仿宋" w:cs="华文仿宋"/>
          <w:color w:val="000000" w:themeColor="text1"/>
          <w:sz w:val="32"/>
          <w:szCs w:val="32"/>
          <w:lang w:eastAsia="zh-CN"/>
          <w14:textFill>
            <w14:solidFill>
              <w14:schemeClr w14:val="tx1"/>
            </w14:solidFill>
          </w14:textFill>
        </w:rPr>
        <w:t>同时</w:t>
      </w:r>
      <w:r>
        <w:rPr>
          <w:rFonts w:ascii="华文仿宋" w:hAnsi="华文仿宋" w:eastAsia="华文仿宋" w:cs="华文仿宋"/>
          <w:color w:val="000000" w:themeColor="text1"/>
          <w:sz w:val="32"/>
          <w:szCs w:val="32"/>
          <w14:textFill>
            <w14:solidFill>
              <w14:schemeClr w14:val="tx1"/>
            </w14:solidFill>
          </w14:textFill>
        </w:rPr>
        <w:t>从财务管理的角度，对管理制度健全性、资金使用合规性、财务监控有效性等方面进行评价。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三是产出（</w:t>
      </w:r>
      <w:r>
        <w:rPr>
          <w:rFonts w:hint="eastAsia" w:ascii="华文仿宋" w:hAnsi="华文仿宋" w:cs="华文仿宋"/>
          <w:color w:val="000000" w:themeColor="text1"/>
          <w:sz w:val="32"/>
          <w:szCs w:val="32"/>
          <w:lang w:val="en-US" w:eastAsia="zh-CN"/>
          <w14:textFill>
            <w14:solidFill>
              <w14:schemeClr w14:val="tx1"/>
            </w14:solidFill>
          </w14:textFill>
        </w:rPr>
        <w:t>25</w:t>
      </w:r>
      <w:r>
        <w:rPr>
          <w:rFonts w:ascii="华文仿宋" w:hAnsi="华文仿宋" w:eastAsia="华文仿宋" w:cs="华文仿宋"/>
          <w:color w:val="000000" w:themeColor="text1"/>
          <w:sz w:val="32"/>
          <w:szCs w:val="32"/>
          <w14:textFill>
            <w14:solidFill>
              <w14:schemeClr w14:val="tx1"/>
            </w14:solidFill>
          </w14:textFill>
        </w:rPr>
        <w:t>分），主要</w:t>
      </w:r>
      <w:r>
        <w:rPr>
          <w:rFonts w:hint="eastAsia" w:ascii="华文仿宋" w:hAnsi="华文仿宋" w:eastAsia="华文仿宋" w:cs="华文仿宋"/>
          <w:color w:val="000000" w:themeColor="text1"/>
          <w:sz w:val="32"/>
          <w:szCs w:val="32"/>
          <w14:textFill>
            <w14:solidFill>
              <w14:schemeClr w14:val="tx1"/>
            </w14:solidFill>
          </w14:textFill>
        </w:rPr>
        <w:t>从产出数量</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四是效果（</w:t>
      </w:r>
      <w:r>
        <w:rPr>
          <w:rFonts w:hint="eastAsia" w:ascii="华文仿宋" w:hAnsi="华文仿宋" w:cs="华文仿宋"/>
          <w:color w:val="000000" w:themeColor="text1"/>
          <w:sz w:val="32"/>
          <w:szCs w:val="32"/>
          <w:lang w:val="en-US" w:eastAsia="zh-CN"/>
          <w14:textFill>
            <w14:solidFill>
              <w14:schemeClr w14:val="tx1"/>
            </w14:solidFill>
          </w14:textFill>
        </w:rPr>
        <w:t>25</w:t>
      </w:r>
      <w:r>
        <w:rPr>
          <w:rFonts w:ascii="华文仿宋" w:hAnsi="华文仿宋" w:eastAsia="华文仿宋" w:cs="华文仿宋"/>
          <w:color w:val="000000" w:themeColor="text1"/>
          <w:sz w:val="32"/>
          <w:szCs w:val="32"/>
          <w14:textFill>
            <w14:solidFill>
              <w14:schemeClr w14:val="tx1"/>
            </w14:solidFill>
          </w14:textFill>
        </w:rPr>
        <w:t xml:space="preserve"> 分），主要对</w:t>
      </w:r>
      <w:r>
        <w:rPr>
          <w:rFonts w:hint="eastAsia" w:ascii="华文仿宋" w:hAnsi="华文仿宋" w:cs="华文仿宋"/>
          <w:color w:val="000000" w:themeColor="text1"/>
          <w:sz w:val="32"/>
          <w:szCs w:val="32"/>
          <w:lang w:val="en-US" w:eastAsia="zh-CN"/>
          <w14:textFill>
            <w14:solidFill>
              <w14:schemeClr w14:val="tx1"/>
            </w14:solidFill>
          </w14:textFill>
        </w:rPr>
        <w:t>经济</w:t>
      </w:r>
      <w:r>
        <w:rPr>
          <w:rFonts w:ascii="华文仿宋" w:hAnsi="华文仿宋" w:eastAsia="华文仿宋" w:cs="华文仿宋"/>
          <w:color w:val="000000" w:themeColor="text1"/>
          <w:sz w:val="32"/>
          <w:szCs w:val="32"/>
          <w14:textFill>
            <w14:solidFill>
              <w14:schemeClr w14:val="tx1"/>
            </w14:solidFill>
          </w14:textFill>
        </w:rPr>
        <w:t>效益 、</w:t>
      </w:r>
      <w:r>
        <w:rPr>
          <w:rFonts w:hint="eastAsia" w:ascii="华文仿宋" w:hAnsi="华文仿宋" w:cs="华文仿宋"/>
          <w:color w:val="000000" w:themeColor="text1"/>
          <w:sz w:val="32"/>
          <w:szCs w:val="32"/>
          <w:lang w:val="en-US" w:eastAsia="zh-CN"/>
          <w14:textFill>
            <w14:solidFill>
              <w14:schemeClr w14:val="tx1"/>
            </w14:solidFill>
          </w14:textFill>
        </w:rPr>
        <w:t>社会</w:t>
      </w:r>
      <w:r>
        <w:rPr>
          <w:rFonts w:ascii="华文仿宋" w:hAnsi="华文仿宋" w:eastAsia="华文仿宋" w:cs="华文仿宋"/>
          <w:color w:val="000000" w:themeColor="text1"/>
          <w:sz w:val="32"/>
          <w:szCs w:val="32"/>
          <w14:textFill>
            <w14:solidFill>
              <w14:schemeClr w14:val="tx1"/>
            </w14:solidFill>
          </w14:textFill>
        </w:rPr>
        <w:t>效益、可持续影响及社会公众或服务对象满意度等方面进行评价。</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华文仿宋" w:hAnsi="华文仿宋" w:eastAsia="华文仿宋" w:cs="华文仿宋"/>
          <w:sz w:val="32"/>
          <w:szCs w:val="32"/>
          <w:lang w:val="en-US" w:eastAsia="zh-CN"/>
        </w:rPr>
      </w:pPr>
      <w:r>
        <w:rPr>
          <w:rFonts w:ascii="华文仿宋" w:hAnsi="华文仿宋" w:eastAsia="华文仿宋" w:cs="华文仿宋"/>
          <w:color w:val="000000" w:themeColor="text1"/>
          <w:sz w:val="32"/>
          <w:szCs w:val="32"/>
          <w14:textFill>
            <w14:solidFill>
              <w14:schemeClr w14:val="tx1"/>
            </w14:solidFill>
          </w14:textFill>
        </w:rPr>
        <w:t>绩效评价</w:t>
      </w:r>
      <w:r>
        <w:rPr>
          <w:rFonts w:hint="eastAsia" w:ascii="华文仿宋" w:hAnsi="华文仿宋" w:eastAsia="华文仿宋" w:cs="华文仿宋"/>
          <w:color w:val="000000" w:themeColor="text1"/>
          <w:sz w:val="32"/>
          <w:szCs w:val="32"/>
          <w:lang w:eastAsia="zh-CN"/>
          <w14:textFill>
            <w14:solidFill>
              <w14:schemeClr w14:val="tx1"/>
            </w14:solidFill>
          </w14:textFill>
        </w:rPr>
        <w:t>级别</w:t>
      </w:r>
      <w:r>
        <w:rPr>
          <w:rFonts w:ascii="华文仿宋" w:hAnsi="华文仿宋" w:eastAsia="华文仿宋" w:cs="华文仿宋"/>
          <w:color w:val="000000" w:themeColor="text1"/>
          <w:sz w:val="32"/>
          <w:szCs w:val="32"/>
          <w14:textFill>
            <w14:solidFill>
              <w14:schemeClr w14:val="tx1"/>
            </w14:solidFill>
          </w14:textFill>
        </w:rPr>
        <w:t>分为四个等级：综合得分在 90-100 分，评价为“优”；80-89 分，评价为“良”；60-79分，评价为“中”；0-59 分，评价为“差”。</w:t>
      </w:r>
    </w:p>
    <w:p>
      <w:pPr>
        <w:pStyle w:val="9"/>
        <w:numPr>
          <w:ilvl w:val="0"/>
          <w:numId w:val="3"/>
        </w:numPr>
        <w:adjustRightInd w:val="0"/>
        <w:snapToGrid w:val="0"/>
        <w:spacing w:line="600" w:lineRule="exact"/>
        <w:ind w:firstLine="643"/>
        <w:rPr>
          <w:rFonts w:hint="eastAsia" w:ascii="楷体_GB2312" w:hAnsi="文星仿宋" w:eastAsia="楷体_GB2312" w:cs="Times New Roman"/>
          <w:b/>
          <w:color w:val="000000" w:themeColor="text1"/>
          <w:sz w:val="32"/>
          <w:szCs w:val="32"/>
          <w14:textFill>
            <w14:solidFill>
              <w14:schemeClr w14:val="tx1"/>
            </w14:solidFill>
          </w14:textFill>
        </w:rPr>
      </w:pPr>
      <w:bookmarkStart w:id="63" w:name="_Toc251_WPSOffice_Level2"/>
      <w:bookmarkStart w:id="64" w:name="_Toc29768_WPSOffice_Level2"/>
      <w:bookmarkStart w:id="65" w:name="_Toc527_WPSOffice_Level2"/>
      <w:bookmarkStart w:id="66" w:name="_Toc23427_WPSOffice_Level2"/>
      <w:r>
        <w:rPr>
          <w:rFonts w:hint="eastAsia" w:ascii="楷体_GB2312" w:hAnsi="文星仿宋" w:eastAsia="楷体_GB2312" w:cs="Times New Roman"/>
          <w:b/>
          <w:color w:val="000000" w:themeColor="text1"/>
          <w:sz w:val="32"/>
          <w:szCs w:val="32"/>
          <w14:textFill>
            <w14:solidFill>
              <w14:schemeClr w14:val="tx1"/>
            </w14:solidFill>
          </w14:textFill>
        </w:rPr>
        <w:t>评价结论</w:t>
      </w:r>
      <w:bookmarkEnd w:id="63"/>
      <w:bookmarkEnd w:id="64"/>
      <w:bookmarkEnd w:id="65"/>
      <w:bookmarkEnd w:id="66"/>
    </w:p>
    <w:p>
      <w:pPr>
        <w:spacing w:line="600" w:lineRule="exact"/>
        <w:ind w:firstLine="640"/>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评价组在全面了解该教师培训费的立项背景依据、资金的使用情况、绩效目标的设定完成情况以及产生的效果的基础上，通过书面评价与现场核查，结合区财政局、</w:t>
      </w:r>
      <w:r>
        <w:rPr>
          <w:rFonts w:hint="eastAsia" w:ascii="华文仿宋" w:hAnsi="华文仿宋" w:cs="华文仿宋"/>
          <w:sz w:val="32"/>
          <w:szCs w:val="32"/>
          <w:lang w:val="en-US" w:eastAsia="zh-CN"/>
        </w:rPr>
        <w:t>区教育局</w:t>
      </w:r>
      <w:r>
        <w:rPr>
          <w:rFonts w:hint="eastAsia" w:ascii="华文仿宋" w:hAnsi="华文仿宋" w:eastAsia="华文仿宋" w:cs="华文仿宋"/>
          <w:sz w:val="32"/>
          <w:szCs w:val="32"/>
          <w:lang w:val="en-US" w:eastAsia="zh-CN"/>
        </w:rPr>
        <w:t>提供的佐证材料，经综合评</w:t>
      </w:r>
      <w:r>
        <w:rPr>
          <w:rFonts w:hint="eastAsia" w:ascii="华文仿宋" w:hAnsi="华文仿宋" w:cs="华文仿宋"/>
          <w:sz w:val="32"/>
          <w:szCs w:val="32"/>
          <w:lang w:val="en-US" w:eastAsia="zh-CN"/>
        </w:rPr>
        <w:t>定</w:t>
      </w:r>
      <w:r>
        <w:rPr>
          <w:rFonts w:hint="eastAsia" w:ascii="华文仿宋" w:hAnsi="华文仿宋" w:eastAsia="华文仿宋" w:cs="华文仿宋"/>
          <w:sz w:val="32"/>
          <w:szCs w:val="32"/>
          <w:lang w:val="en-US" w:eastAsia="zh-CN"/>
        </w:rPr>
        <w:t>，该教师培训资金绩效评价得分为</w:t>
      </w:r>
      <w:r>
        <w:rPr>
          <w:rFonts w:hint="eastAsia" w:ascii="华文仿宋" w:hAnsi="华文仿宋" w:cs="华文仿宋"/>
          <w:sz w:val="32"/>
          <w:szCs w:val="32"/>
          <w:lang w:val="en-US" w:eastAsia="zh-CN"/>
        </w:rPr>
        <w:t>88.4</w:t>
      </w:r>
      <w:r>
        <w:rPr>
          <w:rFonts w:hint="eastAsia" w:ascii="华文仿宋" w:hAnsi="华文仿宋" w:eastAsia="华文仿宋" w:cs="华文仿宋"/>
          <w:sz w:val="32"/>
          <w:szCs w:val="32"/>
          <w:lang w:val="en-US" w:eastAsia="zh-CN"/>
        </w:rPr>
        <w:t>分，评价等级为</w:t>
      </w:r>
      <w:r>
        <w:rPr>
          <w:rFonts w:hint="eastAsia" w:ascii="华文仿宋" w:hAnsi="华文仿宋" w:cs="华文仿宋"/>
          <w:sz w:val="32"/>
          <w:szCs w:val="32"/>
          <w:lang w:val="en-US" w:eastAsia="zh-CN"/>
        </w:rPr>
        <w:t>良</w:t>
      </w:r>
      <w:r>
        <w:rPr>
          <w:rFonts w:hint="eastAsia" w:ascii="华文仿宋" w:hAnsi="华文仿宋" w:eastAsia="华文仿宋" w:cs="华文仿宋"/>
          <w:sz w:val="32"/>
          <w:szCs w:val="32"/>
          <w:lang w:val="en-US" w:eastAsia="zh-CN"/>
        </w:rPr>
        <w:t>。</w:t>
      </w:r>
    </w:p>
    <w:p>
      <w:pPr>
        <w:spacing w:line="600" w:lineRule="exact"/>
        <w:ind w:firstLine="640"/>
        <w:rPr>
          <w:rFonts w:ascii="华文仿宋" w:hAnsi="华文仿宋" w:cs="华文仿宋"/>
          <w:szCs w:val="32"/>
        </w:rPr>
      </w:pPr>
      <w:r>
        <w:rPr>
          <w:rFonts w:hint="eastAsia" w:ascii="华文仿宋" w:hAnsi="华文仿宋" w:eastAsia="华文仿宋" w:cs="华文仿宋"/>
          <w:sz w:val="32"/>
          <w:szCs w:val="32"/>
          <w:lang w:val="en-US" w:eastAsia="zh-CN"/>
        </w:rPr>
        <w:t>从评价结果看，该教师培训项目社会效益较好，不仅完善了教师培训服务体系的建设，同时教师整体素质得以稳步提升。但该项目在绩效管理、资金使用率以及服务对象满意度等方面还有待进一步改进。</w:t>
      </w:r>
    </w:p>
    <w:p>
      <w:pPr>
        <w:pStyle w:val="9"/>
        <w:numPr>
          <w:ilvl w:val="0"/>
          <w:numId w:val="3"/>
        </w:numPr>
        <w:adjustRightInd w:val="0"/>
        <w:snapToGrid w:val="0"/>
        <w:spacing w:line="600" w:lineRule="exact"/>
        <w:ind w:firstLine="643"/>
        <w:rPr>
          <w:rFonts w:hint="eastAsia" w:ascii="楷体_GB2312" w:hAnsi="文星仿宋" w:eastAsia="楷体_GB2312" w:cs="Times New Roman"/>
          <w:b/>
          <w:color w:val="000000" w:themeColor="text1"/>
          <w:sz w:val="32"/>
          <w:szCs w:val="32"/>
          <w14:textFill>
            <w14:solidFill>
              <w14:schemeClr w14:val="tx1"/>
            </w14:solidFill>
          </w14:textFill>
        </w:rPr>
      </w:pPr>
      <w:bookmarkStart w:id="67" w:name="_Toc27257_WPSOffice_Level2"/>
      <w:bookmarkStart w:id="68" w:name="_Toc20621_WPSOffice_Level2"/>
      <w:bookmarkStart w:id="69" w:name="_Toc28281_WPSOffice_Level2"/>
      <w:bookmarkStart w:id="70" w:name="_Toc29678_WPSOffice_Level2"/>
      <w:r>
        <w:rPr>
          <w:rFonts w:hint="eastAsia" w:ascii="楷体_GB2312" w:hAnsi="文星仿宋" w:eastAsia="楷体_GB2312" w:cs="Times New Roman"/>
          <w:b/>
          <w:color w:val="000000" w:themeColor="text1"/>
          <w:sz w:val="32"/>
          <w:szCs w:val="32"/>
          <w14:textFill>
            <w14:solidFill>
              <w14:schemeClr w14:val="tx1"/>
            </w14:solidFill>
          </w14:textFill>
        </w:rPr>
        <w:t>评价指标分析</w:t>
      </w:r>
      <w:bookmarkEnd w:id="67"/>
      <w:bookmarkEnd w:id="68"/>
      <w:bookmarkEnd w:id="69"/>
      <w:bookmarkEnd w:id="70"/>
    </w:p>
    <w:p>
      <w:pPr>
        <w:numPr>
          <w:ilvl w:val="0"/>
          <w:numId w:val="5"/>
        </w:numPr>
        <w:autoSpaceDN w:val="0"/>
        <w:adjustRightInd w:val="0"/>
        <w:snapToGrid w:val="0"/>
        <w:spacing w:line="600" w:lineRule="exact"/>
        <w:ind w:firstLine="641" w:firstLineChars="200"/>
        <w:rPr>
          <w:rFonts w:hint="eastAsia" w:ascii="华文仿宋" w:hAnsi="华文仿宋" w:eastAsia="华文仿宋" w:cs="华文仿宋"/>
          <w:b/>
          <w:color w:val="000000" w:themeColor="text1"/>
          <w:sz w:val="32"/>
          <w:szCs w:val="32"/>
          <w14:textFill>
            <w14:solidFill>
              <w14:schemeClr w14:val="tx1"/>
            </w14:solidFill>
          </w14:textFill>
        </w:rPr>
      </w:pPr>
      <w:bookmarkStart w:id="71" w:name="_Toc1474_WPSOffice_Level3"/>
      <w:bookmarkStart w:id="72" w:name="_Toc10581_WPSOffice_Level3"/>
      <w:bookmarkStart w:id="73" w:name="_Toc31528_WPSOffice_Level3"/>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71"/>
      <w:bookmarkEnd w:id="72"/>
      <w:bookmarkEnd w:id="73"/>
    </w:p>
    <w:p>
      <w:pPr>
        <w:keepNext/>
        <w:keepLines/>
        <w:numPr>
          <w:ilvl w:val="0"/>
          <w:numId w:val="6"/>
        </w:numPr>
        <w:spacing w:line="60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立项决策情况</w:t>
      </w:r>
    </w:p>
    <w:p>
      <w:pPr>
        <w:widowControl/>
        <w:shd w:val="clear" w:color="auto" w:fill="FFFFFF"/>
        <w:spacing w:after="31" w:afterLines="10" w:line="400" w:lineRule="exact"/>
        <w:ind w:firstLine="720" w:firstLineChars="300"/>
        <w:jc w:val="left"/>
        <w:rPr>
          <w:rFonts w:ascii="Times New Roman" w:hAnsi="Times New Roman" w:eastAsia="仿宋" w:cs="Times New Roman"/>
          <w:sz w:val="24"/>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 xml:space="preserve">-1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立项决策指标得分情况</w:t>
      </w:r>
    </w:p>
    <w:tbl>
      <w:tblPr>
        <w:tblStyle w:val="7"/>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2"/>
        <w:gridCol w:w="1929"/>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4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9"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A投入（20）</w:t>
            </w:r>
          </w:p>
        </w:tc>
        <w:tc>
          <w:tcPr>
            <w:tcW w:w="194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A1立项决策（7）</w:t>
            </w:r>
          </w:p>
        </w:tc>
        <w:tc>
          <w:tcPr>
            <w:tcW w:w="192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项目立项规范性</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1"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决策实施合规性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3</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3</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1"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资金分配合理性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jc w:val="center"/>
        </w:trPr>
        <w:tc>
          <w:tcPr>
            <w:tcW w:w="170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194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7</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rPr>
      </w:pPr>
      <w:r>
        <w:rPr>
          <w:rFonts w:hint="eastAsia" w:ascii="华文仿宋" w:hAnsi="华文仿宋" w:eastAsia="华文仿宋" w:cs="华文仿宋"/>
          <w:sz w:val="32"/>
          <w:szCs w:val="32"/>
          <w:lang w:val="en-US" w:eastAsia="zh-CN"/>
        </w:rPr>
        <w:t>区教育局按照市教育局的工作要求，2018年计划搞好教师全员岗位培训、继续教育培训；抓好“国培计划”和“省培计划”；做好农村小学和幼儿园教师招生选拔，岗位落实及履约管理工作；搞好非师范类毕业生教师资格考试与面试工作；认真做好教师学历提升工作和专业不对口教师的适岗培训工作；抓好语言文字工作六个方面的教师培训任务。</w:t>
      </w:r>
    </w:p>
    <w:p>
      <w:pPr>
        <w:keepNext/>
        <w:keepLines/>
        <w:numPr>
          <w:ilvl w:val="0"/>
          <w:numId w:val="6"/>
        </w:numPr>
        <w:spacing w:line="60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绩效目标</w:t>
      </w:r>
    </w:p>
    <w:p>
      <w:pPr>
        <w:widowControl/>
        <w:shd w:val="clear" w:color="auto" w:fill="FFFFFF"/>
        <w:spacing w:after="31" w:afterLines="10" w:line="400" w:lineRule="exact"/>
        <w:ind w:firstLine="720" w:firstLineChars="300"/>
        <w:rPr>
          <w:rFonts w:ascii="Times New Roman" w:hAnsi="Times New Roman" w:cs="Times New Roman"/>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 xml:space="preserve">-2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绩效目标指标得分情况</w:t>
      </w:r>
    </w:p>
    <w:tbl>
      <w:tblPr>
        <w:tblStyle w:val="7"/>
        <w:tblW w:w="85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1"/>
        <w:gridCol w:w="1925"/>
        <w:gridCol w:w="1910"/>
        <w:gridCol w:w="933"/>
        <w:gridCol w:w="948"/>
        <w:gridCol w:w="1173"/>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8" w:hRule="atLeast"/>
          <w:jc w:val="center"/>
        </w:trPr>
        <w:tc>
          <w:tcPr>
            <w:tcW w:w="16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2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3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17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0" w:hRule="atLeast"/>
          <w:jc w:val="center"/>
        </w:trPr>
        <w:tc>
          <w:tcPr>
            <w:tcW w:w="1691"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A投入（20）</w:t>
            </w:r>
          </w:p>
        </w:tc>
        <w:tc>
          <w:tcPr>
            <w:tcW w:w="192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A2绩效目标（7）</w:t>
            </w:r>
          </w:p>
        </w:tc>
        <w:tc>
          <w:tcPr>
            <w:tcW w:w="19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绩效目标合理性</w:t>
            </w:r>
          </w:p>
        </w:tc>
        <w:tc>
          <w:tcPr>
            <w:tcW w:w="93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3</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1</w:t>
            </w:r>
          </w:p>
        </w:tc>
        <w:tc>
          <w:tcPr>
            <w:tcW w:w="117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33</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8" w:hRule="atLeast"/>
          <w:jc w:val="center"/>
        </w:trPr>
        <w:tc>
          <w:tcPr>
            <w:tcW w:w="1691"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2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绩效指标明确性</w:t>
            </w: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4</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1</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25%</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6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192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2</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sz w:val="32"/>
          <w:szCs w:val="32"/>
          <w:lang w:val="en-US" w:eastAsia="zh-CN"/>
        </w:rPr>
        <w:t>区教育局2018年</w:t>
      </w:r>
      <w:r>
        <w:rPr>
          <w:rFonts w:hint="eastAsia" w:ascii="华文仿宋" w:hAnsi="华文仿宋" w:cs="华文仿宋"/>
          <w:sz w:val="32"/>
          <w:szCs w:val="32"/>
          <w:lang w:val="en-US" w:eastAsia="zh-CN"/>
        </w:rPr>
        <w:t>关于教师培训项目的年度目标和长期目标均为：</w:t>
      </w:r>
      <w:r>
        <w:rPr>
          <w:rFonts w:hint="eastAsia" w:ascii="华文仿宋" w:hAnsi="华文仿宋" w:eastAsia="华文仿宋" w:cs="华文仿宋"/>
          <w:sz w:val="32"/>
          <w:szCs w:val="32"/>
          <w:lang w:val="en-US" w:eastAsia="zh-CN"/>
        </w:rPr>
        <w:t>确保教育系统的正常运行，保障各项工作目标的实现，改善学校条件，加强教育工作管理与研究，大力推进提升教师队伍素质，提高高考质量，完善教育资助体系，做好营养改善计划，使优质教育资源覆盖得到有效扩大</w:t>
      </w:r>
      <w:r>
        <w:rPr>
          <w:rFonts w:hint="eastAsia" w:ascii="华文仿宋" w:hAnsi="华文仿宋" w:cs="华文仿宋"/>
          <w:sz w:val="32"/>
          <w:szCs w:val="32"/>
          <w:lang w:val="en-US" w:eastAsia="zh-CN"/>
        </w:rPr>
        <w:t>。</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年度目标和长期目标设定一致，无法体现项目任务的年度计划及发展规划，且</w:t>
      </w:r>
      <w:r>
        <w:rPr>
          <w:rFonts w:hint="eastAsia" w:ascii="华文仿宋" w:hAnsi="华文仿宋" w:cs="华文仿宋"/>
          <w:color w:val="000000" w:themeColor="text1"/>
          <w:sz w:val="32"/>
          <w:szCs w:val="32"/>
          <w:lang w:val="en-US" w:eastAsia="zh-CN"/>
          <w14:textFill>
            <w14:solidFill>
              <w14:schemeClr w14:val="tx1"/>
            </w14:solidFill>
          </w14:textFill>
        </w:rPr>
        <w:t>其中“</w:t>
      </w:r>
      <w:r>
        <w:rPr>
          <w:rFonts w:hint="eastAsia" w:ascii="华文仿宋" w:hAnsi="华文仿宋" w:eastAsia="华文仿宋" w:cs="华文仿宋"/>
          <w:sz w:val="32"/>
          <w:szCs w:val="32"/>
          <w:lang w:val="en-US" w:eastAsia="zh-CN"/>
        </w:rPr>
        <w:t>改善学校条件</w:t>
      </w:r>
      <w:r>
        <w:rPr>
          <w:rFonts w:hint="eastAsia" w:ascii="华文仿宋" w:hAnsi="华文仿宋" w:cs="华文仿宋"/>
          <w:sz w:val="32"/>
          <w:szCs w:val="32"/>
          <w:lang w:val="en-US" w:eastAsia="zh-CN"/>
        </w:rPr>
        <w:t>……</w:t>
      </w:r>
      <w:r>
        <w:rPr>
          <w:rFonts w:hint="eastAsia" w:ascii="华文仿宋" w:hAnsi="华文仿宋" w:eastAsia="华文仿宋" w:cs="华文仿宋"/>
          <w:sz w:val="32"/>
          <w:szCs w:val="32"/>
          <w:lang w:val="en-US" w:eastAsia="zh-CN"/>
        </w:rPr>
        <w:t>完善教育资助体系，做好营养改善计划，使优质教育资源覆盖得到有效扩大</w:t>
      </w:r>
      <w:r>
        <w:rPr>
          <w:rFonts w:hint="eastAsia" w:ascii="华文仿宋" w:hAnsi="华文仿宋" w:cs="华文仿宋"/>
          <w:color w:val="000000" w:themeColor="text1"/>
          <w:sz w:val="32"/>
          <w:szCs w:val="32"/>
          <w:lang w:val="en-US" w:eastAsia="zh-CN"/>
          <w14:textFill>
            <w14:solidFill>
              <w14:schemeClr w14:val="tx1"/>
            </w14:solidFill>
          </w14:textFill>
        </w:rPr>
        <w:t>”等</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目标内容与</w:t>
      </w:r>
      <w:r>
        <w:rPr>
          <w:rFonts w:hint="eastAsia" w:ascii="华文仿宋" w:hAnsi="华文仿宋" w:cs="华文仿宋"/>
          <w:color w:val="000000" w:themeColor="text1"/>
          <w:sz w:val="32"/>
          <w:szCs w:val="32"/>
          <w:lang w:val="en-US" w:eastAsia="zh-CN"/>
          <w14:textFill>
            <w14:solidFill>
              <w14:schemeClr w14:val="tx1"/>
            </w14:solidFill>
          </w14:textFill>
        </w:rPr>
        <w:t>教育培训</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项目的相关性不大。</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成本指标，同时也未明确项目的效益指标。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华文仿宋" w:hAnsi="华文仿宋" w:eastAsia="华文仿宋" w:cs="华文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华文仿宋" w:hAnsi="华文仿宋" w:eastAsia="华文仿宋" w:cs="华文仿宋"/>
          <w:color w:val="000000" w:themeColor="text1"/>
          <w:sz w:val="32"/>
          <w:szCs w:val="32"/>
          <w:lang w:val="en-US" w:eastAsia="zh-CN"/>
          <w14:textFill>
            <w14:solidFill>
              <w14:schemeClr w14:val="tx1"/>
            </w14:solidFill>
          </w14:textFill>
        </w:rPr>
      </w:pPr>
    </w:p>
    <w:p>
      <w:pPr>
        <w:keepNext/>
        <w:keepLines/>
        <w:numPr>
          <w:ilvl w:val="0"/>
          <w:numId w:val="6"/>
        </w:numPr>
        <w:spacing w:line="60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资金落实情况</w:t>
      </w:r>
    </w:p>
    <w:p>
      <w:pPr>
        <w:bidi w:val="0"/>
        <w:rPr>
          <w:rFonts w:hint="default"/>
          <w:lang w:val="en-US" w:eastAsia="zh-CN"/>
        </w:rPr>
      </w:pPr>
      <w:r>
        <w:rPr>
          <w:rFonts w:eastAsia="仿宋"/>
          <w:sz w:val="24"/>
          <w:szCs w:val="22"/>
        </w:rPr>
        <w:t>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7"/>
        <w:tblW w:w="854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83"/>
        <w:gridCol w:w="1916"/>
        <w:gridCol w:w="1901"/>
        <w:gridCol w:w="929"/>
        <w:gridCol w:w="943"/>
        <w:gridCol w:w="1168"/>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8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1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0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2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16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8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A投入（20）</w:t>
            </w:r>
          </w:p>
        </w:tc>
        <w:tc>
          <w:tcPr>
            <w:tcW w:w="1916"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A3资金落实（6）</w:t>
            </w:r>
          </w:p>
        </w:tc>
        <w:tc>
          <w:tcPr>
            <w:tcW w:w="190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资金到位率</w:t>
            </w:r>
          </w:p>
        </w:tc>
        <w:tc>
          <w:tcPr>
            <w:tcW w:w="92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4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2</w:t>
            </w:r>
          </w:p>
        </w:tc>
        <w:tc>
          <w:tcPr>
            <w:tcW w:w="116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8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16"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0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到位及时率</w:t>
            </w:r>
          </w:p>
        </w:tc>
        <w:tc>
          <w:tcPr>
            <w:tcW w:w="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2</w:t>
            </w:r>
          </w:p>
        </w:tc>
        <w:tc>
          <w:tcPr>
            <w:tcW w:w="116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8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16"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0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资金使用率</w:t>
            </w:r>
          </w:p>
        </w:tc>
        <w:tc>
          <w:tcPr>
            <w:tcW w:w="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0</w:t>
            </w:r>
          </w:p>
        </w:tc>
        <w:tc>
          <w:tcPr>
            <w:tcW w:w="116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8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191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190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4</w:t>
            </w:r>
          </w:p>
        </w:tc>
        <w:tc>
          <w:tcPr>
            <w:tcW w:w="116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2018年，区财政</w:t>
      </w:r>
      <w:r>
        <w:rPr>
          <w:rFonts w:hint="eastAsia" w:ascii="华文仿宋" w:hAnsi="华文仿宋" w:cs="华文仿宋"/>
          <w:sz w:val="32"/>
          <w:szCs w:val="32"/>
          <w:lang w:val="en-US" w:eastAsia="zh-CN"/>
        </w:rPr>
        <w:t>给区教育局年初安排教师培训预算资金1840570元。</w:t>
      </w:r>
      <w:r>
        <w:rPr>
          <w:rFonts w:hint="eastAsia" w:ascii="华文仿宋" w:hAnsi="华文仿宋" w:eastAsia="华文仿宋" w:cs="华文仿宋"/>
          <w:sz w:val="32"/>
          <w:szCs w:val="32"/>
          <w:lang w:val="en-US" w:eastAsia="zh-CN"/>
        </w:rPr>
        <w:t>2018年12月19日区财政局实际拨付区教育局教师培训资金1840570元。资金到位率为100% 。截止2019年2月2日该项目实际支出1311203.62元（详情见上述表1），项目结余</w:t>
      </w:r>
      <w:r>
        <w:rPr>
          <w:rFonts w:hint="eastAsia" w:ascii="华文仿宋" w:hAnsi="华文仿宋" w:cs="华文仿宋"/>
          <w:sz w:val="32"/>
          <w:szCs w:val="32"/>
          <w:lang w:val="en-US" w:eastAsia="zh-CN"/>
        </w:rPr>
        <w:t>529366.38</w:t>
      </w:r>
      <w:r>
        <w:rPr>
          <w:rFonts w:hint="eastAsia" w:ascii="华文仿宋" w:hAnsi="华文仿宋" w:eastAsia="华文仿宋" w:cs="华文仿宋"/>
          <w:sz w:val="32"/>
          <w:szCs w:val="32"/>
          <w:lang w:val="en-US" w:eastAsia="zh-CN"/>
        </w:rPr>
        <w:t>元，资金使用率为</w:t>
      </w:r>
      <w:r>
        <w:rPr>
          <w:rFonts w:hint="eastAsia" w:ascii="华文仿宋" w:hAnsi="华文仿宋" w:cs="华文仿宋"/>
          <w:sz w:val="32"/>
          <w:szCs w:val="32"/>
          <w:lang w:val="en-US" w:eastAsia="zh-CN"/>
        </w:rPr>
        <w:t>71.24</w:t>
      </w:r>
      <w:r>
        <w:rPr>
          <w:rFonts w:hint="eastAsia" w:ascii="华文仿宋" w:hAnsi="华文仿宋" w:eastAsia="华文仿宋" w:cs="华文仿宋"/>
          <w:sz w:val="32"/>
          <w:szCs w:val="32"/>
          <w:lang w:val="en-US" w:eastAsia="zh-CN"/>
        </w:rPr>
        <w:t>%（1311203.62/1840570*100%）。</w:t>
      </w:r>
    </w:p>
    <w:p>
      <w:pPr>
        <w:numPr>
          <w:ilvl w:val="0"/>
          <w:numId w:val="5"/>
        </w:numPr>
        <w:autoSpaceDN w:val="0"/>
        <w:adjustRightInd w:val="0"/>
        <w:snapToGrid w:val="0"/>
        <w:spacing w:line="600" w:lineRule="exact"/>
        <w:ind w:firstLine="641" w:firstLineChars="200"/>
        <w:rPr>
          <w:rFonts w:hint="eastAsia" w:ascii="华文仿宋" w:hAnsi="华文仿宋" w:eastAsia="华文仿宋" w:cs="华文仿宋"/>
          <w:b/>
          <w:color w:val="000000" w:themeColor="text1"/>
          <w:sz w:val="32"/>
          <w:szCs w:val="32"/>
          <w14:textFill>
            <w14:solidFill>
              <w14:schemeClr w14:val="tx1"/>
            </w14:solidFill>
          </w14:textFill>
        </w:rPr>
      </w:pPr>
      <w:bookmarkStart w:id="74" w:name="_Toc4352_WPSOffice_Level3"/>
      <w:bookmarkStart w:id="75" w:name="_Toc15806_WPSOffice_Level3"/>
      <w:bookmarkStart w:id="76" w:name="_Toc80_WPSOffice_Level3"/>
      <w:bookmarkStart w:id="77" w:name="_Toc25181_WPSOffice_Level3"/>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74"/>
      <w:bookmarkEnd w:id="75"/>
      <w:bookmarkEnd w:id="76"/>
      <w:bookmarkEnd w:id="77"/>
    </w:p>
    <w:p>
      <w:pPr>
        <w:keepNext/>
        <w:keepLines/>
        <w:numPr>
          <w:ilvl w:val="0"/>
          <w:numId w:val="7"/>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bidi w:val="0"/>
        <w:ind w:firstLine="960" w:firstLineChars="40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7"/>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4"/>
        <w:gridCol w:w="1944"/>
        <w:gridCol w:w="947"/>
        <w:gridCol w:w="963"/>
        <w:gridCol w:w="1193"/>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7"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5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4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4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6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19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8"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B过程（30）</w:t>
            </w:r>
          </w:p>
        </w:tc>
        <w:tc>
          <w:tcPr>
            <w:tcW w:w="1954"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B1业务管理（9）</w:t>
            </w:r>
          </w:p>
        </w:tc>
        <w:tc>
          <w:tcPr>
            <w:tcW w:w="1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管理制度健全性</w:t>
            </w:r>
          </w:p>
        </w:tc>
        <w:tc>
          <w:tcPr>
            <w:tcW w:w="94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6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119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7"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54"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制度执行有效性</w:t>
            </w:r>
          </w:p>
        </w:tc>
        <w:tc>
          <w:tcPr>
            <w:tcW w:w="94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6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5</w:t>
            </w:r>
          </w:p>
        </w:tc>
        <w:tc>
          <w:tcPr>
            <w:tcW w:w="119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7"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54"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项目质量可控性</w:t>
            </w:r>
          </w:p>
        </w:tc>
        <w:tc>
          <w:tcPr>
            <w:tcW w:w="94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6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2</w:t>
            </w:r>
          </w:p>
        </w:tc>
        <w:tc>
          <w:tcPr>
            <w:tcW w:w="119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atLeast"/>
          <w:jc w:val="center"/>
        </w:trPr>
        <w:tc>
          <w:tcPr>
            <w:tcW w:w="5617"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94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6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9</w:t>
            </w:r>
          </w:p>
        </w:tc>
        <w:tc>
          <w:tcPr>
            <w:tcW w:w="119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区教育局建立了区直行政事业单位培训费管理办法，同时根据各项培训任务制定出相关培训方案。培训认真按照实施方案、资金管理办法等相关要求进行实施，保证培训任务的顺利完成。</w:t>
      </w:r>
    </w:p>
    <w:p>
      <w:pPr>
        <w:keepNext/>
        <w:keepLines/>
        <w:numPr>
          <w:ilvl w:val="0"/>
          <w:numId w:val="7"/>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财务管理</w:t>
      </w:r>
    </w:p>
    <w:p>
      <w:pPr>
        <w:bidi w:val="0"/>
        <w:ind w:firstLine="720" w:firstLineChars="30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7"/>
        <w:tblW w:w="88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5"/>
        <w:gridCol w:w="1973"/>
        <w:gridCol w:w="1961"/>
        <w:gridCol w:w="955"/>
        <w:gridCol w:w="973"/>
        <w:gridCol w:w="1203"/>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9" w:hRule="atLeast"/>
          <w:jc w:val="center"/>
        </w:trPr>
        <w:tc>
          <w:tcPr>
            <w:tcW w:w="17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7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6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5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7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20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173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B过程（30）</w:t>
            </w:r>
          </w:p>
        </w:tc>
        <w:tc>
          <w:tcPr>
            <w:tcW w:w="197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B2财务管理（15）</w:t>
            </w:r>
          </w:p>
        </w:tc>
        <w:tc>
          <w:tcPr>
            <w:tcW w:w="196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管理制度健全性</w:t>
            </w:r>
          </w:p>
        </w:tc>
        <w:tc>
          <w:tcPr>
            <w:tcW w:w="95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3</w:t>
            </w:r>
          </w:p>
        </w:tc>
        <w:tc>
          <w:tcPr>
            <w:tcW w:w="97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3</w:t>
            </w:r>
          </w:p>
        </w:tc>
        <w:tc>
          <w:tcPr>
            <w:tcW w:w="120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9" w:hRule="atLeast"/>
          <w:jc w:val="center"/>
        </w:trPr>
        <w:tc>
          <w:tcPr>
            <w:tcW w:w="173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7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6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资金使用合规性</w:t>
            </w: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8</w:t>
            </w:r>
          </w:p>
        </w:tc>
        <w:tc>
          <w:tcPr>
            <w:tcW w:w="9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8</w:t>
            </w:r>
          </w:p>
        </w:tc>
        <w:tc>
          <w:tcPr>
            <w:tcW w:w="120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9" w:hRule="atLeast"/>
          <w:jc w:val="center"/>
        </w:trPr>
        <w:tc>
          <w:tcPr>
            <w:tcW w:w="173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7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6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财务监控有效性</w:t>
            </w: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4</w:t>
            </w:r>
          </w:p>
        </w:tc>
        <w:tc>
          <w:tcPr>
            <w:tcW w:w="9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4</w:t>
            </w:r>
          </w:p>
        </w:tc>
        <w:tc>
          <w:tcPr>
            <w:tcW w:w="120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atLeast"/>
          <w:jc w:val="center"/>
        </w:trPr>
        <w:tc>
          <w:tcPr>
            <w:tcW w:w="17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19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196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5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15</w:t>
            </w:r>
          </w:p>
        </w:tc>
        <w:tc>
          <w:tcPr>
            <w:tcW w:w="120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spacing w:line="600" w:lineRule="exact"/>
        <w:ind w:firstLine="640" w:firstLineChars="200"/>
        <w:rPr>
          <w:rFonts w:hint="eastAsia" w:ascii="华文仿宋" w:hAnsi="华文仿宋" w:cs="华文仿宋"/>
          <w:color w:val="000000" w:themeColor="text1"/>
          <w:szCs w:val="32"/>
          <w:lang w:val="en-US" w:eastAsia="zh-CN"/>
          <w14:textFill>
            <w14:solidFill>
              <w14:schemeClr w14:val="tx1"/>
            </w14:solidFill>
          </w14:textFill>
        </w:rPr>
      </w:pPr>
      <w:r>
        <w:rPr>
          <w:rFonts w:hint="eastAsia" w:ascii="华文仿宋" w:hAnsi="华文仿宋" w:eastAsia="华文仿宋" w:cs="华文仿宋"/>
          <w:sz w:val="32"/>
          <w:szCs w:val="32"/>
          <w:lang w:val="en-US" w:eastAsia="zh-CN"/>
        </w:rPr>
        <w:t>区教育局</w:t>
      </w:r>
      <w:r>
        <w:rPr>
          <w:rFonts w:hint="eastAsia" w:ascii="华文仿宋" w:hAnsi="华文仿宋" w:eastAsia="华文仿宋" w:cs="华文仿宋"/>
          <w:sz w:val="32"/>
          <w:szCs w:val="32"/>
          <w:lang w:eastAsia="zh-CN"/>
        </w:rPr>
        <w:t>实施认真执行了区教育局设定的</w:t>
      </w:r>
      <w:r>
        <w:rPr>
          <w:rFonts w:hint="eastAsia" w:ascii="华文仿宋" w:hAnsi="华文仿宋" w:eastAsia="华文仿宋" w:cs="华文仿宋"/>
          <w:sz w:val="32"/>
          <w:szCs w:val="32"/>
        </w:rPr>
        <w:t>相关财务</w:t>
      </w:r>
      <w:r>
        <w:rPr>
          <w:rFonts w:hint="eastAsia" w:ascii="华文仿宋" w:hAnsi="华文仿宋" w:eastAsia="华文仿宋" w:cs="华文仿宋"/>
          <w:sz w:val="32"/>
          <w:szCs w:val="32"/>
          <w:lang w:eastAsia="zh-CN"/>
        </w:rPr>
        <w:t>规章</w:t>
      </w:r>
      <w:r>
        <w:rPr>
          <w:rFonts w:hint="eastAsia" w:ascii="华文仿宋" w:hAnsi="华文仿宋" w:eastAsia="华文仿宋" w:cs="华文仿宋"/>
          <w:sz w:val="32"/>
          <w:szCs w:val="32"/>
        </w:rPr>
        <w:t>制度</w:t>
      </w:r>
      <w:r>
        <w:rPr>
          <w:rFonts w:hint="eastAsia" w:ascii="华文仿宋" w:hAnsi="华文仿宋" w:eastAsia="华文仿宋" w:cs="华文仿宋"/>
          <w:sz w:val="32"/>
          <w:szCs w:val="32"/>
          <w:lang w:eastAsia="zh-CN"/>
        </w:rPr>
        <w:t>及区财政局的</w:t>
      </w:r>
      <w:r>
        <w:rPr>
          <w:rFonts w:hint="eastAsia" w:ascii="华文仿宋" w:hAnsi="华文仿宋" w:eastAsia="华文仿宋" w:cs="华文仿宋"/>
          <w:sz w:val="32"/>
          <w:szCs w:val="32"/>
        </w:rPr>
        <w:t>项目资金管理办法，资金拨付有完整的审批程序和手续，未发现截留、挤占、挪用、乱发滥补、虚报冒领等违规违纪行为。</w:t>
      </w:r>
    </w:p>
    <w:p>
      <w:pPr>
        <w:keepNext/>
        <w:keepLines/>
        <w:numPr>
          <w:ilvl w:val="0"/>
          <w:numId w:val="7"/>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绩效管理</w:t>
      </w:r>
    </w:p>
    <w:p>
      <w:pPr>
        <w:widowControl/>
        <w:shd w:val="clear" w:color="auto" w:fill="FFFFFF"/>
        <w:spacing w:after="31" w:afterLines="10" w:line="400" w:lineRule="exact"/>
        <w:ind w:firstLine="720" w:firstLineChars="300"/>
        <w:jc w:val="left"/>
        <w:rPr>
          <w:rFonts w:ascii="Times New Roman" w:hAnsi="Times New Roman" w:eastAsia="仿宋" w:cs="Times New Roman"/>
          <w:sz w:val="24"/>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w:t>
      </w:r>
      <w:r>
        <w:rPr>
          <w:rFonts w:hint="eastAsia" w:ascii="Times New Roman" w:hAnsi="Times New Roman" w:eastAsia="仿宋" w:cs="Times New Roman"/>
          <w:sz w:val="24"/>
          <w:szCs w:val="22"/>
        </w:rPr>
        <w:t>6</w:t>
      </w:r>
      <w:r>
        <w:rPr>
          <w:rFonts w:ascii="Times New Roman" w:hAnsi="Times New Roman" w:eastAsia="仿宋" w:cs="Times New Roman"/>
          <w:sz w:val="24"/>
          <w:szCs w:val="22"/>
        </w:rPr>
        <w:t xml:space="preserve">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 xml:space="preserve">   绩效管理指标得分情况</w:t>
      </w:r>
    </w:p>
    <w:tbl>
      <w:tblPr>
        <w:tblStyle w:val="7"/>
        <w:tblW w:w="868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3"/>
        <w:gridCol w:w="943"/>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3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8" w:hRule="atLeast"/>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B过程（30）</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B3绩效管理（6）</w:t>
            </w:r>
          </w:p>
        </w:tc>
        <w:tc>
          <w:tcPr>
            <w:tcW w:w="193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信息质量</w:t>
            </w:r>
          </w:p>
        </w:tc>
        <w:tc>
          <w:tcPr>
            <w:tcW w:w="94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1</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5</w:t>
            </w:r>
            <w:r>
              <w:rPr>
                <w:rFonts w:hint="eastAsia" w:ascii="Times New Roman" w:hAnsi="Times New Roman" w:eastAsia="仿宋" w:cs="Times New Roman"/>
                <w:color w:val="000000"/>
                <w:kern w:val="0"/>
                <w:sz w:val="24"/>
              </w:rPr>
              <w:t>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监控质量</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2</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2"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自评质量</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2</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1</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50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591"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spacing w:before="31" w:beforeLines="10" w:line="600" w:lineRule="exact"/>
        <w:ind w:firstLine="640"/>
        <w:rPr>
          <w:rFonts w:ascii="华文仿宋" w:hAnsi="华文仿宋" w:cs="华文仿宋"/>
          <w:szCs w:val="32"/>
        </w:rPr>
      </w:pPr>
      <w:r>
        <w:rPr>
          <w:rFonts w:hint="eastAsia" w:ascii="华文仿宋" w:hAnsi="华文仿宋" w:eastAsia="华文仿宋" w:cs="华文仿宋"/>
          <w:sz w:val="32"/>
          <w:szCs w:val="32"/>
          <w:lang w:val="en-US" w:eastAsia="zh-CN"/>
        </w:rPr>
        <w:t>据</w:t>
      </w:r>
      <w:r>
        <w:rPr>
          <w:rFonts w:hint="eastAsia" w:ascii="华文仿宋" w:hAnsi="华文仿宋" w:eastAsia="华文仿宋" w:cs="华文仿宋"/>
          <w:sz w:val="32"/>
          <w:szCs w:val="32"/>
        </w:rPr>
        <w:t>《关于全面</w:t>
      </w:r>
      <w:r>
        <w:rPr>
          <w:rFonts w:hint="eastAsia" w:ascii="华文仿宋" w:hAnsi="华文仿宋" w:eastAsia="华文仿宋" w:cs="华文仿宋"/>
          <w:sz w:val="32"/>
          <w:szCs w:val="32"/>
          <w:lang w:eastAsia="zh-CN"/>
        </w:rPr>
        <w:t>实施</w:t>
      </w:r>
      <w:r>
        <w:rPr>
          <w:rFonts w:hint="eastAsia" w:ascii="华文仿宋" w:hAnsi="华文仿宋" w:eastAsia="华文仿宋" w:cs="华文仿宋"/>
          <w:sz w:val="32"/>
          <w:szCs w:val="32"/>
        </w:rPr>
        <w:t>预算绩效管理的</w:t>
      </w:r>
      <w:r>
        <w:rPr>
          <w:rFonts w:hint="eastAsia" w:ascii="华文仿宋" w:hAnsi="华文仿宋" w:eastAsia="华文仿宋" w:cs="华文仿宋"/>
          <w:sz w:val="32"/>
          <w:szCs w:val="32"/>
          <w:lang w:eastAsia="zh-CN"/>
        </w:rPr>
        <w:t>的实施</w:t>
      </w:r>
      <w:r>
        <w:rPr>
          <w:rFonts w:hint="eastAsia" w:ascii="华文仿宋" w:hAnsi="华文仿宋" w:eastAsia="华文仿宋" w:cs="华文仿宋"/>
          <w:sz w:val="32"/>
          <w:szCs w:val="32"/>
        </w:rPr>
        <w:t>意见》（湘发</w:t>
      </w:r>
      <w:r>
        <w:rPr>
          <w:rFonts w:hint="eastAsia" w:ascii="华文仿宋" w:hAnsi="华文仿宋" w:eastAsia="华文仿宋" w:cs="华文仿宋"/>
          <w:sz w:val="32"/>
          <w:szCs w:val="32"/>
          <w:lang w:eastAsia="zh-CN"/>
        </w:rPr>
        <w:t>办</w:t>
      </w:r>
      <w:r>
        <w:rPr>
          <w:rFonts w:hint="eastAsia" w:ascii="华文仿宋" w:hAnsi="华文仿宋" w:eastAsia="华文仿宋" w:cs="华文仿宋"/>
          <w:sz w:val="32"/>
          <w:szCs w:val="32"/>
        </w:rPr>
        <w:t>〔201</w:t>
      </w:r>
      <w:r>
        <w:rPr>
          <w:rFonts w:hint="eastAsia" w:ascii="华文仿宋" w:hAnsi="华文仿宋" w:eastAsia="华文仿宋" w:cs="华文仿宋"/>
          <w:sz w:val="32"/>
          <w:szCs w:val="32"/>
          <w:lang w:val="en-US" w:eastAsia="zh-CN"/>
        </w:rPr>
        <w:t>9</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10</w:t>
      </w:r>
      <w:r>
        <w:rPr>
          <w:rFonts w:hint="eastAsia" w:ascii="华文仿宋" w:hAnsi="华文仿宋" w:eastAsia="华文仿宋" w:cs="华文仿宋"/>
          <w:sz w:val="32"/>
          <w:szCs w:val="32"/>
        </w:rPr>
        <w:t>号）和</w:t>
      </w:r>
      <w:r>
        <w:rPr>
          <w:rFonts w:hint="eastAsia" w:ascii="华文仿宋" w:hAnsi="华文仿宋" w:eastAsia="华文仿宋" w:cs="华文仿宋"/>
          <w:sz w:val="32"/>
          <w:szCs w:val="32"/>
          <w:lang w:val="en-US" w:eastAsia="zh-CN"/>
        </w:rPr>
        <w:t>《2018年度预算绩效管理工作实施方案》（鹤财绩〔2018〕26号），</w:t>
      </w:r>
      <w:r>
        <w:rPr>
          <w:rFonts w:hint="eastAsia" w:ascii="华文仿宋" w:hAnsi="华文仿宋" w:eastAsia="华文仿宋" w:cs="华文仿宋"/>
          <w:sz w:val="32"/>
          <w:szCs w:val="32"/>
          <w:lang w:eastAsia="zh-CN"/>
        </w:rPr>
        <w:t>区教育局</w:t>
      </w:r>
      <w:r>
        <w:rPr>
          <w:rFonts w:hint="eastAsia" w:ascii="华文仿宋" w:hAnsi="华文仿宋" w:eastAsia="华文仿宋" w:cs="华文仿宋"/>
          <w:sz w:val="32"/>
          <w:szCs w:val="32"/>
        </w:rPr>
        <w:t>对</w:t>
      </w:r>
      <w:r>
        <w:rPr>
          <w:rFonts w:hint="eastAsia" w:ascii="华文仿宋" w:hAnsi="华文仿宋" w:eastAsia="华文仿宋" w:cs="华文仿宋"/>
          <w:sz w:val="32"/>
          <w:szCs w:val="32"/>
          <w:lang w:val="en-US" w:eastAsia="zh-CN"/>
        </w:rPr>
        <w:t>2018年“</w:t>
      </w:r>
      <w:r>
        <w:rPr>
          <w:rFonts w:hint="eastAsia" w:ascii="华文仿宋" w:hAnsi="华文仿宋" w:cs="华文仿宋"/>
          <w:sz w:val="32"/>
          <w:szCs w:val="32"/>
          <w:lang w:val="en-US" w:eastAsia="zh-CN"/>
        </w:rPr>
        <w:t>教师培训</w:t>
      </w:r>
      <w:r>
        <w:rPr>
          <w:rFonts w:hint="eastAsia" w:ascii="华文仿宋" w:hAnsi="华文仿宋" w:eastAsia="华文仿宋" w:cs="华文仿宋"/>
          <w:sz w:val="32"/>
          <w:szCs w:val="32"/>
          <w:lang w:val="en-US" w:eastAsia="zh-CN"/>
        </w:rPr>
        <w:t>”等五个项目</w:t>
      </w:r>
      <w:r>
        <w:rPr>
          <w:rFonts w:hint="eastAsia" w:ascii="华文仿宋" w:hAnsi="华文仿宋" w:eastAsia="华文仿宋" w:cs="华文仿宋"/>
          <w:sz w:val="32"/>
          <w:szCs w:val="32"/>
        </w:rPr>
        <w:t>做出了《</w:t>
      </w:r>
      <w:r>
        <w:rPr>
          <w:rFonts w:hint="eastAsia" w:ascii="华文仿宋" w:hAnsi="华文仿宋" w:eastAsia="华文仿宋" w:cs="华文仿宋"/>
          <w:sz w:val="32"/>
          <w:szCs w:val="32"/>
          <w:lang w:eastAsia="zh-CN"/>
        </w:rPr>
        <w:t>专项</w:t>
      </w:r>
      <w:r>
        <w:rPr>
          <w:rFonts w:hint="eastAsia" w:ascii="华文仿宋" w:hAnsi="华文仿宋" w:eastAsia="华文仿宋" w:cs="华文仿宋"/>
          <w:sz w:val="32"/>
          <w:szCs w:val="32"/>
        </w:rPr>
        <w:t>资金绩效自评报告》</w:t>
      </w:r>
      <w:r>
        <w:rPr>
          <w:rFonts w:hint="eastAsia" w:ascii="华文仿宋" w:hAnsi="华文仿宋" w:eastAsia="华文仿宋" w:cs="华文仿宋"/>
          <w:sz w:val="32"/>
          <w:szCs w:val="32"/>
          <w:lang w:val="en-US" w:eastAsia="zh-CN"/>
        </w:rPr>
        <w:t>。但自评报告未对项目进行评分，也未客观地反映该项目在绩效管理过程中存在的不足。</w:t>
      </w:r>
    </w:p>
    <w:p>
      <w:pPr>
        <w:numPr>
          <w:ilvl w:val="0"/>
          <w:numId w:val="5"/>
        </w:numPr>
        <w:autoSpaceDN w:val="0"/>
        <w:adjustRightInd w:val="0"/>
        <w:snapToGrid w:val="0"/>
        <w:spacing w:line="600" w:lineRule="exact"/>
        <w:ind w:firstLine="641" w:firstLineChars="200"/>
        <w:rPr>
          <w:rFonts w:hint="eastAsia" w:ascii="华文仿宋" w:hAnsi="华文仿宋" w:eastAsia="华文仿宋" w:cs="华文仿宋"/>
          <w:b/>
          <w:color w:val="000000" w:themeColor="text1"/>
          <w:sz w:val="32"/>
          <w:szCs w:val="32"/>
          <w14:textFill>
            <w14:solidFill>
              <w14:schemeClr w14:val="tx1"/>
            </w14:solidFill>
          </w14:textFill>
        </w:rPr>
      </w:pPr>
      <w:bookmarkStart w:id="78" w:name="_Toc2849_WPSOffice_Level3"/>
      <w:bookmarkStart w:id="79" w:name="_Toc12217_WPSOffice_Level3"/>
      <w:bookmarkStart w:id="80" w:name="_Toc10087_WPSOffice_Level3"/>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78"/>
      <w:bookmarkEnd w:id="79"/>
      <w:bookmarkEnd w:id="80"/>
    </w:p>
    <w:p>
      <w:pPr>
        <w:keepNext/>
        <w:keepLines/>
        <w:numPr>
          <w:ilvl w:val="0"/>
          <w:numId w:val="8"/>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项目产出</w:t>
      </w:r>
    </w:p>
    <w:p>
      <w:pPr>
        <w:ind w:firstLine="480"/>
        <w:rPr>
          <w:rFonts w:ascii="Times New Roman" w:hAnsi="Times New Roman" w:eastAsia="仿宋" w:cs="Times New Roman"/>
          <w:sz w:val="24"/>
          <w:szCs w:val="22"/>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w:t>
      </w:r>
      <w:r>
        <w:rPr>
          <w:rFonts w:hint="eastAsia" w:ascii="Times New Roman" w:hAnsi="Times New Roman" w:eastAsia="仿宋" w:cs="Times New Roman"/>
          <w:sz w:val="24"/>
          <w:szCs w:val="22"/>
        </w:rPr>
        <w:t>7</w:t>
      </w:r>
      <w:r>
        <w:rPr>
          <w:rFonts w:ascii="Times New Roman" w:hAnsi="Times New Roman" w:eastAsia="仿宋" w:cs="Times New Roman"/>
          <w:sz w:val="24"/>
          <w:szCs w:val="22"/>
        </w:rPr>
        <w:t xml:space="preserve">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 xml:space="preserve"> 项目产出指标得分情况</w:t>
      </w:r>
    </w:p>
    <w:tbl>
      <w:tblPr>
        <w:tblStyle w:val="7"/>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C</w:t>
            </w:r>
            <w:r>
              <w:rPr>
                <w:rFonts w:hint="eastAsia" w:ascii="Times New Roman" w:hAnsi="Times New Roman" w:eastAsia="仿宋" w:cs="Times New Roman"/>
                <w:color w:val="000000"/>
                <w:kern w:val="0"/>
                <w:sz w:val="24"/>
                <w:lang w:eastAsia="zh-CN"/>
              </w:rPr>
              <w:t>产出及效果</w:t>
            </w:r>
            <w:r>
              <w:rPr>
                <w:rFonts w:ascii="Times New Roman" w:hAnsi="Times New Roman" w:eastAsia="仿宋" w:cs="Times New Roman"/>
                <w:color w:val="000000"/>
                <w:kern w:val="0"/>
                <w:sz w:val="24"/>
              </w:rPr>
              <w:t>（</w:t>
            </w:r>
            <w:r>
              <w:rPr>
                <w:rFonts w:hint="eastAsia" w:ascii="Times New Roman" w:hAnsi="Times New Roman" w:eastAsia="仿宋" w:cs="Times New Roman"/>
                <w:color w:val="000000"/>
                <w:kern w:val="0"/>
                <w:sz w:val="24"/>
                <w:lang w:val="en-US" w:eastAsia="zh-CN"/>
              </w:rPr>
              <w:t>50</w:t>
            </w:r>
            <w:r>
              <w:rPr>
                <w:rFonts w:ascii="Times New Roman" w:hAnsi="Times New Roman" w:eastAsia="仿宋" w:cs="Times New Roman"/>
                <w:color w:val="000000"/>
                <w:kern w:val="0"/>
                <w:sz w:val="24"/>
              </w:rPr>
              <w:t>）</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C1项目产出（25）</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ascii="Times New Roman" w:hAnsi="Times New Roman" w:eastAsia="仿宋" w:cs="Times New Roman"/>
                <w:color w:val="000000"/>
                <w:kern w:val="0"/>
                <w:sz w:val="24"/>
                <w:lang w:eastAsia="zh-CN"/>
              </w:rPr>
            </w:pPr>
            <w:r>
              <w:rPr>
                <w:rFonts w:hint="eastAsia" w:ascii="Times New Roman" w:hAnsi="Times New Roman" w:eastAsia="仿宋" w:cs="Times New Roman"/>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hint="eastAsia" w:ascii="Times New Roman" w:hAnsi="Times New Roman" w:eastAsia="仿宋" w:cs="Times New Roman"/>
                <w:color w:val="000000"/>
                <w:kern w:val="0"/>
                <w:sz w:val="24"/>
                <w:lang w:val="en-US" w:eastAsia="zh-CN"/>
              </w:rPr>
              <w:t>100</w:t>
            </w:r>
            <w:r>
              <w:rPr>
                <w:rFonts w:ascii="Times New Roman" w:hAnsi="Times New Roman" w:eastAsia="仿宋" w:cs="Times New Roman"/>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25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2018年度，区教育局相继开展了2018年暑期教师培训、鹤城区学校教师普通话培训与测试、2018年华都小学暑假教师培训、2018年黄金坳完小暑期校本培训、“魅力鹤城、活力体育”教师培训活动、“国培计划”中小学“送培到县”示范性培训项目、“国培计划”鹤城区“送教下乡”项目暨培训师团队“总结提升”等一系列教师培训工作，以认真的态度统筹推进各项培训工作，较好地完成了全年培训任务。</w:t>
      </w:r>
      <w:r>
        <w:rPr>
          <w:rFonts w:hint="eastAsia" w:ascii="华文仿宋" w:hAnsi="华文仿宋" w:cs="华文仿宋"/>
          <w:sz w:val="32"/>
          <w:szCs w:val="32"/>
          <w:lang w:val="en-US" w:eastAsia="zh-CN"/>
        </w:rPr>
        <w:t>教师培训费标准均按照《</w:t>
      </w:r>
      <w:r>
        <w:rPr>
          <w:rFonts w:hint="eastAsia" w:ascii="华文仿宋" w:hAnsi="华文仿宋" w:eastAsia="华文仿宋" w:cs="华文仿宋"/>
          <w:sz w:val="32"/>
          <w:szCs w:val="32"/>
          <w:lang w:val="en-US" w:eastAsia="zh-CN"/>
        </w:rPr>
        <w:t>区直行政事业单位培训费管理办法</w:t>
      </w:r>
      <w:r>
        <w:rPr>
          <w:rFonts w:hint="eastAsia" w:ascii="华文仿宋" w:hAnsi="华文仿宋" w:cs="华文仿宋"/>
          <w:sz w:val="32"/>
          <w:szCs w:val="32"/>
          <w:lang w:val="en-US" w:eastAsia="zh-CN"/>
        </w:rPr>
        <w:t>》组织开展培训活动，未发现超标准情况。</w:t>
      </w:r>
    </w:p>
    <w:p>
      <w:pPr>
        <w:keepNext/>
        <w:keepLines/>
        <w:numPr>
          <w:ilvl w:val="0"/>
          <w:numId w:val="8"/>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项目效果</w:t>
      </w:r>
    </w:p>
    <w:p>
      <w:pPr>
        <w:bidi w:val="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8</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 xml:space="preserve">  </w:t>
      </w:r>
      <w:r>
        <w:rPr>
          <w:rFonts w:eastAsia="仿宋"/>
          <w:sz w:val="24"/>
          <w:szCs w:val="22"/>
        </w:rPr>
        <w:t>项目效果指标得分情况</w:t>
      </w:r>
    </w:p>
    <w:tbl>
      <w:tblPr>
        <w:tblStyle w:val="7"/>
        <w:tblW w:w="8658"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ascii="Times New Roman" w:hAnsi="Times New Roman" w:eastAsia="仿宋" w:cs="Times New Roman"/>
                <w:b/>
                <w:color w:val="FFFFFF"/>
                <w:kern w:val="0"/>
                <w:sz w:val="24"/>
              </w:rPr>
            </w:pPr>
            <w:r>
              <w:rPr>
                <w:rFonts w:ascii="Times New Roman" w:hAnsi="Times New Roman" w:eastAsia="仿宋" w:cs="Times New Roman"/>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C</w:t>
            </w:r>
            <w:r>
              <w:rPr>
                <w:rFonts w:hint="eastAsia" w:ascii="Times New Roman" w:hAnsi="Times New Roman" w:eastAsia="仿宋" w:cs="Times New Roman"/>
                <w:color w:val="000000"/>
                <w:kern w:val="0"/>
                <w:sz w:val="24"/>
                <w:lang w:eastAsia="zh-CN"/>
              </w:rPr>
              <w:t>产出及效果</w:t>
            </w:r>
            <w:r>
              <w:rPr>
                <w:rFonts w:ascii="Times New Roman" w:hAnsi="Times New Roman" w:eastAsia="仿宋" w:cs="Times New Roman"/>
                <w:color w:val="000000"/>
                <w:kern w:val="0"/>
                <w:sz w:val="24"/>
              </w:rPr>
              <w:t>（</w:t>
            </w:r>
            <w:r>
              <w:rPr>
                <w:rFonts w:hint="eastAsia" w:ascii="Times New Roman" w:hAnsi="Times New Roman" w:eastAsia="仿宋" w:cs="Times New Roman"/>
                <w:color w:val="000000"/>
                <w:kern w:val="0"/>
                <w:sz w:val="24"/>
                <w:lang w:val="en-US" w:eastAsia="zh-CN"/>
              </w:rPr>
              <w:t>50</w:t>
            </w:r>
            <w:r>
              <w:rPr>
                <w:rFonts w:ascii="Times New Roman" w:hAnsi="Times New Roman" w:eastAsia="仿宋" w:cs="Times New Roman"/>
                <w:color w:val="000000"/>
                <w:kern w:val="0"/>
                <w:sz w:val="24"/>
              </w:rPr>
              <w:t>）</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C2项目效果（25）</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经济效益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社会效益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ascii="Times New Roman" w:hAnsi="Times New Roman" w:eastAsia="仿宋" w:cs="Times New Roman"/>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10</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7.4</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74%</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r>
              <w:rPr>
                <w:rFonts w:ascii="Times New Roman" w:hAnsi="Times New Roman" w:eastAsia="仿宋" w:cs="Times New Roman"/>
                <w:color w:val="000000"/>
                <w:kern w:val="0"/>
                <w:sz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default" w:ascii="Times New Roman" w:hAnsi="Times New Roman" w:eastAsia="仿宋" w:cs="Times New Roman"/>
                <w:color w:val="000000"/>
                <w:kern w:val="0"/>
                <w:sz w:val="24"/>
                <w:lang w:val="en-US" w:eastAsia="zh-CN"/>
              </w:rPr>
            </w:pPr>
            <w:r>
              <w:rPr>
                <w:rFonts w:hint="eastAsia" w:ascii="Times New Roman" w:hAnsi="Times New Roman" w:eastAsia="仿宋" w:cs="Times New Roman"/>
                <w:color w:val="000000"/>
                <w:kern w:val="0"/>
                <w:sz w:val="24"/>
                <w:lang w:val="en-US" w:eastAsia="zh-CN"/>
              </w:rPr>
              <w:t>22.4</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ascii="Times New Roman" w:hAnsi="Times New Roman" w:eastAsia="仿宋" w:cs="Times New Roman"/>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该教师培训项目，完善了教师培训服务体系的建设，组织开展了各级各类培训80余项，参培教师5353人次，完成了各项教师继续教育相关工作，教师的整体素质得以稳步提升。同时搭建出专业平台，打造了教师本土培训新生态，创新了教育活动载体，语言文字工作得以蓬勃发展。</w:t>
      </w:r>
      <w:r>
        <w:rPr>
          <w:rFonts w:hint="eastAsia" w:ascii="华文仿宋" w:hAnsi="华文仿宋" w:eastAsia="华文仿宋" w:cs="华文仿宋"/>
          <w:color w:val="000000" w:themeColor="text1"/>
          <w:sz w:val="32"/>
          <w:szCs w:val="32"/>
          <w14:textFill>
            <w14:solidFill>
              <w14:schemeClr w14:val="tx1"/>
            </w14:solidFill>
          </w14:textFill>
        </w:rPr>
        <w:t>通过随机向</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鹤城区五个小学的30位</w:t>
      </w:r>
      <w:r>
        <w:rPr>
          <w:rFonts w:hint="eastAsia" w:ascii="华文仿宋" w:hAnsi="华文仿宋" w:cs="华文仿宋"/>
          <w:color w:val="000000" w:themeColor="text1"/>
          <w:sz w:val="32"/>
          <w:szCs w:val="32"/>
          <w:lang w:val="en-US" w:eastAsia="zh-CN"/>
          <w14:textFill>
            <w14:solidFill>
              <w14:schemeClr w14:val="tx1"/>
            </w14:solidFill>
          </w14:textFill>
        </w:rPr>
        <w:t>教职工</w:t>
      </w:r>
      <w:r>
        <w:rPr>
          <w:rFonts w:hint="eastAsia" w:ascii="华文仿宋" w:hAnsi="华文仿宋" w:eastAsia="华文仿宋" w:cs="华文仿宋"/>
          <w:color w:val="000000" w:themeColor="text1"/>
          <w:sz w:val="32"/>
          <w:szCs w:val="32"/>
          <w14:textFill>
            <w14:solidFill>
              <w14:schemeClr w14:val="tx1"/>
            </w14:solidFill>
          </w14:textFill>
        </w:rPr>
        <w:t>发送关于</w:t>
      </w:r>
      <w:r>
        <w:rPr>
          <w:rFonts w:hint="eastAsia" w:ascii="华文仿宋" w:hAnsi="华文仿宋" w:cs="华文仿宋"/>
          <w:color w:val="000000" w:themeColor="text1"/>
          <w:sz w:val="32"/>
          <w:szCs w:val="32"/>
          <w:lang w:val="en-US" w:eastAsia="zh-CN"/>
          <w14:textFill>
            <w14:solidFill>
              <w14:schemeClr w14:val="tx1"/>
            </w14:solidFill>
          </w14:textFill>
        </w:rPr>
        <w:t>教师培训</w:t>
      </w:r>
      <w:r>
        <w:rPr>
          <w:rFonts w:hint="eastAsia" w:ascii="华文仿宋" w:hAnsi="华文仿宋" w:eastAsia="华文仿宋" w:cs="华文仿宋"/>
          <w:color w:val="000000" w:themeColor="text1"/>
          <w:sz w:val="32"/>
          <w:szCs w:val="32"/>
          <w14:textFill>
            <w14:solidFill>
              <w14:schemeClr w14:val="tx1"/>
            </w14:solidFill>
          </w14:textFill>
        </w:rPr>
        <w:t>项目调查问卷</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综合得出社会公众满意度为</w:t>
      </w:r>
      <w:r>
        <w:rPr>
          <w:rFonts w:hint="eastAsia" w:ascii="华文仿宋" w:hAnsi="华文仿宋" w:eastAsia="华文仿宋" w:cs="华文仿宋"/>
          <w:sz w:val="32"/>
          <w:szCs w:val="32"/>
          <w:lang w:val="en-US" w:eastAsia="zh-CN"/>
        </w:rPr>
        <w:t>82%</w:t>
      </w:r>
      <w:r>
        <w:rPr>
          <w:rFonts w:hint="eastAsia" w:ascii="华文仿宋" w:hAnsi="华文仿宋" w:eastAsia="华文仿宋" w:cs="华文仿宋"/>
          <w:color w:val="auto"/>
          <w:sz w:val="32"/>
          <w:szCs w:val="32"/>
        </w:rPr>
        <w:t>。</w:t>
      </w:r>
    </w:p>
    <w:p>
      <w:pPr>
        <w:pStyle w:val="6"/>
        <w:numPr>
          <w:ilvl w:val="0"/>
          <w:numId w:val="1"/>
        </w:numPr>
        <w:shd w:val="clear" w:color="auto" w:fill="FFFFFF"/>
        <w:spacing w:before="0" w:beforeAutospacing="0" w:after="0" w:afterAutospacing="0" w:line="600" w:lineRule="exact"/>
        <w:ind w:firstLine="640" w:firstLineChars="200"/>
        <w:jc w:val="both"/>
        <w:rPr>
          <w:rFonts w:hint="eastAsia" w:ascii="黑体" w:hAnsi="黑体" w:eastAsia="黑体"/>
          <w:color w:val="000000" w:themeColor="text1"/>
          <w:sz w:val="32"/>
          <w:szCs w:val="32"/>
          <w14:textFill>
            <w14:solidFill>
              <w14:schemeClr w14:val="tx1"/>
            </w14:solidFill>
          </w14:textFill>
        </w:rPr>
      </w:pPr>
      <w:bookmarkStart w:id="81" w:name="_Toc16889_WPSOffice_Level1"/>
      <w:bookmarkStart w:id="82" w:name="_Toc20945_WPSOffice_Level1"/>
      <w:bookmarkStart w:id="83" w:name="_Toc2159_WPSOffice_Level1"/>
      <w:r>
        <w:rPr>
          <w:rFonts w:hint="eastAsia" w:ascii="黑体" w:hAnsi="黑体" w:eastAsia="黑体"/>
          <w:color w:val="000000" w:themeColor="text1"/>
          <w:sz w:val="32"/>
          <w:szCs w:val="32"/>
          <w14:textFill>
            <w14:solidFill>
              <w14:schemeClr w14:val="tx1"/>
            </w14:solidFill>
          </w14:textFill>
        </w:rPr>
        <w:t>存在的主要问题</w:t>
      </w:r>
      <w:bookmarkEnd w:id="81"/>
      <w:bookmarkEnd w:id="82"/>
      <w:bookmarkEnd w:id="83"/>
    </w:p>
    <w:p>
      <w:pPr>
        <w:numPr>
          <w:ilvl w:val="0"/>
          <w:numId w:val="9"/>
        </w:numPr>
        <w:ind w:left="640" w:leftChars="200" w:firstLine="0" w:firstLineChars="0"/>
        <w:jc w:val="left"/>
        <w:outlineLvl w:val="1"/>
        <w:rPr>
          <w:rFonts w:hint="eastAsia" w:ascii="华文楷体" w:hAnsi="华文楷体" w:eastAsia="华文楷体" w:cs="华文楷体"/>
          <w:b/>
          <w:bCs/>
        </w:rPr>
      </w:pPr>
      <w:bookmarkStart w:id="84" w:name="_Toc18919_WPSOffice_Level2"/>
      <w:bookmarkStart w:id="85" w:name="_Toc21252_WPSOffice_Level2"/>
      <w:bookmarkStart w:id="86" w:name="_Toc10853_WPSOffice_Level2"/>
      <w:r>
        <w:rPr>
          <w:rFonts w:hint="eastAsia" w:ascii="华文楷体" w:hAnsi="华文楷体" w:eastAsia="华文楷体" w:cs="华文楷体"/>
          <w:b/>
          <w:bCs/>
        </w:rPr>
        <w:t>项目绩效管理不到位</w:t>
      </w:r>
      <w:bookmarkEnd w:id="84"/>
      <w:bookmarkEnd w:id="85"/>
      <w:bookmarkEnd w:id="86"/>
    </w:p>
    <w:p>
      <w:pPr>
        <w:spacing w:before="46" w:beforeLines="15" w:line="600" w:lineRule="exact"/>
        <w:ind w:firstLine="640" w:firstLineChars="200"/>
        <w:rPr>
          <w:rFonts w:ascii="Times New Roman" w:hAnsi="Times New Roman" w:cs="Times New Roman"/>
        </w:rPr>
      </w:pPr>
      <w:r>
        <w:rPr>
          <w:rFonts w:hint="eastAsia" w:ascii="华文仿宋" w:hAnsi="华文仿宋" w:eastAsia="华文仿宋" w:cs="华文仿宋"/>
          <w:sz w:val="32"/>
          <w:szCs w:val="32"/>
          <w:lang w:val="en-US" w:eastAsia="zh-CN"/>
        </w:rPr>
        <w:t>区教育局于2018年年初向区财政局报送了长期绩效目标和年度绩效目标，但年度绩效目标与长期绩效目标内容一致，无法体现项目任务的年度计划及发展规划，且其中“改善学校条件，……完善教育资助体系，做好营养改善计划，使优质教育资源覆盖得到有效扩大”</w:t>
      </w:r>
      <w:r>
        <w:rPr>
          <w:rFonts w:hint="eastAsia" w:ascii="华文仿宋" w:hAnsi="华文仿宋" w:cs="华文仿宋"/>
          <w:sz w:val="32"/>
          <w:szCs w:val="32"/>
          <w:lang w:val="en-US" w:eastAsia="zh-CN"/>
        </w:rPr>
        <w:t>等</w:t>
      </w:r>
      <w:r>
        <w:rPr>
          <w:rFonts w:hint="eastAsia" w:ascii="华文仿宋" w:hAnsi="华文仿宋" w:eastAsia="华文仿宋" w:cs="华文仿宋"/>
          <w:sz w:val="32"/>
          <w:szCs w:val="32"/>
          <w:lang w:val="en-US" w:eastAsia="zh-CN"/>
        </w:rPr>
        <w:t>目标内容与教育培训项目的相关性不大。</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成本指标，也未明确项目的效益指标</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sz w:val="32"/>
          <w:szCs w:val="32"/>
          <w:lang w:val="en-US" w:eastAsia="zh-CN"/>
        </w:rPr>
        <w:t>难以发挥绩效管理的监督作用</w:t>
      </w:r>
      <w:r>
        <w:rPr>
          <w:rFonts w:hint="eastAsia" w:ascii="华文仿宋" w:hAnsi="华文仿宋" w:eastAsia="华文仿宋" w:cs="华文仿宋"/>
          <w:sz w:val="32"/>
          <w:szCs w:val="32"/>
        </w:rPr>
        <w:t>。同时，</w:t>
      </w:r>
      <w:r>
        <w:rPr>
          <w:rFonts w:hint="eastAsia" w:ascii="华文仿宋" w:hAnsi="华文仿宋" w:cs="华文仿宋"/>
          <w:sz w:val="32"/>
          <w:szCs w:val="32"/>
          <w:lang w:val="en-US" w:eastAsia="zh-CN"/>
        </w:rPr>
        <w:t>绩效</w:t>
      </w:r>
      <w:r>
        <w:rPr>
          <w:rFonts w:hint="eastAsia" w:ascii="华文仿宋" w:hAnsi="华文仿宋" w:eastAsia="华文仿宋" w:cs="华文仿宋"/>
          <w:sz w:val="32"/>
          <w:szCs w:val="32"/>
        </w:rPr>
        <w:t>自评报告未能客观反映</w:t>
      </w:r>
      <w:r>
        <w:rPr>
          <w:rFonts w:ascii="华文仿宋" w:hAnsi="华文仿宋" w:eastAsia="华文仿宋" w:cs="华文仿宋"/>
          <w:sz w:val="32"/>
          <w:szCs w:val="32"/>
        </w:rPr>
        <w:t>该项目在绩效管理</w:t>
      </w:r>
      <w:r>
        <w:rPr>
          <w:rFonts w:hint="eastAsia" w:ascii="华文仿宋" w:hAnsi="华文仿宋" w:eastAsia="华文仿宋" w:cs="华文仿宋"/>
          <w:sz w:val="32"/>
          <w:szCs w:val="32"/>
        </w:rPr>
        <w:t>过程</w:t>
      </w:r>
      <w:r>
        <w:rPr>
          <w:rFonts w:ascii="华文仿宋" w:hAnsi="华文仿宋" w:eastAsia="华文仿宋" w:cs="华文仿宋"/>
          <w:sz w:val="32"/>
          <w:szCs w:val="32"/>
        </w:rPr>
        <w:t>中存在的不足</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且</w:t>
      </w:r>
      <w:r>
        <w:rPr>
          <w:rFonts w:hint="eastAsia" w:ascii="华文仿宋" w:hAnsi="华文仿宋" w:eastAsia="华文仿宋" w:cs="华文仿宋"/>
          <w:sz w:val="32"/>
          <w:szCs w:val="32"/>
        </w:rPr>
        <w:t>未</w:t>
      </w:r>
      <w:r>
        <w:rPr>
          <w:rFonts w:hint="eastAsia" w:ascii="华文仿宋" w:hAnsi="华文仿宋" w:eastAsia="华文仿宋" w:cs="华文仿宋"/>
          <w:sz w:val="32"/>
          <w:szCs w:val="32"/>
          <w:lang w:eastAsia="zh-CN"/>
        </w:rPr>
        <w:t>按要求进行打分评价。</w:t>
      </w:r>
    </w:p>
    <w:p>
      <w:pPr>
        <w:numPr>
          <w:ilvl w:val="0"/>
          <w:numId w:val="9"/>
        </w:numPr>
        <w:ind w:left="640" w:leftChars="200" w:firstLine="0" w:firstLineChars="0"/>
        <w:jc w:val="left"/>
        <w:outlineLvl w:val="1"/>
        <w:rPr>
          <w:rFonts w:hint="eastAsia" w:ascii="华文楷体" w:hAnsi="华文楷体" w:eastAsia="华文楷体" w:cs="华文楷体"/>
          <w:b/>
          <w:bCs/>
          <w:lang w:val="en-US" w:eastAsia="zh-CN"/>
        </w:rPr>
      </w:pPr>
      <w:bookmarkStart w:id="87" w:name="_Toc23240_WPSOffice_Level2"/>
      <w:bookmarkStart w:id="88" w:name="_Toc28045_WPSOffice_Level2"/>
      <w:r>
        <w:rPr>
          <w:rFonts w:hint="eastAsia" w:ascii="华文楷体" w:hAnsi="华文楷体" w:eastAsia="华文楷体" w:cs="华文楷体"/>
          <w:b/>
          <w:bCs/>
          <w:lang w:val="en-US" w:eastAsia="zh-CN"/>
        </w:rPr>
        <w:t>项目资金使用率不高</w:t>
      </w:r>
      <w:bookmarkEnd w:id="87"/>
      <w:bookmarkEnd w:id="88"/>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eastAsia="zh-CN"/>
        </w:rPr>
      </w:pPr>
      <w:r>
        <w:rPr>
          <w:rFonts w:hint="eastAsia" w:ascii="华文仿宋" w:hAnsi="华文仿宋" w:eastAsia="华文仿宋" w:cs="华文仿宋"/>
          <w:sz w:val="32"/>
          <w:szCs w:val="32"/>
          <w:lang w:val="en-US" w:eastAsia="zh-CN"/>
        </w:rPr>
        <w:t>2018年12月19日区财政实际拨付区教育局教师培训资金1840570元。截止2019年2月2日该项目实际支出1311203.62元（详情见上述表1），项目结余529366.38元，资金使用率为71.24%，预算资金使用率较低。</w:t>
      </w:r>
    </w:p>
    <w:p>
      <w:pPr>
        <w:numPr>
          <w:ilvl w:val="0"/>
          <w:numId w:val="9"/>
        </w:numPr>
        <w:ind w:left="640" w:leftChars="200" w:firstLine="0" w:firstLineChars="0"/>
        <w:jc w:val="left"/>
        <w:outlineLvl w:val="1"/>
        <w:rPr>
          <w:rFonts w:hint="eastAsia" w:ascii="华文楷体" w:hAnsi="华文楷体" w:eastAsia="华文楷体" w:cs="华文楷体"/>
          <w:b/>
          <w:bCs/>
          <w:lang w:val="en-US" w:eastAsia="zh-CN"/>
        </w:rPr>
      </w:pPr>
      <w:bookmarkStart w:id="89" w:name="_Toc9257_WPSOffice_Level2"/>
      <w:bookmarkStart w:id="90" w:name="_Toc28437_WPSOffice_Level2"/>
      <w:r>
        <w:rPr>
          <w:rFonts w:hint="eastAsia" w:ascii="华文楷体" w:hAnsi="华文楷体" w:eastAsia="华文楷体" w:cs="华文楷体"/>
          <w:b/>
          <w:bCs/>
          <w:lang w:val="en-US" w:eastAsia="zh-CN"/>
        </w:rPr>
        <w:t>项目服务对象满意度有待提升</w:t>
      </w:r>
      <w:bookmarkEnd w:id="89"/>
      <w:bookmarkEnd w:id="90"/>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评价组在对该教师培训项目进行问卷调查的过程中发现，参培教师普遍认为培训对今后的教学工作有帮助，但对培训费的标准、培训工作的计划安排以及培训选定的场所满意度还不够，综合满意度仅为82%。</w:t>
      </w:r>
    </w:p>
    <w:p>
      <w:pPr>
        <w:pStyle w:val="6"/>
        <w:numPr>
          <w:ilvl w:val="0"/>
          <w:numId w:val="1"/>
        </w:numPr>
        <w:shd w:val="clear" w:color="auto" w:fill="FFFFFF"/>
        <w:spacing w:before="0" w:beforeAutospacing="0" w:after="0" w:afterAutospacing="0" w:line="600" w:lineRule="exact"/>
        <w:ind w:firstLine="640" w:firstLineChars="200"/>
        <w:jc w:val="both"/>
        <w:rPr>
          <w:rFonts w:hint="eastAsia" w:ascii="黑体" w:hAnsi="黑体" w:eastAsia="黑体"/>
          <w:color w:val="000000" w:themeColor="text1"/>
          <w:sz w:val="32"/>
          <w:szCs w:val="32"/>
          <w14:textFill>
            <w14:solidFill>
              <w14:schemeClr w14:val="tx1"/>
            </w14:solidFill>
          </w14:textFill>
        </w:rPr>
      </w:pPr>
      <w:bookmarkStart w:id="91" w:name="_Toc21201_WPSOffice_Level1"/>
      <w:bookmarkStart w:id="92" w:name="_Toc12907_WPSOffice_Level1"/>
      <w:bookmarkStart w:id="93" w:name="_Toc25884_WPSOffice_Level1"/>
      <w:r>
        <w:rPr>
          <w:rFonts w:hint="eastAsia" w:ascii="黑体" w:hAnsi="黑体" w:eastAsia="黑体"/>
          <w:color w:val="000000" w:themeColor="text1"/>
          <w:sz w:val="32"/>
          <w:szCs w:val="32"/>
          <w14:textFill>
            <w14:solidFill>
              <w14:schemeClr w14:val="tx1"/>
            </w14:solidFill>
          </w14:textFill>
        </w:rPr>
        <w:t>相关意见及建议</w:t>
      </w:r>
      <w:bookmarkEnd w:id="91"/>
      <w:bookmarkEnd w:id="92"/>
      <w:bookmarkEnd w:id="93"/>
    </w:p>
    <w:p>
      <w:pPr>
        <w:numPr>
          <w:ilvl w:val="0"/>
          <w:numId w:val="10"/>
        </w:numPr>
        <w:ind w:firstLine="641"/>
        <w:jc w:val="left"/>
        <w:outlineLvl w:val="1"/>
        <w:rPr>
          <w:rFonts w:hint="eastAsia" w:ascii="华文楷体" w:hAnsi="华文楷体" w:eastAsia="华文楷体" w:cs="华文楷体"/>
          <w:b/>
          <w:color w:val="000000" w:themeColor="text1"/>
          <w:szCs w:val="32"/>
          <w14:textFill>
            <w14:solidFill>
              <w14:schemeClr w14:val="tx1"/>
            </w14:solidFill>
          </w14:textFill>
        </w:rPr>
      </w:pPr>
      <w:bookmarkStart w:id="94" w:name="_Toc4508_WPSOffice_Level2"/>
      <w:bookmarkStart w:id="95" w:name="_Toc15084_WPSOffice_Level2"/>
      <w:bookmarkStart w:id="96" w:name="_Toc8204_WPSOffice_Level2"/>
      <w:r>
        <w:rPr>
          <w:rFonts w:hint="eastAsia" w:ascii="华文楷体" w:hAnsi="华文楷体" w:eastAsia="华文楷体" w:cs="华文楷体"/>
          <w:b/>
          <w:color w:val="000000" w:themeColor="text1"/>
          <w:szCs w:val="32"/>
          <w14:textFill>
            <w14:solidFill>
              <w14:schemeClr w14:val="tx1"/>
            </w14:solidFill>
          </w14:textFill>
        </w:rPr>
        <w:t>建议强化预算绩效管理意识</w:t>
      </w:r>
      <w:bookmarkEnd w:id="94"/>
      <w:bookmarkEnd w:id="95"/>
      <w:bookmarkEnd w:id="96"/>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ascii="华文仿宋" w:hAnsi="华文仿宋" w:eastAsia="华文仿宋" w:cs="华文仿宋"/>
          <w:sz w:val="32"/>
          <w:szCs w:val="32"/>
          <w:lang w:val="en-US" w:eastAsia="zh-CN"/>
        </w:rPr>
        <w:t>加强预算绩效管理是改进预算支出管理，优化财政资源配置，提高政府公信力的有效举措，项目管理部门应强化预算绩效管理观念，完善项目预算绩效管理机制，依据项目的目标整体性和重要性，设定清晰明确、可量化的绩效指标，充分发挥绩效目标在项目实施及预算执行过程中的管理和规范作用，按计划产出、质量要求、进度及预期效益，以绩效目标作为标尺，监控项目实施过程，及时调整纠偏。同时，项目管理部门应进一步完善项目</w:t>
      </w:r>
      <w:r>
        <w:rPr>
          <w:rFonts w:hint="eastAsia" w:ascii="华文仿宋" w:hAnsi="华文仿宋" w:cs="华文仿宋"/>
          <w:sz w:val="32"/>
          <w:szCs w:val="32"/>
          <w:lang w:val="en-US" w:eastAsia="zh-CN"/>
        </w:rPr>
        <w:t>绩效</w:t>
      </w:r>
      <w:r>
        <w:rPr>
          <w:rFonts w:hint="eastAsia" w:ascii="华文仿宋" w:hAnsi="华文仿宋" w:eastAsia="华文仿宋" w:cs="华文仿宋"/>
          <w:sz w:val="32"/>
          <w:szCs w:val="32"/>
          <w:lang w:val="en-US" w:eastAsia="zh-CN"/>
        </w:rPr>
        <w:t>自评工作，建立科学合理的评价体系，逐步建立自我约束机制。</w:t>
      </w:r>
    </w:p>
    <w:p>
      <w:pPr>
        <w:numPr>
          <w:ilvl w:val="0"/>
          <w:numId w:val="10"/>
        </w:numPr>
        <w:ind w:firstLine="641"/>
        <w:jc w:val="left"/>
        <w:outlineLvl w:val="1"/>
        <w:rPr>
          <w:rFonts w:hint="eastAsia" w:ascii="华文楷体" w:hAnsi="华文楷体" w:eastAsia="华文楷体" w:cs="华文楷体"/>
          <w:b/>
          <w:color w:val="000000" w:themeColor="text1"/>
          <w:szCs w:val="32"/>
          <w:lang w:val="en-US" w:eastAsia="zh-CN"/>
          <w14:textFill>
            <w14:solidFill>
              <w14:schemeClr w14:val="tx1"/>
            </w14:solidFill>
          </w14:textFill>
        </w:rPr>
      </w:pPr>
      <w:bookmarkStart w:id="97" w:name="_Toc27038_WPSOffice_Level2"/>
      <w:bookmarkStart w:id="98" w:name="_Toc15233_WPSOffice_Level2"/>
      <w:r>
        <w:rPr>
          <w:rFonts w:hint="eastAsia" w:ascii="华文楷体" w:hAnsi="华文楷体" w:eastAsia="华文楷体" w:cs="华文楷体"/>
          <w:b/>
          <w:color w:val="000000" w:themeColor="text1"/>
          <w:szCs w:val="32"/>
          <w:lang w:val="en-US" w:eastAsia="zh-CN"/>
          <w14:textFill>
            <w14:solidFill>
              <w14:schemeClr w14:val="tx1"/>
            </w14:solidFill>
          </w14:textFill>
        </w:rPr>
        <w:t>建议规范预算资金的申报与使用</w:t>
      </w:r>
      <w:bookmarkEnd w:id="97"/>
      <w:bookmarkEnd w:id="98"/>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建议在申报项目时，根据设置的绩效目标，合理规划申报资金。财政资金下达后，要严格实施申报项目，建立内部制约监督机制，定期通报项目资金的使用管理情况，以加强对项目资金的事前、事中监督，提高资金使用率，使得财政资金效能得到最大限度的发挥。</w:t>
      </w:r>
    </w:p>
    <w:p>
      <w:pPr>
        <w:numPr>
          <w:ilvl w:val="0"/>
          <w:numId w:val="10"/>
        </w:numPr>
        <w:ind w:firstLine="641"/>
        <w:jc w:val="left"/>
        <w:outlineLvl w:val="1"/>
        <w:rPr>
          <w:rFonts w:hint="eastAsia" w:ascii="华文楷体" w:hAnsi="华文楷体" w:eastAsia="华文楷体" w:cs="华文楷体"/>
          <w:b/>
          <w:color w:val="000000" w:themeColor="text1"/>
          <w:szCs w:val="32"/>
          <w:lang w:val="en-US" w:eastAsia="zh-CN"/>
          <w14:textFill>
            <w14:solidFill>
              <w14:schemeClr w14:val="tx1"/>
            </w14:solidFill>
          </w14:textFill>
        </w:rPr>
      </w:pPr>
      <w:bookmarkStart w:id="99" w:name="_Toc13896_WPSOffice_Level2"/>
      <w:bookmarkStart w:id="100" w:name="_Toc17402_WPSOffice_Level2"/>
      <w:r>
        <w:rPr>
          <w:rFonts w:hint="eastAsia" w:ascii="华文楷体" w:hAnsi="华文楷体" w:eastAsia="华文楷体" w:cs="华文楷体"/>
          <w:b/>
          <w:color w:val="000000" w:themeColor="text1"/>
          <w:szCs w:val="32"/>
          <w:lang w:val="en-US" w:eastAsia="zh-CN"/>
          <w14:textFill>
            <w14:solidFill>
              <w14:schemeClr w14:val="tx1"/>
            </w14:solidFill>
          </w14:textFill>
        </w:rPr>
        <w:t>建议科学调整培训任务与方案</w:t>
      </w:r>
      <w:bookmarkEnd w:id="99"/>
      <w:bookmarkEnd w:id="100"/>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建议认真开展参培老师满意度回访调查工作，建立分析反馈体系，积极听取参培老师的意见</w:t>
      </w:r>
      <w:r>
        <w:rPr>
          <w:rFonts w:hint="eastAsia" w:ascii="华文仿宋" w:hAnsi="华文仿宋" w:cs="华文仿宋"/>
          <w:sz w:val="32"/>
          <w:szCs w:val="32"/>
          <w:lang w:val="en-US" w:eastAsia="zh-CN"/>
        </w:rPr>
        <w:t>，</w:t>
      </w:r>
      <w:r>
        <w:rPr>
          <w:rFonts w:hint="eastAsia" w:ascii="华文仿宋" w:hAnsi="华文仿宋" w:eastAsia="华文仿宋" w:cs="华文仿宋"/>
          <w:sz w:val="32"/>
          <w:szCs w:val="32"/>
          <w:lang w:val="en-US" w:eastAsia="zh-CN"/>
        </w:rPr>
        <w:t>从培训内容的设置、培训费的标准、培训计划的安排以及培训地</w:t>
      </w:r>
      <w:r>
        <w:rPr>
          <w:rFonts w:hint="eastAsia" w:ascii="华文仿宋" w:hAnsi="华文仿宋" w:cs="华文仿宋"/>
          <w:sz w:val="32"/>
          <w:szCs w:val="32"/>
          <w:lang w:val="en-US" w:eastAsia="zh-CN"/>
        </w:rPr>
        <w:t>点</w:t>
      </w:r>
      <w:r>
        <w:rPr>
          <w:rFonts w:hint="eastAsia" w:ascii="华文仿宋" w:hAnsi="华文仿宋" w:eastAsia="华文仿宋" w:cs="华文仿宋"/>
          <w:sz w:val="32"/>
          <w:szCs w:val="32"/>
          <w:lang w:val="en-US" w:eastAsia="zh-CN"/>
        </w:rPr>
        <w:t>的选</w:t>
      </w:r>
      <w:r>
        <w:rPr>
          <w:rFonts w:hint="eastAsia" w:ascii="华文仿宋" w:hAnsi="华文仿宋" w:cs="华文仿宋"/>
          <w:sz w:val="32"/>
          <w:szCs w:val="32"/>
          <w:lang w:val="en-US" w:eastAsia="zh-CN"/>
        </w:rPr>
        <w:t>择</w:t>
      </w:r>
      <w:r>
        <w:rPr>
          <w:rFonts w:hint="eastAsia" w:ascii="华文仿宋" w:hAnsi="华文仿宋" w:eastAsia="华文仿宋" w:cs="华文仿宋"/>
          <w:sz w:val="32"/>
          <w:szCs w:val="32"/>
          <w:lang w:val="en-US" w:eastAsia="zh-CN"/>
        </w:rPr>
        <w:t>四方面优化培训方案，使教师培训的满意度得以进一步提升。</w:t>
      </w:r>
      <w:bookmarkStart w:id="329" w:name="_GoBack"/>
      <w:bookmarkEnd w:id="329"/>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bookmarkStart w:id="101" w:name="_Toc15937_WPSOffice_Level1"/>
      <w:bookmarkStart w:id="102" w:name="_Toc30367_WPSOffice_Level1"/>
      <w:bookmarkStart w:id="103" w:name="_Toc27502_WPSOffice_Level1"/>
      <w:bookmarkStart w:id="104" w:name="_Toc27734_WPSOffice_Level1"/>
      <w:bookmarkStart w:id="105" w:name="_Toc14055_WPSOffice_Level1"/>
      <w:bookmarkStart w:id="106" w:name="_Toc13088_WPSOffice_Level1"/>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bookmarkStart w:id="107" w:name="_Toc29032_WPSOffice_Level1"/>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附件</w:t>
      </w:r>
      <w:bookmarkEnd w:id="101"/>
      <w:bookmarkEnd w:id="102"/>
      <w:bookmarkEnd w:id="103"/>
      <w:bookmarkEnd w:id="104"/>
      <w:bookmarkEnd w:id="105"/>
      <w:bookmarkEnd w:id="106"/>
      <w:r>
        <w:rPr>
          <w:rFonts w:hint="eastAsia" w:ascii="黑体" w:hAnsi="黑体" w:eastAsia="黑体" w:cs="黑体"/>
          <w:b w:val="0"/>
          <w:bCs w:val="0"/>
          <w:color w:val="000000" w:themeColor="text1"/>
          <w:sz w:val="32"/>
          <w:szCs w:val="32"/>
          <w:lang w:eastAsia="zh-CN"/>
          <w14:textFill>
            <w14:solidFill>
              <w14:schemeClr w14:val="tx1"/>
            </w14:solidFill>
          </w14:textFill>
        </w:rPr>
        <w:t>：</w:t>
      </w:r>
      <w:bookmarkEnd w:id="107"/>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bookmarkStart w:id="108" w:name="_Toc19246"/>
      <w:bookmarkStart w:id="109" w:name="_Toc6144_WPSOffice_Level2"/>
      <w:bookmarkStart w:id="110" w:name="_Toc881_WPSOffice_Level2"/>
      <w:bookmarkStart w:id="111" w:name="_Toc30121_WPSOffice_Level1"/>
      <w:bookmarkStart w:id="112" w:name="_Toc1018_WPSOffice_Level1"/>
      <w:bookmarkStart w:id="113" w:name="_Toc2500_WPSOffice_Level1"/>
      <w:r>
        <w:rPr>
          <w:rFonts w:hint="eastAsia" w:ascii="华文仿宋" w:hAnsi="华文仿宋" w:eastAsia="华文仿宋" w:cs="华文仿宋"/>
          <w:sz w:val="32"/>
          <w:szCs w:val="32"/>
          <w:lang w:val="en-US" w:eastAsia="zh-CN"/>
        </w:rPr>
        <w:t>1</w:t>
      </w:r>
      <w:bookmarkEnd w:id="108"/>
      <w:r>
        <w:rPr>
          <w:rFonts w:hint="eastAsia" w:ascii="华文仿宋" w:hAnsi="华文仿宋" w:cs="华文仿宋"/>
          <w:sz w:val="32"/>
          <w:szCs w:val="32"/>
          <w:lang w:val="en-US" w:eastAsia="zh-CN"/>
        </w:rPr>
        <w:t>、</w:t>
      </w:r>
      <w:r>
        <w:rPr>
          <w:rFonts w:hint="eastAsia" w:ascii="华文仿宋" w:hAnsi="华文仿宋" w:eastAsia="华文仿宋" w:cs="华文仿宋"/>
          <w:sz w:val="32"/>
          <w:szCs w:val="32"/>
          <w:lang w:val="en-US" w:eastAsia="zh-CN"/>
        </w:rPr>
        <w:t>怀化市鹤城区教育局2018年度教师培训专项资金</w:t>
      </w:r>
      <w:bookmarkEnd w:id="109"/>
      <w:bookmarkEnd w:id="110"/>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绩效评价指标体系及评分表</w:t>
      </w:r>
      <w:bookmarkEnd w:id="111"/>
      <w:bookmarkEnd w:id="112"/>
      <w:bookmarkEnd w:id="113"/>
    </w:p>
    <w:p>
      <w:pPr>
        <w:keepNext w:val="0"/>
        <w:keepLines w:val="0"/>
        <w:pageBreakBefore w:val="0"/>
        <w:widowControl w:val="0"/>
        <w:numPr>
          <w:ilvl w:val="0"/>
          <w:numId w:val="11"/>
        </w:numPr>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bookmarkStart w:id="114" w:name="_Toc14426_WPSOffice_Level2"/>
      <w:bookmarkStart w:id="115" w:name="_Toc12981_WPSOffice_Level2"/>
      <w:r>
        <w:rPr>
          <w:rFonts w:hint="eastAsia" w:ascii="华文仿宋" w:hAnsi="华文仿宋" w:eastAsia="华文仿宋" w:cs="华文仿宋"/>
          <w:sz w:val="32"/>
          <w:szCs w:val="32"/>
          <w:lang w:val="en-US" w:eastAsia="zh-CN"/>
        </w:rPr>
        <w:t>怀化市鹤城区2018年度教师培训项目资金绩效评价调查问卷</w:t>
      </w:r>
      <w:bookmarkEnd w:id="114"/>
      <w:bookmarkEnd w:id="115"/>
      <w:bookmarkStart w:id="116" w:name="_Toc15444_WPSOffice_Level1"/>
      <w:bookmarkStart w:id="117" w:name="_Toc23352_WPSOffice_Level1"/>
      <w:bookmarkStart w:id="118" w:name="_Toc29553_WPSOffice_Level1"/>
      <w:bookmarkStart w:id="119" w:name="_Toc296_WPSOffice_Level1"/>
      <w:bookmarkStart w:id="120" w:name="_Toc12979_WPSOffice_Level1"/>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cs="华文仿宋"/>
          <w:color w:val="000000"/>
          <w:szCs w:val="32"/>
          <w:lang w:val="en-US" w:eastAsia="zh-CN"/>
        </w:rPr>
      </w:pPr>
      <w:r>
        <w:rPr>
          <w:rFonts w:hint="eastAsia" w:ascii="华文仿宋" w:hAnsi="华文仿宋" w:cs="华文仿宋"/>
          <w:color w:val="000000"/>
          <w:szCs w:val="32"/>
          <w:lang w:val="en-US" w:eastAsia="zh-CN"/>
        </w:rPr>
        <w:t>湖南惟楚创智经济咨询有限责任公司</w:t>
      </w:r>
    </w:p>
    <w:p>
      <w:pPr>
        <w:autoSpaceDN w:val="0"/>
        <w:adjustRightInd w:val="0"/>
        <w:snapToGrid w:val="0"/>
        <w:spacing w:line="600" w:lineRule="exact"/>
        <w:ind w:firstLine="0" w:firstLineChars="0"/>
        <w:rPr>
          <w:rFonts w:hint="default" w:ascii="华文仿宋" w:hAnsi="华文仿宋" w:cs="华文仿宋"/>
          <w:color w:val="000000"/>
          <w:szCs w:val="32"/>
          <w:lang w:val="en-US" w:eastAsia="zh-CN"/>
        </w:rPr>
      </w:pPr>
      <w:r>
        <w:rPr>
          <w:rFonts w:hint="eastAsia" w:ascii="华文仿宋" w:hAnsi="华文仿宋" w:cs="华文仿宋"/>
          <w:color w:val="000000"/>
          <w:szCs w:val="32"/>
          <w:lang w:val="en-US" w:eastAsia="zh-CN"/>
        </w:rPr>
        <w:t xml:space="preserve">                                 2019年9月30日</w:t>
      </w:r>
    </w:p>
    <w:p>
      <w:pPr>
        <w:autoSpaceDN w:val="0"/>
        <w:adjustRightInd w:val="0"/>
        <w:snapToGrid w:val="0"/>
        <w:spacing w:line="600" w:lineRule="exact"/>
        <w:ind w:left="0" w:leftChars="0" w:firstLine="0" w:firstLineChars="0"/>
        <w:jc w:val="center"/>
        <w:rPr>
          <w:rFonts w:hint="eastAsia" w:ascii="华文仿宋" w:hAnsi="华文仿宋" w:eastAsia="华文仿宋" w:cs="华文仿宋"/>
          <w:b/>
          <w:bCs/>
          <w:color w:val="333333"/>
          <w:kern w:val="0"/>
          <w:sz w:val="32"/>
          <w:szCs w:val="32"/>
          <w:lang w:bidi="ar"/>
        </w:rPr>
      </w:pPr>
      <w:bookmarkStart w:id="121" w:name="_Toc7040_WPSOffice_Level1"/>
      <w:bookmarkStart w:id="122" w:name="_Toc25565_WPSOffice_Level1"/>
      <w:bookmarkStart w:id="123" w:name="_Toc24866_WPSOffice_Level1"/>
      <w:bookmarkStart w:id="124" w:name="_Toc6210_WPSOffice_Level1"/>
      <w:bookmarkStart w:id="125" w:name="_Toc4336_WPSOffice_Level1"/>
      <w:bookmarkStart w:id="126" w:name="_Toc907_WPSOffice_Level1"/>
      <w:bookmarkStart w:id="127" w:name="_Toc2524_WPSOffice_Level1"/>
      <w:r>
        <w:rPr>
          <w:rFonts w:hint="eastAsia" w:ascii="华文仿宋" w:hAnsi="华文仿宋" w:eastAsia="华文仿宋" w:cs="华文仿宋"/>
          <w:b/>
          <w:bCs/>
          <w:color w:val="000000" w:themeColor="text1"/>
          <w:sz w:val="32"/>
          <w:szCs w:val="32"/>
          <w14:textFill>
            <w14:solidFill>
              <w14:schemeClr w14:val="tx1"/>
            </w14:solidFill>
          </w14:textFill>
        </w:rPr>
        <w:t>附件1：</w:t>
      </w:r>
      <w:bookmarkEnd w:id="116"/>
      <w:bookmarkEnd w:id="117"/>
      <w:r>
        <w:rPr>
          <w:rFonts w:hint="eastAsia" w:ascii="华文仿宋" w:hAnsi="华文仿宋" w:eastAsia="华文仿宋" w:cs="华文仿宋"/>
          <w:b/>
          <w:bCs/>
          <w:sz w:val="32"/>
          <w:szCs w:val="32"/>
          <w:lang w:val="en-US" w:eastAsia="zh-CN"/>
        </w:rPr>
        <w:t>怀化市鹤城区</w:t>
      </w:r>
      <w:r>
        <w:rPr>
          <w:rFonts w:hint="eastAsia" w:ascii="华文仿宋" w:hAnsi="华文仿宋" w:eastAsia="华文仿宋" w:cs="华文仿宋"/>
          <w:b/>
          <w:bCs/>
          <w:sz w:val="32"/>
          <w:szCs w:val="32"/>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仿宋" w:hAnsi="华文仿宋" w:eastAsia="华文仿宋" w:cs="华文仿宋"/>
          <w:b/>
          <w:bCs/>
          <w:sz w:val="32"/>
          <w:szCs w:val="32"/>
          <w:lang w:val="en-US" w:eastAsia="zh-CN"/>
        </w:rPr>
        <w:instrText xml:space="preserve">ADDIN CNKISM.UserStyle</w:instrText>
      </w:r>
      <w:r>
        <w:rPr>
          <w:rFonts w:hint="eastAsia" w:ascii="华文仿宋" w:hAnsi="华文仿宋" w:eastAsia="华文仿宋" w:cs="华文仿宋"/>
          <w:b/>
          <w:bCs/>
          <w:sz w:val="32"/>
          <w:szCs w:val="32"/>
          <w:lang w:val="en-US" w:eastAsia="zh-CN"/>
        </w:rPr>
        <w:fldChar w:fldCharType="end"/>
      </w:r>
      <w:r>
        <w:rPr>
          <w:rFonts w:hint="eastAsia" w:ascii="华文仿宋" w:hAnsi="华文仿宋" w:eastAsia="华文仿宋" w:cs="华文仿宋"/>
          <w:b/>
          <w:bCs/>
          <w:sz w:val="32"/>
          <w:szCs w:val="32"/>
          <w:lang w:val="en-US" w:eastAsia="zh-CN"/>
        </w:rPr>
        <w:t>20</w:t>
      </w:r>
      <w:bookmarkEnd w:id="121"/>
      <w:bookmarkEnd w:id="122"/>
      <w:bookmarkEnd w:id="123"/>
      <w:bookmarkEnd w:id="124"/>
      <w:bookmarkEnd w:id="125"/>
      <w:bookmarkEnd w:id="126"/>
      <w:bookmarkEnd w:id="127"/>
      <w:r>
        <w:rPr>
          <w:rFonts w:hint="eastAsia" w:ascii="华文仿宋" w:hAnsi="华文仿宋" w:eastAsia="华文仿宋" w:cs="华文仿宋"/>
          <w:b/>
          <w:bCs/>
          <w:sz w:val="32"/>
          <w:szCs w:val="32"/>
          <w:lang w:val="en-US" w:eastAsia="zh-CN"/>
        </w:rPr>
        <w:t>18年度教师培训项目资金</w:t>
      </w:r>
      <w:r>
        <w:rPr>
          <w:rFonts w:hint="eastAsia" w:ascii="华文仿宋" w:hAnsi="华文仿宋" w:eastAsia="华文仿宋" w:cs="华文仿宋"/>
          <w:b/>
          <w:bCs/>
          <w:color w:val="000000" w:themeColor="text1"/>
          <w:sz w:val="32"/>
          <w:szCs w:val="32"/>
          <w14:textFill>
            <w14:solidFill>
              <w14:schemeClr w14:val="tx1"/>
            </w14:solidFill>
          </w14:textFill>
        </w:rPr>
        <w:t>绩效评价指标体系及评分表</w:t>
      </w:r>
      <w:bookmarkEnd w:id="118"/>
      <w:bookmarkEnd w:id="119"/>
      <w:bookmarkEnd w:id="120"/>
    </w:p>
    <w:tbl>
      <w:tblPr>
        <w:tblStyle w:val="7"/>
        <w:tblW w:w="9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617"/>
        <w:gridCol w:w="734"/>
        <w:gridCol w:w="630"/>
        <w:gridCol w:w="1401"/>
        <w:gridCol w:w="611"/>
        <w:gridCol w:w="4289"/>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blHeader/>
          <w:jc w:val="center"/>
        </w:trPr>
        <w:tc>
          <w:tcPr>
            <w:tcW w:w="7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一级</w:t>
            </w:r>
            <w:r>
              <w:rPr>
                <w:rFonts w:hint="eastAsia" w:ascii="Times New Roman" w:hAnsi="Times New Roman" w:eastAsia="仿宋" w:cs="Times New Roman"/>
                <w:b/>
                <w:bCs/>
                <w:sz w:val="24"/>
              </w:rPr>
              <w:br w:type="textWrapping"/>
            </w:r>
            <w:r>
              <w:rPr>
                <w:rFonts w:hint="eastAsia" w:ascii="Times New Roman" w:hAnsi="Times New Roman" w:eastAsia="仿宋" w:cs="Times New Roman"/>
                <w:b/>
                <w:bCs/>
                <w:sz w:val="24"/>
              </w:rPr>
              <w:t>指标</w:t>
            </w:r>
          </w:p>
        </w:tc>
        <w:tc>
          <w:tcPr>
            <w:tcW w:w="617"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分值</w:t>
            </w:r>
          </w:p>
        </w:tc>
        <w:tc>
          <w:tcPr>
            <w:tcW w:w="734"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二级    指标</w:t>
            </w:r>
          </w:p>
        </w:tc>
        <w:tc>
          <w:tcPr>
            <w:tcW w:w="630"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分值</w:t>
            </w:r>
          </w:p>
        </w:tc>
        <w:tc>
          <w:tcPr>
            <w:tcW w:w="1401"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三级指标</w:t>
            </w:r>
          </w:p>
        </w:tc>
        <w:tc>
          <w:tcPr>
            <w:tcW w:w="611"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分值</w:t>
            </w:r>
          </w:p>
        </w:tc>
        <w:tc>
          <w:tcPr>
            <w:tcW w:w="4289"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评价标准</w:t>
            </w:r>
          </w:p>
        </w:tc>
        <w:tc>
          <w:tcPr>
            <w:tcW w:w="764"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hint="eastAsia" w:ascii="Times New Roman" w:hAnsi="Times New Roman" w:eastAsia="仿宋" w:cs="Times New Roman"/>
                <w:b/>
                <w:bCs/>
                <w:sz w:val="24"/>
              </w:rPr>
            </w:pPr>
            <w:r>
              <w:rPr>
                <w:rFonts w:hint="eastAsia" w:ascii="Times New Roman" w:hAnsi="Times New Roman" w:eastAsia="仿宋" w:cs="Times New Roman"/>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投</w:t>
            </w:r>
          </w:p>
          <w:p>
            <w:pPr>
              <w:widowControl/>
              <w:spacing w:line="240" w:lineRule="exact"/>
              <w:ind w:firstLine="0" w:firstLineChars="0"/>
              <w:jc w:val="center"/>
              <w:rPr>
                <w:rFonts w:hint="eastAsia" w:ascii="宋体" w:hAnsi="宋体" w:eastAsia="宋体" w:cs="宋体"/>
                <w:kern w:val="0"/>
                <w:sz w:val="18"/>
                <w:szCs w:val="18"/>
              </w:rPr>
            </w:pP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入</w:t>
            </w:r>
          </w:p>
        </w:tc>
        <w:tc>
          <w:tcPr>
            <w:tcW w:w="617"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立项决策</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项目立项</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规范性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①项目按规定程序申请设立，立项符合立项原则、立项重点和申报要求，1分；②事前经过可行性研究、专家论证、风险评估、集体决策，1分。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决策实施</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合规性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①项目批复程序符合管理办法，1分；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②项目调整履行相应手续，1分；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③项目按计划进行开工，1分。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资金分配</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合理性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①符合申报目标，1分；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②符合相应的分配办法，1分。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绩效目标</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绩效目标</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合理性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①预期目标明确具体，合理可行2分；基本可行1分，不可行0分；②项目总体目标和年度目标设定合理，1分。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绩效指标</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明确性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①依目标设立的绩效指标细化，1分；②量化，1分；③项目年度任务数与计划数对应，1分；④项目与预算确定的投资额或资金量相匹配，1分。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资金落实</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资金到位率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资金到位率=100%，2分，未达按情况酌情扣分。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资金到位率=实际到位金额/计划投入金额×100%</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到位及时率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到位及时，2分；不及时但项目进度影响不大或未造成影响，1分，不及时且严重影响项目进度，0分。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 xml:space="preserve">到位及时率=及时到位金额/应到位金额×100%                                                </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资金使用率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rPr>
              <w:t>资金使用率=100%，2分，每少1个百分点扣0.1分，扣完为止。</w:t>
            </w:r>
            <w:r>
              <w:rPr>
                <w:rFonts w:hint="eastAsia" w:ascii="宋体" w:hAnsi="宋体" w:eastAsia="宋体" w:cs="宋体"/>
                <w:kern w:val="0"/>
                <w:sz w:val="18"/>
                <w:szCs w:val="18"/>
                <w:lang w:val="en-US" w:eastAsia="zh-CN"/>
              </w:rPr>
              <w:t>因项目全额支付后结余资金，1分。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资金使用率=实际使用金额/实际到位金额×100%</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754"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过</w:t>
            </w:r>
          </w:p>
          <w:p>
            <w:pPr>
              <w:widowControl/>
              <w:spacing w:line="240" w:lineRule="exact"/>
              <w:ind w:firstLine="0" w:firstLineChars="0"/>
              <w:jc w:val="center"/>
              <w:rPr>
                <w:rFonts w:hint="eastAsia" w:ascii="宋体" w:hAnsi="宋体" w:eastAsia="宋体" w:cs="宋体"/>
                <w:kern w:val="0"/>
                <w:sz w:val="18"/>
                <w:szCs w:val="18"/>
                <w:lang w:val="en-US" w:eastAsia="zh-CN"/>
              </w:rPr>
            </w:pPr>
          </w:p>
          <w:p>
            <w:pPr>
              <w:widowControl/>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程</w:t>
            </w:r>
          </w:p>
          <w:p>
            <w:pPr>
              <w:widowControl/>
              <w:spacing w:line="240" w:lineRule="exact"/>
              <w:ind w:firstLine="0" w:firstLineChars="0"/>
              <w:jc w:val="center"/>
              <w:rPr>
                <w:rFonts w:hint="eastAsia" w:ascii="宋体" w:hAnsi="宋体" w:eastAsia="宋体" w:cs="宋体"/>
                <w:kern w:val="0"/>
                <w:sz w:val="18"/>
                <w:szCs w:val="18"/>
              </w:rPr>
            </w:pPr>
          </w:p>
          <w:p>
            <w:pPr>
              <w:widowControl/>
              <w:spacing w:line="240" w:lineRule="exact"/>
              <w:ind w:firstLine="0" w:firstLineChars="0"/>
              <w:jc w:val="center"/>
              <w:rPr>
                <w:rFonts w:hint="eastAsia" w:ascii="宋体" w:hAnsi="宋体" w:eastAsia="宋体" w:cs="宋体"/>
                <w:kern w:val="0"/>
                <w:sz w:val="18"/>
                <w:szCs w:val="18"/>
              </w:rPr>
            </w:pPr>
          </w:p>
          <w:p>
            <w:pPr>
              <w:widowControl/>
              <w:spacing w:line="240" w:lineRule="exact"/>
              <w:ind w:firstLine="0" w:firstLineChars="0"/>
              <w:jc w:val="center"/>
              <w:rPr>
                <w:rFonts w:hint="eastAsia" w:ascii="宋体" w:hAnsi="宋体" w:eastAsia="宋体" w:cs="宋体"/>
                <w:kern w:val="0"/>
                <w:sz w:val="18"/>
                <w:szCs w:val="18"/>
              </w:rPr>
            </w:pPr>
          </w:p>
        </w:tc>
        <w:tc>
          <w:tcPr>
            <w:tcW w:w="617"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业务管理</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管理制度</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健全性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①制定相应业务管理制度，1分；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②业务管理制度合法合规完整，1分。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制度执行</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有效性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项目质量</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可控性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①已制定或其有相应的项目质量要求或标准，1分；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②项目质量检查、验收等采取了相应的必需的控制措施或手段，1分。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财务管理</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管理制度</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健全性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①已制定或具有相应的项目资金管理办法，2分；②办法符合相关财务会计制度的规定，1分。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6"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资金使用</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合规性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③项目的重大开支经过评估认证，1分；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④符合项目预算批复或合同规定的用途，1分。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财务监控</w:t>
            </w:r>
          </w:p>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有效性</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①已制定或具有相应的监控机制，2分；②采取了相应的财务检查等必要的监控措施或手段，2分；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绩效管理</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信息质量</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①按规定及时报送绩效目标、监控、评价、应用等绩效资料和信息，1分；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②按规定及时公开绩效信息，1分。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left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监控质量</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对绩效目标实施有效监控，（采取措施）确保目标如期实现，2分。偏离目标扣1分；不能完成预期目标扣1分；目标无效，不得分。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754"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自评质量</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认真开展自评，2分。自评得分与财政复评或重点评价评定得分相差1分扣0.2分；误差≥10分，不得分。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3" w:hRule="atLeast"/>
          <w:jc w:val="center"/>
        </w:trPr>
        <w:tc>
          <w:tcPr>
            <w:tcW w:w="754"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产</w:t>
            </w:r>
          </w:p>
          <w:p>
            <w:pPr>
              <w:widowControl/>
              <w:spacing w:line="240" w:lineRule="exact"/>
              <w:ind w:firstLine="0" w:firstLineChars="0"/>
              <w:jc w:val="center"/>
              <w:rPr>
                <w:rFonts w:hint="eastAsia" w:ascii="宋体" w:hAnsi="宋体" w:eastAsia="宋体" w:cs="宋体"/>
                <w:kern w:val="0"/>
                <w:sz w:val="18"/>
                <w:szCs w:val="18"/>
                <w:lang w:val="en-US" w:eastAsia="zh-CN"/>
              </w:rPr>
            </w:pPr>
          </w:p>
          <w:p>
            <w:pPr>
              <w:widowControl/>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出</w:t>
            </w:r>
          </w:p>
          <w:p>
            <w:pPr>
              <w:widowControl/>
              <w:spacing w:line="240" w:lineRule="exact"/>
              <w:ind w:firstLine="0" w:firstLineChars="0"/>
              <w:jc w:val="center"/>
              <w:rPr>
                <w:rFonts w:hint="eastAsia" w:ascii="宋体" w:hAnsi="宋体" w:eastAsia="宋体" w:cs="宋体"/>
                <w:kern w:val="0"/>
                <w:sz w:val="18"/>
                <w:szCs w:val="18"/>
                <w:lang w:val="en-US" w:eastAsia="zh-CN"/>
              </w:rPr>
            </w:pPr>
          </w:p>
          <w:p>
            <w:pPr>
              <w:widowControl/>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及</w:t>
            </w:r>
          </w:p>
          <w:p>
            <w:pPr>
              <w:widowControl/>
              <w:spacing w:line="240" w:lineRule="exact"/>
              <w:ind w:firstLine="0" w:firstLineChars="0"/>
              <w:jc w:val="center"/>
              <w:rPr>
                <w:rFonts w:hint="eastAsia" w:ascii="宋体" w:hAnsi="宋体" w:eastAsia="宋体" w:cs="宋体"/>
                <w:kern w:val="0"/>
                <w:sz w:val="18"/>
                <w:szCs w:val="18"/>
                <w:lang w:val="en-US" w:eastAsia="zh-CN"/>
              </w:rPr>
            </w:pPr>
          </w:p>
          <w:p>
            <w:pPr>
              <w:widowControl/>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w:t>
            </w:r>
          </w:p>
          <w:p>
            <w:pPr>
              <w:widowControl/>
              <w:spacing w:line="240" w:lineRule="exact"/>
              <w:ind w:firstLine="0" w:firstLineChars="0"/>
              <w:jc w:val="center"/>
              <w:rPr>
                <w:rFonts w:hint="eastAsia" w:ascii="宋体" w:hAnsi="宋体" w:eastAsia="宋体" w:cs="宋体"/>
                <w:kern w:val="0"/>
                <w:sz w:val="18"/>
                <w:szCs w:val="18"/>
                <w:lang w:val="en-US" w:eastAsia="zh-CN"/>
              </w:rPr>
            </w:pPr>
          </w:p>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果</w:t>
            </w:r>
          </w:p>
        </w:tc>
        <w:tc>
          <w:tcPr>
            <w:tcW w:w="617"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50</w:t>
            </w: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项目产出</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实际完成率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1.按年度项目实施计划批复，所有子项目建设个数不低于批复个数，能全部完成各项批复内容的，得10分；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3.对照设计或计划批复内容，个别子项目建设个数低于批复个数，发现有部分子项擅自改变批复内容，得6分；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4.对照设计或计划批复内容，所有子项目建设个数低于批复个数，发现有部分子项擅自改变批复内容，得4分；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5.未按设计或计划批复要求，有大量子项擅自改变建设规模或大量子项目擅自变更建设内容，得0分。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完成及时率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1.项目开工率：X＝100%不扣分，90%≤X＜100%扣1分，X＜90%扣2分；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2.项目完工率：X＝100%不扣分，90%≤X＜100%扣1分，X＜90%扣3分；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1"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质量达标率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5</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经检查、抽检和检测：</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1.项目全部完成，质量验收全部合格，现场踏勘，观感良好，且工程实体质量良好，得</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2.项目质量验收合格，现场踏勘，观感较好，实体质量较好，有少量存在缺陷、且及时整改处理的，得</w:t>
            </w:r>
            <w:r>
              <w:rPr>
                <w:rFonts w:hint="eastAsia" w:ascii="宋体" w:hAnsi="宋体" w:eastAsia="宋体" w:cs="宋体"/>
                <w:kern w:val="0"/>
                <w:sz w:val="18"/>
                <w:szCs w:val="18"/>
                <w:lang w:val="en-US" w:eastAsia="zh-CN"/>
              </w:rPr>
              <w:t>4</w:t>
            </w:r>
            <w:r>
              <w:rPr>
                <w:rFonts w:hint="eastAsia" w:ascii="宋体" w:hAnsi="宋体" w:eastAsia="宋体" w:cs="宋体"/>
                <w:kern w:val="0"/>
                <w:sz w:val="18"/>
                <w:szCs w:val="18"/>
              </w:rPr>
              <w:t>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3.项目质量验收合格，现场踏勘，观感一般，实体质量一般，存在质量缺陷未能及时处理的，得2分；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4.验收不合格，实体质量差，得0分；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5.项目若出现重大质量、安全事故的，不论满足几项均得0分。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成本节约率</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项目完成成本控制在目标值内，5分，每超出5%扣2分。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成本节约率＝(计划成本-实际成本)/计划成本×100%</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项目效果</w:t>
            </w:r>
          </w:p>
        </w:tc>
        <w:tc>
          <w:tcPr>
            <w:tcW w:w="630"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经济</w:t>
            </w:r>
            <w:r>
              <w:rPr>
                <w:rFonts w:hint="eastAsia" w:ascii="宋体" w:hAnsi="宋体" w:eastAsia="宋体" w:cs="宋体"/>
                <w:kern w:val="0"/>
                <w:sz w:val="18"/>
                <w:szCs w:val="18"/>
              </w:rPr>
              <w:t>效益</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289"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根据具体指标有选择的进行设置，并将其细化为相应的个性化指标。</w:t>
            </w:r>
          </w:p>
          <w:p>
            <w:pPr>
              <w:widowControl/>
              <w:spacing w:line="240" w:lineRule="exact"/>
              <w:ind w:firstLine="0" w:firstLineChars="0"/>
              <w:jc w:val="left"/>
              <w:rPr>
                <w:rFonts w:hint="eastAsia" w:ascii="宋体" w:hAnsi="宋体" w:eastAsia="宋体" w:cs="宋体"/>
                <w:kern w:val="0"/>
                <w:sz w:val="18"/>
                <w:szCs w:val="18"/>
              </w:rPr>
            </w:pP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（各项中成效明显，</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分；有一定成效，3～</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分；成效不明显，1～3分；无成效，0分）</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社会</w:t>
            </w:r>
            <w:r>
              <w:rPr>
                <w:rFonts w:hint="eastAsia" w:ascii="宋体" w:hAnsi="宋体" w:eastAsia="宋体" w:cs="宋体"/>
                <w:kern w:val="0"/>
                <w:sz w:val="18"/>
                <w:szCs w:val="18"/>
              </w:rPr>
              <w:t>效益</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289"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289"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jc w:val="center"/>
        </w:trPr>
        <w:tc>
          <w:tcPr>
            <w:tcW w:w="754"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17"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734"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630" w:type="dxa"/>
            <w:vMerge w:val="continue"/>
            <w:tcBorders>
              <w:top w:val="nil"/>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p>
        </w:tc>
        <w:tc>
          <w:tcPr>
            <w:tcW w:w="140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社会公众或服务对象满意度</w:t>
            </w:r>
          </w:p>
        </w:tc>
        <w:tc>
          <w:tcPr>
            <w:tcW w:w="611"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428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对项目立项、实施、结果和影响等的满意度≥95%，计</w:t>
            </w:r>
            <w:r>
              <w:rPr>
                <w:rFonts w:hint="eastAsia" w:ascii="宋体" w:hAnsi="宋体" w:eastAsia="宋体" w:cs="宋体"/>
                <w:kern w:val="0"/>
                <w:sz w:val="18"/>
                <w:szCs w:val="18"/>
                <w:lang w:val="en-US" w:eastAsia="zh-CN"/>
              </w:rPr>
              <w:t>10</w:t>
            </w:r>
            <w:r>
              <w:rPr>
                <w:rFonts w:hint="eastAsia" w:ascii="宋体" w:hAnsi="宋体" w:eastAsia="宋体" w:cs="宋体"/>
                <w:kern w:val="0"/>
                <w:sz w:val="18"/>
                <w:szCs w:val="18"/>
              </w:rPr>
              <w:t>分；每降低一个百分点扣0.2分，满意度＜75%，计0分。</w:t>
            </w:r>
          </w:p>
          <w:p>
            <w:pPr>
              <w:widowControl/>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社会公众或服务对象满意度=满意人数/被调查人数×100%</w:t>
            </w:r>
          </w:p>
        </w:tc>
        <w:tc>
          <w:tcPr>
            <w:tcW w:w="764"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总分</w:t>
            </w:r>
          </w:p>
        </w:tc>
        <w:tc>
          <w:tcPr>
            <w:tcW w:w="617"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100</w:t>
            </w:r>
          </w:p>
        </w:tc>
        <w:tc>
          <w:tcPr>
            <w:tcW w:w="73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w:t>
            </w:r>
          </w:p>
        </w:tc>
        <w:tc>
          <w:tcPr>
            <w:tcW w:w="63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100</w:t>
            </w:r>
          </w:p>
        </w:tc>
        <w:tc>
          <w:tcPr>
            <w:tcW w:w="1401"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w:t>
            </w:r>
          </w:p>
        </w:tc>
        <w:tc>
          <w:tcPr>
            <w:tcW w:w="611"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100</w:t>
            </w:r>
          </w:p>
        </w:tc>
        <w:tc>
          <w:tcPr>
            <w:tcW w:w="4289"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w:t>
            </w:r>
          </w:p>
        </w:tc>
        <w:tc>
          <w:tcPr>
            <w:tcW w:w="76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rFonts w:hint="default" w:ascii="仿宋" w:hAnsi="仿宋" w:eastAsia="仿宋" w:cs="仿宋"/>
                <w:color w:val="000000"/>
                <w:kern w:val="0"/>
                <w:sz w:val="21"/>
                <w:szCs w:val="21"/>
                <w:highlight w:val="none"/>
                <w:lang w:val="en-US" w:eastAsia="zh-CN" w:bidi="ar"/>
              </w:rPr>
            </w:pPr>
            <w:r>
              <w:rPr>
                <w:rFonts w:hint="eastAsia" w:ascii="仿宋" w:hAnsi="仿宋" w:eastAsia="仿宋" w:cs="仿宋"/>
                <w:b/>
                <w:bCs/>
                <w:color w:val="000000"/>
                <w:kern w:val="0"/>
                <w:sz w:val="21"/>
                <w:szCs w:val="21"/>
                <w:highlight w:val="none"/>
                <w:lang w:val="en-US" w:eastAsia="zh-CN" w:bidi="ar"/>
              </w:rPr>
              <w:t>88.4</w:t>
            </w:r>
          </w:p>
        </w:tc>
      </w:tr>
    </w:tbl>
    <w:p>
      <w:pPr>
        <w:widowControl/>
        <w:spacing w:line="240" w:lineRule="auto"/>
        <w:ind w:firstLine="0" w:firstLineChars="0"/>
        <w:jc w:val="both"/>
        <w:textAlignment w:val="center"/>
        <w:rPr>
          <w:rFonts w:hint="eastAsia" w:ascii="仿宋" w:hAnsi="仿宋" w:eastAsia="仿宋" w:cs="仿宋"/>
          <w:color w:val="000000"/>
          <w:kern w:val="0"/>
          <w:sz w:val="21"/>
          <w:szCs w:val="21"/>
          <w:highlight w:val="none"/>
          <w:lang w:val="en-US" w:eastAsia="zh-CN" w:bidi="ar"/>
        </w:rPr>
      </w:pPr>
      <w:bookmarkStart w:id="128" w:name="_Toc1478_WPSOffice_Level1"/>
    </w:p>
    <w:bookmarkEnd w:id="128"/>
    <w:p>
      <w:pPr>
        <w:ind w:left="0" w:leftChars="0" w:firstLine="0" w:firstLineChars="0"/>
        <w:jc w:val="center"/>
        <w:rPr>
          <w:rFonts w:hint="eastAsia" w:ascii="华文楷体" w:hAnsi="华文楷体" w:eastAsia="华文楷体" w:cs="华文楷体"/>
          <w:b/>
          <w:bCs/>
          <w:sz w:val="32"/>
          <w:szCs w:val="32"/>
          <w:lang w:val="en-US" w:eastAsia="zh-CN"/>
        </w:rPr>
      </w:pPr>
      <w:bookmarkStart w:id="129" w:name="_Toc11094_WPSOffice_Level1"/>
      <w:bookmarkStart w:id="130" w:name="_Toc28455_WPSOffice_Level1"/>
      <w:bookmarkStart w:id="131" w:name="_Toc28046_WPSOffice_Level1"/>
      <w:bookmarkStart w:id="132" w:name="_Toc4175_WPSOffice_Level1"/>
      <w:bookmarkStart w:id="133" w:name="_Toc22147_WPSOffice_Level1"/>
      <w:bookmarkStart w:id="134" w:name="_Toc23427_WPSOffice_Level1"/>
      <w:bookmarkStart w:id="135" w:name="_Toc19470_WPSOffice_Level1"/>
      <w:bookmarkStart w:id="136" w:name="_Toc527_WPSOffice_Level1"/>
      <w:r>
        <w:rPr>
          <w:rFonts w:hint="eastAsia" w:ascii="华文楷体" w:hAnsi="华文楷体" w:eastAsia="华文楷体" w:cs="华文楷体"/>
          <w:b/>
          <w:bCs/>
          <w:sz w:val="32"/>
          <w:szCs w:val="32"/>
          <w:lang w:val="en-US" w:eastAsia="zh-CN"/>
        </w:rPr>
        <w:t>附件2：怀化市鹤城区</w:t>
      </w:r>
      <w:r>
        <w:rPr>
          <w:rFonts w:hint="eastAsia" w:ascii="华文楷体" w:hAnsi="华文楷体" w:eastAsia="华文楷体" w:cs="华文楷体"/>
          <w:b/>
          <w:bCs/>
          <w:sz w:val="32"/>
          <w:szCs w:val="32"/>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楷体" w:hAnsi="华文楷体" w:eastAsia="华文楷体" w:cs="华文楷体"/>
          <w:b/>
          <w:bCs/>
          <w:sz w:val="32"/>
          <w:szCs w:val="32"/>
          <w:lang w:val="en-US" w:eastAsia="zh-CN"/>
        </w:rPr>
        <w:instrText xml:space="preserve">ADDIN CNKISM.UserStyl</w:instrText>
      </w:r>
      <w:bookmarkEnd w:id="129"/>
      <w:bookmarkEnd w:id="130"/>
      <w:bookmarkEnd w:id="131"/>
      <w:bookmarkEnd w:id="132"/>
      <w:bookmarkEnd w:id="133"/>
      <w:bookmarkEnd w:id="134"/>
      <w:bookmarkEnd w:id="135"/>
      <w:bookmarkEnd w:id="136"/>
      <w:r>
        <w:rPr>
          <w:rFonts w:hint="eastAsia" w:ascii="华文楷体" w:hAnsi="华文楷体" w:eastAsia="华文楷体" w:cs="华文楷体"/>
          <w:b/>
          <w:bCs/>
          <w:sz w:val="32"/>
          <w:szCs w:val="32"/>
          <w:lang w:val="en-US" w:eastAsia="zh-CN"/>
        </w:rPr>
        <w:instrText xml:space="preserve">e</w:instrText>
      </w:r>
      <w:r>
        <w:rPr>
          <w:rFonts w:hint="eastAsia" w:ascii="华文楷体" w:hAnsi="华文楷体" w:eastAsia="华文楷体" w:cs="华文楷体"/>
          <w:b/>
          <w:bCs/>
          <w:sz w:val="32"/>
          <w:szCs w:val="32"/>
          <w:lang w:val="en-US" w:eastAsia="zh-CN"/>
        </w:rPr>
        <w:fldChar w:fldCharType="end"/>
      </w:r>
      <w:r>
        <w:rPr>
          <w:rFonts w:hint="eastAsia" w:ascii="华文楷体" w:hAnsi="华文楷体" w:eastAsia="华文楷体" w:cs="华文楷体"/>
          <w:b/>
          <w:bCs/>
          <w:sz w:val="32"/>
          <w:szCs w:val="32"/>
          <w:lang w:val="en-US" w:eastAsia="zh-CN"/>
        </w:rPr>
        <w:t>2018年度教师培训项目资金绩效评价调查问卷</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尊敬的老师：</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您好！目前，正在对您所在的区域实施的2018年度</w:t>
      </w:r>
      <w:r>
        <w:rPr>
          <w:rFonts w:hint="eastAsia" w:ascii="华文仿宋" w:hAnsi="华文仿宋" w:eastAsia="华文仿宋" w:cs="华文仿宋"/>
          <w:sz w:val="24"/>
          <w:szCs w:val="24"/>
          <w:lang w:val="en-US" w:eastAsia="zh-CN"/>
        </w:rPr>
        <w:t>教师培训</w:t>
      </w:r>
      <w:r>
        <w:rPr>
          <w:rFonts w:hint="eastAsia" w:ascii="华文仿宋" w:hAnsi="华文仿宋" w:eastAsia="华文仿宋" w:cs="华文仿宋"/>
          <w:sz w:val="24"/>
          <w:szCs w:val="24"/>
        </w:rPr>
        <w:t>项目资金进行绩效评价，我们将就项目实施的情况向您做些了解，请您根据您的实际情况或您了解的情况回答下面的问题，该调查仅用于财政资金绩效评价，不做任何商业用途，问卷内容我们将严格保密，请您实事求是地放心回答。</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华文仿宋" w:hAnsi="华文仿宋" w:eastAsia="华文仿宋" w:cs="华文仿宋"/>
          <w:b/>
          <w:sz w:val="24"/>
          <w:szCs w:val="24"/>
        </w:rPr>
      </w:pPr>
      <w:bookmarkStart w:id="137" w:name="_Toc15677_WPSOffice_Level1"/>
      <w:bookmarkStart w:id="138" w:name="_Toc29218_WPSOffice_Level1"/>
      <w:bookmarkStart w:id="139" w:name="_Toc24153_WPSOffice_Level1"/>
      <w:bookmarkStart w:id="140" w:name="_Toc18403_WPSOffice_Level1"/>
      <w:bookmarkStart w:id="141" w:name="_Toc12283_WPSOffice_Level1"/>
      <w:bookmarkStart w:id="142" w:name="_Toc27257_WPSOffice_Level1"/>
      <w:bookmarkStart w:id="143" w:name="_Toc17500_WPSOffice_Level1"/>
      <w:bookmarkStart w:id="144" w:name="_Toc28281_WPSOffice_Level1"/>
      <w:r>
        <w:rPr>
          <w:rFonts w:hint="eastAsia" w:ascii="华文仿宋" w:hAnsi="华文仿宋" w:eastAsia="华文仿宋" w:cs="华文仿宋"/>
          <w:b/>
          <w:sz w:val="24"/>
          <w:szCs w:val="24"/>
        </w:rPr>
        <w:t>一、基本信息</w:t>
      </w:r>
      <w:bookmarkEnd w:id="137"/>
      <w:bookmarkEnd w:id="138"/>
      <w:bookmarkEnd w:id="139"/>
      <w:bookmarkEnd w:id="140"/>
      <w:bookmarkEnd w:id="141"/>
      <w:bookmarkEnd w:id="142"/>
      <w:bookmarkEnd w:id="143"/>
      <w:bookmarkEnd w:id="144"/>
    </w:p>
    <w:p>
      <w:pPr>
        <w:pStyle w:val="9"/>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rPr>
          <w:rFonts w:hint="eastAsia" w:ascii="华文仿宋" w:hAnsi="华文仿宋" w:eastAsia="华文仿宋" w:cs="华文仿宋"/>
          <w:sz w:val="24"/>
          <w:szCs w:val="24"/>
        </w:rPr>
      </w:pPr>
      <w:bookmarkStart w:id="145" w:name="_Toc21835_WPSOffice_Level2"/>
      <w:bookmarkStart w:id="146" w:name="_Toc5615_WPSOffice_Level2"/>
      <w:bookmarkStart w:id="147" w:name="_Toc25108_WPSOffice_Level2"/>
      <w:bookmarkStart w:id="148" w:name="_Toc31913_WPSOffice_Level2"/>
      <w:bookmarkStart w:id="149" w:name="_Toc21736_WPSOffice_Level2"/>
      <w:bookmarkStart w:id="150" w:name="_Toc25315_WPSOffice_Level2"/>
      <w:bookmarkStart w:id="151" w:name="_Toc3735_WPSOffice_Level2"/>
      <w:bookmarkStart w:id="152" w:name="_Toc26221_WPSOffice_Level2"/>
      <w:r>
        <w:rPr>
          <w:rFonts w:hint="eastAsia" w:ascii="华文仿宋" w:hAnsi="华文仿宋" w:eastAsia="华文仿宋" w:cs="华文仿宋"/>
          <w:sz w:val="24"/>
          <w:szCs w:val="24"/>
        </w:rPr>
        <w:t>您的</w:t>
      </w:r>
      <w:r>
        <w:rPr>
          <w:rFonts w:hint="eastAsia" w:ascii="华文仿宋" w:hAnsi="华文仿宋" w:eastAsia="华文仿宋" w:cs="华文仿宋"/>
          <w:sz w:val="24"/>
          <w:szCs w:val="24"/>
          <w:lang w:val="en-US" w:eastAsia="zh-CN"/>
        </w:rPr>
        <w:t>教龄</w:t>
      </w:r>
      <w:r>
        <w:rPr>
          <w:rFonts w:hint="eastAsia" w:ascii="华文仿宋" w:hAnsi="华文仿宋" w:eastAsia="华文仿宋" w:cs="华文仿宋"/>
          <w:sz w:val="24"/>
          <w:szCs w:val="24"/>
        </w:rPr>
        <w:t>？</w:t>
      </w:r>
      <w:bookmarkEnd w:id="145"/>
      <w:bookmarkEnd w:id="146"/>
      <w:bookmarkEnd w:id="147"/>
      <w:bookmarkEnd w:id="148"/>
      <w:bookmarkEnd w:id="149"/>
      <w:bookmarkEnd w:id="150"/>
      <w:bookmarkEnd w:id="151"/>
      <w:bookmarkEnd w:id="152"/>
      <w:r>
        <w:rPr>
          <w:rFonts w:hint="eastAsia" w:ascii="华文仿宋" w:hAnsi="华文仿宋" w:eastAsia="华文仿宋" w:cs="华文仿宋"/>
          <w:sz w:val="24"/>
          <w:szCs w:val="24"/>
          <w:lang w:val="en-US" w:eastAsia="zh-CN"/>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5年以下</w:t>
      </w:r>
      <w:r>
        <w:rPr>
          <w:rFonts w:hint="eastAsia" w:ascii="华文仿宋" w:hAnsi="华文仿宋" w:eastAsia="华文仿宋" w:cs="华文仿宋"/>
          <w:color w:val="FF0000"/>
          <w:sz w:val="24"/>
          <w:szCs w:val="24"/>
          <w:lang w:val="en-US" w:eastAsia="zh-CN"/>
        </w:rPr>
        <w:t>26%</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5-10年</w:t>
      </w:r>
      <w:r>
        <w:rPr>
          <w:rFonts w:hint="eastAsia" w:ascii="华文仿宋" w:hAnsi="华文仿宋" w:eastAsia="华文仿宋" w:cs="华文仿宋"/>
          <w:color w:val="FF0000"/>
          <w:sz w:val="24"/>
          <w:szCs w:val="24"/>
          <w:lang w:val="en-US" w:eastAsia="zh-CN"/>
        </w:rPr>
        <w:t>13%</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11-20年</w:t>
      </w:r>
      <w:r>
        <w:rPr>
          <w:rFonts w:hint="eastAsia" w:ascii="华文仿宋" w:hAnsi="华文仿宋" w:eastAsia="华文仿宋" w:cs="华文仿宋"/>
          <w:color w:val="FF0000"/>
          <w:sz w:val="24"/>
          <w:szCs w:val="24"/>
          <w:lang w:val="en-US" w:eastAsia="zh-CN"/>
        </w:rPr>
        <w:t>27%</w:t>
      </w:r>
      <w:r>
        <w:rPr>
          <w:rFonts w:hint="eastAsia" w:ascii="华文仿宋" w:hAnsi="华文仿宋" w:eastAsia="华文仿宋" w:cs="华文仿宋"/>
          <w:sz w:val="24"/>
          <w:szCs w:val="24"/>
          <w:lang w:val="en-US" w:eastAsia="zh-CN"/>
        </w:rPr>
        <w:t xml:space="preserve">  D、20年以上</w:t>
      </w:r>
      <w:r>
        <w:rPr>
          <w:rFonts w:hint="eastAsia" w:ascii="华文仿宋" w:hAnsi="华文仿宋" w:eastAsia="华文仿宋" w:cs="华文仿宋"/>
          <w:color w:val="FF0000"/>
          <w:sz w:val="24"/>
          <w:szCs w:val="24"/>
          <w:lang w:val="en-US" w:eastAsia="zh-CN"/>
        </w:rPr>
        <w:t>34%</w:t>
      </w:r>
      <w:r>
        <w:rPr>
          <w:rFonts w:hint="eastAsia" w:ascii="华文仿宋" w:hAnsi="华文仿宋" w:eastAsia="华文仿宋" w:cs="华文仿宋"/>
          <w:sz w:val="24"/>
          <w:szCs w:val="24"/>
        </w:rPr>
        <w:t xml:space="preserve">    </w:t>
      </w:r>
    </w:p>
    <w:p>
      <w:pPr>
        <w:pStyle w:val="9"/>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Chars="0"/>
        <w:textAlignment w:val="auto"/>
        <w:rPr>
          <w:rFonts w:hint="eastAsia" w:ascii="华文仿宋" w:hAnsi="华文仿宋" w:eastAsia="华文仿宋" w:cs="华文仿宋"/>
          <w:sz w:val="24"/>
          <w:szCs w:val="24"/>
        </w:rPr>
      </w:pPr>
      <w:bookmarkStart w:id="153" w:name="_Toc27502_WPSOffice_Level2"/>
      <w:bookmarkStart w:id="154" w:name="_Toc17554_WPSOffice_Level2"/>
      <w:bookmarkStart w:id="155" w:name="_Toc3470_WPSOffice_Level2"/>
      <w:bookmarkStart w:id="156" w:name="_Toc8377_WPSOffice_Level2"/>
      <w:bookmarkStart w:id="157" w:name="_Toc24045_WPSOffice_Level2"/>
      <w:bookmarkStart w:id="158" w:name="_Toc13653_WPSOffice_Level2"/>
      <w:bookmarkStart w:id="159" w:name="_Toc16688_WPSOffice_Level2"/>
      <w:bookmarkStart w:id="160" w:name="_Toc18088_WPSOffice_Level2"/>
      <w:r>
        <w:rPr>
          <w:rFonts w:hint="eastAsia" w:ascii="华文仿宋" w:hAnsi="华文仿宋" w:eastAsia="华文仿宋" w:cs="华文仿宋"/>
          <w:sz w:val="24"/>
          <w:szCs w:val="24"/>
        </w:rPr>
        <w:t>您</w:t>
      </w:r>
      <w:r>
        <w:rPr>
          <w:rFonts w:hint="eastAsia" w:ascii="华文仿宋" w:hAnsi="华文仿宋" w:eastAsia="华文仿宋" w:cs="华文仿宋"/>
          <w:sz w:val="24"/>
          <w:szCs w:val="24"/>
          <w:lang w:val="en-US" w:eastAsia="zh-CN"/>
        </w:rPr>
        <w:t>目前任教于哪所学校</w:t>
      </w:r>
      <w:r>
        <w:rPr>
          <w:rFonts w:hint="eastAsia" w:ascii="华文仿宋" w:hAnsi="华文仿宋" w:eastAsia="华文仿宋" w:cs="华文仿宋"/>
          <w:sz w:val="24"/>
          <w:szCs w:val="24"/>
        </w:rPr>
        <w:t>？</w:t>
      </w:r>
      <w:bookmarkEnd w:id="153"/>
      <w:bookmarkEnd w:id="154"/>
      <w:bookmarkEnd w:id="155"/>
      <w:bookmarkEnd w:id="156"/>
      <w:bookmarkEnd w:id="157"/>
      <w:bookmarkEnd w:id="158"/>
      <w:bookmarkEnd w:id="159"/>
      <w:bookmarkEnd w:id="160"/>
      <w:r>
        <w:rPr>
          <w:rFonts w:hint="eastAsia" w:ascii="华文仿宋" w:hAnsi="华文仿宋" w:eastAsia="华文仿宋" w:cs="华文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华文仿宋" w:hAnsi="华文仿宋" w:eastAsia="华文仿宋" w:cs="华文仿宋"/>
          <w:b/>
          <w:sz w:val="24"/>
          <w:szCs w:val="24"/>
        </w:rPr>
      </w:pPr>
      <w:bookmarkStart w:id="161" w:name="_Toc18919_WPSOffice_Level1"/>
      <w:bookmarkStart w:id="162" w:name="_Toc1647_WPSOffice_Level1"/>
      <w:bookmarkStart w:id="163" w:name="_Toc12613_WPSOffice_Level1"/>
      <w:bookmarkStart w:id="164" w:name="_Toc30788_WPSOffice_Level1"/>
      <w:bookmarkStart w:id="165" w:name="_Toc28466_WPSOffice_Level1"/>
      <w:bookmarkStart w:id="166" w:name="_Toc3021_WPSOffice_Level1"/>
      <w:bookmarkStart w:id="167" w:name="_Toc11887_WPSOffice_Level1"/>
      <w:bookmarkStart w:id="168" w:name="_Toc21252_WPSOffice_Level1"/>
      <w:r>
        <w:rPr>
          <w:rFonts w:hint="eastAsia" w:ascii="华文仿宋" w:hAnsi="华文仿宋" w:eastAsia="华文仿宋" w:cs="华文仿宋"/>
          <w:b/>
          <w:sz w:val="24"/>
          <w:szCs w:val="24"/>
        </w:rPr>
        <w:t>二、项目情况</w:t>
      </w:r>
      <w:bookmarkEnd w:id="161"/>
      <w:bookmarkEnd w:id="162"/>
      <w:bookmarkEnd w:id="163"/>
      <w:bookmarkEnd w:id="164"/>
      <w:bookmarkEnd w:id="165"/>
      <w:bookmarkEnd w:id="166"/>
      <w:bookmarkEnd w:id="167"/>
      <w:bookmarkEnd w:id="168"/>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169" w:name="_Toc30217_WPSOffice_Level2"/>
      <w:bookmarkStart w:id="170" w:name="_Toc22728_WPSOffice_Level2"/>
      <w:bookmarkStart w:id="171" w:name="_Toc14729_WPSOffice_Level2"/>
      <w:bookmarkStart w:id="172" w:name="_Toc24759_WPSOffice_Level2"/>
      <w:bookmarkStart w:id="173" w:name="_Toc5622_WPSOffice_Level2"/>
      <w:bookmarkStart w:id="174" w:name="_Toc4832_WPSOffice_Level2"/>
      <w:bookmarkStart w:id="175" w:name="_Toc14557_WPSOffice_Level2"/>
      <w:bookmarkStart w:id="176" w:name="_Toc6584_WPSOffice_Level2"/>
      <w:r>
        <w:rPr>
          <w:rFonts w:hint="eastAsia" w:ascii="华文仿宋" w:hAnsi="华文仿宋" w:eastAsia="华文仿宋" w:cs="华文仿宋"/>
          <w:sz w:val="24"/>
          <w:szCs w:val="24"/>
        </w:rPr>
        <w:t>您</w:t>
      </w:r>
      <w:r>
        <w:rPr>
          <w:rFonts w:hint="eastAsia" w:ascii="华文仿宋" w:hAnsi="华文仿宋" w:eastAsia="华文仿宋" w:cs="华文仿宋"/>
          <w:sz w:val="24"/>
          <w:szCs w:val="24"/>
          <w:lang w:val="en-US" w:eastAsia="zh-CN"/>
        </w:rPr>
        <w:t>是否参加过教师培训？</w:t>
      </w:r>
      <w:bookmarkEnd w:id="169"/>
      <w:bookmarkEnd w:id="170"/>
      <w:bookmarkEnd w:id="171"/>
      <w:bookmarkEnd w:id="172"/>
      <w:bookmarkEnd w:id="173"/>
      <w:bookmarkEnd w:id="174"/>
      <w:bookmarkEnd w:id="175"/>
      <w:bookmarkEnd w:id="176"/>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177" w:name="_Toc23752_WPSOffice_Level3"/>
      <w:bookmarkStart w:id="178" w:name="_Toc2005_WPSOffice_Level3"/>
      <w:bookmarkStart w:id="179" w:name="_Toc30645_WPSOffice_Level3"/>
      <w:bookmarkStart w:id="180" w:name="_Toc24393_WPSOffice_Level3"/>
      <w:bookmarkStart w:id="181" w:name="_Toc1666_WPSOffice_Level3"/>
      <w:bookmarkStart w:id="182" w:name="_Toc2159_WPSOffice_Level3"/>
      <w:bookmarkStart w:id="183" w:name="_Toc16889_WPSOffice_Level3"/>
      <w:bookmarkStart w:id="184" w:name="_Toc4336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是</w:t>
      </w:r>
      <w:r>
        <w:rPr>
          <w:rFonts w:hint="eastAsia" w:ascii="华文仿宋" w:hAnsi="华文仿宋" w:eastAsia="华文仿宋" w:cs="华文仿宋"/>
          <w:color w:val="FF0000"/>
          <w:sz w:val="24"/>
          <w:szCs w:val="24"/>
          <w:lang w:val="en-US" w:eastAsia="zh-CN"/>
        </w:rPr>
        <w:t>99%</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否</w:t>
      </w:r>
      <w:r>
        <w:rPr>
          <w:rFonts w:hint="eastAsia" w:ascii="华文仿宋" w:hAnsi="华文仿宋" w:eastAsia="华文仿宋" w:cs="华文仿宋"/>
          <w:color w:val="FF0000"/>
          <w:sz w:val="24"/>
          <w:szCs w:val="24"/>
          <w:lang w:val="en-US" w:eastAsia="zh-CN"/>
        </w:rPr>
        <w:t>1%</w:t>
      </w:r>
      <w:bookmarkEnd w:id="177"/>
      <w:bookmarkEnd w:id="178"/>
      <w:bookmarkEnd w:id="179"/>
      <w:bookmarkEnd w:id="180"/>
      <w:bookmarkEnd w:id="181"/>
      <w:bookmarkEnd w:id="182"/>
      <w:bookmarkEnd w:id="183"/>
      <w:bookmarkEnd w:id="184"/>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 xml:space="preserve"> </w:t>
      </w:r>
      <w:r>
        <w:rPr>
          <w:rFonts w:hint="eastAsia" w:ascii="华文仿宋" w:hAnsi="华文仿宋" w:eastAsia="华文仿宋" w:cs="华文仿宋"/>
          <w:sz w:val="24"/>
          <w:szCs w:val="24"/>
          <w:lang w:val="en-US" w:eastAsia="zh-CN"/>
        </w:rPr>
        <w:t xml:space="preserve"> </w:t>
      </w:r>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185" w:name="_Toc9808_WPSOffice_Level2"/>
      <w:bookmarkStart w:id="186" w:name="_Toc13985_WPSOffice_Level2"/>
      <w:bookmarkStart w:id="187" w:name="_Toc3983_WPSOffice_Level2"/>
      <w:bookmarkStart w:id="188" w:name="_Toc1741_WPSOffice_Level2"/>
      <w:bookmarkStart w:id="189" w:name="_Toc31801_WPSOffice_Level2"/>
      <w:bookmarkStart w:id="190" w:name="_Toc17517_WPSOffice_Level2"/>
      <w:bookmarkStart w:id="191" w:name="_Toc22391_WPSOffice_Level2"/>
      <w:bookmarkStart w:id="192" w:name="_Toc19065_WPSOffice_Level2"/>
      <w:r>
        <w:rPr>
          <w:rFonts w:hint="eastAsia" w:ascii="华文仿宋" w:hAnsi="华文仿宋" w:eastAsia="华文仿宋" w:cs="华文仿宋"/>
          <w:sz w:val="24"/>
          <w:szCs w:val="24"/>
          <w:lang w:val="en-US" w:eastAsia="zh-CN"/>
        </w:rPr>
        <w:t>您未参加培训的原因是？（未参加过教师培训的填即可）</w:t>
      </w:r>
      <w:bookmarkEnd w:id="185"/>
      <w:bookmarkEnd w:id="186"/>
      <w:bookmarkEnd w:id="187"/>
      <w:bookmarkEnd w:id="188"/>
      <w:bookmarkEnd w:id="189"/>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193" w:name="_Toc32170_WPSOffice_Level3"/>
      <w:bookmarkStart w:id="194" w:name="_Toc28046_WPSOffice_Level3"/>
      <w:bookmarkStart w:id="195" w:name="_Toc8290_WPSOffice_Level3"/>
      <w:bookmarkStart w:id="196" w:name="_Toc20586_WPSOffice_Level3"/>
      <w:bookmarkStart w:id="197" w:name="_Toc30761_WPSOffice_Level3"/>
      <w:bookmarkStart w:id="198" w:name="_Toc19789_WPSOffice_Level3"/>
      <w:bookmarkStart w:id="199" w:name="_Toc21201_WPSOffice_Level3"/>
      <w:bookmarkStart w:id="200" w:name="_Toc25884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没有机会</w:t>
      </w:r>
      <w:r>
        <w:rPr>
          <w:rFonts w:hint="eastAsia" w:ascii="华文仿宋" w:hAnsi="华文仿宋" w:eastAsia="华文仿宋" w:cs="华文仿宋"/>
          <w:color w:val="FF0000"/>
          <w:sz w:val="24"/>
          <w:szCs w:val="24"/>
          <w:lang w:val="en-US" w:eastAsia="zh-CN"/>
        </w:rPr>
        <w:t>71%</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rPr>
        <w:sym w:font="Wingdings 2" w:char="00A3"/>
      </w:r>
      <w:r>
        <w:rPr>
          <w:rFonts w:hint="eastAsia" w:ascii="华文仿宋" w:hAnsi="华文仿宋" w:eastAsia="华文仿宋" w:cs="华文仿宋"/>
          <w:sz w:val="24"/>
          <w:szCs w:val="24"/>
          <w:lang w:val="en-US" w:eastAsia="zh-CN"/>
        </w:rPr>
        <w:t>没有时间</w:t>
      </w:r>
      <w:r>
        <w:rPr>
          <w:rFonts w:hint="eastAsia" w:ascii="华文仿宋" w:hAnsi="华文仿宋" w:eastAsia="华文仿宋" w:cs="华文仿宋"/>
          <w:color w:val="FF0000"/>
          <w:sz w:val="24"/>
          <w:szCs w:val="24"/>
          <w:lang w:val="en-US" w:eastAsia="zh-CN"/>
        </w:rPr>
        <w:t>29%</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color w:val="FF0000"/>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对自己没有帮助</w:t>
      </w:r>
      <w:bookmarkEnd w:id="193"/>
      <w:bookmarkEnd w:id="194"/>
      <w:bookmarkEnd w:id="195"/>
      <w:bookmarkEnd w:id="196"/>
      <w:bookmarkEnd w:id="197"/>
      <w:bookmarkEnd w:id="198"/>
      <w:bookmarkEnd w:id="199"/>
      <w:bookmarkEnd w:id="200"/>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01" w:name="_Toc28354_WPSOffice_Level2"/>
      <w:bookmarkStart w:id="202" w:name="_Toc27281_WPSOffice_Level2"/>
      <w:bookmarkStart w:id="203" w:name="_Toc26213_WPSOffice_Level2"/>
      <w:bookmarkStart w:id="204" w:name="_Toc2462_WPSOffice_Level2"/>
      <w:bookmarkStart w:id="205" w:name="_Toc15012_WPSOffice_Level2"/>
      <w:bookmarkStart w:id="206" w:name="_Toc20113_WPSOffice_Level2"/>
      <w:bookmarkStart w:id="207" w:name="_Toc4800_WPSOffice_Level2"/>
      <w:bookmarkStart w:id="208" w:name="_Toc25018_WPSOffice_Level2"/>
      <w:r>
        <w:rPr>
          <w:rFonts w:hint="eastAsia" w:ascii="华文仿宋" w:hAnsi="华文仿宋" w:eastAsia="华文仿宋" w:cs="华文仿宋"/>
          <w:sz w:val="24"/>
          <w:szCs w:val="24"/>
          <w:lang w:val="en-US" w:eastAsia="zh-CN"/>
        </w:rPr>
        <w:t>您参加过的最高级别的培训是？</w:t>
      </w:r>
      <w:bookmarkEnd w:id="201"/>
      <w:bookmarkEnd w:id="202"/>
      <w:bookmarkEnd w:id="203"/>
      <w:bookmarkEnd w:id="204"/>
      <w:bookmarkEnd w:id="205"/>
      <w:bookmarkEnd w:id="206"/>
      <w:bookmarkEnd w:id="207"/>
      <w:bookmarkEnd w:id="208"/>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209" w:name="_Toc27502_WPSOffice_Level3"/>
      <w:bookmarkStart w:id="210" w:name="_Toc13088_WPSOffice_Level3"/>
      <w:bookmarkStart w:id="211" w:name="_Toc29032_WPSOffice_Level3"/>
      <w:bookmarkStart w:id="212" w:name="_Toc29218_WPSOffice_Level3"/>
      <w:bookmarkStart w:id="213" w:name="_Toc27734_WPSOffice_Level3"/>
      <w:bookmarkStart w:id="214" w:name="_Toc30367_WPSOffice_Level3"/>
      <w:bookmarkStart w:id="215" w:name="_Toc17600_WPSOffice_Level3"/>
      <w:bookmarkStart w:id="216" w:name="_Toc14168_WPSOffice_Level3"/>
      <w:r>
        <w:rPr>
          <w:rFonts w:hint="eastAsia" w:ascii="华文仿宋" w:hAnsi="华文仿宋" w:eastAsia="华文仿宋" w:cs="华文仿宋"/>
          <w:sz w:val="24"/>
          <w:szCs w:val="24"/>
        </w:rPr>
        <w:t>A、□国家</w:t>
      </w:r>
      <w:r>
        <w:rPr>
          <w:rFonts w:hint="eastAsia" w:ascii="华文仿宋" w:hAnsi="华文仿宋" w:eastAsia="华文仿宋" w:cs="华文仿宋"/>
          <w:sz w:val="24"/>
          <w:szCs w:val="24"/>
          <w:lang w:eastAsia="zh-CN"/>
        </w:rPr>
        <w:t>、</w:t>
      </w:r>
      <w:r>
        <w:rPr>
          <w:rFonts w:hint="eastAsia" w:ascii="华文仿宋" w:hAnsi="华文仿宋" w:eastAsia="华文仿宋" w:cs="华文仿宋"/>
          <w:sz w:val="24"/>
          <w:szCs w:val="24"/>
          <w:lang w:val="en-US" w:eastAsia="zh-CN"/>
        </w:rPr>
        <w:t>省</w:t>
      </w:r>
      <w:r>
        <w:rPr>
          <w:rFonts w:hint="eastAsia" w:ascii="华文仿宋" w:hAnsi="华文仿宋" w:eastAsia="华文仿宋" w:cs="华文仿宋"/>
          <w:sz w:val="24"/>
          <w:szCs w:val="24"/>
        </w:rPr>
        <w:t>级</w:t>
      </w:r>
      <w:r>
        <w:rPr>
          <w:rFonts w:hint="eastAsia" w:ascii="华文仿宋" w:hAnsi="华文仿宋" w:eastAsia="华文仿宋" w:cs="华文仿宋"/>
          <w:color w:val="FF0000"/>
          <w:sz w:val="24"/>
          <w:szCs w:val="24"/>
          <w:lang w:val="en-US" w:eastAsia="zh-CN"/>
        </w:rPr>
        <w:t>77%</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市、区级</w:t>
      </w:r>
      <w:r>
        <w:rPr>
          <w:rFonts w:hint="eastAsia" w:ascii="华文仿宋" w:hAnsi="华文仿宋" w:eastAsia="华文仿宋" w:cs="华文仿宋"/>
          <w:color w:val="FF0000"/>
          <w:sz w:val="24"/>
          <w:szCs w:val="24"/>
          <w:lang w:val="en-US" w:eastAsia="zh-CN"/>
        </w:rPr>
        <w:t>23%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乡镇校级</w:t>
      </w:r>
      <w:bookmarkEnd w:id="209"/>
      <w:bookmarkEnd w:id="210"/>
      <w:bookmarkEnd w:id="211"/>
      <w:bookmarkEnd w:id="212"/>
      <w:bookmarkEnd w:id="213"/>
      <w:bookmarkEnd w:id="214"/>
      <w:bookmarkEnd w:id="215"/>
      <w:bookmarkEnd w:id="216"/>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17" w:name="_Toc27064_WPSOffice_Level2"/>
      <w:bookmarkStart w:id="218" w:name="_Toc8150_WPSOffice_Level2"/>
      <w:bookmarkStart w:id="219" w:name="_Toc28760_WPSOffice_Level2"/>
      <w:bookmarkStart w:id="220" w:name="_Toc30467_WPSOffice_Level2"/>
      <w:bookmarkStart w:id="221" w:name="_Toc20215_WPSOffice_Level2"/>
      <w:bookmarkStart w:id="222" w:name="_Toc31712_WPSOffice_Level2"/>
      <w:bookmarkStart w:id="223" w:name="_Toc20357_WPSOffice_Level2"/>
      <w:bookmarkStart w:id="224" w:name="_Toc32739_WPSOffice_Level2"/>
      <w:r>
        <w:rPr>
          <w:rFonts w:hint="eastAsia" w:ascii="华文仿宋" w:hAnsi="华文仿宋" w:eastAsia="华文仿宋" w:cs="华文仿宋"/>
          <w:sz w:val="24"/>
          <w:szCs w:val="24"/>
          <w:lang w:val="en-US" w:eastAsia="zh-CN"/>
        </w:rPr>
        <w:t>您最近一年累计参加培训的时间有？</w:t>
      </w:r>
      <w:bookmarkEnd w:id="217"/>
      <w:bookmarkEnd w:id="218"/>
      <w:bookmarkEnd w:id="219"/>
      <w:bookmarkEnd w:id="220"/>
      <w:bookmarkEnd w:id="221"/>
      <w:bookmarkEnd w:id="222"/>
      <w:bookmarkEnd w:id="223"/>
      <w:bookmarkEnd w:id="224"/>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225" w:name="_Toc24866_WPSOffice_Level3"/>
      <w:bookmarkStart w:id="226" w:name="_Toc27886_WPSOffice_Level3"/>
      <w:bookmarkStart w:id="227" w:name="_Toc7040_WPSOffice_Level3"/>
      <w:bookmarkStart w:id="228" w:name="_Toc25565_WPSOffice_Level3"/>
      <w:bookmarkStart w:id="229" w:name="_Toc6210_WPSOffice_Level3"/>
      <w:bookmarkStart w:id="230" w:name="_Toc2524_WPSOffice_Level3"/>
      <w:bookmarkStart w:id="231" w:name="_Toc907_WPSOffice_Level3"/>
      <w:bookmarkStart w:id="232" w:name="_Toc3021_WPSOffice_Level3"/>
      <w:r>
        <w:rPr>
          <w:rFonts w:hint="eastAsia" w:ascii="华文仿宋" w:hAnsi="华文仿宋" w:eastAsia="华文仿宋" w:cs="华文仿宋"/>
          <w:sz w:val="24"/>
          <w:szCs w:val="24"/>
        </w:rPr>
        <w:t>A、□10天以下</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color w:val="FF0000"/>
          <w:sz w:val="24"/>
          <w:szCs w:val="24"/>
          <w:lang w:val="en-US" w:eastAsia="zh-CN"/>
        </w:rPr>
        <w:t>47%</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10-15天</w:t>
      </w:r>
      <w:r>
        <w:rPr>
          <w:rFonts w:hint="eastAsia" w:ascii="华文仿宋" w:hAnsi="华文仿宋" w:eastAsia="华文仿宋" w:cs="华文仿宋"/>
          <w:color w:val="FF0000"/>
          <w:sz w:val="24"/>
          <w:szCs w:val="24"/>
          <w:lang w:val="en-US" w:eastAsia="zh-CN"/>
        </w:rPr>
        <w:t>37%</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color w:val="FF0000"/>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15天以上</w:t>
      </w:r>
      <w:bookmarkEnd w:id="225"/>
      <w:bookmarkEnd w:id="226"/>
      <w:bookmarkEnd w:id="227"/>
      <w:bookmarkEnd w:id="228"/>
      <w:bookmarkEnd w:id="229"/>
      <w:bookmarkEnd w:id="230"/>
      <w:bookmarkEnd w:id="231"/>
      <w:bookmarkEnd w:id="232"/>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33" w:name="_Toc10445_WPSOffice_Level2"/>
      <w:bookmarkStart w:id="234" w:name="_Toc18563_WPSOffice_Level2"/>
      <w:bookmarkStart w:id="235" w:name="_Toc4913_WPSOffice_Level2"/>
      <w:bookmarkStart w:id="236" w:name="_Toc32385_WPSOffice_Level2"/>
      <w:bookmarkStart w:id="237" w:name="_Toc15968_WPSOffice_Level2"/>
      <w:bookmarkStart w:id="238" w:name="_Toc30017_WPSOffice_Level2"/>
      <w:bookmarkStart w:id="239" w:name="_Toc1243_WPSOffice_Level2"/>
      <w:bookmarkStart w:id="240" w:name="_Toc1585_WPSOffice_Level2"/>
      <w:r>
        <w:rPr>
          <w:rFonts w:hint="eastAsia" w:ascii="华文仿宋" w:hAnsi="华文仿宋" w:eastAsia="华文仿宋" w:cs="华文仿宋"/>
          <w:sz w:val="24"/>
          <w:szCs w:val="24"/>
          <w:lang w:val="en-US" w:eastAsia="zh-CN"/>
        </w:rPr>
        <w:t>您认为这些培训对您的作用主要体现在哪个方面？</w:t>
      </w:r>
      <w:bookmarkEnd w:id="233"/>
      <w:bookmarkEnd w:id="234"/>
      <w:bookmarkEnd w:id="235"/>
      <w:bookmarkEnd w:id="236"/>
      <w:bookmarkEnd w:id="237"/>
      <w:bookmarkEnd w:id="238"/>
      <w:bookmarkEnd w:id="239"/>
      <w:bookmarkEnd w:id="240"/>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hint="default" w:ascii="华文仿宋" w:hAnsi="华文仿宋" w:eastAsia="华文仿宋" w:cs="华文仿宋"/>
          <w:sz w:val="24"/>
          <w:szCs w:val="24"/>
          <w:lang w:val="en-US" w:eastAsia="zh-CN"/>
        </w:rPr>
      </w:pPr>
      <w:bookmarkStart w:id="241" w:name="_Toc19470_WPSOffice_Level3"/>
      <w:bookmarkStart w:id="242" w:name="_Toc28455_WPSOffice_Level3"/>
      <w:bookmarkStart w:id="243" w:name="_Toc11094_WPSOffice_Level3"/>
      <w:bookmarkStart w:id="244" w:name="_Toc22147_WPSOffice_Level3"/>
      <w:bookmarkStart w:id="245" w:name="_Toc23427_WPSOffice_Level3"/>
      <w:bookmarkStart w:id="246" w:name="_Toc9354_WPSOffice_Level3"/>
      <w:bookmarkStart w:id="247" w:name="_Toc4175_WPSOffice_Level3"/>
      <w:bookmarkStart w:id="248" w:name="_Toc527_WPSOffice_Level3"/>
      <w:r>
        <w:rPr>
          <w:rFonts w:hint="eastAsia" w:ascii="华文仿宋" w:hAnsi="华文仿宋" w:eastAsia="华文仿宋" w:cs="华文仿宋"/>
          <w:sz w:val="24"/>
          <w:szCs w:val="24"/>
        </w:rPr>
        <w:t>A、□工作能力</w:t>
      </w:r>
      <w:r>
        <w:rPr>
          <w:rFonts w:hint="eastAsia" w:ascii="华文仿宋" w:hAnsi="华文仿宋" w:eastAsia="华文仿宋" w:cs="华文仿宋"/>
          <w:color w:val="FF0000"/>
          <w:sz w:val="24"/>
          <w:szCs w:val="24"/>
          <w:lang w:val="en-US" w:eastAsia="zh-CN"/>
        </w:rPr>
        <w:t>80%</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B、□工作</w:t>
      </w:r>
      <w:r>
        <w:rPr>
          <w:rFonts w:hint="eastAsia" w:ascii="华文仿宋" w:hAnsi="华文仿宋" w:eastAsia="华文仿宋" w:cs="华文仿宋"/>
          <w:sz w:val="24"/>
          <w:szCs w:val="24"/>
          <w:lang w:val="en-US" w:eastAsia="zh-CN"/>
        </w:rPr>
        <w:t>态度</w:t>
      </w:r>
      <w:r>
        <w:rPr>
          <w:rFonts w:hint="eastAsia" w:ascii="华文仿宋" w:hAnsi="华文仿宋" w:eastAsia="华文仿宋" w:cs="华文仿宋"/>
          <w:color w:val="FF0000"/>
          <w:sz w:val="24"/>
          <w:szCs w:val="24"/>
          <w:lang w:val="en-US" w:eastAsia="zh-CN"/>
        </w:rPr>
        <w:t>19%</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color w:val="FF0000"/>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其他</w:t>
      </w:r>
      <w:r>
        <w:rPr>
          <w:rFonts w:hint="eastAsia" w:ascii="华文仿宋" w:hAnsi="华文仿宋" w:eastAsia="华文仿宋" w:cs="华文仿宋"/>
          <w:color w:val="FF0000"/>
          <w:sz w:val="24"/>
          <w:szCs w:val="24"/>
          <w:lang w:val="en-US" w:eastAsia="zh-CN"/>
        </w:rPr>
        <w:t>1%</w:t>
      </w:r>
      <w:bookmarkEnd w:id="241"/>
      <w:bookmarkEnd w:id="242"/>
      <w:bookmarkEnd w:id="243"/>
      <w:bookmarkEnd w:id="244"/>
      <w:bookmarkEnd w:id="245"/>
      <w:bookmarkEnd w:id="246"/>
      <w:bookmarkEnd w:id="247"/>
      <w:bookmarkEnd w:id="248"/>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49" w:name="_Toc1925_WPSOffice_Level2"/>
      <w:bookmarkStart w:id="250" w:name="_Toc30987_WPSOffice_Level2"/>
      <w:bookmarkStart w:id="251" w:name="_Toc6621_WPSOffice_Level2"/>
      <w:bookmarkStart w:id="252" w:name="_Toc9810_WPSOffice_Level2"/>
      <w:bookmarkStart w:id="253" w:name="_Toc7778_WPSOffice_Level2"/>
      <w:bookmarkStart w:id="254" w:name="_Toc31993_WPSOffice_Level2"/>
      <w:bookmarkStart w:id="255" w:name="_Toc8970_WPSOffice_Level2"/>
      <w:bookmarkStart w:id="256" w:name="_Toc14745_WPSOffice_Level2"/>
      <w:r>
        <w:rPr>
          <w:rFonts w:hint="eastAsia" w:ascii="华文仿宋" w:hAnsi="华文仿宋" w:eastAsia="华文仿宋" w:cs="华文仿宋"/>
          <w:sz w:val="24"/>
          <w:szCs w:val="24"/>
          <w:lang w:val="en-US" w:eastAsia="zh-CN"/>
        </w:rPr>
        <w:t>您认为教师培训费的标准是否合理？</w:t>
      </w:r>
      <w:bookmarkEnd w:id="249"/>
      <w:bookmarkEnd w:id="250"/>
      <w:bookmarkEnd w:id="251"/>
      <w:bookmarkEnd w:id="252"/>
      <w:bookmarkEnd w:id="253"/>
      <w:bookmarkEnd w:id="254"/>
      <w:bookmarkEnd w:id="255"/>
      <w:bookmarkEnd w:id="256"/>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257" w:name="_Toc24153_WPSOffice_Level3"/>
      <w:bookmarkStart w:id="258" w:name="_Toc15677_WPSOffice_Level3"/>
      <w:bookmarkStart w:id="259" w:name="_Toc12283_WPSOffice_Level3"/>
      <w:bookmarkStart w:id="260" w:name="_Toc9508_WPSOffice_Level3"/>
      <w:bookmarkStart w:id="261" w:name="_Toc21835_WPSOffice_Level3"/>
      <w:bookmarkStart w:id="262" w:name="_Toc17500_WPSOffice_Level3"/>
      <w:bookmarkStart w:id="263" w:name="_Toc28281_WPSOffice_Level3"/>
      <w:bookmarkStart w:id="264" w:name="_Toc18403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合理</w:t>
      </w:r>
      <w:r>
        <w:rPr>
          <w:rFonts w:hint="eastAsia" w:ascii="华文仿宋" w:hAnsi="华文仿宋" w:eastAsia="华文仿宋" w:cs="华文仿宋"/>
          <w:color w:val="FF0000"/>
          <w:sz w:val="24"/>
          <w:szCs w:val="24"/>
          <w:lang w:val="en-US" w:eastAsia="zh-CN"/>
        </w:rPr>
        <w:t>67%</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一般</w:t>
      </w:r>
      <w:r>
        <w:rPr>
          <w:rFonts w:hint="eastAsia" w:ascii="华文仿宋" w:hAnsi="华文仿宋" w:eastAsia="华文仿宋" w:cs="华文仿宋"/>
          <w:color w:val="FF0000"/>
          <w:sz w:val="24"/>
          <w:szCs w:val="24"/>
          <w:lang w:val="en-US" w:eastAsia="zh-CN"/>
        </w:rPr>
        <w:t>33%</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不合理</w:t>
      </w:r>
      <w:bookmarkEnd w:id="257"/>
      <w:bookmarkEnd w:id="258"/>
      <w:bookmarkEnd w:id="259"/>
      <w:bookmarkEnd w:id="260"/>
      <w:bookmarkEnd w:id="261"/>
      <w:bookmarkEnd w:id="262"/>
      <w:bookmarkEnd w:id="263"/>
      <w:bookmarkEnd w:id="264"/>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65" w:name="_Toc11036_WPSOffice_Level2"/>
      <w:bookmarkStart w:id="266" w:name="_Toc9508_WPSOffice_Level2"/>
      <w:bookmarkStart w:id="267" w:name="_Toc18456_WPSOffice_Level2"/>
      <w:bookmarkStart w:id="268" w:name="_Toc19983_WPSOffice_Level2"/>
      <w:bookmarkStart w:id="269" w:name="_Toc3294_WPSOffice_Level2"/>
      <w:bookmarkStart w:id="270" w:name="_Toc14762_WPSOffice_Level2"/>
      <w:bookmarkStart w:id="271" w:name="_Toc10106_WPSOffice_Level2"/>
      <w:bookmarkStart w:id="272" w:name="_Toc6022_WPSOffice_Level2"/>
      <w:r>
        <w:rPr>
          <w:rFonts w:hint="eastAsia" w:ascii="华文仿宋" w:hAnsi="华文仿宋" w:eastAsia="华文仿宋" w:cs="华文仿宋"/>
          <w:sz w:val="24"/>
          <w:szCs w:val="24"/>
          <w:lang w:val="en-US" w:eastAsia="zh-CN"/>
        </w:rPr>
        <w:t>您对教师培训工作计划安排是否满意？</w:t>
      </w:r>
      <w:bookmarkEnd w:id="265"/>
      <w:bookmarkEnd w:id="266"/>
      <w:bookmarkEnd w:id="267"/>
      <w:bookmarkEnd w:id="268"/>
      <w:bookmarkEnd w:id="269"/>
      <w:bookmarkEnd w:id="270"/>
      <w:bookmarkEnd w:id="271"/>
      <w:bookmarkEnd w:id="272"/>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273" w:name="_Toc12613_WPSOffice_Level3"/>
      <w:bookmarkStart w:id="274" w:name="_Toc11887_WPSOffice_Level3"/>
      <w:bookmarkStart w:id="275" w:name="_Toc1647_WPSOffice_Level3"/>
      <w:bookmarkStart w:id="276" w:name="_Toc21252_WPSOffice_Level3"/>
      <w:bookmarkStart w:id="277" w:name="_Toc28466_WPSOffice_Level3"/>
      <w:bookmarkStart w:id="278" w:name="_Toc3470_WPSOffice_Level3"/>
      <w:bookmarkStart w:id="279" w:name="_Toc902_WPSOffice_Level3"/>
      <w:bookmarkStart w:id="280" w:name="_Toc30788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满意</w:t>
      </w:r>
      <w:r>
        <w:rPr>
          <w:rFonts w:hint="eastAsia" w:ascii="华文仿宋" w:hAnsi="华文仿宋" w:eastAsia="华文仿宋" w:cs="华文仿宋"/>
          <w:color w:val="FF0000"/>
          <w:sz w:val="24"/>
          <w:szCs w:val="24"/>
          <w:lang w:val="en-US" w:eastAsia="zh-CN"/>
        </w:rPr>
        <w:t>77%</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color w:val="FF0000"/>
          <w:sz w:val="24"/>
          <w:szCs w:val="24"/>
          <w:lang w:val="en-US" w:eastAsia="zh-CN"/>
        </w:rPr>
        <w:t>23%</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不满意</w:t>
      </w:r>
      <w:bookmarkEnd w:id="273"/>
      <w:bookmarkEnd w:id="274"/>
      <w:bookmarkEnd w:id="275"/>
      <w:bookmarkEnd w:id="276"/>
      <w:bookmarkEnd w:id="277"/>
      <w:bookmarkEnd w:id="278"/>
      <w:bookmarkEnd w:id="279"/>
      <w:bookmarkEnd w:id="280"/>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81" w:name="_Toc4440_WPSOffice_Level2"/>
      <w:bookmarkStart w:id="282" w:name="_Toc14984_WPSOffice_Level2"/>
      <w:bookmarkStart w:id="283" w:name="_Toc17698_WPSOffice_Level2"/>
      <w:bookmarkStart w:id="284" w:name="_Toc902_WPSOffice_Level2"/>
      <w:bookmarkStart w:id="285" w:name="_Toc14429_WPSOffice_Level2"/>
      <w:bookmarkStart w:id="286" w:name="_Toc20892_WPSOffice_Level2"/>
      <w:bookmarkStart w:id="287" w:name="_Toc27258_WPSOffice_Level2"/>
      <w:bookmarkStart w:id="288" w:name="_Toc6760_WPSOffice_Level2"/>
      <w:r>
        <w:rPr>
          <w:rFonts w:hint="eastAsia" w:ascii="华文仿宋" w:hAnsi="华文仿宋" w:eastAsia="华文仿宋" w:cs="华文仿宋"/>
          <w:sz w:val="24"/>
          <w:szCs w:val="24"/>
          <w:lang w:val="en-US" w:eastAsia="zh-CN"/>
        </w:rPr>
        <w:t>您对教师培训组织方式是否满意？</w:t>
      </w:r>
      <w:bookmarkEnd w:id="281"/>
      <w:bookmarkEnd w:id="282"/>
      <w:bookmarkEnd w:id="283"/>
      <w:bookmarkEnd w:id="284"/>
      <w:bookmarkEnd w:id="285"/>
      <w:bookmarkEnd w:id="286"/>
      <w:bookmarkEnd w:id="287"/>
      <w:bookmarkEnd w:id="288"/>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289" w:name="_Toc22699_WPSOffice_Level3"/>
      <w:bookmarkStart w:id="290" w:name="_Toc26912_WPSOffice_Level3"/>
      <w:bookmarkStart w:id="291" w:name="_Toc28045_WPSOffice_Level3"/>
      <w:bookmarkStart w:id="292" w:name="_Toc15576_WPSOffice_Level3"/>
      <w:bookmarkStart w:id="293" w:name="_Toc30156_WPSOffice_Level3"/>
      <w:bookmarkStart w:id="294" w:name="_Toc24125_WPSOffice_Level3"/>
      <w:bookmarkStart w:id="295" w:name="_Toc4832_WPSOffice_Level3"/>
      <w:bookmarkStart w:id="296" w:name="_Toc28611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满意</w:t>
      </w:r>
      <w:r>
        <w:rPr>
          <w:rFonts w:hint="eastAsia" w:ascii="华文仿宋" w:hAnsi="华文仿宋" w:eastAsia="华文仿宋" w:cs="华文仿宋"/>
          <w:color w:val="FF0000"/>
          <w:sz w:val="24"/>
          <w:szCs w:val="24"/>
          <w:lang w:val="en-US" w:eastAsia="zh-CN"/>
        </w:rPr>
        <w:t>83%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color w:val="FF0000"/>
          <w:sz w:val="24"/>
          <w:szCs w:val="24"/>
          <w:lang w:val="en-US" w:eastAsia="zh-CN"/>
        </w:rPr>
        <w:t>17%</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不满意</w:t>
      </w:r>
      <w:bookmarkEnd w:id="289"/>
      <w:bookmarkEnd w:id="290"/>
      <w:bookmarkEnd w:id="291"/>
      <w:bookmarkEnd w:id="292"/>
      <w:bookmarkEnd w:id="293"/>
      <w:bookmarkEnd w:id="294"/>
      <w:bookmarkEnd w:id="295"/>
      <w:bookmarkEnd w:id="296"/>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297" w:name="_Toc14673_WPSOffice_Level2"/>
      <w:bookmarkStart w:id="298" w:name="_Toc19310_WPSOffice_Level2"/>
      <w:bookmarkStart w:id="299" w:name="_Toc364_WPSOffice_Level2"/>
      <w:bookmarkStart w:id="300" w:name="_Toc29062_WPSOffice_Level2"/>
      <w:bookmarkStart w:id="301" w:name="_Toc26912_WPSOffice_Level2"/>
      <w:bookmarkStart w:id="302" w:name="_Toc10311_WPSOffice_Level2"/>
      <w:bookmarkStart w:id="303" w:name="_Toc21052_WPSOffice_Level2"/>
      <w:bookmarkStart w:id="304" w:name="_Toc6891_WPSOffice_Level2"/>
      <w:r>
        <w:rPr>
          <w:rFonts w:hint="eastAsia" w:ascii="华文仿宋" w:hAnsi="华文仿宋" w:eastAsia="华文仿宋" w:cs="华文仿宋"/>
          <w:sz w:val="24"/>
          <w:szCs w:val="24"/>
          <w:lang w:val="en-US" w:eastAsia="zh-CN"/>
        </w:rPr>
        <w:t>您对教师培训选定的场所是否满意？</w:t>
      </w:r>
      <w:bookmarkEnd w:id="297"/>
      <w:bookmarkEnd w:id="298"/>
      <w:bookmarkEnd w:id="299"/>
      <w:bookmarkEnd w:id="300"/>
      <w:bookmarkEnd w:id="301"/>
      <w:bookmarkEnd w:id="302"/>
      <w:bookmarkEnd w:id="303"/>
      <w:bookmarkEnd w:id="304"/>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305" w:name="_Toc3983_WPSOffice_Level3"/>
      <w:bookmarkStart w:id="306" w:name="_Toc27203_WPSOffice_Level3"/>
      <w:bookmarkStart w:id="307" w:name="_Toc30833_WPSOffice_Level3"/>
      <w:bookmarkStart w:id="308" w:name="_Toc4977_WPSOffice_Level3"/>
      <w:bookmarkStart w:id="309" w:name="_Toc9652_WPSOffice_Level3"/>
      <w:bookmarkStart w:id="310" w:name="_Toc10129_WPSOffice_Level3"/>
      <w:bookmarkStart w:id="311" w:name="_Toc9257_WPSOffice_Level3"/>
      <w:bookmarkStart w:id="312" w:name="_Toc20617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满意</w:t>
      </w:r>
      <w:r>
        <w:rPr>
          <w:rFonts w:hint="eastAsia" w:ascii="华文仿宋" w:hAnsi="华文仿宋" w:eastAsia="华文仿宋" w:cs="华文仿宋"/>
          <w:color w:val="FF0000"/>
          <w:sz w:val="24"/>
          <w:szCs w:val="24"/>
          <w:lang w:val="en-US" w:eastAsia="zh-CN"/>
        </w:rPr>
        <w:t>83%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color w:val="FF0000"/>
          <w:sz w:val="24"/>
          <w:szCs w:val="24"/>
          <w:lang w:val="en-US" w:eastAsia="zh-CN"/>
        </w:rPr>
        <w:t>17%</w:t>
      </w:r>
      <w:r>
        <w:rPr>
          <w:rFonts w:hint="eastAsia" w:ascii="华文仿宋" w:hAnsi="华文仿宋" w:eastAsia="华文仿宋" w:cs="华文仿宋"/>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不满意</w:t>
      </w:r>
      <w:bookmarkEnd w:id="305"/>
      <w:bookmarkEnd w:id="306"/>
      <w:bookmarkEnd w:id="307"/>
      <w:bookmarkEnd w:id="308"/>
      <w:bookmarkEnd w:id="309"/>
      <w:bookmarkEnd w:id="310"/>
      <w:bookmarkEnd w:id="311"/>
      <w:bookmarkEnd w:id="312"/>
    </w:p>
    <w:p>
      <w:pPr>
        <w:pStyle w:val="9"/>
        <w:keepNext w:val="0"/>
        <w:keepLines w:val="0"/>
        <w:pageBreakBefore w:val="0"/>
        <w:widowControl w:val="0"/>
        <w:numPr>
          <w:ilvl w:val="0"/>
          <w:numId w:val="13"/>
        </w:numPr>
        <w:kinsoku/>
        <w:wordWrap/>
        <w:overflowPunct/>
        <w:topLinePunct w:val="0"/>
        <w:autoSpaceDE/>
        <w:autoSpaceDN/>
        <w:bidi w:val="0"/>
        <w:adjustRightInd/>
        <w:snapToGrid/>
        <w:spacing w:line="360" w:lineRule="exact"/>
        <w:ind w:leftChars="0" w:firstLine="0" w:firstLineChars="0"/>
        <w:textAlignment w:val="auto"/>
        <w:rPr>
          <w:rFonts w:hint="eastAsia" w:ascii="华文仿宋" w:hAnsi="华文仿宋" w:eastAsia="华文仿宋" w:cs="华文仿宋"/>
          <w:sz w:val="24"/>
          <w:szCs w:val="24"/>
          <w:lang w:val="en-US" w:eastAsia="zh-CN"/>
        </w:rPr>
      </w:pPr>
      <w:bookmarkStart w:id="313" w:name="_Toc15177_WPSOffice_Level2"/>
      <w:bookmarkStart w:id="314" w:name="_Toc10920_WPSOffice_Level2"/>
      <w:bookmarkStart w:id="315" w:name="_Toc27203_WPSOffice_Level2"/>
      <w:bookmarkStart w:id="316" w:name="_Toc8817_WPSOffice_Level2"/>
      <w:bookmarkStart w:id="317" w:name="_Toc19315_WPSOffice_Level2"/>
      <w:bookmarkStart w:id="318" w:name="_Toc13889_WPSOffice_Level2"/>
      <w:bookmarkStart w:id="319" w:name="_Toc3147_WPSOffice_Level2"/>
      <w:bookmarkStart w:id="320" w:name="_Toc27622_WPSOffice_Level2"/>
      <w:r>
        <w:rPr>
          <w:rFonts w:hint="eastAsia" w:ascii="华文仿宋" w:hAnsi="华文仿宋" w:eastAsia="华文仿宋" w:cs="华文仿宋"/>
          <w:sz w:val="24"/>
          <w:szCs w:val="24"/>
          <w:lang w:val="en-US" w:eastAsia="zh-CN"/>
        </w:rPr>
        <w:t>您认为教师培训给您今后的教学工作是否有帮助？</w:t>
      </w:r>
      <w:bookmarkEnd w:id="313"/>
      <w:bookmarkEnd w:id="314"/>
      <w:bookmarkEnd w:id="315"/>
      <w:bookmarkEnd w:id="316"/>
      <w:bookmarkEnd w:id="317"/>
      <w:bookmarkEnd w:id="318"/>
      <w:bookmarkEnd w:id="319"/>
      <w:bookmarkEnd w:id="320"/>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0"/>
        <w:textAlignment w:val="auto"/>
        <w:rPr>
          <w:rFonts w:hint="eastAsia" w:ascii="华文仿宋" w:hAnsi="华文仿宋" w:eastAsia="华文仿宋" w:cs="华文仿宋"/>
          <w:sz w:val="24"/>
          <w:szCs w:val="24"/>
          <w:lang w:val="en-US" w:eastAsia="zh-CN"/>
        </w:rPr>
      </w:pPr>
      <w:bookmarkStart w:id="321" w:name="_Toc28354_WPSOffice_Level3"/>
      <w:bookmarkStart w:id="322" w:name="_Toc5541_WPSOffice_Level3"/>
      <w:bookmarkStart w:id="323" w:name="_Toc12727_WPSOffice_Level3"/>
      <w:bookmarkStart w:id="324" w:name="_Toc18898_WPSOffice_Level3"/>
      <w:bookmarkStart w:id="325" w:name="_Toc6445_WPSOffice_Level3"/>
      <w:bookmarkStart w:id="326" w:name="_Toc29811_WPSOffice_Level3"/>
      <w:bookmarkStart w:id="327" w:name="_Toc17305_WPSOffice_Level3"/>
      <w:bookmarkStart w:id="328" w:name="_Toc4508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有</w:t>
      </w:r>
      <w:r>
        <w:rPr>
          <w:rFonts w:hint="eastAsia" w:ascii="华文仿宋" w:hAnsi="华文仿宋" w:eastAsia="华文仿宋" w:cs="华文仿宋"/>
          <w:color w:val="FF0000"/>
          <w:sz w:val="24"/>
          <w:szCs w:val="24"/>
          <w:lang w:val="en-US" w:eastAsia="zh-CN"/>
        </w:rPr>
        <w:t>83%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一般</w:t>
      </w:r>
      <w:r>
        <w:rPr>
          <w:rFonts w:hint="eastAsia" w:ascii="华文仿宋" w:hAnsi="华文仿宋" w:eastAsia="华文仿宋" w:cs="华文仿宋"/>
          <w:color w:val="FF0000"/>
          <w:sz w:val="24"/>
          <w:szCs w:val="24"/>
          <w:lang w:val="en-US" w:eastAsia="zh-CN"/>
        </w:rPr>
        <w:t>17%</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没什么帮助</w:t>
      </w:r>
      <w:bookmarkEnd w:id="321"/>
      <w:bookmarkEnd w:id="322"/>
      <w:bookmarkEnd w:id="323"/>
      <w:bookmarkEnd w:id="324"/>
      <w:bookmarkEnd w:id="325"/>
      <w:bookmarkEnd w:id="326"/>
      <w:bookmarkEnd w:id="327"/>
      <w:bookmarkEnd w:id="328"/>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此外，您对该类项目在今后有什么意见或建议：</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华文仿宋" w:hAnsi="华文仿宋" w:eastAsia="华文仿宋" w:cs="华文仿宋"/>
          <w:sz w:val="24"/>
          <w:szCs w:val="24"/>
        </w:rPr>
      </w:pP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rPr>
        <w:t>谢谢您的合作！</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怀化市鹤城区</w:t>
      </w:r>
      <w:r>
        <w:rPr>
          <w:rFonts w:hint="eastAsia" w:ascii="华文仿宋" w:hAnsi="华文仿宋" w:eastAsia="华文仿宋" w:cs="华文仿宋"/>
          <w:sz w:val="24"/>
          <w:szCs w:val="24"/>
          <w:lang w:val="en-US" w:eastAsia="zh-CN"/>
        </w:rPr>
        <w:t>项目</w:t>
      </w:r>
      <w:r>
        <w:rPr>
          <w:rFonts w:hint="eastAsia" w:ascii="华文仿宋" w:hAnsi="华文仿宋" w:eastAsia="华文仿宋" w:cs="华文仿宋"/>
          <w:sz w:val="24"/>
          <w:szCs w:val="24"/>
        </w:rPr>
        <w:t>资金绩效评价组</w:t>
      </w:r>
    </w:p>
    <w:p>
      <w:pPr>
        <w:keepNext w:val="0"/>
        <w:keepLines w:val="0"/>
        <w:pageBreakBefore w:val="0"/>
        <w:widowControl w:val="0"/>
        <w:kinsoku/>
        <w:wordWrap/>
        <w:overflowPunct/>
        <w:topLinePunct w:val="0"/>
        <w:autoSpaceDE/>
        <w:autoSpaceDN/>
        <w:bidi w:val="0"/>
        <w:adjustRightInd/>
        <w:snapToGrid/>
        <w:spacing w:line="360" w:lineRule="exact"/>
        <w:ind w:right="720" w:firstLine="0" w:firstLineChars="0"/>
        <w:jc w:val="right"/>
        <w:textAlignment w:val="auto"/>
        <w:rPr>
          <w:rFonts w:hint="default"/>
          <w:lang w:val="en-US" w:eastAsia="zh-CN"/>
        </w:rPr>
      </w:pPr>
      <w:r>
        <w:rPr>
          <w:rFonts w:hint="eastAsia" w:ascii="华文仿宋" w:hAnsi="华文仿宋" w:eastAsia="华文仿宋" w:cs="华文仿宋"/>
          <w:sz w:val="24"/>
          <w:szCs w:val="24"/>
        </w:rPr>
        <w:t>2019年</w:t>
      </w:r>
      <w:r>
        <w:rPr>
          <w:rFonts w:hint="eastAsia" w:ascii="华文仿宋" w:hAnsi="华文仿宋" w:eastAsia="华文仿宋" w:cs="华文仿宋"/>
          <w:sz w:val="24"/>
          <w:szCs w:val="24"/>
          <w:lang w:val="en-US" w:eastAsia="zh-CN"/>
        </w:rPr>
        <w:t>9</w:t>
      </w:r>
      <w:r>
        <w:rPr>
          <w:rFonts w:hint="eastAsia" w:ascii="华文仿宋" w:hAnsi="华文仿宋" w:eastAsia="华文仿宋" w:cs="华文仿宋"/>
          <w:sz w:val="24"/>
          <w:szCs w:val="24"/>
        </w:rPr>
        <w:t>月</w:t>
      </w:r>
    </w:p>
    <w:sectPr>
      <w:footerReference r:id="rId4" w:type="default"/>
      <w:pgSz w:w="11906" w:h="16838"/>
      <w:pgMar w:top="1440" w:right="1474" w:bottom="1440" w:left="1587"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华文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华文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86BF1"/>
    <w:multiLevelType w:val="singleLevel"/>
    <w:tmpl w:val="91F86BF1"/>
    <w:lvl w:ilvl="0" w:tentative="0">
      <w:start w:val="1"/>
      <w:numFmt w:val="decimal"/>
      <w:suff w:val="nothing"/>
      <w:lvlText w:val="%1、"/>
      <w:lvlJc w:val="left"/>
    </w:lvl>
  </w:abstractNum>
  <w:abstractNum w:abstractNumId="1">
    <w:nsid w:val="BBBF2115"/>
    <w:multiLevelType w:val="singleLevel"/>
    <w:tmpl w:val="BBBF2115"/>
    <w:lvl w:ilvl="0" w:tentative="0">
      <w:start w:val="1"/>
      <w:numFmt w:val="chineseCounting"/>
      <w:suff w:val="nothing"/>
      <w:lvlText w:val="%1、"/>
      <w:lvlJc w:val="left"/>
      <w:rPr>
        <w:rFonts w:hint="eastAsia"/>
      </w:rPr>
    </w:lvl>
  </w:abstractNum>
  <w:abstractNum w:abstractNumId="2">
    <w:nsid w:val="C8A2AAFB"/>
    <w:multiLevelType w:val="singleLevel"/>
    <w:tmpl w:val="C8A2AAFB"/>
    <w:lvl w:ilvl="0" w:tentative="0">
      <w:start w:val="1"/>
      <w:numFmt w:val="decimal"/>
      <w:lvlText w:val="%1."/>
      <w:lvlJc w:val="left"/>
      <w:pPr>
        <w:tabs>
          <w:tab w:val="left" w:pos="312"/>
        </w:tabs>
      </w:pPr>
    </w:lvl>
  </w:abstractNum>
  <w:abstractNum w:abstractNumId="3">
    <w:nsid w:val="DD1908F7"/>
    <w:multiLevelType w:val="singleLevel"/>
    <w:tmpl w:val="DD1908F7"/>
    <w:lvl w:ilvl="0" w:tentative="0">
      <w:start w:val="1"/>
      <w:numFmt w:val="decimal"/>
      <w:suff w:val="nothing"/>
      <w:lvlText w:val="（%1）"/>
      <w:lvlJc w:val="left"/>
    </w:lvl>
  </w:abstractNum>
  <w:abstractNum w:abstractNumId="4">
    <w:nsid w:val="ED24D58D"/>
    <w:multiLevelType w:val="singleLevel"/>
    <w:tmpl w:val="ED24D58D"/>
    <w:lvl w:ilvl="0" w:tentative="0">
      <w:start w:val="1"/>
      <w:numFmt w:val="chineseCounting"/>
      <w:suff w:val="nothing"/>
      <w:lvlText w:val="（%1）"/>
      <w:lvlJc w:val="left"/>
      <w:rPr>
        <w:rFonts w:hint="eastAsia"/>
      </w:rPr>
    </w:lvl>
  </w:abstractNum>
  <w:abstractNum w:abstractNumId="5">
    <w:nsid w:val="1ACBA50E"/>
    <w:multiLevelType w:val="singleLevel"/>
    <w:tmpl w:val="1ACBA50E"/>
    <w:lvl w:ilvl="0" w:tentative="0">
      <w:start w:val="1"/>
      <w:numFmt w:val="chineseCounting"/>
      <w:suff w:val="nothing"/>
      <w:lvlText w:val="（%1）"/>
      <w:lvlJc w:val="left"/>
      <w:rPr>
        <w:rFonts w:hint="eastAsia"/>
      </w:rPr>
    </w:lvl>
  </w:abstractNum>
  <w:abstractNum w:abstractNumId="6">
    <w:nsid w:val="2147BE08"/>
    <w:multiLevelType w:val="singleLevel"/>
    <w:tmpl w:val="2147BE08"/>
    <w:lvl w:ilvl="0" w:tentative="0">
      <w:start w:val="1"/>
      <w:numFmt w:val="decimal"/>
      <w:suff w:val="nothing"/>
      <w:lvlText w:val="（%1）"/>
      <w:lvlJc w:val="left"/>
    </w:lvl>
  </w:abstractNum>
  <w:abstractNum w:abstractNumId="7">
    <w:nsid w:val="25786B6C"/>
    <w:multiLevelType w:val="singleLevel"/>
    <w:tmpl w:val="25786B6C"/>
    <w:lvl w:ilvl="0" w:tentative="0">
      <w:start w:val="2"/>
      <w:numFmt w:val="decimal"/>
      <w:suff w:val="nothing"/>
      <w:lvlText w:val="%1、"/>
      <w:lvlJc w:val="left"/>
    </w:lvl>
  </w:abstractNum>
  <w:abstractNum w:abstractNumId="8">
    <w:nsid w:val="296967D5"/>
    <w:multiLevelType w:val="multilevel"/>
    <w:tmpl w:val="296967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21A746B"/>
    <w:multiLevelType w:val="singleLevel"/>
    <w:tmpl w:val="421A746B"/>
    <w:lvl w:ilvl="0" w:tentative="0">
      <w:start w:val="1"/>
      <w:numFmt w:val="decimal"/>
      <w:suff w:val="nothing"/>
      <w:lvlText w:val="（%1）"/>
      <w:lvlJc w:val="left"/>
    </w:lvl>
  </w:abstractNum>
  <w:abstractNum w:abstractNumId="10">
    <w:nsid w:val="6DBF3C2E"/>
    <w:multiLevelType w:val="singleLevel"/>
    <w:tmpl w:val="6DBF3C2E"/>
    <w:lvl w:ilvl="0" w:tentative="0">
      <w:start w:val="1"/>
      <w:numFmt w:val="chineseCounting"/>
      <w:suff w:val="nothing"/>
      <w:lvlText w:val="（%1）"/>
      <w:lvlJc w:val="left"/>
      <w:rPr>
        <w:rFonts w:hint="eastAsia"/>
      </w:rPr>
    </w:lvl>
  </w:abstractNum>
  <w:abstractNum w:abstractNumId="11">
    <w:nsid w:val="72B330D5"/>
    <w:multiLevelType w:val="singleLevel"/>
    <w:tmpl w:val="72B330D5"/>
    <w:lvl w:ilvl="0" w:tentative="0">
      <w:start w:val="1"/>
      <w:numFmt w:val="decimal"/>
      <w:suff w:val="nothing"/>
      <w:lvlText w:val="（%1）"/>
      <w:lvlJc w:val="left"/>
    </w:lvl>
  </w:abstractNum>
  <w:abstractNum w:abstractNumId="12">
    <w:nsid w:val="7DFB3803"/>
    <w:multiLevelType w:val="singleLevel"/>
    <w:tmpl w:val="7DFB3803"/>
    <w:lvl w:ilvl="0" w:tentative="0">
      <w:start w:val="1"/>
      <w:numFmt w:val="chineseCounting"/>
      <w:suff w:val="nothing"/>
      <w:lvlText w:val="（%1）"/>
      <w:lvlJc w:val="left"/>
      <w:rPr>
        <w:rFonts w:hint="eastAsia"/>
      </w:rPr>
    </w:lvl>
  </w:abstractNum>
  <w:num w:numId="1">
    <w:abstractNumId w:val="1"/>
  </w:num>
  <w:num w:numId="2">
    <w:abstractNumId w:val="5"/>
  </w:num>
  <w:num w:numId="3">
    <w:abstractNumId w:val="4"/>
  </w:num>
  <w:num w:numId="4">
    <w:abstractNumId w:val="3"/>
  </w:num>
  <w:num w:numId="5">
    <w:abstractNumId w:val="2"/>
  </w:num>
  <w:num w:numId="6">
    <w:abstractNumId w:val="11"/>
  </w:num>
  <w:num w:numId="7">
    <w:abstractNumId w:val="9"/>
  </w:num>
  <w:num w:numId="8">
    <w:abstractNumId w:val="6"/>
  </w:num>
  <w:num w:numId="9">
    <w:abstractNumId w:val="10"/>
  </w:num>
  <w:num w:numId="10">
    <w:abstractNumId w:val="12"/>
  </w:num>
  <w:num w:numId="11">
    <w:abstractNumId w:val="7"/>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94CE4"/>
    <w:rsid w:val="145E41C0"/>
    <w:rsid w:val="17A82DDA"/>
    <w:rsid w:val="17CE01C6"/>
    <w:rsid w:val="18DD6458"/>
    <w:rsid w:val="1CDA1F37"/>
    <w:rsid w:val="1E396FA3"/>
    <w:rsid w:val="2032394C"/>
    <w:rsid w:val="20B55000"/>
    <w:rsid w:val="216316F9"/>
    <w:rsid w:val="2486027D"/>
    <w:rsid w:val="2A2A296F"/>
    <w:rsid w:val="2F1160F0"/>
    <w:rsid w:val="31912350"/>
    <w:rsid w:val="397920DA"/>
    <w:rsid w:val="3D0E15CF"/>
    <w:rsid w:val="40635C59"/>
    <w:rsid w:val="41EE4FF9"/>
    <w:rsid w:val="42AA0F2B"/>
    <w:rsid w:val="45EF33CF"/>
    <w:rsid w:val="4AA26193"/>
    <w:rsid w:val="4BFE45D5"/>
    <w:rsid w:val="59745D87"/>
    <w:rsid w:val="5DF90905"/>
    <w:rsid w:val="63DC0CAA"/>
    <w:rsid w:val="652976B2"/>
    <w:rsid w:val="6B4F0B00"/>
    <w:rsid w:val="714D4EBB"/>
    <w:rsid w:val="72333BD1"/>
    <w:rsid w:val="76F051C5"/>
    <w:rsid w:val="7836682E"/>
    <w:rsid w:val="7E733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420" w:firstLineChars="200"/>
      <w:jc w:val="both"/>
    </w:pPr>
    <w:rPr>
      <w:rFonts w:eastAsia="华文仿宋"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caption"/>
    <w:basedOn w:val="1"/>
    <w:next w:val="1"/>
    <w:semiHidden/>
    <w:unhideWhenUsed/>
    <w:qFormat/>
    <w:uiPriority w:val="0"/>
    <w:rPr>
      <w:rFonts w:ascii="Arial" w:hAnsi="Arial" w:eastAsia="黑体"/>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List Paragraph"/>
    <w:basedOn w:val="1"/>
    <w:qFormat/>
    <w:uiPriority w:val="34"/>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 w:type="paragraph" w:customStyle="1" w:styleId="11">
    <w:name w:val="WPSOffice手动目录 2"/>
    <w:qFormat/>
    <w:uiPriority w:val="0"/>
    <w:pPr>
      <w:ind w:leftChars="200"/>
    </w:pPr>
    <w:rPr>
      <w:rFonts w:asciiTheme="minorHAnsi" w:hAnsiTheme="minorHAnsi" w:eastAsiaTheme="minorEastAsia" w:cstheme="minorBidi"/>
      <w:sz w:val="20"/>
      <w:szCs w:val="20"/>
    </w:rPr>
  </w:style>
  <w:style w:type="paragraph" w:customStyle="1" w:styleId="12">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97ef302-0aa7-46a2-9fbf-7844114e8788}"/>
        <w:style w:val=""/>
        <w:category>
          <w:name w:val="常规"/>
          <w:gallery w:val="placeholder"/>
        </w:category>
        <w:types>
          <w:type w:val="bbPlcHdr"/>
        </w:types>
        <w:behaviors>
          <w:behavior w:val="content"/>
        </w:behaviors>
        <w:description w:val=""/>
        <w:guid w:val="{c97ef302-0aa7-46a2-9fbf-7844114e8788}"/>
      </w:docPartPr>
      <w:docPartBody>
        <w:p>
          <w:r>
            <w:rPr>
              <w:color w:val="808080"/>
            </w:rPr>
            <w:t>单击此处输入文字。</w:t>
          </w:r>
        </w:p>
      </w:docPartBody>
    </w:docPart>
    <w:docPart>
      <w:docPartPr>
        <w:name w:val="{f2e734d0-cef1-44d1-b7ca-eb9eae8db745}"/>
        <w:style w:val=""/>
        <w:category>
          <w:name w:val="常规"/>
          <w:gallery w:val="placeholder"/>
        </w:category>
        <w:types>
          <w:type w:val="bbPlcHdr"/>
        </w:types>
        <w:behaviors>
          <w:behavior w:val="content"/>
        </w:behaviors>
        <w:description w:val=""/>
        <w:guid w:val="{f2e734d0-cef1-44d1-b7ca-eb9eae8db745}"/>
      </w:docPartPr>
      <w:docPartBody>
        <w:p>
          <w:r>
            <w:rPr>
              <w:color w:val="808080"/>
            </w:rPr>
            <w:t>单击此处输入文字。</w:t>
          </w:r>
        </w:p>
      </w:docPartBody>
    </w:docPart>
    <w:docPart>
      <w:docPartPr>
        <w:name w:val="{4c35266c-1e7c-4ce3-af6a-d1add7f3dbb7}"/>
        <w:style w:val=""/>
        <w:category>
          <w:name w:val="常规"/>
          <w:gallery w:val="placeholder"/>
        </w:category>
        <w:types>
          <w:type w:val="bbPlcHdr"/>
        </w:types>
        <w:behaviors>
          <w:behavior w:val="content"/>
        </w:behaviors>
        <w:description w:val=""/>
        <w:guid w:val="{4c35266c-1e7c-4ce3-af6a-d1add7f3dbb7}"/>
      </w:docPartPr>
      <w:docPartBody>
        <w:p>
          <w:r>
            <w:rPr>
              <w:color w:val="808080"/>
            </w:rPr>
            <w:t>单击此处输入文字。</w:t>
          </w:r>
        </w:p>
      </w:docPartBody>
    </w:docPart>
    <w:docPart>
      <w:docPartPr>
        <w:name w:val="{cc003f7d-173a-4123-85a0-a7d4607ad199}"/>
        <w:style w:val=""/>
        <w:category>
          <w:name w:val="常规"/>
          <w:gallery w:val="placeholder"/>
        </w:category>
        <w:types>
          <w:type w:val="bbPlcHdr"/>
        </w:types>
        <w:behaviors>
          <w:behavior w:val="content"/>
        </w:behaviors>
        <w:description w:val=""/>
        <w:guid w:val="{cc003f7d-173a-4123-85a0-a7d4607ad199}"/>
      </w:docPartPr>
      <w:docPartBody>
        <w:p>
          <w:r>
            <w:rPr>
              <w:color w:val="808080"/>
            </w:rPr>
            <w:t>单击此处输入文字。</w:t>
          </w:r>
        </w:p>
      </w:docPartBody>
    </w:docPart>
    <w:docPart>
      <w:docPartPr>
        <w:name w:val="{94128620-f2af-4377-b19a-2da36f26dc06}"/>
        <w:style w:val=""/>
        <w:category>
          <w:name w:val="常规"/>
          <w:gallery w:val="placeholder"/>
        </w:category>
        <w:types>
          <w:type w:val="bbPlcHdr"/>
        </w:types>
        <w:behaviors>
          <w:behavior w:val="content"/>
        </w:behaviors>
        <w:description w:val=""/>
        <w:guid w:val="{94128620-f2af-4377-b19a-2da36f26dc06}"/>
      </w:docPartPr>
      <w:docPartBody>
        <w:p>
          <w:r>
            <w:rPr>
              <w:color w:val="808080"/>
            </w:rPr>
            <w:t>单击此处输入文字。</w:t>
          </w:r>
        </w:p>
      </w:docPartBody>
    </w:docPart>
    <w:docPart>
      <w:docPartPr>
        <w:name w:val="{efd8f67b-bc19-4fce-9769-3edc156baf28}"/>
        <w:style w:val=""/>
        <w:category>
          <w:name w:val="常规"/>
          <w:gallery w:val="placeholder"/>
        </w:category>
        <w:types>
          <w:type w:val="bbPlcHdr"/>
        </w:types>
        <w:behaviors>
          <w:behavior w:val="content"/>
        </w:behaviors>
        <w:description w:val=""/>
        <w:guid w:val="{efd8f67b-bc19-4fce-9769-3edc156baf28}"/>
      </w:docPartPr>
      <w:docPartBody>
        <w:p>
          <w:r>
            <w:rPr>
              <w:color w:val="808080"/>
            </w:rPr>
            <w:t>单击此处输入文字。</w:t>
          </w:r>
        </w:p>
      </w:docPartBody>
    </w:docPart>
    <w:docPart>
      <w:docPartPr>
        <w:name w:val="{51ef6dcd-72a6-4923-a77c-4a81c74a9e2d}"/>
        <w:style w:val=""/>
        <w:category>
          <w:name w:val="常规"/>
          <w:gallery w:val="placeholder"/>
        </w:category>
        <w:types>
          <w:type w:val="bbPlcHdr"/>
        </w:types>
        <w:behaviors>
          <w:behavior w:val="content"/>
        </w:behaviors>
        <w:description w:val=""/>
        <w:guid w:val="{51ef6dcd-72a6-4923-a77c-4a81c74a9e2d}"/>
      </w:docPartPr>
      <w:docPartBody>
        <w:p>
          <w:r>
            <w:rPr>
              <w:color w:val="808080"/>
            </w:rPr>
            <w:t>单击此处输入文字。</w:t>
          </w:r>
        </w:p>
      </w:docPartBody>
    </w:docPart>
    <w:docPart>
      <w:docPartPr>
        <w:name w:val="{f994d81e-01e0-4953-bcc4-c9c225cc707c}"/>
        <w:style w:val=""/>
        <w:category>
          <w:name w:val="常规"/>
          <w:gallery w:val="placeholder"/>
        </w:category>
        <w:types>
          <w:type w:val="bbPlcHdr"/>
        </w:types>
        <w:behaviors>
          <w:behavior w:val="content"/>
        </w:behaviors>
        <w:description w:val=""/>
        <w:guid w:val="{f994d81e-01e0-4953-bcc4-c9c225cc707c}"/>
      </w:docPartPr>
      <w:docPartBody>
        <w:p>
          <w:r>
            <w:rPr>
              <w:color w:val="808080"/>
            </w:rPr>
            <w:t>单击此处输入文字。</w:t>
          </w:r>
        </w:p>
      </w:docPartBody>
    </w:docPart>
    <w:docPart>
      <w:docPartPr>
        <w:name w:val="{5b9f144c-9f6a-40d1-a92d-475d33242249}"/>
        <w:style w:val=""/>
        <w:category>
          <w:name w:val="常规"/>
          <w:gallery w:val="placeholder"/>
        </w:category>
        <w:types>
          <w:type w:val="bbPlcHdr"/>
        </w:types>
        <w:behaviors>
          <w:behavior w:val="content"/>
        </w:behaviors>
        <w:description w:val=""/>
        <w:guid w:val="{5b9f144c-9f6a-40d1-a92d-475d33242249}"/>
      </w:docPartPr>
      <w:docPartBody>
        <w:p>
          <w:r>
            <w:rPr>
              <w:color w:val="808080"/>
            </w:rPr>
            <w:t>单击此处输入文字。</w:t>
          </w:r>
        </w:p>
      </w:docPartBody>
    </w:docPart>
    <w:docPart>
      <w:docPartPr>
        <w:name w:val="{3946e6bc-f9cd-4889-bb3b-d5e19858775b}"/>
        <w:style w:val=""/>
        <w:category>
          <w:name w:val="常规"/>
          <w:gallery w:val="placeholder"/>
        </w:category>
        <w:types>
          <w:type w:val="bbPlcHdr"/>
        </w:types>
        <w:behaviors>
          <w:behavior w:val="content"/>
        </w:behaviors>
        <w:description w:val=""/>
        <w:guid w:val="{3946e6bc-f9cd-4889-bb3b-d5e19858775b}"/>
      </w:docPartPr>
      <w:docPartBody>
        <w:p>
          <w:r>
            <w:rPr>
              <w:color w:val="808080"/>
            </w:rPr>
            <w:t>单击此处输入文字。</w:t>
          </w:r>
        </w:p>
      </w:docPartBody>
    </w:docPart>
    <w:docPart>
      <w:docPartPr>
        <w:name w:val="{334316ec-df4c-429e-bc4b-3908913173ad}"/>
        <w:style w:val=""/>
        <w:category>
          <w:name w:val="常规"/>
          <w:gallery w:val="placeholder"/>
        </w:category>
        <w:types>
          <w:type w:val="bbPlcHdr"/>
        </w:types>
        <w:behaviors>
          <w:behavior w:val="content"/>
        </w:behaviors>
        <w:description w:val=""/>
        <w:guid w:val="{334316ec-df4c-429e-bc4b-3908913173ad}"/>
      </w:docPartPr>
      <w:docPartBody>
        <w:p>
          <w:r>
            <w:rPr>
              <w:color w:val="808080"/>
            </w:rPr>
            <w:t>单击此处输入文字。</w:t>
          </w:r>
        </w:p>
      </w:docPartBody>
    </w:docPart>
    <w:docPart>
      <w:docPartPr>
        <w:name w:val="{640fef91-ccdb-43e9-914d-89abd22eabf9}"/>
        <w:style w:val=""/>
        <w:category>
          <w:name w:val="常规"/>
          <w:gallery w:val="placeholder"/>
        </w:category>
        <w:types>
          <w:type w:val="bbPlcHdr"/>
        </w:types>
        <w:behaviors>
          <w:behavior w:val="content"/>
        </w:behaviors>
        <w:description w:val=""/>
        <w:guid w:val="{640fef91-ccdb-43e9-914d-89abd22eabf9}"/>
      </w:docPartPr>
      <w:docPartBody>
        <w:p>
          <w:r>
            <w:rPr>
              <w:color w:val="808080"/>
            </w:rPr>
            <w:t>单击此处输入文字。</w:t>
          </w:r>
        </w:p>
      </w:docPartBody>
    </w:docPart>
    <w:docPart>
      <w:docPartPr>
        <w:name w:val="{3ed7cbd2-4aee-458d-9d06-9288dd64acf4}"/>
        <w:style w:val=""/>
        <w:category>
          <w:name w:val="常规"/>
          <w:gallery w:val="placeholder"/>
        </w:category>
        <w:types>
          <w:type w:val="bbPlcHdr"/>
        </w:types>
        <w:behaviors>
          <w:behavior w:val="content"/>
        </w:behaviors>
        <w:description w:val=""/>
        <w:guid w:val="{3ed7cbd2-4aee-458d-9d06-9288dd64acf4}"/>
      </w:docPartPr>
      <w:docPartBody>
        <w:p>
          <w:r>
            <w:rPr>
              <w:color w:val="808080"/>
            </w:rPr>
            <w:t>单击此处输入文字。</w:t>
          </w:r>
        </w:p>
      </w:docPartBody>
    </w:docPart>
    <w:docPart>
      <w:docPartPr>
        <w:name w:val="{458d3702-a28f-412f-abf4-8e802be3dba2}"/>
        <w:style w:val=""/>
        <w:category>
          <w:name w:val="常规"/>
          <w:gallery w:val="placeholder"/>
        </w:category>
        <w:types>
          <w:type w:val="bbPlcHdr"/>
        </w:types>
        <w:behaviors>
          <w:behavior w:val="content"/>
        </w:behaviors>
        <w:description w:val=""/>
        <w:guid w:val="{458d3702-a28f-412f-abf4-8e802be3dba2}"/>
      </w:docPartPr>
      <w:docPartBody>
        <w:p>
          <w:r>
            <w:rPr>
              <w:color w:val="808080"/>
            </w:rPr>
            <w:t>单击此处输入文字。</w:t>
          </w:r>
        </w:p>
      </w:docPartBody>
    </w:docPart>
    <w:docPart>
      <w:docPartPr>
        <w:name w:val="{b9234bb6-9994-4fbf-945f-f914b8b63cba}"/>
        <w:style w:val=""/>
        <w:category>
          <w:name w:val="常规"/>
          <w:gallery w:val="placeholder"/>
        </w:category>
        <w:types>
          <w:type w:val="bbPlcHdr"/>
        </w:types>
        <w:behaviors>
          <w:behavior w:val="content"/>
        </w:behaviors>
        <w:description w:val=""/>
        <w:guid w:val="{b9234bb6-9994-4fbf-945f-f914b8b63cba}"/>
      </w:docPartPr>
      <w:docPartBody>
        <w:p>
          <w:r>
            <w:rPr>
              <w:color w:val="808080"/>
            </w:rPr>
            <w:t>单击此处输入文字。</w:t>
          </w:r>
        </w:p>
      </w:docPartBody>
    </w:docPart>
    <w:docPart>
      <w:docPartPr>
        <w:name w:val="{9d0ecda0-6ad0-458b-ae70-bd7ad06d2e5e}"/>
        <w:style w:val=""/>
        <w:category>
          <w:name w:val="常规"/>
          <w:gallery w:val="placeholder"/>
        </w:category>
        <w:types>
          <w:type w:val="bbPlcHdr"/>
        </w:types>
        <w:behaviors>
          <w:behavior w:val="content"/>
        </w:behaviors>
        <w:description w:val=""/>
        <w:guid w:val="{9d0ecda0-6ad0-458b-ae70-bd7ad06d2e5e}"/>
      </w:docPartPr>
      <w:docPartBody>
        <w:p>
          <w:r>
            <w:rPr>
              <w:color w:val="808080"/>
            </w:rPr>
            <w:t>单击此处输入文字。</w:t>
          </w:r>
        </w:p>
      </w:docPartBody>
    </w:docPart>
    <w:docPart>
      <w:docPartPr>
        <w:name w:val="{f8396245-1b13-4390-88a7-df9f5dcd821d}"/>
        <w:style w:val=""/>
        <w:category>
          <w:name w:val="常规"/>
          <w:gallery w:val="placeholder"/>
        </w:category>
        <w:types>
          <w:type w:val="bbPlcHdr"/>
        </w:types>
        <w:behaviors>
          <w:behavior w:val="content"/>
        </w:behaviors>
        <w:description w:val=""/>
        <w:guid w:val="{f8396245-1b13-4390-88a7-df9f5dcd821d}"/>
      </w:docPartPr>
      <w:docPartBody>
        <w:p>
          <w:r>
            <w:rPr>
              <w:color w:val="808080"/>
            </w:rPr>
            <w:t>单击此处输入文字。</w:t>
          </w:r>
        </w:p>
      </w:docPartBody>
    </w:docPart>
    <w:docPart>
      <w:docPartPr>
        <w:name w:val="{1ec7a830-71ee-4152-8a87-41073870ada9}"/>
        <w:style w:val=""/>
        <w:category>
          <w:name w:val="常规"/>
          <w:gallery w:val="placeholder"/>
        </w:category>
        <w:types>
          <w:type w:val="bbPlcHdr"/>
        </w:types>
        <w:behaviors>
          <w:behavior w:val="content"/>
        </w:behaviors>
        <w:description w:val=""/>
        <w:guid w:val="{1ec7a830-71ee-4152-8a87-41073870ada9}"/>
      </w:docPartPr>
      <w:docPartBody>
        <w:p>
          <w:r>
            <w:rPr>
              <w:color w:val="808080"/>
            </w:rPr>
            <w:t>单击此处输入文字。</w:t>
          </w:r>
        </w:p>
      </w:docPartBody>
    </w:docPart>
    <w:docPart>
      <w:docPartPr>
        <w:name w:val="{eb369808-1e09-42ba-b366-339f85874a38}"/>
        <w:style w:val=""/>
        <w:category>
          <w:name w:val="常规"/>
          <w:gallery w:val="placeholder"/>
        </w:category>
        <w:types>
          <w:type w:val="bbPlcHdr"/>
        </w:types>
        <w:behaviors>
          <w:behavior w:val="content"/>
        </w:behaviors>
        <w:description w:val=""/>
        <w:guid w:val="{eb369808-1e09-42ba-b366-339f85874a38}"/>
      </w:docPartPr>
      <w:docPartBody>
        <w:p>
          <w:r>
            <w:rPr>
              <w:color w:val="808080"/>
            </w:rPr>
            <w:t>单击此处输入文字。</w:t>
          </w:r>
        </w:p>
      </w:docPartBody>
    </w:docPart>
    <w:docPart>
      <w:docPartPr>
        <w:name w:val="{a7945f52-fbc6-4a4e-bce7-36ce7a3c6a1e}"/>
        <w:style w:val=""/>
        <w:category>
          <w:name w:val="常规"/>
          <w:gallery w:val="placeholder"/>
        </w:category>
        <w:types>
          <w:type w:val="bbPlcHdr"/>
        </w:types>
        <w:behaviors>
          <w:behavior w:val="content"/>
        </w:behaviors>
        <w:description w:val=""/>
        <w:guid w:val="{a7945f52-fbc6-4a4e-bce7-36ce7a3c6a1e}"/>
      </w:docPartPr>
      <w:docPartBody>
        <w:p>
          <w:r>
            <w:rPr>
              <w:color w:val="808080"/>
            </w:rPr>
            <w:t>单击此处输入文字。</w:t>
          </w:r>
        </w:p>
      </w:docPartBody>
    </w:docPart>
    <w:docPart>
      <w:docPartPr>
        <w:name w:val="{d0847f75-5226-4f6f-a832-ec1d6dd9708b}"/>
        <w:style w:val=""/>
        <w:category>
          <w:name w:val="常规"/>
          <w:gallery w:val="placeholder"/>
        </w:category>
        <w:types>
          <w:type w:val="bbPlcHdr"/>
        </w:types>
        <w:behaviors>
          <w:behavior w:val="content"/>
        </w:behaviors>
        <w:description w:val=""/>
        <w:guid w:val="{d0847f75-5226-4f6f-a832-ec1d6dd9708b}"/>
      </w:docPartPr>
      <w:docPartBody>
        <w:p>
          <w:r>
            <w:rPr>
              <w:color w:val="808080"/>
            </w:rPr>
            <w:t>单击此处输入文字。</w:t>
          </w:r>
        </w:p>
      </w:docPartBody>
    </w:docPart>
    <w:docPart>
      <w:docPartPr>
        <w:name w:val="{edb06d5e-2e46-45bf-ba1f-c51deeb8123c}"/>
        <w:style w:val=""/>
        <w:category>
          <w:name w:val="常规"/>
          <w:gallery w:val="placeholder"/>
        </w:category>
        <w:types>
          <w:type w:val="bbPlcHdr"/>
        </w:types>
        <w:behaviors>
          <w:behavior w:val="content"/>
        </w:behaviors>
        <w:description w:val=""/>
        <w:guid w:val="{edb06d5e-2e46-45bf-ba1f-c51deeb8123c}"/>
      </w:docPartPr>
      <w:docPartBody>
        <w:p>
          <w:r>
            <w:rPr>
              <w:color w:val="808080"/>
            </w:rPr>
            <w:t>单击此处输入文字。</w:t>
          </w:r>
        </w:p>
      </w:docPartBody>
    </w:docPart>
    <w:docPart>
      <w:docPartPr>
        <w:name w:val="{09b625d7-ebe3-486a-befb-20f8b44dd1b4}"/>
        <w:style w:val=""/>
        <w:category>
          <w:name w:val="常规"/>
          <w:gallery w:val="placeholder"/>
        </w:category>
        <w:types>
          <w:type w:val="bbPlcHdr"/>
        </w:types>
        <w:behaviors>
          <w:behavior w:val="content"/>
        </w:behaviors>
        <w:description w:val=""/>
        <w:guid w:val="{09b625d7-ebe3-486a-befb-20f8b44dd1b4}"/>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2019-10-12T01:22:00Z</dcterms:created>
  <dc:creator>Administrator.BF-20190821KPWS</dc:creator>
  <cp:lastModifiedBy>Administrator</cp:lastModifiedBy>
  <cp:lastPrinted>2019-10-16T08:12:00Z</cp:lastPrinted>
  <dcterms:modified xsi:type="dcterms:W3CDTF">2019-10-28T03:32:26Z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