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r>
        <w:rPr>
          <w:rFonts w:ascii="方正小标宋简体" w:hAnsi="方正小标宋简体" w:eastAsia="方正小标宋简体"/>
          <w:color w:val="000000" w:themeColor="text1"/>
          <w:kern w:val="0"/>
          <w:sz w:val="44"/>
          <w:szCs w:val="44"/>
          <w14:textFill>
            <w14:solidFill>
              <w14:schemeClr w14:val="tx1"/>
            </w14:solidFill>
          </w14:textFill>
        </w:rPr>
        <w:drawing>
          <wp:inline distT="0" distB="0" distL="0" distR="0">
            <wp:extent cx="1609725" cy="67056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609725" cy="670560"/>
                    </a:xfrm>
                    <a:prstGeom prst="rect">
                      <a:avLst/>
                    </a:prstGeom>
                    <a:noFill/>
                  </pic:spPr>
                </pic:pic>
              </a:graphicData>
            </a:graphic>
          </wp:inline>
        </w:drawing>
      </w:r>
    </w:p>
    <w:p>
      <w:pPr>
        <w:spacing w:line="360" w:lineRule="auto"/>
        <w:rPr>
          <w:rFonts w:ascii="方正小标宋简体" w:hAnsi="方正小标宋简体" w:eastAsia="方正小标宋简体"/>
          <w:color w:val="000000" w:themeColor="text1"/>
          <w:kern w:val="0"/>
          <w:sz w:val="44"/>
          <w:szCs w:val="44"/>
          <w14:textFill>
            <w14:solidFill>
              <w14:schemeClr w14:val="tx1"/>
            </w14:solidFill>
          </w14:textFill>
        </w:rPr>
      </w:pPr>
    </w:p>
    <w:p>
      <w:pPr>
        <w:spacing w:line="360" w:lineRule="auto"/>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怀化市鹤城区2018年计生特别扶助项目</w:t>
      </w:r>
    </w:p>
    <w:p>
      <w:pPr>
        <w:spacing w:line="360" w:lineRule="auto"/>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资金绩效评价报告</w:t>
      </w: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spacing w:line="360" w:lineRule="auto"/>
        <w:ind w:firstLine="281" w:firstLineChars="88"/>
        <w:jc w:val="center"/>
        <w:rPr>
          <w:rFonts w:ascii="仿宋_GB2312" w:eastAsia="仿宋_GB2312"/>
          <w:color w:val="000000" w:themeColor="text1"/>
          <w:sz w:val="32"/>
          <w14:textFill>
            <w14:solidFill>
              <w14:schemeClr w14:val="tx1"/>
            </w14:solidFill>
          </w14:textFill>
        </w:rPr>
      </w:pPr>
    </w:p>
    <w:p>
      <w:pPr>
        <w:adjustRightInd w:val="0"/>
        <w:snapToGrid w:val="0"/>
        <w:spacing w:line="360" w:lineRule="auto"/>
        <w:ind w:firstLine="1280" w:firstLineChars="4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委托部门：</w:t>
      </w:r>
      <w:r>
        <w:rPr>
          <w:rFonts w:hint="eastAsia" w:ascii="仿宋_GB2312" w:eastAsia="仿宋_GB2312"/>
          <w:color w:val="000000" w:themeColor="text1"/>
          <w:sz w:val="32"/>
          <w:szCs w:val="32"/>
          <w:u w:val="single"/>
          <w14:textFill>
            <w14:solidFill>
              <w14:schemeClr w14:val="tx1"/>
            </w14:solidFill>
          </w14:textFill>
        </w:rPr>
        <w:t xml:space="preserve">怀化市鹤城区财政局              </w:t>
      </w:r>
    </w:p>
    <w:p>
      <w:pPr>
        <w:adjustRightInd w:val="0"/>
        <w:snapToGrid w:val="0"/>
        <w:spacing w:line="360" w:lineRule="auto"/>
        <w:ind w:firstLine="1280" w:firstLineChars="400"/>
        <w:rPr>
          <w:rFonts w:ascii="仿宋_GB2312" w:eastAsia="仿宋_GB2312"/>
          <w:color w:val="000000" w:themeColor="text1"/>
          <w:sz w:val="32"/>
          <w:szCs w:val="32"/>
          <w:u w:val="single"/>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受</w:t>
      </w:r>
      <w:r>
        <w:rPr>
          <w:rFonts w:ascii="仿宋_GB2312" w:eastAsia="仿宋_GB2312"/>
          <w:color w:val="000000" w:themeColor="text1"/>
          <w:sz w:val="32"/>
          <w:szCs w:val="32"/>
          <w14:textFill>
            <w14:solidFill>
              <w14:schemeClr w14:val="tx1"/>
            </w14:solidFill>
          </w14:textFill>
        </w:rPr>
        <w:t>评</w:t>
      </w:r>
      <w:r>
        <w:rPr>
          <w:rFonts w:hint="eastAsia" w:ascii="仿宋_GB2312" w:eastAsia="仿宋_GB2312"/>
          <w:color w:val="000000" w:themeColor="text1"/>
          <w:sz w:val="32"/>
          <w:szCs w:val="32"/>
          <w14:textFill>
            <w14:solidFill>
              <w14:schemeClr w14:val="tx1"/>
            </w14:solidFill>
          </w14:textFill>
        </w:rPr>
        <w:t>单位：</w:t>
      </w:r>
      <w:r>
        <w:rPr>
          <w:rFonts w:hint="eastAsia" w:ascii="仿宋_GB2312" w:eastAsia="仿宋_GB2312"/>
          <w:color w:val="000000" w:themeColor="text1"/>
          <w:sz w:val="32"/>
          <w:szCs w:val="32"/>
          <w:u w:val="single"/>
          <w14:textFill>
            <w14:solidFill>
              <w14:schemeClr w14:val="tx1"/>
            </w14:solidFill>
          </w14:textFill>
        </w:rPr>
        <w:t xml:space="preserve">怀化市鹤城区卫生健康局          </w:t>
      </w:r>
    </w:p>
    <w:p>
      <w:pPr>
        <w:adjustRightInd w:val="0"/>
        <w:snapToGrid w:val="0"/>
        <w:spacing w:line="360" w:lineRule="auto"/>
        <w:ind w:firstLine="1280" w:firstLineChars="4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评价机构</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u w:val="single"/>
          <w14:textFill>
            <w14:solidFill>
              <w14:schemeClr w14:val="tx1"/>
            </w14:solidFill>
          </w14:textFill>
        </w:rPr>
        <w:t>湖南惟楚创智</w:t>
      </w:r>
      <w:r>
        <w:rPr>
          <w:rFonts w:ascii="仿宋_GB2312" w:eastAsia="仿宋_GB2312"/>
          <w:color w:val="000000" w:themeColor="text1"/>
          <w:sz w:val="32"/>
          <w:szCs w:val="32"/>
          <w:u w:val="single"/>
          <w14:textFill>
            <w14:solidFill>
              <w14:schemeClr w14:val="tx1"/>
            </w14:solidFill>
          </w14:textFill>
        </w:rPr>
        <w:t>经济咨询有限责任公司</w:t>
      </w:r>
      <w:r>
        <w:rPr>
          <w:rFonts w:hint="eastAsia" w:ascii="仿宋_GB2312" w:eastAsia="仿宋_GB2312"/>
          <w:color w:val="000000" w:themeColor="text1"/>
          <w:sz w:val="32"/>
          <w:szCs w:val="32"/>
          <w14:textFill>
            <w14:solidFill>
              <w14:schemeClr w14:val="tx1"/>
            </w14:solidFill>
          </w14:textFill>
        </w:rPr>
        <w:t xml:space="preserve"> </w:t>
      </w: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adjustRightInd w:val="0"/>
        <w:snapToGrid w:val="0"/>
        <w:spacing w:line="360" w:lineRule="auto"/>
        <w:rPr>
          <w:rFonts w:ascii="仿宋_GB2312" w:eastAsia="仿宋_GB2312"/>
          <w:color w:val="000000" w:themeColor="text1"/>
          <w:sz w:val="32"/>
          <w:szCs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p>
    <w:p>
      <w:pPr>
        <w:spacing w:line="360" w:lineRule="auto"/>
        <w:ind w:firstLine="640" w:firstLineChars="200"/>
        <w:jc w:val="center"/>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二零一九</w:t>
      </w:r>
      <w:r>
        <w:rPr>
          <w:rFonts w:ascii="仿宋_GB2312" w:hAnsi="仿宋" w:eastAsia="仿宋_GB2312"/>
          <w:color w:val="000000" w:themeColor="text1"/>
          <w:sz w:val="32"/>
          <w14:textFill>
            <w14:solidFill>
              <w14:schemeClr w14:val="tx1"/>
            </w14:solidFill>
          </w14:textFill>
        </w:rPr>
        <w:t>年</w:t>
      </w:r>
      <w:r>
        <w:rPr>
          <w:rFonts w:hint="eastAsia" w:ascii="仿宋_GB2312" w:hAnsi="仿宋" w:eastAsia="仿宋_GB2312"/>
          <w:color w:val="000000" w:themeColor="text1"/>
          <w:sz w:val="32"/>
          <w:lang w:val="en-US" w:eastAsia="zh-CN"/>
          <w14:textFill>
            <w14:solidFill>
              <w14:schemeClr w14:val="tx1"/>
            </w14:solidFill>
          </w14:textFill>
        </w:rPr>
        <w:t>十</w:t>
      </w:r>
      <w:r>
        <w:rPr>
          <w:rFonts w:ascii="仿宋_GB2312" w:hAnsi="仿宋" w:eastAsia="仿宋_GB2312"/>
          <w:color w:val="000000" w:themeColor="text1"/>
          <w:sz w:val="32"/>
          <w14:textFill>
            <w14:solidFill>
              <w14:schemeClr w14:val="tx1"/>
            </w14:solidFill>
          </w14:textFill>
        </w:rPr>
        <w:t>月</w:t>
      </w:r>
    </w:p>
    <w:p>
      <w:pPr>
        <w:jc w:val="center"/>
        <w:rPr>
          <w:rFonts w:ascii="黑体" w:hAnsi="黑体" w:eastAsia="黑体" w:cs="黑体"/>
          <w:sz w:val="32"/>
          <w:szCs w:val="32"/>
        </w:rPr>
      </w:pPr>
    </w:p>
    <w:p>
      <w:pPr>
        <w:jc w:val="center"/>
        <w:rPr>
          <w:rFonts w:ascii="黑体" w:hAnsi="黑体" w:eastAsia="黑体" w:cs="黑体"/>
          <w:sz w:val="32"/>
          <w:szCs w:val="32"/>
        </w:rPr>
      </w:pPr>
    </w:p>
    <w:sdt>
      <w:sdtPr>
        <w:rPr>
          <w:rFonts w:hint="eastAsia" w:ascii="华文中宋" w:hAnsi="华文中宋" w:eastAsia="华文中宋" w:cs="华文中宋"/>
          <w:kern w:val="2"/>
          <w:sz w:val="36"/>
          <w:szCs w:val="36"/>
          <w:lang w:val="en-US" w:eastAsia="zh-CN" w:bidi="ar-SA"/>
        </w:rPr>
        <w:id w:val="147471352"/>
        <w15:color w:val="DBDBDB"/>
        <w:docPartObj>
          <w:docPartGallery w:val="Table of Contents"/>
          <w:docPartUnique/>
        </w:docPartObj>
      </w:sdtPr>
      <w:sdtEndPr>
        <w:rPr>
          <w:rFonts w:hint="eastAsia" w:ascii="华文中宋" w:hAnsi="华文中宋" w:eastAsia="华文中宋" w:cs="华文中宋"/>
          <w:kern w:val="2"/>
          <w:sz w:val="36"/>
          <w:szCs w:val="36"/>
          <w:lang w:val="en-US" w:eastAsia="zh-CN" w:bidi="ar-SA"/>
        </w:rPr>
      </w:sdtEndPr>
      <w:sdtContent>
        <w:p>
          <w:pPr>
            <w:spacing w:before="0" w:beforeLines="0" w:after="0" w:afterLines="0" w:line="240" w:lineRule="auto"/>
            <w:ind w:left="0" w:leftChars="0" w:right="0" w:rightChars="0" w:firstLine="0" w:firstLineChars="0"/>
            <w:jc w:val="center"/>
          </w:pPr>
          <w:bookmarkStart w:id="0" w:name="_Toc30300_WPSOffice_Level1"/>
          <w:bookmarkStart w:id="1" w:name="_Toc23471_WPSOffice_Level1"/>
          <w:bookmarkStart w:id="2" w:name="_Toc29467_WPSOffice_Level1"/>
          <w:bookmarkStart w:id="3" w:name="_Toc21842_WPSOffice_Level1"/>
          <w:bookmarkStart w:id="4" w:name="_Toc26975_WPSOffice_Level1"/>
          <w:bookmarkStart w:id="5" w:name="_Toc12127_WPSOffice_Level1"/>
          <w:r>
            <w:rPr>
              <w:rFonts w:hint="eastAsia" w:ascii="华文中宋" w:hAnsi="华文中宋" w:eastAsia="华文中宋" w:cs="华文中宋"/>
              <w:sz w:val="36"/>
              <w:szCs w:val="36"/>
            </w:rPr>
            <w:t>目录</w:t>
          </w:r>
          <w:r>
            <w:fldChar w:fldCharType="begin"/>
          </w:r>
          <w:r>
            <w:instrText xml:space="preserve">TOC \o "1-3" \h \u </w:instrText>
          </w:r>
          <w:r>
            <w:fldChar w:fldCharType="separate"/>
          </w:r>
        </w:p>
        <w:p>
          <w:pPr>
            <w:pStyle w:val="29"/>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_Toc3174 </w:instrText>
          </w:r>
          <w:r>
            <w:rPr>
              <w:rFonts w:hint="eastAsia" w:ascii="华文楷体" w:hAnsi="华文楷体" w:eastAsia="华文楷体" w:cs="华文楷体"/>
              <w:b w:val="0"/>
              <w:bCs w:val="0"/>
              <w:sz w:val="24"/>
              <w:szCs w:val="24"/>
            </w:rPr>
            <w:fldChar w:fldCharType="separate"/>
          </w:r>
          <w:r>
            <w:rPr>
              <w:rFonts w:hint="eastAsia" w:ascii="黑体" w:hAnsi="黑体" w:eastAsia="黑体" w:cs="黑体"/>
              <w:b w:val="0"/>
              <w:bCs w:val="0"/>
              <w:sz w:val="24"/>
              <w:szCs w:val="24"/>
              <w:shd w:val="clear" w:fill="FFFFFF"/>
            </w:rPr>
            <w:t xml:space="preserve">一、 </w:t>
          </w:r>
          <w:r>
            <w:rPr>
              <w:rFonts w:hint="eastAsia" w:ascii="黑体" w:hAnsi="黑体" w:eastAsia="黑体" w:cs="黑体"/>
              <w:b w:val="0"/>
              <w:bCs w:val="0"/>
              <w:sz w:val="24"/>
              <w:szCs w:val="24"/>
            </w:rPr>
            <w:t>项目</w:t>
          </w:r>
          <w:r>
            <w:rPr>
              <w:rFonts w:hint="eastAsia" w:ascii="黑体" w:hAnsi="黑体" w:eastAsia="黑体" w:cs="黑体"/>
              <w:b w:val="0"/>
              <w:bCs w:val="0"/>
              <w:sz w:val="24"/>
              <w:szCs w:val="24"/>
              <w:shd w:val="clear" w:color="auto" w:fill="FFFFFF"/>
            </w:rPr>
            <w:t>基本情况</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_Toc3174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2</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_Toc9915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lang w:val="en-US"/>
            </w:rPr>
            <w:t xml:space="preserve">（一） </w:t>
          </w:r>
          <w:r>
            <w:rPr>
              <w:rFonts w:hint="eastAsia" w:ascii="华文楷体" w:hAnsi="华文楷体" w:eastAsia="华文楷体" w:cs="华文楷体"/>
              <w:b w:val="0"/>
              <w:bCs w:val="0"/>
              <w:sz w:val="24"/>
              <w:szCs w:val="24"/>
            </w:rPr>
            <w:t>项目单位</w:t>
          </w:r>
          <w:r>
            <w:rPr>
              <w:rFonts w:hint="eastAsia" w:ascii="华文楷体" w:hAnsi="华文楷体" w:eastAsia="华文楷体" w:cs="华文楷体"/>
              <w:b w:val="0"/>
              <w:bCs w:val="0"/>
              <w:sz w:val="24"/>
              <w:szCs w:val="24"/>
              <w:lang w:val="en-US" w:eastAsia="zh-CN"/>
            </w:rPr>
            <w:t>相关职责</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_Toc9915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2</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_Toc21040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（二） 项目背景和依据</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_Toc21040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2</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_Toc7717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（三） 项目资金安排及拨付情况</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_Toc7717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3</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_Toc22070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（四） 项目资金使用情况</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_Toc22070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4</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_Toc1376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（五） 项目绩效目标及完成情况</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_Toc1376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4</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29"/>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_Toc12349 </w:instrText>
          </w:r>
          <w:r>
            <w:rPr>
              <w:rFonts w:hint="eastAsia" w:ascii="华文楷体" w:hAnsi="华文楷体" w:eastAsia="华文楷体" w:cs="华文楷体"/>
              <w:b w:val="0"/>
              <w:bCs w:val="0"/>
              <w:sz w:val="24"/>
              <w:szCs w:val="24"/>
            </w:rPr>
            <w:fldChar w:fldCharType="separate"/>
          </w:r>
          <w:r>
            <w:rPr>
              <w:rFonts w:hint="eastAsia" w:ascii="黑体" w:hAnsi="黑体" w:eastAsia="黑体" w:cs="黑体"/>
              <w:b w:val="0"/>
              <w:bCs w:val="0"/>
              <w:sz w:val="24"/>
              <w:szCs w:val="24"/>
            </w:rPr>
            <w:t>二、 项目资金绩效评价及分析</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_Toc12349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5</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_Toc2890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（一） 评价依据</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_Toc2890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5</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_Toc6439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（二） 评价方法</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_Toc6439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6</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_Toc15539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（三） 评价指标</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_Toc15539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6</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_Toc11288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（四） 评价结论</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_Toc11288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7</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_Toc19320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（五） 评价指标分析</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_Toc19320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7</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_Toc29084 </w:instrText>
          </w:r>
          <w:r>
            <w:rPr>
              <w:rFonts w:hint="eastAsia" w:ascii="华文楷体" w:hAnsi="华文楷体" w:eastAsia="华文楷体" w:cs="华文楷体"/>
              <w:b w:val="0"/>
              <w:bCs w:val="0"/>
              <w:sz w:val="24"/>
              <w:szCs w:val="24"/>
            </w:rPr>
            <w:fldChar w:fldCharType="separate"/>
          </w:r>
          <w:r>
            <w:rPr>
              <w:rFonts w:hint="eastAsia" w:ascii="华文仿宋" w:hAnsi="华文仿宋" w:eastAsia="华文仿宋" w:cs="华文仿宋"/>
              <w:b w:val="0"/>
              <w:bCs w:val="0"/>
              <w:sz w:val="24"/>
              <w:szCs w:val="24"/>
            </w:rPr>
            <w:t>1. 项目投入</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_Toc29084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7</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_Toc19348 </w:instrText>
          </w:r>
          <w:r>
            <w:rPr>
              <w:rFonts w:hint="eastAsia" w:ascii="华文楷体" w:hAnsi="华文楷体" w:eastAsia="华文楷体" w:cs="华文楷体"/>
              <w:b w:val="0"/>
              <w:bCs w:val="0"/>
              <w:sz w:val="24"/>
              <w:szCs w:val="24"/>
            </w:rPr>
            <w:fldChar w:fldCharType="separate"/>
          </w:r>
          <w:r>
            <w:rPr>
              <w:rFonts w:hint="eastAsia" w:ascii="华文仿宋" w:hAnsi="华文仿宋" w:eastAsia="华文仿宋" w:cs="华文仿宋"/>
              <w:b w:val="0"/>
              <w:bCs w:val="0"/>
              <w:sz w:val="24"/>
              <w:szCs w:val="24"/>
            </w:rPr>
            <w:t>2. 项目实施过程</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_Toc19348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9</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1"/>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_Toc3318 </w:instrText>
          </w:r>
          <w:r>
            <w:rPr>
              <w:rFonts w:hint="eastAsia" w:ascii="华文楷体" w:hAnsi="华文楷体" w:eastAsia="华文楷体" w:cs="华文楷体"/>
              <w:b w:val="0"/>
              <w:bCs w:val="0"/>
              <w:sz w:val="24"/>
              <w:szCs w:val="24"/>
            </w:rPr>
            <w:fldChar w:fldCharType="separate"/>
          </w:r>
          <w:r>
            <w:rPr>
              <w:rFonts w:hint="eastAsia" w:ascii="华文仿宋" w:hAnsi="华文仿宋" w:eastAsia="华文仿宋" w:cs="华文仿宋"/>
              <w:b w:val="0"/>
              <w:bCs w:val="0"/>
              <w:sz w:val="24"/>
              <w:szCs w:val="24"/>
            </w:rPr>
            <w:t>3. 项目产出及效果</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_Toc3318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11</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29"/>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_Toc32164 </w:instrText>
          </w:r>
          <w:r>
            <w:rPr>
              <w:rFonts w:hint="eastAsia" w:ascii="华文楷体" w:hAnsi="华文楷体" w:eastAsia="华文楷体" w:cs="华文楷体"/>
              <w:b w:val="0"/>
              <w:bCs w:val="0"/>
              <w:sz w:val="24"/>
              <w:szCs w:val="24"/>
            </w:rPr>
            <w:fldChar w:fldCharType="separate"/>
          </w:r>
          <w:r>
            <w:rPr>
              <w:rFonts w:hint="eastAsia" w:ascii="黑体" w:hAnsi="黑体" w:eastAsia="黑体" w:cs="黑体"/>
              <w:b w:val="0"/>
              <w:bCs w:val="0"/>
              <w:sz w:val="24"/>
              <w:szCs w:val="24"/>
            </w:rPr>
            <w:t>三、 存在的主要问题</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_Toc32164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12</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29"/>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_Toc25866 </w:instrText>
          </w:r>
          <w:r>
            <w:rPr>
              <w:rFonts w:hint="eastAsia" w:ascii="华文楷体" w:hAnsi="华文楷体" w:eastAsia="华文楷体" w:cs="华文楷体"/>
              <w:b w:val="0"/>
              <w:bCs w:val="0"/>
              <w:sz w:val="24"/>
              <w:szCs w:val="24"/>
            </w:rPr>
            <w:fldChar w:fldCharType="separate"/>
          </w:r>
          <w:r>
            <w:rPr>
              <w:rFonts w:hint="eastAsia" w:ascii="黑体" w:hAnsi="黑体" w:eastAsia="黑体" w:cs="黑体"/>
              <w:b w:val="0"/>
              <w:bCs w:val="0"/>
              <w:sz w:val="24"/>
              <w:szCs w:val="24"/>
            </w:rPr>
            <w:t>四、 相关建议</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_Toc25866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12</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_Toc15031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（一） 建议进一步规范绩效目标设置</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_Toc15031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12</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_Toc11649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（二） 建议及时调整预算，提升专项资金使用效率</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_Toc11649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13</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30"/>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_Toc29532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（三） 建议搭建社会扶助平台，加大特困家庭帮扶力度</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_Toc29532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13</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29"/>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_Toc1090 </w:instrText>
          </w:r>
          <w:r>
            <w:rPr>
              <w:rFonts w:hint="eastAsia" w:ascii="华文楷体" w:hAnsi="华文楷体" w:eastAsia="华文楷体" w:cs="华文楷体"/>
              <w:b w:val="0"/>
              <w:bCs w:val="0"/>
              <w:sz w:val="24"/>
              <w:szCs w:val="24"/>
            </w:rPr>
            <w:fldChar w:fldCharType="separate"/>
          </w:r>
          <w:r>
            <w:rPr>
              <w:rFonts w:hint="eastAsia" w:ascii="黑体" w:hAnsi="黑体" w:eastAsia="黑体" w:cs="黑体"/>
              <w:b w:val="0"/>
              <w:bCs w:val="0"/>
              <w:sz w:val="24"/>
              <w:szCs w:val="24"/>
            </w:rPr>
            <w:t>五、 需说明的问题</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_Toc1090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13</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pPr>
            <w:pStyle w:val="29"/>
            <w:keepNext w:val="0"/>
            <w:keepLines w:val="0"/>
            <w:pageBreakBefore w:val="0"/>
            <w:widowControl/>
            <w:tabs>
              <w:tab w:val="right" w:leader="dot" w:pos="8844"/>
            </w:tabs>
            <w:kinsoku/>
            <w:wordWrap/>
            <w:overflowPunct/>
            <w:topLinePunct w:val="0"/>
            <w:autoSpaceDE/>
            <w:autoSpaceDN/>
            <w:bidi w:val="0"/>
            <w:adjustRightInd/>
            <w:snapToGrid/>
            <w:spacing w:line="500" w:lineRule="exact"/>
            <w:textAlignment w:val="auto"/>
            <w:rPr>
              <w:rFonts w:hint="eastAsia" w:ascii="华文楷体" w:hAnsi="华文楷体" w:eastAsia="华文楷体" w:cs="华文楷体"/>
              <w:b w:val="0"/>
              <w:bCs w:val="0"/>
              <w:sz w:val="24"/>
              <w:szCs w:val="24"/>
            </w:rPr>
          </w:pP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HYPERLINK \l _Toc5409 </w:instrText>
          </w:r>
          <w:r>
            <w:rPr>
              <w:rFonts w:hint="eastAsia" w:ascii="华文楷体" w:hAnsi="华文楷体" w:eastAsia="华文楷体" w:cs="华文楷体"/>
              <w:b w:val="0"/>
              <w:bCs w:val="0"/>
              <w:sz w:val="24"/>
              <w:szCs w:val="24"/>
            </w:rPr>
            <w:fldChar w:fldCharType="separate"/>
          </w:r>
          <w:r>
            <w:rPr>
              <w:rFonts w:hint="eastAsia" w:ascii="黑体" w:hAnsi="黑体" w:eastAsia="黑体" w:cs="黑体"/>
              <w:b w:val="0"/>
              <w:bCs w:val="0"/>
              <w:sz w:val="24"/>
              <w:szCs w:val="24"/>
            </w:rPr>
            <w:t>附件</w:t>
          </w:r>
          <w:r>
            <w:rPr>
              <w:rFonts w:hint="eastAsia" w:ascii="华文楷体" w:hAnsi="华文楷体" w:eastAsia="华文楷体" w:cs="华文楷体"/>
              <w:b w:val="0"/>
              <w:bCs w:val="0"/>
              <w:sz w:val="24"/>
              <w:szCs w:val="24"/>
            </w:rPr>
            <w:tab/>
          </w:r>
          <w:r>
            <w:rPr>
              <w:rFonts w:hint="eastAsia" w:ascii="华文楷体" w:hAnsi="华文楷体" w:eastAsia="华文楷体" w:cs="华文楷体"/>
              <w:b w:val="0"/>
              <w:bCs w:val="0"/>
              <w:sz w:val="24"/>
              <w:szCs w:val="24"/>
            </w:rPr>
            <w:fldChar w:fldCharType="begin"/>
          </w:r>
          <w:r>
            <w:rPr>
              <w:rFonts w:hint="eastAsia" w:ascii="华文楷体" w:hAnsi="华文楷体" w:eastAsia="华文楷体" w:cs="华文楷体"/>
              <w:b w:val="0"/>
              <w:bCs w:val="0"/>
              <w:sz w:val="24"/>
              <w:szCs w:val="24"/>
            </w:rPr>
            <w:instrText xml:space="preserve"> PAGEREF _Toc5409 </w:instrText>
          </w:r>
          <w:r>
            <w:rPr>
              <w:rFonts w:hint="eastAsia" w:ascii="华文楷体" w:hAnsi="华文楷体" w:eastAsia="华文楷体" w:cs="华文楷体"/>
              <w:b w:val="0"/>
              <w:bCs w:val="0"/>
              <w:sz w:val="24"/>
              <w:szCs w:val="24"/>
            </w:rPr>
            <w:fldChar w:fldCharType="separate"/>
          </w:r>
          <w:r>
            <w:rPr>
              <w:rFonts w:hint="eastAsia" w:ascii="华文楷体" w:hAnsi="华文楷体" w:eastAsia="华文楷体" w:cs="华文楷体"/>
              <w:b w:val="0"/>
              <w:bCs w:val="0"/>
              <w:sz w:val="24"/>
              <w:szCs w:val="24"/>
            </w:rPr>
            <w:t>15</w:t>
          </w:r>
          <w:r>
            <w:rPr>
              <w:rFonts w:hint="eastAsia" w:ascii="华文楷体" w:hAnsi="华文楷体" w:eastAsia="华文楷体" w:cs="华文楷体"/>
              <w:b w:val="0"/>
              <w:bCs w:val="0"/>
              <w:sz w:val="24"/>
              <w:szCs w:val="24"/>
            </w:rPr>
            <w:fldChar w:fldCharType="end"/>
          </w:r>
          <w:r>
            <w:rPr>
              <w:rFonts w:hint="eastAsia" w:ascii="华文楷体" w:hAnsi="华文楷体" w:eastAsia="华文楷体" w:cs="华文楷体"/>
              <w:b w:val="0"/>
              <w:bCs w:val="0"/>
              <w:sz w:val="24"/>
              <w:szCs w:val="24"/>
            </w:rPr>
            <w:fldChar w:fldCharType="end"/>
          </w:r>
        </w:p>
        <w:p>
          <w:r>
            <w:fldChar w:fldCharType="end"/>
          </w:r>
        </w:p>
      </w:sdtContent>
    </w:sdt>
    <w:p>
      <w:pPr>
        <w:spacing w:line="600" w:lineRule="exact"/>
        <w:jc w:val="center"/>
        <w:outlineLvl w:val="0"/>
        <w:rPr>
          <w:rFonts w:hint="eastAsia" w:ascii="华文中宋" w:hAnsi="华文中宋" w:eastAsia="华文中宋"/>
          <w:b/>
          <w:color w:val="000000" w:themeColor="text1"/>
          <w:sz w:val="44"/>
          <w:szCs w:val="44"/>
          <w14:textFill>
            <w14:solidFill>
              <w14:schemeClr w14:val="tx1"/>
            </w14:solidFill>
          </w14:textFill>
        </w:rPr>
        <w:sectPr>
          <w:pgSz w:w="11906" w:h="16838"/>
          <w:pgMar w:top="1440" w:right="1474" w:bottom="1440" w:left="1588" w:header="851" w:footer="992" w:gutter="0"/>
          <w:pgNumType w:fmt="decimal" w:start="1"/>
          <w:cols w:space="425" w:num="1"/>
          <w:docGrid w:type="lines" w:linePitch="312" w:charSpace="0"/>
        </w:sectPr>
      </w:pPr>
      <w:bookmarkStart w:id="6" w:name="_Toc1585"/>
    </w:p>
    <w:p>
      <w:pPr>
        <w:spacing w:line="600" w:lineRule="exact"/>
        <w:jc w:val="center"/>
        <w:outlineLvl w:val="0"/>
        <w:rPr>
          <w:rFonts w:ascii="华文中宋" w:hAnsi="华文中宋" w:eastAsia="华文中宋"/>
          <w:b/>
          <w:color w:val="000000" w:themeColor="text1"/>
          <w:sz w:val="44"/>
          <w:szCs w:val="44"/>
          <w14:textFill>
            <w14:solidFill>
              <w14:schemeClr w14:val="tx1"/>
            </w14:solidFill>
          </w14:textFill>
        </w:rPr>
      </w:pPr>
      <w:r>
        <w:rPr>
          <w:rFonts w:hint="eastAsia" w:ascii="华文中宋" w:hAnsi="华文中宋" w:eastAsia="华文中宋"/>
          <w:b/>
          <w:color w:val="000000" w:themeColor="text1"/>
          <w:sz w:val="44"/>
          <w:szCs w:val="44"/>
          <w14:textFill>
            <w14:solidFill>
              <w14:schemeClr w14:val="tx1"/>
            </w14:solidFill>
          </w14:textFill>
        </w:rPr>
        <w:t>怀化市鹤城区</w:t>
      </w:r>
      <w:bookmarkEnd w:id="0"/>
      <w:bookmarkStart w:id="7" w:name="_Toc17552_WPSOffice_Level1"/>
      <w:r>
        <w:rPr>
          <w:rFonts w:hint="eastAsia" w:ascii="华文中宋" w:hAnsi="华文中宋" w:eastAsia="华文中宋"/>
          <w:b/>
          <w:color w:val="000000" w:themeColor="text1"/>
          <w:sz w:val="44"/>
          <w:szCs w:val="44"/>
          <w14:textFill>
            <w14:solidFill>
              <w14:schemeClr w14:val="tx1"/>
            </w14:solidFill>
          </w14:textFill>
        </w:rPr>
        <w:t>2018年计生特别扶助项目</w:t>
      </w:r>
      <w:bookmarkEnd w:id="1"/>
      <w:bookmarkEnd w:id="2"/>
      <w:bookmarkEnd w:id="6"/>
      <w:bookmarkStart w:id="8" w:name="_Toc30820_WPSOffice_Level1"/>
    </w:p>
    <w:p>
      <w:pPr>
        <w:spacing w:line="600" w:lineRule="exact"/>
        <w:jc w:val="center"/>
        <w:outlineLvl w:val="0"/>
        <w:rPr>
          <w:rFonts w:ascii="华文中宋" w:hAnsi="华文中宋" w:eastAsia="华文中宋"/>
          <w:b/>
          <w:color w:val="000000" w:themeColor="text1"/>
          <w:sz w:val="44"/>
          <w:szCs w:val="44"/>
          <w14:textFill>
            <w14:solidFill>
              <w14:schemeClr w14:val="tx1"/>
            </w14:solidFill>
          </w14:textFill>
        </w:rPr>
      </w:pPr>
      <w:bookmarkStart w:id="9" w:name="_Toc5567_WPSOffice_Level1"/>
      <w:bookmarkStart w:id="10" w:name="_Toc4028"/>
      <w:r>
        <w:rPr>
          <w:rFonts w:hint="eastAsia" w:ascii="华文中宋" w:hAnsi="华文中宋" w:eastAsia="华文中宋"/>
          <w:b/>
          <w:color w:val="000000" w:themeColor="text1"/>
          <w:sz w:val="44"/>
          <w:szCs w:val="44"/>
          <w14:textFill>
            <w14:solidFill>
              <w14:schemeClr w14:val="tx1"/>
            </w14:solidFill>
          </w14:textFill>
        </w:rPr>
        <w:t>资金绩效评价报告</w:t>
      </w:r>
      <w:bookmarkEnd w:id="3"/>
      <w:bookmarkEnd w:id="4"/>
      <w:bookmarkEnd w:id="5"/>
      <w:bookmarkEnd w:id="7"/>
      <w:bookmarkEnd w:id="8"/>
      <w:bookmarkEnd w:id="9"/>
      <w:bookmarkEnd w:id="10"/>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sz w:val="32"/>
          <w:szCs w:val="32"/>
        </w:rPr>
      </w:pPr>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sz w:val="32"/>
          <w:szCs w:val="32"/>
        </w:rPr>
      </w:pPr>
      <w:r>
        <w:rPr>
          <w:rFonts w:hint="eastAsia" w:ascii="华文仿宋" w:hAnsi="华文仿宋" w:eastAsia="华文仿宋" w:cs="华文仿宋"/>
          <w:sz w:val="32"/>
          <w:szCs w:val="32"/>
        </w:rPr>
        <w:t>为贯彻</w:t>
      </w:r>
      <w:r>
        <w:rPr>
          <w:rFonts w:ascii="华文仿宋" w:hAnsi="华文仿宋" w:eastAsia="华文仿宋" w:cs="华文仿宋"/>
          <w:sz w:val="32"/>
          <w:szCs w:val="32"/>
        </w:rPr>
        <w:t>落实党中央国务院、省委省政府关于全面实施预算绩效管理的决策部署，切实</w:t>
      </w:r>
      <w:r>
        <w:rPr>
          <w:rFonts w:hint="eastAsia" w:ascii="华文仿宋" w:hAnsi="华文仿宋" w:eastAsia="华文仿宋" w:cs="华文仿宋"/>
          <w:color w:val="000000" w:themeColor="text1"/>
          <w:sz w:val="32"/>
          <w:szCs w:val="32"/>
          <w14:textFill>
            <w14:solidFill>
              <w14:schemeClr w14:val="tx1"/>
            </w14:solidFill>
          </w14:textFill>
        </w:rPr>
        <w:t>加强财政支出预算绩效管理，提高财政资金使用效益，依据《中华人民共和国预算法》、</w:t>
      </w:r>
      <w:r>
        <w:rPr>
          <w:rFonts w:hint="eastAsia" w:ascii="华文仿宋" w:hAnsi="华文仿宋" w:eastAsia="华文仿宋" w:cs="华文仿宋"/>
          <w:sz w:val="32"/>
          <w:szCs w:val="32"/>
        </w:rPr>
        <w:t>《党政机关厉行节约反对浪费条例》、</w:t>
      </w:r>
      <w:r>
        <w:rPr>
          <w:rFonts w:hint="eastAsia" w:ascii="华文仿宋" w:hAnsi="华文仿宋" w:eastAsia="华文仿宋" w:cs="华文仿宋"/>
          <w:color w:val="000000" w:themeColor="text1"/>
          <w:sz w:val="32"/>
          <w:szCs w:val="32"/>
          <w14:textFill>
            <w14:solidFill>
              <w14:schemeClr w14:val="tx1"/>
            </w14:solidFill>
          </w14:textFill>
        </w:rPr>
        <w:t>《中共中央</w:t>
      </w:r>
      <w:bookmarkStart w:id="138" w:name="_GoBack"/>
      <w:r>
        <w:rPr>
          <w:rFonts w:hint="eastAsia" w:ascii="华文仿宋" w:hAnsi="华文仿宋" w:eastAsia="华文仿宋" w:cs="华文仿宋"/>
          <w:color w:val="000000" w:themeColor="text1"/>
          <w:sz w:val="32"/>
          <w:szCs w:val="32"/>
          <w14:textFill>
            <w14:solidFill>
              <w14:schemeClr w14:val="tx1"/>
            </w14:solidFill>
          </w14:textFill>
        </w:rPr>
        <w:t>国务院</w:t>
      </w:r>
      <w:bookmarkEnd w:id="138"/>
      <w:r>
        <w:rPr>
          <w:rFonts w:hint="eastAsia" w:ascii="华文仿宋" w:hAnsi="华文仿宋" w:eastAsia="华文仿宋" w:cs="华文仿宋"/>
          <w:color w:val="000000" w:themeColor="text1"/>
          <w:sz w:val="32"/>
          <w:szCs w:val="32"/>
          <w14:textFill>
            <w14:solidFill>
              <w14:schemeClr w14:val="tx1"/>
            </w14:solidFill>
          </w14:textFill>
        </w:rPr>
        <w:t>关于全面实施预算绩效管理的意见》（中发〔2018〕34号）、《</w:t>
      </w:r>
      <w:r>
        <w:rPr>
          <w:rFonts w:hint="eastAsia" w:ascii="华文仿宋" w:hAnsi="华文仿宋" w:eastAsia="华文仿宋" w:cs="华文仿宋"/>
          <w:bCs/>
          <w:color w:val="000000" w:themeColor="text1"/>
          <w:sz w:val="32"/>
          <w:szCs w:val="32"/>
          <w14:textFill>
            <w14:solidFill>
              <w14:schemeClr w14:val="tx1"/>
            </w14:solidFill>
          </w14:textFill>
        </w:rPr>
        <w:t>中共湖南省委办公厅湖南省人民政府办公厅关于全面实施预算绩效管理的实施意见》</w:t>
      </w:r>
      <w:r>
        <w:rPr>
          <w:rFonts w:hint="eastAsia" w:ascii="华文仿宋" w:hAnsi="华文仿宋" w:eastAsia="华文仿宋" w:cs="华文仿宋"/>
          <w:color w:val="000000" w:themeColor="text1"/>
          <w:sz w:val="32"/>
          <w:szCs w:val="32"/>
          <w14:textFill>
            <w14:solidFill>
              <w14:schemeClr w14:val="tx1"/>
            </w14:solidFill>
          </w14:textFill>
        </w:rPr>
        <w:t>（湘办发〔2019〕10号）等有关规定，按照《2018年度预算绩效管理工作实施方案》（鹤财绩〔2018〕26号）等文件</w:t>
      </w:r>
      <w:r>
        <w:rPr>
          <w:rFonts w:ascii="华文仿宋" w:hAnsi="华文仿宋" w:eastAsia="华文仿宋" w:cs="华文仿宋"/>
          <w:color w:val="000000" w:themeColor="text1"/>
          <w:sz w:val="32"/>
          <w:szCs w:val="32"/>
          <w14:textFill>
            <w14:solidFill>
              <w14:schemeClr w14:val="tx1"/>
            </w14:solidFill>
          </w14:textFill>
        </w:rPr>
        <w:t>要求</w:t>
      </w:r>
      <w:r>
        <w:rPr>
          <w:rFonts w:hint="eastAsia"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sz w:val="32"/>
          <w:szCs w:val="32"/>
        </w:rPr>
        <w:t>受</w:t>
      </w:r>
      <w:r>
        <w:rPr>
          <w:rFonts w:ascii="华文仿宋" w:hAnsi="华文仿宋" w:eastAsia="华文仿宋" w:cs="华文仿宋"/>
          <w:sz w:val="32"/>
          <w:szCs w:val="32"/>
        </w:rPr>
        <w:t>怀化市鹤城区财政局</w:t>
      </w:r>
      <w:r>
        <w:rPr>
          <w:rFonts w:hint="eastAsia" w:ascii="华文仿宋" w:hAnsi="华文仿宋" w:eastAsia="华文仿宋" w:cs="华文仿宋"/>
          <w:color w:val="000000" w:themeColor="text1"/>
          <w:sz w:val="32"/>
          <w:szCs w:val="32"/>
          <w14:textFill>
            <w14:solidFill>
              <w14:schemeClr w14:val="tx1"/>
            </w14:solidFill>
          </w14:textFill>
        </w:rPr>
        <w:t>委托，湖南</w:t>
      </w:r>
      <w:r>
        <w:rPr>
          <w:rFonts w:hint="eastAsia" w:ascii="华文仿宋" w:hAnsi="华文仿宋" w:eastAsia="华文仿宋" w:cs="华文仿宋"/>
          <w:sz w:val="32"/>
          <w:szCs w:val="32"/>
        </w:rPr>
        <w:t>惟楚创智经济咨询有限责任公司（以下简称惟楚创智）于2019年9月对鹤城区卫生健康局（以下</w:t>
      </w:r>
      <w:r>
        <w:rPr>
          <w:rFonts w:ascii="华文仿宋" w:hAnsi="华文仿宋" w:eastAsia="华文仿宋" w:cs="华文仿宋"/>
          <w:sz w:val="32"/>
          <w:szCs w:val="32"/>
        </w:rPr>
        <w:t>简称区卫生局）</w:t>
      </w:r>
      <w:r>
        <w:rPr>
          <w:rFonts w:hint="eastAsia" w:ascii="华文仿宋" w:hAnsi="华文仿宋" w:eastAsia="华文仿宋" w:cs="华文仿宋"/>
          <w:sz w:val="32"/>
          <w:szCs w:val="32"/>
        </w:rPr>
        <w:t>2018年特别扶助项目（以下简称特别扶助项目）资金</w:t>
      </w:r>
      <w:r>
        <w:rPr>
          <w:rFonts w:hint="eastAsia" w:ascii="华文仿宋" w:hAnsi="华文仿宋" w:eastAsia="华文仿宋" w:cs="华文仿宋"/>
          <w:sz w:val="32"/>
          <w:szCs w:val="32"/>
          <w:lang w:val="en-US" w:eastAsia="zh-CN"/>
        </w:rPr>
        <w:t>开展</w:t>
      </w:r>
      <w:r>
        <w:rPr>
          <w:rFonts w:hint="eastAsia" w:ascii="华文仿宋" w:hAnsi="华文仿宋" w:eastAsia="华文仿宋" w:cs="华文仿宋"/>
          <w:sz w:val="32"/>
          <w:szCs w:val="32"/>
        </w:rPr>
        <w:t>了预算绩效评价</w:t>
      </w:r>
      <w:r>
        <w:rPr>
          <w:rFonts w:hint="eastAsia" w:ascii="华文仿宋" w:hAnsi="华文仿宋" w:eastAsia="华文仿宋" w:cs="华文仿宋"/>
          <w:sz w:val="32"/>
          <w:szCs w:val="32"/>
          <w:lang w:val="en-US" w:eastAsia="zh-CN"/>
        </w:rPr>
        <w:t>工作</w:t>
      </w:r>
      <w:r>
        <w:rPr>
          <w:rFonts w:hint="eastAsia" w:ascii="华文仿宋" w:hAnsi="华文仿宋" w:eastAsia="华文仿宋" w:cs="华文仿宋"/>
          <w:sz w:val="32"/>
          <w:szCs w:val="32"/>
        </w:rPr>
        <w:t>。</w:t>
      </w:r>
    </w:p>
    <w:p>
      <w:pPr>
        <w:spacing w:line="600" w:lineRule="exact"/>
        <w:ind w:firstLine="640" w:firstLineChars="200"/>
        <w:rPr>
          <w:rFonts w:eastAsia="仿宋"/>
          <w:color w:val="000000"/>
          <w:sz w:val="32"/>
          <w:szCs w:val="32"/>
        </w:rPr>
      </w:pPr>
      <w:r>
        <w:rPr>
          <w:rFonts w:hint="eastAsia" w:ascii="华文仿宋" w:hAnsi="华文仿宋" w:eastAsia="华文仿宋" w:cs="华文仿宋"/>
          <w:sz w:val="32"/>
          <w:szCs w:val="32"/>
        </w:rPr>
        <w:t>惟楚创智遵循“科学规范、公正公开、分级分类、绩效相关”原则，运用科学、合理的绩效评价指标、评价标准和评价方法，结合项目资金实际使用情况及现场调研结果，</w:t>
      </w:r>
      <w:r>
        <w:rPr>
          <w:rFonts w:hint="eastAsia" w:ascii="华文仿宋" w:hAnsi="华文仿宋" w:eastAsia="华文仿宋" w:cs="华文仿宋"/>
          <w:sz w:val="32"/>
          <w:szCs w:val="32"/>
          <w:lang w:val="en-US" w:eastAsia="zh-CN"/>
        </w:rPr>
        <w:t>经综合评定，</w:t>
      </w:r>
      <w:r>
        <w:rPr>
          <w:rFonts w:hint="eastAsia" w:ascii="华文仿宋" w:hAnsi="华文仿宋" w:eastAsia="华文仿宋" w:cs="华文仿宋"/>
          <w:sz w:val="32"/>
          <w:szCs w:val="32"/>
        </w:rPr>
        <w:t>特别扶助项目资金绩效评价得分9</w:t>
      </w:r>
      <w:r>
        <w:rPr>
          <w:rFonts w:hint="eastAsia" w:ascii="华文仿宋" w:hAnsi="华文仿宋" w:eastAsia="华文仿宋" w:cs="华文仿宋"/>
          <w:sz w:val="32"/>
          <w:szCs w:val="32"/>
          <w:lang w:val="en-US" w:eastAsia="zh-CN"/>
        </w:rPr>
        <w:t>4</w:t>
      </w:r>
      <w:r>
        <w:rPr>
          <w:rFonts w:hint="eastAsia" w:ascii="华文仿宋" w:hAnsi="华文仿宋" w:eastAsia="华文仿宋" w:cs="华文仿宋"/>
          <w:sz w:val="32"/>
          <w:szCs w:val="32"/>
        </w:rPr>
        <w:t>分，绩效评定等级为优。但该项目在绩效管理及预算资金安排方面，还存在一些问题，在今后管理中还有待</w:t>
      </w:r>
      <w:r>
        <w:rPr>
          <w:rFonts w:ascii="华文仿宋" w:hAnsi="华文仿宋" w:eastAsia="华文仿宋" w:cs="华文仿宋"/>
          <w:sz w:val="32"/>
          <w:szCs w:val="32"/>
        </w:rPr>
        <w:t>改进</w:t>
      </w:r>
      <w:r>
        <w:rPr>
          <w:rFonts w:hint="eastAsia" w:ascii="华文仿宋" w:hAnsi="华文仿宋" w:eastAsia="华文仿宋" w:cs="华文仿宋"/>
          <w:sz w:val="32"/>
          <w:szCs w:val="32"/>
        </w:rPr>
        <w:t>。现将有关情况报告如下：</w:t>
      </w:r>
    </w:p>
    <w:p>
      <w:pPr>
        <w:rPr>
          <w:rFonts w:ascii="黑体" w:hAnsi="黑体" w:eastAsia="黑体"/>
          <w:color w:val="000000" w:themeColor="text1"/>
          <w:sz w:val="32"/>
          <w:szCs w:val="32"/>
          <w:shd w:val="clear" w:color="auto" w:fill="FFFFFF"/>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br w:type="page"/>
      </w:r>
    </w:p>
    <w:p>
      <w:pPr>
        <w:pStyle w:val="13"/>
        <w:numPr>
          <w:ilvl w:val="0"/>
          <w:numId w:val="1"/>
        </w:numPr>
        <w:shd w:val="clear" w:color="auto" w:fill="FFFFFF"/>
        <w:spacing w:before="0" w:beforeAutospacing="0" w:after="0" w:afterAutospacing="0" w:line="600" w:lineRule="exact"/>
        <w:ind w:firstLine="640" w:firstLineChars="200"/>
        <w:jc w:val="both"/>
        <w:outlineLvl w:val="0"/>
        <w:rPr>
          <w:rFonts w:ascii="黑体" w:hAnsi="黑体" w:eastAsia="黑体"/>
          <w:color w:val="000000" w:themeColor="text1"/>
          <w:sz w:val="32"/>
          <w:szCs w:val="32"/>
          <w:shd w:val="clear" w:color="auto" w:fill="FFFFFF"/>
          <w14:textFill>
            <w14:solidFill>
              <w14:schemeClr w14:val="tx1"/>
            </w14:solidFill>
          </w14:textFill>
        </w:rPr>
      </w:pPr>
      <w:bookmarkStart w:id="11" w:name="_Toc3174"/>
      <w:r>
        <w:rPr>
          <w:rFonts w:hint="eastAsia" w:ascii="黑体" w:hAnsi="黑体" w:eastAsia="黑体"/>
          <w:color w:val="000000" w:themeColor="text1"/>
          <w:sz w:val="32"/>
          <w:szCs w:val="32"/>
          <w14:textFill>
            <w14:solidFill>
              <w14:schemeClr w14:val="tx1"/>
            </w14:solidFill>
          </w14:textFill>
        </w:rPr>
        <w:t>项目</w:t>
      </w:r>
      <w:r>
        <w:rPr>
          <w:rFonts w:hint="eastAsia" w:ascii="黑体" w:hAnsi="黑体" w:eastAsia="黑体"/>
          <w:color w:val="000000" w:themeColor="text1"/>
          <w:sz w:val="32"/>
          <w:szCs w:val="32"/>
          <w:shd w:val="clear" w:color="auto" w:fill="FFFFFF"/>
          <w14:textFill>
            <w14:solidFill>
              <w14:schemeClr w14:val="tx1"/>
            </w14:solidFill>
          </w14:textFill>
        </w:rPr>
        <w:t>基本情况</w:t>
      </w:r>
      <w:bookmarkEnd w:id="11"/>
    </w:p>
    <w:p>
      <w:pPr>
        <w:numPr>
          <w:ilvl w:val="0"/>
          <w:numId w:val="2"/>
        </w:numPr>
        <w:adjustRightInd w:val="0"/>
        <w:snapToGrid w:val="0"/>
        <w:spacing w:line="600" w:lineRule="exact"/>
        <w:ind w:firstLine="641" w:firstLineChars="200"/>
        <w:jc w:val="left"/>
        <w:outlineLvl w:val="1"/>
        <w:rPr>
          <w:rFonts w:hint="default" w:ascii="华文楷体" w:hAnsi="华文楷体" w:eastAsia="华文楷体"/>
          <w:b/>
          <w:color w:val="000000" w:themeColor="text1"/>
          <w:sz w:val="32"/>
          <w:szCs w:val="32"/>
          <w:lang w:val="en-US"/>
          <w14:textFill>
            <w14:solidFill>
              <w14:schemeClr w14:val="tx1"/>
            </w14:solidFill>
          </w14:textFill>
        </w:rPr>
      </w:pPr>
      <w:bookmarkStart w:id="12" w:name="_Toc9915"/>
      <w:r>
        <w:rPr>
          <w:rFonts w:hint="eastAsia" w:ascii="华文楷体" w:hAnsi="华文楷体" w:eastAsia="华文楷体"/>
          <w:b/>
          <w:color w:val="000000" w:themeColor="text1"/>
          <w:sz w:val="32"/>
          <w:szCs w:val="32"/>
          <w14:textFill>
            <w14:solidFill>
              <w14:schemeClr w14:val="tx1"/>
            </w14:solidFill>
          </w14:textFill>
        </w:rPr>
        <w:t>项目单位</w:t>
      </w:r>
      <w:r>
        <w:rPr>
          <w:rFonts w:hint="eastAsia" w:ascii="华文楷体" w:hAnsi="华文楷体" w:eastAsia="华文楷体"/>
          <w:b/>
          <w:color w:val="000000" w:themeColor="text1"/>
          <w:sz w:val="32"/>
          <w:szCs w:val="32"/>
          <w:lang w:val="en-US" w:eastAsia="zh-CN"/>
          <w14:textFill>
            <w14:solidFill>
              <w14:schemeClr w14:val="tx1"/>
            </w14:solidFill>
          </w14:textFill>
        </w:rPr>
        <w:t>相关职责</w:t>
      </w:r>
      <w:bookmarkEnd w:id="12"/>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中共怀化市鹤城区委办公室《怀化市鹤城区人大常委会机关等15个机关职责、机构编制调整方案和怀化市鹤城区发展那和改革局等12个机关职能配置、内设机构、人员编制规定的通知》（鹤办〔2019〕29号）明确规定：区卫生局主要承担“计划生育管理和服务工作，开展人口检测预警，研究提出人口与家庭相关政策建议，配合上级完善计划生育政策”等职责。卫生局内设机构共13个（含党政办公室），其中由人口监测与家庭发展股（老龄健康股）负责“……完善生育政策并组织实施，建立和完善计划生育特殊家庭扶助制度……”</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等职责</w:t>
      </w:r>
      <w:r>
        <w:rPr>
          <w:rFonts w:hint="eastAsia" w:ascii="华文仿宋" w:hAnsi="华文仿宋" w:eastAsia="华文仿宋" w:cs="华文仿宋"/>
          <w:color w:val="000000" w:themeColor="text1"/>
          <w:sz w:val="32"/>
          <w:szCs w:val="32"/>
          <w14:textFill>
            <w14:solidFill>
              <w14:schemeClr w14:val="tx1"/>
            </w14:solidFill>
          </w14:textFill>
        </w:rPr>
        <w:t>。该局编制人员共17名，其中：行政编制14名，事业编制3名。</w:t>
      </w:r>
    </w:p>
    <w:p>
      <w:pPr>
        <w:numPr>
          <w:ilvl w:val="0"/>
          <w:numId w:val="2"/>
        </w:numPr>
        <w:adjustRightInd w:val="0"/>
        <w:snapToGrid w:val="0"/>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13" w:name="_Toc21040"/>
      <w:r>
        <w:rPr>
          <w:rFonts w:hint="eastAsia" w:ascii="华文楷体" w:hAnsi="华文楷体" w:eastAsia="华文楷体"/>
          <w:b/>
          <w:color w:val="000000" w:themeColor="text1"/>
          <w:sz w:val="32"/>
          <w:szCs w:val="32"/>
          <w14:textFill>
            <w14:solidFill>
              <w14:schemeClr w14:val="tx1"/>
            </w14:solidFill>
          </w14:textFill>
        </w:rPr>
        <w:t>项目背景和依据</w:t>
      </w:r>
      <w:bookmarkEnd w:id="13"/>
    </w:p>
    <w:p>
      <w:pPr>
        <w:pStyle w:val="13"/>
        <w:shd w:val="clear" w:color="auto" w:fill="FFFFFF"/>
        <w:spacing w:before="0" w:beforeAutospacing="0" w:after="0" w:afterAutospacing="0" w:line="600" w:lineRule="exact"/>
        <w:ind w:firstLine="640" w:firstLineChars="200"/>
        <w:jc w:val="both"/>
        <w:rPr>
          <w:rFonts w:ascii="华文楷体" w:hAnsi="华文楷体" w:eastAsia="华文楷体"/>
          <w:b/>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为切实做好计划生育特殊困难家庭扶助工作，根据国家卫生计生委等五部门《关于进一步做好计划生育特殊困难家庭扶助工作的通知》（国卫家庭发〔2013〕41号）、湖南省卫生计生委等六部门《关于进一步做好计划生育特殊困难家庭扶助关怀工作的通知》（湘卫家庭发〔2015〕8号）精神，2015年9月3日，怀化市人民政府办公室下发《关于切实做好计划生育特殊困难家庭扶助工作的通知》（怀政办发〔2015〕48号），组织各县市区开展计划生育特殊困难家庭扶助工作，提高经济扶助标准，建立健全计划生育特殊困难家庭扶助机制。2016年10月21日，区委书记组织召开全区计生特殊困难家庭扶助关怀专题研究会议，会议指出，计生特殊困难家庭扶助关怀工作是一项重大民生工程，事关群众切身利益，事关社会和谐稳定。会议成立区计生特殊困难家庭扶助关怀联席会议领导小组，将办公室设在区卫生局。为进一步加大经济扶助力度，会议</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决</w:t>
      </w:r>
      <w:r>
        <w:rPr>
          <w:rFonts w:hint="eastAsia" w:ascii="华文仿宋" w:hAnsi="华文仿宋" w:eastAsia="华文仿宋" w:cs="华文仿宋"/>
          <w:color w:val="000000" w:themeColor="text1"/>
          <w:sz w:val="32"/>
          <w:szCs w:val="32"/>
          <w14:textFill>
            <w14:solidFill>
              <w14:schemeClr w14:val="tx1"/>
            </w14:solidFill>
          </w14:textFill>
        </w:rPr>
        <w:t>定</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原则上同意从2017年1月起，对年满49周岁的独生子女死亡家庭，在怀化市规定的标准（800元/人/月）上提高到1000元/人/月；对年满49周岁的独生子女伤残家庭，在怀化市规定的标准（470元/人/月）上提高到670元/人/月，所需经费纳入财政预算”。</w:t>
      </w:r>
    </w:p>
    <w:p>
      <w:pPr>
        <w:numPr>
          <w:ilvl w:val="0"/>
          <w:numId w:val="2"/>
        </w:numPr>
        <w:adjustRightInd w:val="0"/>
        <w:snapToGrid w:val="0"/>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14" w:name="_Toc7717"/>
      <w:r>
        <w:rPr>
          <w:rFonts w:hint="eastAsia" w:ascii="华文楷体" w:hAnsi="华文楷体" w:eastAsia="华文楷体"/>
          <w:b/>
          <w:color w:val="000000" w:themeColor="text1"/>
          <w:sz w:val="32"/>
          <w:szCs w:val="32"/>
          <w14:textFill>
            <w14:solidFill>
              <w14:schemeClr w14:val="tx1"/>
            </w14:solidFill>
          </w14:textFill>
        </w:rPr>
        <w:t>项目</w:t>
      </w:r>
      <w:r>
        <w:rPr>
          <w:rFonts w:ascii="华文楷体" w:hAnsi="华文楷体" w:eastAsia="华文楷体"/>
          <w:b/>
          <w:color w:val="000000" w:themeColor="text1"/>
          <w:sz w:val="32"/>
          <w:szCs w:val="32"/>
          <w14:textFill>
            <w14:solidFill>
              <w14:schemeClr w14:val="tx1"/>
            </w14:solidFill>
          </w14:textFill>
        </w:rPr>
        <w:t>资金安排</w:t>
      </w:r>
      <w:r>
        <w:rPr>
          <w:rFonts w:hint="eastAsia" w:ascii="华文楷体" w:hAnsi="华文楷体" w:eastAsia="华文楷体"/>
          <w:b/>
          <w:color w:val="000000" w:themeColor="text1"/>
          <w:sz w:val="32"/>
          <w:szCs w:val="32"/>
          <w14:textFill>
            <w14:solidFill>
              <w14:schemeClr w14:val="tx1"/>
            </w14:solidFill>
          </w14:textFill>
        </w:rPr>
        <w:t>及拨付情况</w:t>
      </w:r>
      <w:bookmarkEnd w:id="14"/>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olor w:val="000000" w:themeColor="text1"/>
          <w:sz w:val="32"/>
          <w:szCs w:val="32"/>
          <w14:textFill>
            <w14:solidFill>
              <w14:schemeClr w14:val="tx1"/>
            </w14:solidFill>
          </w14:textFill>
        </w:rPr>
        <w:t>湖南省财政厅、湖南省卫生和计划生育委员会《关于提前下达2018年计划生育服务中央和省补助资金预算指标的通知》</w:t>
      </w:r>
      <w:r>
        <w:rPr>
          <w:rFonts w:hint="eastAsia" w:ascii="华文仿宋" w:hAnsi="华文仿宋" w:eastAsia="华文仿宋" w:cs="华文仿宋"/>
          <w:color w:val="000000" w:themeColor="text1"/>
          <w:sz w:val="32"/>
          <w:szCs w:val="32"/>
          <w14:textFill>
            <w14:solidFill>
              <w14:schemeClr w14:val="tx1"/>
            </w14:solidFill>
          </w14:textFill>
        </w:rPr>
        <w:t>（湘财社指〔2017〕142号）、</w:t>
      </w:r>
      <w:r>
        <w:rPr>
          <w:rFonts w:hint="eastAsia" w:ascii="华文仿宋" w:hAnsi="华文仿宋" w:eastAsia="华文仿宋"/>
          <w:color w:val="000000" w:themeColor="text1"/>
          <w:sz w:val="32"/>
          <w:szCs w:val="32"/>
          <w14:textFill>
            <w14:solidFill>
              <w14:schemeClr w14:val="tx1"/>
            </w14:solidFill>
          </w14:textFill>
        </w:rPr>
        <w:t>《关于下达2018年计划生育中央财政补助资金的通知》</w:t>
      </w:r>
      <w:r>
        <w:rPr>
          <w:rFonts w:hint="eastAsia" w:ascii="华文仿宋" w:hAnsi="华文仿宋" w:eastAsia="华文仿宋" w:cs="华文仿宋"/>
          <w:color w:val="000000" w:themeColor="text1"/>
          <w:sz w:val="32"/>
          <w:szCs w:val="32"/>
          <w14:textFill>
            <w14:solidFill>
              <w14:schemeClr w14:val="tx1"/>
            </w14:solidFill>
          </w14:textFill>
        </w:rPr>
        <w:t>（湘财社指〔2018〕56号）以及</w:t>
      </w:r>
      <w:r>
        <w:rPr>
          <w:rFonts w:hint="eastAsia" w:ascii="华文仿宋" w:hAnsi="华文仿宋" w:eastAsia="华文仿宋"/>
          <w:color w:val="000000" w:themeColor="text1"/>
          <w:sz w:val="32"/>
          <w:szCs w:val="32"/>
          <w14:textFill>
            <w14:solidFill>
              <w14:schemeClr w14:val="tx1"/>
            </w14:solidFill>
          </w14:textFill>
        </w:rPr>
        <w:t>《湖南省财政厅关于下达2018年计划生育服务省级财政第二批补助资金的通知》</w:t>
      </w:r>
      <w:r>
        <w:rPr>
          <w:rFonts w:hint="eastAsia" w:ascii="华文仿宋" w:hAnsi="华文仿宋" w:eastAsia="华文仿宋" w:cs="华文仿宋"/>
          <w:color w:val="000000" w:themeColor="text1"/>
          <w:sz w:val="32"/>
          <w:szCs w:val="32"/>
          <w14:textFill>
            <w14:solidFill>
              <w14:schemeClr w14:val="tx1"/>
            </w14:solidFill>
          </w14:textFill>
        </w:rPr>
        <w:t>（湘财社指〔2018〕116号）等指标文件明确</w:t>
      </w:r>
      <w:r>
        <w:rPr>
          <w:rFonts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2018年中央、省级拨付怀化市</w:t>
      </w:r>
      <w:r>
        <w:rPr>
          <w:rFonts w:ascii="华文仿宋" w:hAnsi="华文仿宋" w:eastAsia="华文仿宋" w:cs="华文仿宋"/>
          <w:color w:val="000000" w:themeColor="text1"/>
          <w:sz w:val="32"/>
          <w:szCs w:val="32"/>
          <w14:textFill>
            <w14:solidFill>
              <w14:schemeClr w14:val="tx1"/>
            </w14:solidFill>
          </w14:textFill>
        </w:rPr>
        <w:t>鹤城区</w:t>
      </w:r>
      <w:r>
        <w:rPr>
          <w:rFonts w:hint="eastAsia" w:ascii="华文仿宋" w:hAnsi="华文仿宋" w:eastAsia="华文仿宋" w:cs="华文仿宋"/>
          <w:color w:val="000000" w:themeColor="text1"/>
          <w:sz w:val="32"/>
          <w:szCs w:val="32"/>
          <w14:textFill>
            <w14:solidFill>
              <w14:schemeClr w14:val="tx1"/>
            </w14:solidFill>
          </w14:textFill>
        </w:rPr>
        <w:t>计生特殊困难家庭扶助资金314.96万元（其中包含136.72万元手术并发症费用）</w:t>
      </w:r>
      <w:r>
        <w:rPr>
          <w:rFonts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因此</w:t>
      </w:r>
      <w:r>
        <w:rPr>
          <w:rFonts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2018年中央、省级拨付特别扶助（子女死亡、伤残）项目资金为178.24万元；2018年区卫生局收到怀化市特别扶助（子女死亡、伤残）项目固定配套资金80万元；2018年区财政给予特别扶助项目配套预算资金为201.84万元。由于2018年度实际扶助对象人数有所减少，扣除上级补助资金后，区财政实际拨付配套资金179.378万元。具体情况如下：</w:t>
      </w:r>
    </w:p>
    <w:p>
      <w:pPr>
        <w:rPr>
          <w:rFonts w:ascii="华文仿宋" w:hAnsi="华文仿宋" w:eastAsia="华文仿宋" w:cs="华文仿宋"/>
          <w:color w:val="000000" w:themeColor="text1"/>
          <w:sz w:val="32"/>
          <w:szCs w:val="32"/>
          <w14:textFill>
            <w14:solidFill>
              <w14:schemeClr w14:val="tx1"/>
            </w14:solidFill>
          </w14:textFill>
        </w:rPr>
        <w:sectPr>
          <w:footerReference r:id="rId3" w:type="default"/>
          <w:pgSz w:w="11906" w:h="16838"/>
          <w:pgMar w:top="1440" w:right="1474" w:bottom="1440" w:left="1588" w:header="851" w:footer="992" w:gutter="0"/>
          <w:pgNumType w:fmt="decimal" w:start="1"/>
          <w:cols w:space="425" w:num="1"/>
          <w:docGrid w:type="lines" w:linePitch="312" w:charSpace="0"/>
        </w:sectPr>
      </w:pPr>
    </w:p>
    <w:p>
      <w:r>
        <w:t xml:space="preserve">表 </w:t>
      </w:r>
      <w:r>
        <w:fldChar w:fldCharType="begin"/>
      </w:r>
      <w:r>
        <w:instrText xml:space="preserve"> SEQ 表 \* ARABIC </w:instrText>
      </w:r>
      <w:r>
        <w:fldChar w:fldCharType="separate"/>
      </w:r>
      <w:r>
        <w:t>1</w:t>
      </w:r>
      <w:r>
        <w:fldChar w:fldCharType="end"/>
      </w:r>
      <w:r>
        <w:rPr>
          <w:rFonts w:hint="eastAsia"/>
        </w:rPr>
        <w:t>-1</w:t>
      </w:r>
    </w:p>
    <w:tbl>
      <w:tblPr>
        <w:tblStyle w:val="14"/>
        <w:tblW w:w="10460" w:type="dxa"/>
        <w:jc w:val="center"/>
        <w:tblInd w:w="0"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
      <w:tblGrid>
        <w:gridCol w:w="1556"/>
        <w:gridCol w:w="740"/>
        <w:gridCol w:w="705"/>
        <w:gridCol w:w="884"/>
        <w:gridCol w:w="645"/>
        <w:gridCol w:w="615"/>
        <w:gridCol w:w="1641"/>
        <w:gridCol w:w="760"/>
        <w:gridCol w:w="763"/>
        <w:gridCol w:w="854"/>
        <w:gridCol w:w="659"/>
        <w:gridCol w:w="638"/>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554" w:hRule="atLeast"/>
          <w:jc w:val="center"/>
        </w:trPr>
        <w:tc>
          <w:tcPr>
            <w:tcW w:w="10460" w:type="dxa"/>
            <w:gridSpan w:val="12"/>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20"/>
                <w:szCs w:val="20"/>
              </w:rPr>
            </w:pPr>
            <w:r>
              <w:rPr>
                <w:rFonts w:hint="eastAsia" w:ascii="华文仿宋" w:hAnsi="华文仿宋" w:eastAsia="华文仿宋" w:cs="华文仿宋"/>
                <w:b/>
                <w:bCs/>
                <w:color w:val="000000"/>
                <w:kern w:val="0"/>
                <w:sz w:val="20"/>
                <w:szCs w:val="20"/>
                <w:lang w:bidi="ar"/>
              </w:rPr>
              <w:t>2018年计生特别扶助项目资金安排及拨付情况</w:t>
            </w:r>
            <w:r>
              <w:rPr>
                <w:rFonts w:hint="eastAsia" w:ascii="华文仿宋" w:hAnsi="华文仿宋" w:eastAsia="华文仿宋" w:cs="华文仿宋"/>
                <w:b/>
                <w:bCs/>
                <w:color w:val="000000"/>
                <w:kern w:val="0"/>
                <w:sz w:val="20"/>
                <w:szCs w:val="20"/>
                <w:lang w:bidi="ar"/>
              </w:rPr>
              <w:br w:type="textWrapping"/>
            </w:r>
            <w:r>
              <w:rPr>
                <w:rFonts w:hint="eastAsia" w:ascii="华文仿宋" w:hAnsi="华文仿宋" w:eastAsia="华文仿宋" w:cs="华文仿宋"/>
                <w:b/>
                <w:bCs/>
                <w:color w:val="000000"/>
                <w:kern w:val="0"/>
                <w:sz w:val="20"/>
                <w:szCs w:val="20"/>
                <w:lang w:bidi="ar"/>
              </w:rPr>
              <w:t xml:space="preserve">                                                                                  单位：万元</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88" w:hRule="atLeast"/>
          <w:jc w:val="center"/>
        </w:trPr>
        <w:tc>
          <w:tcPr>
            <w:tcW w:w="5145" w:type="dxa"/>
            <w:gridSpan w:val="6"/>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计划安排情况</w:t>
            </w:r>
          </w:p>
        </w:tc>
        <w:tc>
          <w:tcPr>
            <w:tcW w:w="5315" w:type="dxa"/>
            <w:gridSpan w:val="6"/>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实际拨付情况</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88" w:hRule="atLeast"/>
          <w:jc w:val="center"/>
        </w:trPr>
        <w:tc>
          <w:tcPr>
            <w:tcW w:w="2296" w:type="dxa"/>
            <w:gridSpan w:val="2"/>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中央、省级</w:t>
            </w:r>
          </w:p>
        </w:tc>
        <w:tc>
          <w:tcPr>
            <w:tcW w:w="705" w:type="dxa"/>
            <w:vMerge w:val="restart"/>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市级配套金额</w:t>
            </w:r>
          </w:p>
        </w:tc>
        <w:tc>
          <w:tcPr>
            <w:tcW w:w="1529" w:type="dxa"/>
            <w:gridSpan w:val="2"/>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区财政</w:t>
            </w:r>
          </w:p>
        </w:tc>
        <w:tc>
          <w:tcPr>
            <w:tcW w:w="615" w:type="dxa"/>
            <w:vMerge w:val="restart"/>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合计</w:t>
            </w:r>
          </w:p>
        </w:tc>
        <w:tc>
          <w:tcPr>
            <w:tcW w:w="2401" w:type="dxa"/>
            <w:gridSpan w:val="2"/>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中央、省级</w:t>
            </w:r>
          </w:p>
        </w:tc>
        <w:tc>
          <w:tcPr>
            <w:tcW w:w="763" w:type="dxa"/>
            <w:vMerge w:val="restart"/>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市级配套金额</w:t>
            </w:r>
          </w:p>
        </w:tc>
        <w:tc>
          <w:tcPr>
            <w:tcW w:w="1513" w:type="dxa"/>
            <w:gridSpan w:val="2"/>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区财政</w:t>
            </w:r>
          </w:p>
        </w:tc>
        <w:tc>
          <w:tcPr>
            <w:tcW w:w="638" w:type="dxa"/>
            <w:vMerge w:val="restart"/>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合计</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88" w:hRule="atLeast"/>
          <w:jc w:val="center"/>
        </w:trPr>
        <w:tc>
          <w:tcPr>
            <w:tcW w:w="155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指标文号</w:t>
            </w:r>
          </w:p>
        </w:tc>
        <w:tc>
          <w:tcPr>
            <w:tcW w:w="740"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金额</w:t>
            </w:r>
          </w:p>
        </w:tc>
        <w:tc>
          <w:tcPr>
            <w:tcW w:w="705" w:type="dxa"/>
            <w:vMerge w:val="continue"/>
            <w:tcBorders>
              <w:tl2br w:val="nil"/>
              <w:tr2bl w:val="nil"/>
            </w:tcBorders>
            <w:shd w:val="clear" w:color="auto" w:fill="auto"/>
            <w:tcMar>
              <w:top w:w="15" w:type="dxa"/>
              <w:left w:w="15" w:type="dxa"/>
              <w:right w:w="15" w:type="dxa"/>
            </w:tcMar>
            <w:vAlign w:val="center"/>
          </w:tcPr>
          <w:p>
            <w:pPr>
              <w:jc w:val="center"/>
              <w:rPr>
                <w:rFonts w:ascii="华文仿宋" w:hAnsi="华文仿宋" w:eastAsia="华文仿宋" w:cs="华文仿宋"/>
                <w:b/>
                <w:bCs/>
                <w:color w:val="000000"/>
                <w:sz w:val="20"/>
                <w:szCs w:val="20"/>
              </w:rPr>
            </w:pPr>
          </w:p>
        </w:tc>
        <w:tc>
          <w:tcPr>
            <w:tcW w:w="884"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指标文号</w:t>
            </w:r>
          </w:p>
        </w:tc>
        <w:tc>
          <w:tcPr>
            <w:tcW w:w="645"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金额</w:t>
            </w:r>
          </w:p>
        </w:tc>
        <w:tc>
          <w:tcPr>
            <w:tcW w:w="615" w:type="dxa"/>
            <w:vMerge w:val="continue"/>
            <w:tcBorders>
              <w:tl2br w:val="nil"/>
              <w:tr2bl w:val="nil"/>
            </w:tcBorders>
            <w:shd w:val="clear" w:color="auto" w:fill="auto"/>
            <w:tcMar>
              <w:top w:w="15" w:type="dxa"/>
              <w:left w:w="15" w:type="dxa"/>
              <w:right w:w="15" w:type="dxa"/>
            </w:tcMar>
            <w:vAlign w:val="center"/>
          </w:tcPr>
          <w:p>
            <w:pPr>
              <w:jc w:val="center"/>
              <w:rPr>
                <w:rFonts w:ascii="华文仿宋" w:hAnsi="华文仿宋" w:eastAsia="华文仿宋" w:cs="华文仿宋"/>
                <w:b/>
                <w:bCs/>
                <w:color w:val="000000"/>
                <w:sz w:val="20"/>
                <w:szCs w:val="20"/>
              </w:rPr>
            </w:pPr>
          </w:p>
        </w:tc>
        <w:tc>
          <w:tcPr>
            <w:tcW w:w="1641"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指标文号</w:t>
            </w:r>
          </w:p>
        </w:tc>
        <w:tc>
          <w:tcPr>
            <w:tcW w:w="760"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金额</w:t>
            </w:r>
          </w:p>
        </w:tc>
        <w:tc>
          <w:tcPr>
            <w:tcW w:w="763" w:type="dxa"/>
            <w:vMerge w:val="continue"/>
            <w:tcBorders>
              <w:tl2br w:val="nil"/>
              <w:tr2bl w:val="nil"/>
            </w:tcBorders>
            <w:shd w:val="clear" w:color="auto" w:fill="auto"/>
            <w:tcMar>
              <w:top w:w="15" w:type="dxa"/>
              <w:left w:w="15" w:type="dxa"/>
              <w:right w:w="15" w:type="dxa"/>
            </w:tcMar>
            <w:vAlign w:val="center"/>
          </w:tcPr>
          <w:p>
            <w:pPr>
              <w:jc w:val="center"/>
              <w:rPr>
                <w:rFonts w:ascii="华文仿宋" w:hAnsi="华文仿宋" w:eastAsia="华文仿宋" w:cs="华文仿宋"/>
                <w:b/>
                <w:bCs/>
                <w:color w:val="000000"/>
                <w:sz w:val="20"/>
                <w:szCs w:val="20"/>
              </w:rPr>
            </w:pPr>
          </w:p>
        </w:tc>
        <w:tc>
          <w:tcPr>
            <w:tcW w:w="854"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指标文号</w:t>
            </w:r>
          </w:p>
        </w:tc>
        <w:tc>
          <w:tcPr>
            <w:tcW w:w="659"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金额</w:t>
            </w:r>
          </w:p>
        </w:tc>
        <w:tc>
          <w:tcPr>
            <w:tcW w:w="638" w:type="dxa"/>
            <w:vMerge w:val="continue"/>
            <w:tcBorders>
              <w:tl2br w:val="nil"/>
              <w:tr2bl w:val="nil"/>
            </w:tcBorders>
            <w:shd w:val="clear" w:color="auto" w:fill="auto"/>
            <w:noWrap/>
            <w:tcMar>
              <w:top w:w="15" w:type="dxa"/>
              <w:left w:w="15" w:type="dxa"/>
              <w:right w:w="15" w:type="dxa"/>
            </w:tcMar>
            <w:vAlign w:val="center"/>
          </w:tcPr>
          <w:p>
            <w:pPr>
              <w:jc w:val="center"/>
              <w:rPr>
                <w:rFonts w:ascii="华文仿宋" w:hAnsi="华文仿宋" w:eastAsia="华文仿宋" w:cs="华文仿宋"/>
                <w:b/>
                <w:bCs/>
                <w:color w:val="000000"/>
                <w:sz w:val="20"/>
                <w:szCs w:val="20"/>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1094" w:hRule="atLeast"/>
          <w:jc w:val="center"/>
        </w:trPr>
        <w:tc>
          <w:tcPr>
            <w:tcW w:w="1556"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湘财社指〔2017〕142号、湘财社指〔2018〕56号、湘财社指〔2018〕116号</w:t>
            </w:r>
          </w:p>
        </w:tc>
        <w:tc>
          <w:tcPr>
            <w:tcW w:w="740"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314.96（含手术并发症费）</w:t>
            </w:r>
          </w:p>
        </w:tc>
        <w:tc>
          <w:tcPr>
            <w:tcW w:w="705"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80</w:t>
            </w:r>
          </w:p>
        </w:tc>
        <w:tc>
          <w:tcPr>
            <w:tcW w:w="884"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鹤财预〔2018〕19号</w:t>
            </w:r>
          </w:p>
        </w:tc>
        <w:tc>
          <w:tcPr>
            <w:tcW w:w="645"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201.84</w:t>
            </w:r>
          </w:p>
        </w:tc>
        <w:tc>
          <w:tcPr>
            <w:tcW w:w="615"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华文仿宋" w:hAnsi="华文仿宋" w:eastAsia="华文仿宋" w:cs="华文仿宋"/>
                <w:color w:val="000000"/>
                <w:kern w:val="0"/>
                <w:sz w:val="18"/>
                <w:szCs w:val="18"/>
                <w:lang w:bidi="ar"/>
              </w:rPr>
            </w:pPr>
            <w:r>
              <w:rPr>
                <w:rFonts w:hint="eastAsia" w:ascii="华文仿宋" w:hAnsi="华文仿宋" w:eastAsia="华文仿宋" w:cs="华文仿宋"/>
                <w:color w:val="000000"/>
                <w:kern w:val="0"/>
                <w:sz w:val="18"/>
                <w:szCs w:val="18"/>
                <w:lang w:val="en-US" w:eastAsia="zh-CN" w:bidi="ar"/>
              </w:rPr>
              <w:t>596.8</w:t>
            </w:r>
          </w:p>
        </w:tc>
        <w:tc>
          <w:tcPr>
            <w:tcW w:w="1641"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华文仿宋" w:hAnsi="华文仿宋" w:eastAsia="华文仿宋" w:cs="华文仿宋"/>
                <w:color w:val="000000"/>
                <w:kern w:val="0"/>
                <w:sz w:val="18"/>
                <w:szCs w:val="18"/>
                <w:lang w:bidi="ar"/>
              </w:rPr>
            </w:pPr>
            <w:r>
              <w:rPr>
                <w:rFonts w:hint="eastAsia" w:ascii="华文仿宋" w:hAnsi="华文仿宋" w:eastAsia="华文仿宋" w:cs="华文仿宋"/>
                <w:color w:val="000000"/>
                <w:kern w:val="0"/>
                <w:sz w:val="18"/>
                <w:szCs w:val="18"/>
                <w:lang w:val="en-US" w:eastAsia="zh-CN" w:bidi="ar"/>
              </w:rPr>
              <w:t>湘财社指〔2017〕142号、湘财社指〔2018〕56号、湘财社指〔2018〕116号</w:t>
            </w:r>
          </w:p>
        </w:tc>
        <w:tc>
          <w:tcPr>
            <w:tcW w:w="760"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华文仿宋" w:hAnsi="华文仿宋" w:eastAsia="华文仿宋" w:cs="华文仿宋"/>
                <w:color w:val="000000"/>
                <w:kern w:val="0"/>
                <w:sz w:val="18"/>
                <w:szCs w:val="18"/>
                <w:lang w:bidi="ar"/>
              </w:rPr>
            </w:pPr>
            <w:r>
              <w:rPr>
                <w:rFonts w:hint="eastAsia" w:ascii="华文仿宋" w:hAnsi="华文仿宋" w:eastAsia="华文仿宋" w:cs="华文仿宋"/>
                <w:color w:val="000000"/>
                <w:kern w:val="0"/>
                <w:sz w:val="18"/>
                <w:szCs w:val="18"/>
                <w:lang w:val="en-US" w:eastAsia="zh-CN" w:bidi="ar"/>
              </w:rPr>
              <w:t>178.24（扣除手术并发症费）</w:t>
            </w:r>
          </w:p>
        </w:tc>
        <w:tc>
          <w:tcPr>
            <w:tcW w:w="763"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华文仿宋" w:hAnsi="华文仿宋" w:eastAsia="华文仿宋" w:cs="华文仿宋"/>
                <w:color w:val="000000"/>
                <w:kern w:val="0"/>
                <w:sz w:val="18"/>
                <w:szCs w:val="18"/>
                <w:lang w:bidi="ar"/>
              </w:rPr>
            </w:pPr>
            <w:r>
              <w:rPr>
                <w:rFonts w:hint="eastAsia" w:ascii="华文仿宋" w:hAnsi="华文仿宋" w:eastAsia="华文仿宋" w:cs="华文仿宋"/>
                <w:color w:val="000000"/>
                <w:kern w:val="0"/>
                <w:sz w:val="18"/>
                <w:szCs w:val="18"/>
                <w:lang w:val="en-US" w:eastAsia="zh-CN" w:bidi="ar"/>
              </w:rPr>
              <w:t>80</w:t>
            </w:r>
          </w:p>
        </w:tc>
        <w:tc>
          <w:tcPr>
            <w:tcW w:w="854"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华文仿宋" w:hAnsi="华文仿宋" w:eastAsia="华文仿宋" w:cs="华文仿宋"/>
                <w:color w:val="000000"/>
                <w:kern w:val="0"/>
                <w:sz w:val="18"/>
                <w:szCs w:val="18"/>
                <w:lang w:bidi="ar"/>
              </w:rPr>
            </w:pPr>
            <w:r>
              <w:rPr>
                <w:rFonts w:hint="eastAsia" w:ascii="华文仿宋" w:hAnsi="华文仿宋" w:eastAsia="华文仿宋" w:cs="华文仿宋"/>
                <w:color w:val="000000"/>
                <w:kern w:val="0"/>
                <w:sz w:val="18"/>
                <w:szCs w:val="18"/>
                <w:lang w:val="en-US" w:eastAsia="zh-CN" w:bidi="ar"/>
              </w:rPr>
              <w:t>鹤财社追字〔2018〕0557号</w:t>
            </w:r>
          </w:p>
        </w:tc>
        <w:tc>
          <w:tcPr>
            <w:tcW w:w="659"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华文仿宋" w:hAnsi="华文仿宋" w:eastAsia="华文仿宋" w:cs="华文仿宋"/>
                <w:color w:val="000000"/>
                <w:kern w:val="0"/>
                <w:sz w:val="18"/>
                <w:szCs w:val="18"/>
                <w:lang w:bidi="ar"/>
              </w:rPr>
            </w:pPr>
            <w:r>
              <w:rPr>
                <w:rFonts w:hint="eastAsia" w:ascii="华文仿宋" w:hAnsi="华文仿宋" w:eastAsia="华文仿宋" w:cs="华文仿宋"/>
                <w:color w:val="000000"/>
                <w:kern w:val="0"/>
                <w:sz w:val="18"/>
                <w:szCs w:val="18"/>
                <w:lang w:val="en-US" w:eastAsia="zh-CN" w:bidi="ar"/>
              </w:rPr>
              <w:t>179.378</w:t>
            </w:r>
          </w:p>
        </w:tc>
        <w:tc>
          <w:tcPr>
            <w:tcW w:w="638" w:type="dxa"/>
            <w:tcBorders>
              <w:tl2br w:val="nil"/>
              <w:tr2bl w:val="nil"/>
            </w:tcBorders>
            <w:shd w:val="clear" w:color="auto" w:fill="auto"/>
            <w:tcMar>
              <w:top w:w="15" w:type="dxa"/>
              <w:left w:w="15" w:type="dxa"/>
              <w:right w:w="15" w:type="dxa"/>
            </w:tcMar>
            <w:vAlign w:val="center"/>
          </w:tcPr>
          <w:p>
            <w:pPr>
              <w:widowControl/>
              <w:jc w:val="center"/>
              <w:textAlignment w:val="center"/>
              <w:rPr>
                <w:rFonts w:hint="eastAsia" w:ascii="华文仿宋" w:hAnsi="华文仿宋" w:eastAsia="华文仿宋" w:cs="华文仿宋"/>
                <w:color w:val="000000"/>
                <w:kern w:val="0"/>
                <w:sz w:val="18"/>
                <w:szCs w:val="18"/>
                <w:lang w:bidi="ar"/>
              </w:rPr>
            </w:pPr>
            <w:r>
              <w:rPr>
                <w:rFonts w:hint="eastAsia" w:ascii="华文仿宋" w:hAnsi="华文仿宋" w:eastAsia="华文仿宋" w:cs="华文仿宋"/>
                <w:color w:val="000000"/>
                <w:kern w:val="0"/>
                <w:sz w:val="18"/>
                <w:szCs w:val="18"/>
                <w:lang w:bidi="ar"/>
              </w:rPr>
              <w:t>437.618</w:t>
            </w:r>
          </w:p>
        </w:tc>
      </w:tr>
    </w:tbl>
    <w:p>
      <w:pPr>
        <w:numPr>
          <w:ilvl w:val="0"/>
          <w:numId w:val="2"/>
        </w:numPr>
        <w:adjustRightInd w:val="0"/>
        <w:snapToGrid w:val="0"/>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15" w:name="_Toc22070"/>
      <w:r>
        <w:rPr>
          <w:rFonts w:hint="eastAsia" w:ascii="华文楷体" w:hAnsi="华文楷体" w:eastAsia="华文楷体"/>
          <w:b/>
          <w:color w:val="000000" w:themeColor="text1"/>
          <w:sz w:val="32"/>
          <w:szCs w:val="32"/>
          <w14:textFill>
            <w14:solidFill>
              <w14:schemeClr w14:val="tx1"/>
            </w14:solidFill>
          </w14:textFill>
        </w:rPr>
        <w:t>项目资金使用情况</w:t>
      </w:r>
      <w:bookmarkEnd w:id="15"/>
    </w:p>
    <w:p>
      <w:pPr>
        <w:adjustRightInd w:val="0"/>
        <w:snapToGrid w:val="0"/>
        <w:spacing w:line="600" w:lineRule="exact"/>
        <w:ind w:firstLine="640" w:firstLineChars="200"/>
      </w:pPr>
      <w:r>
        <w:rPr>
          <w:rFonts w:hint="eastAsia" w:ascii="华文仿宋" w:hAnsi="华文仿宋" w:eastAsia="华文仿宋"/>
          <w:color w:val="000000" w:themeColor="text1"/>
          <w:sz w:val="32"/>
          <w:szCs w:val="32"/>
          <w14:textFill>
            <w14:solidFill>
              <w14:schemeClr w14:val="tx1"/>
            </w14:solidFill>
          </w14:textFill>
        </w:rPr>
        <w:t>经核对区卫生局2018年特别扶助对象花名册及乡财局2018年特别扶助资金发放名单，2018年特别扶助资金发放人数369人，发放金额406.368万元（其中：</w:t>
      </w:r>
      <w:r>
        <w:rPr>
          <w:rFonts w:hint="eastAsia" w:ascii="华文仿宋" w:hAnsi="华文仿宋" w:eastAsia="华文仿宋" w:cs="华文仿宋"/>
          <w:color w:val="000000" w:themeColor="text1"/>
          <w:sz w:val="32"/>
          <w:szCs w:val="32"/>
          <w14:textFill>
            <w14:solidFill>
              <w14:schemeClr w14:val="tx1"/>
            </w14:solidFill>
          </w14:textFill>
        </w:rPr>
        <w:t>独生子女死亡家庭</w:t>
      </w:r>
      <w:r>
        <w:rPr>
          <w:rFonts w:hint="eastAsia" w:ascii="华文仿宋" w:hAnsi="华文仿宋" w:eastAsia="华文仿宋"/>
          <w:color w:val="000000" w:themeColor="text1"/>
          <w:sz w:val="32"/>
          <w:szCs w:val="32"/>
          <w14:textFill>
            <w14:solidFill>
              <w14:schemeClr w14:val="tx1"/>
            </w14:solidFill>
          </w14:textFill>
        </w:rPr>
        <w:t>发放人数277人，发放</w:t>
      </w:r>
      <w:r>
        <w:rPr>
          <w:rFonts w:hint="eastAsia" w:ascii="华文仿宋" w:hAnsi="华文仿宋" w:eastAsia="华文仿宋" w:cs="华文仿宋"/>
          <w:color w:val="000000" w:themeColor="text1"/>
          <w:sz w:val="32"/>
          <w:szCs w:val="32"/>
          <w14:textFill>
            <w14:solidFill>
              <w14:schemeClr w14:val="tx1"/>
            </w14:solidFill>
          </w14:textFill>
        </w:rPr>
        <w:t>金额332.4万元；独生子女伤残家庭</w:t>
      </w:r>
      <w:r>
        <w:rPr>
          <w:rFonts w:hint="eastAsia" w:ascii="华文仿宋" w:hAnsi="华文仿宋" w:eastAsia="华文仿宋"/>
          <w:color w:val="000000" w:themeColor="text1"/>
          <w:sz w:val="32"/>
          <w:szCs w:val="32"/>
          <w14:textFill>
            <w14:solidFill>
              <w14:schemeClr w14:val="tx1"/>
            </w14:solidFill>
          </w14:textFill>
        </w:rPr>
        <w:t>发放人数92人，发放</w:t>
      </w:r>
      <w:r>
        <w:rPr>
          <w:rFonts w:hint="eastAsia" w:ascii="华文仿宋" w:hAnsi="华文仿宋" w:eastAsia="华文仿宋" w:cs="华文仿宋"/>
          <w:color w:val="000000" w:themeColor="text1"/>
          <w:sz w:val="32"/>
          <w:szCs w:val="32"/>
          <w14:textFill>
            <w14:solidFill>
              <w14:schemeClr w14:val="tx1"/>
            </w14:solidFill>
          </w14:textFill>
        </w:rPr>
        <w:t>金额73.968万元）</w:t>
      </w:r>
      <w:r>
        <w:rPr>
          <w:rFonts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具体情况如下：</w:t>
      </w:r>
    </w:p>
    <w:p>
      <w:pPr>
        <w:pStyle w:val="6"/>
        <w:ind w:firstLine="600" w:firstLineChars="300"/>
        <w:rPr>
          <w:rFonts w:eastAsia="宋体"/>
        </w:rPr>
      </w:pPr>
      <w:r>
        <w:t xml:space="preserve">表 </w:t>
      </w:r>
      <w:r>
        <w:rPr>
          <w:rFonts w:hint="eastAsia"/>
        </w:rPr>
        <w:t>1-2</w:t>
      </w:r>
    </w:p>
    <w:tbl>
      <w:tblPr>
        <w:tblStyle w:val="14"/>
        <w:tblW w:w="7876" w:type="dxa"/>
        <w:jc w:val="center"/>
        <w:tblInd w:w="0" w:type="dxa"/>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
      <w:tblGrid>
        <w:gridCol w:w="639"/>
        <w:gridCol w:w="1650"/>
        <w:gridCol w:w="990"/>
        <w:gridCol w:w="690"/>
        <w:gridCol w:w="1680"/>
        <w:gridCol w:w="1080"/>
        <w:gridCol w:w="1147"/>
      </w:tblGrid>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475" w:hRule="atLeast"/>
          <w:jc w:val="center"/>
        </w:trPr>
        <w:tc>
          <w:tcPr>
            <w:tcW w:w="7876" w:type="dxa"/>
            <w:gridSpan w:val="7"/>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Cs w:val="21"/>
              </w:rPr>
            </w:pPr>
            <w:r>
              <w:rPr>
                <w:rFonts w:hint="eastAsia" w:ascii="华文仿宋" w:hAnsi="华文仿宋" w:eastAsia="华文仿宋" w:cs="华文仿宋"/>
                <w:b/>
                <w:bCs/>
                <w:color w:val="000000"/>
                <w:kern w:val="0"/>
                <w:szCs w:val="21"/>
                <w:lang w:bidi="ar"/>
              </w:rPr>
              <w:t>2018年计生特别扶助项目资金使用情况</w:t>
            </w:r>
            <w:r>
              <w:rPr>
                <w:rFonts w:hint="eastAsia" w:ascii="华文仿宋" w:hAnsi="华文仿宋" w:eastAsia="华文仿宋" w:cs="华文仿宋"/>
                <w:b/>
                <w:bCs/>
                <w:color w:val="000000"/>
                <w:kern w:val="0"/>
                <w:szCs w:val="21"/>
                <w:lang w:bidi="ar"/>
              </w:rPr>
              <w:br w:type="textWrapping"/>
            </w:r>
            <w:r>
              <w:rPr>
                <w:rFonts w:hint="eastAsia" w:ascii="华文仿宋" w:hAnsi="华文仿宋" w:eastAsia="华文仿宋" w:cs="华文仿宋"/>
                <w:b/>
                <w:bCs/>
                <w:color w:val="000000"/>
                <w:kern w:val="0"/>
                <w:szCs w:val="21"/>
                <w:lang w:bidi="ar"/>
              </w:rPr>
              <w:t xml:space="preserve">                                                          单位：万元</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47" w:hRule="atLeast"/>
          <w:jc w:val="center"/>
        </w:trPr>
        <w:tc>
          <w:tcPr>
            <w:tcW w:w="3279" w:type="dxa"/>
            <w:gridSpan w:val="3"/>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死亡扶助</w:t>
            </w:r>
          </w:p>
        </w:tc>
        <w:tc>
          <w:tcPr>
            <w:tcW w:w="3450" w:type="dxa"/>
            <w:gridSpan w:val="3"/>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死亡扶助</w:t>
            </w:r>
          </w:p>
        </w:tc>
        <w:tc>
          <w:tcPr>
            <w:tcW w:w="1147" w:type="dxa"/>
            <w:vMerge w:val="restart"/>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20"/>
                <w:szCs w:val="20"/>
              </w:rPr>
            </w:pPr>
            <w:r>
              <w:rPr>
                <w:rFonts w:hint="eastAsia" w:ascii="华文仿宋" w:hAnsi="华文仿宋" w:eastAsia="华文仿宋" w:cs="华文仿宋"/>
                <w:b/>
                <w:bCs/>
                <w:color w:val="000000"/>
                <w:kern w:val="0"/>
                <w:sz w:val="20"/>
                <w:szCs w:val="20"/>
                <w:lang w:bidi="ar"/>
              </w:rPr>
              <w:t>合计（万元）</w:t>
            </w: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47" w:hRule="atLeast"/>
          <w:jc w:val="center"/>
        </w:trPr>
        <w:tc>
          <w:tcPr>
            <w:tcW w:w="639"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人数</w:t>
            </w:r>
          </w:p>
        </w:tc>
        <w:tc>
          <w:tcPr>
            <w:tcW w:w="1650"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标准(万元/人/年)</w:t>
            </w:r>
          </w:p>
        </w:tc>
        <w:tc>
          <w:tcPr>
            <w:tcW w:w="990"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金额(万元）</w:t>
            </w:r>
          </w:p>
        </w:tc>
        <w:tc>
          <w:tcPr>
            <w:tcW w:w="690"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人数</w:t>
            </w:r>
          </w:p>
        </w:tc>
        <w:tc>
          <w:tcPr>
            <w:tcW w:w="1680"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标准(万元/人/年)</w:t>
            </w:r>
          </w:p>
        </w:tc>
        <w:tc>
          <w:tcPr>
            <w:tcW w:w="1080"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b/>
                <w:bCs/>
                <w:color w:val="000000"/>
                <w:sz w:val="20"/>
                <w:szCs w:val="20"/>
              </w:rPr>
            </w:pPr>
            <w:r>
              <w:rPr>
                <w:rFonts w:hint="eastAsia" w:ascii="华文仿宋" w:hAnsi="华文仿宋" w:eastAsia="华文仿宋" w:cs="华文仿宋"/>
                <w:b/>
                <w:bCs/>
                <w:color w:val="000000"/>
                <w:kern w:val="0"/>
                <w:sz w:val="20"/>
                <w:szCs w:val="20"/>
                <w:lang w:bidi="ar"/>
              </w:rPr>
              <w:t>金额(万元）</w:t>
            </w:r>
          </w:p>
        </w:tc>
        <w:tc>
          <w:tcPr>
            <w:tcW w:w="1147" w:type="dxa"/>
            <w:vMerge w:val="continue"/>
            <w:tcBorders>
              <w:tl2br w:val="nil"/>
              <w:tr2bl w:val="nil"/>
            </w:tcBorders>
            <w:shd w:val="clear" w:color="auto" w:fill="auto"/>
            <w:noWrap/>
            <w:tcMar>
              <w:top w:w="15" w:type="dxa"/>
              <w:left w:w="15" w:type="dxa"/>
              <w:right w:w="15" w:type="dxa"/>
            </w:tcMar>
            <w:vAlign w:val="center"/>
          </w:tcPr>
          <w:p>
            <w:pPr>
              <w:jc w:val="center"/>
              <w:rPr>
                <w:rFonts w:ascii="华文仿宋" w:hAnsi="华文仿宋" w:eastAsia="华文仿宋" w:cs="华文仿宋"/>
                <w:color w:val="000000"/>
                <w:sz w:val="20"/>
                <w:szCs w:val="20"/>
              </w:rPr>
            </w:pPr>
          </w:p>
        </w:tc>
      </w:tr>
      <w:tr>
        <w:tblPrEx>
          <w:tblBorders>
            <w:top w:val="dotted" w:color="000000" w:sz="4" w:space="0"/>
            <w:left w:val="dotted" w:color="000000" w:sz="4" w:space="0"/>
            <w:bottom w:val="dotted" w:color="000000" w:sz="4" w:space="0"/>
            <w:right w:val="dotted" w:color="000000" w:sz="4" w:space="0"/>
            <w:insideH w:val="dotted" w:color="000000" w:sz="4" w:space="0"/>
            <w:insideV w:val="dotted" w:color="000000" w:sz="4" w:space="0"/>
          </w:tblBorders>
          <w:tblLayout w:type="fixed"/>
          <w:tblCellMar>
            <w:top w:w="0" w:type="dxa"/>
            <w:left w:w="0" w:type="dxa"/>
            <w:bottom w:w="0" w:type="dxa"/>
            <w:right w:w="0" w:type="dxa"/>
          </w:tblCellMar>
        </w:tblPrEx>
        <w:trPr>
          <w:trHeight w:val="260" w:hRule="atLeast"/>
          <w:jc w:val="center"/>
        </w:trPr>
        <w:tc>
          <w:tcPr>
            <w:tcW w:w="639"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277</w:t>
            </w:r>
          </w:p>
        </w:tc>
        <w:tc>
          <w:tcPr>
            <w:tcW w:w="1650"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1.2（1000元/人/月*12个月）</w:t>
            </w:r>
          </w:p>
        </w:tc>
        <w:tc>
          <w:tcPr>
            <w:tcW w:w="990"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332.4</w:t>
            </w:r>
          </w:p>
        </w:tc>
        <w:tc>
          <w:tcPr>
            <w:tcW w:w="690"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92</w:t>
            </w:r>
          </w:p>
        </w:tc>
        <w:tc>
          <w:tcPr>
            <w:tcW w:w="1680" w:type="dxa"/>
            <w:tcBorders>
              <w:tl2br w:val="nil"/>
              <w:tr2bl w:val="nil"/>
            </w:tcBorders>
            <w:shd w:val="clear" w:color="auto" w:fill="auto"/>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0.804（670元/人/月*12个月）</w:t>
            </w:r>
          </w:p>
        </w:tc>
        <w:tc>
          <w:tcPr>
            <w:tcW w:w="1080"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73.968</w:t>
            </w:r>
          </w:p>
        </w:tc>
        <w:tc>
          <w:tcPr>
            <w:tcW w:w="1147" w:type="dxa"/>
            <w:tcBorders>
              <w:tl2br w:val="nil"/>
              <w:tr2bl w:val="nil"/>
            </w:tcBorders>
            <w:shd w:val="clear" w:color="auto" w:fill="auto"/>
            <w:noWrap/>
            <w:tcMar>
              <w:top w:w="15" w:type="dxa"/>
              <w:left w:w="15" w:type="dxa"/>
              <w:right w:w="15" w:type="dxa"/>
            </w:tcMar>
            <w:vAlign w:val="center"/>
          </w:tcPr>
          <w:p>
            <w:pPr>
              <w:widowControl/>
              <w:jc w:val="center"/>
              <w:textAlignment w:val="center"/>
              <w:rPr>
                <w:rFonts w:ascii="华文仿宋" w:hAnsi="华文仿宋" w:eastAsia="华文仿宋" w:cs="华文仿宋"/>
                <w:color w:val="000000"/>
                <w:sz w:val="18"/>
                <w:szCs w:val="18"/>
              </w:rPr>
            </w:pPr>
            <w:r>
              <w:rPr>
                <w:rFonts w:hint="eastAsia" w:ascii="华文仿宋" w:hAnsi="华文仿宋" w:eastAsia="华文仿宋" w:cs="华文仿宋"/>
                <w:color w:val="000000"/>
                <w:kern w:val="0"/>
                <w:sz w:val="18"/>
                <w:szCs w:val="18"/>
                <w:lang w:bidi="ar"/>
              </w:rPr>
              <w:t>406.368</w:t>
            </w:r>
          </w:p>
        </w:tc>
      </w:tr>
    </w:tbl>
    <w:p>
      <w:pPr>
        <w:adjustRightInd w:val="0"/>
        <w:snapToGrid w:val="0"/>
        <w:spacing w:line="600" w:lineRule="exact"/>
        <w:ind w:firstLine="640" w:firstLineChars="200"/>
        <w:rPr>
          <w:rFonts w:ascii="华文仿宋" w:hAnsi="华文仿宋" w:eastAsia="华文仿宋"/>
          <w:color w:val="000000" w:themeColor="text1"/>
          <w:sz w:val="32"/>
          <w:szCs w:val="32"/>
          <w14:textFill>
            <w14:solidFill>
              <w14:schemeClr w14:val="tx1"/>
            </w14:solidFill>
          </w14:textFill>
        </w:rPr>
      </w:pPr>
      <w:r>
        <w:rPr>
          <w:rFonts w:hint="eastAsia" w:ascii="华文仿宋" w:hAnsi="华文仿宋" w:eastAsia="华文仿宋"/>
          <w:color w:val="000000" w:themeColor="text1"/>
          <w:sz w:val="32"/>
          <w:szCs w:val="32"/>
          <w14:textFill>
            <w14:solidFill>
              <w14:schemeClr w14:val="tx1"/>
            </w14:solidFill>
          </w14:textFill>
        </w:rPr>
        <w:t>截止2018年年底，区卫生局共收到中央、省、市、区级特别扶助（子女死亡、伤残）项目经费</w:t>
      </w:r>
      <w:r>
        <w:rPr>
          <w:rFonts w:hint="eastAsia" w:ascii="华文仿宋" w:hAnsi="华文仿宋" w:eastAsia="华文仿宋"/>
          <w:color w:val="000000" w:themeColor="text1"/>
          <w:sz w:val="32"/>
          <w:szCs w:val="32"/>
          <w:lang w:val="en-US" w:eastAsia="zh-CN"/>
          <w14:textFill>
            <w14:solidFill>
              <w14:schemeClr w14:val="tx1"/>
            </w14:solidFill>
          </w14:textFill>
        </w:rPr>
        <w:t>437.618</w:t>
      </w:r>
      <w:r>
        <w:rPr>
          <w:rFonts w:hint="eastAsia" w:ascii="华文仿宋" w:hAnsi="华文仿宋" w:eastAsia="华文仿宋"/>
          <w:color w:val="000000" w:themeColor="text1"/>
          <w:sz w:val="32"/>
          <w:szCs w:val="32"/>
          <w14:textFill>
            <w14:solidFill>
              <w14:schemeClr w14:val="tx1"/>
            </w14:solidFill>
          </w14:textFill>
        </w:rPr>
        <w:t>万元（178.24+80+179.378万元），该项目资金结余</w:t>
      </w:r>
      <w:r>
        <w:rPr>
          <w:rFonts w:hint="eastAsia" w:ascii="华文仿宋" w:hAnsi="华文仿宋" w:eastAsia="华文仿宋"/>
          <w:color w:val="000000" w:themeColor="text1"/>
          <w:sz w:val="32"/>
          <w:szCs w:val="32"/>
          <w:lang w:val="en-US" w:eastAsia="zh-CN"/>
          <w14:textFill>
            <w14:solidFill>
              <w14:schemeClr w14:val="tx1"/>
            </w14:solidFill>
          </w14:textFill>
        </w:rPr>
        <w:t>31.25</w:t>
      </w:r>
      <w:r>
        <w:rPr>
          <w:rFonts w:hint="eastAsia" w:ascii="华文仿宋" w:hAnsi="华文仿宋" w:eastAsia="华文仿宋"/>
          <w:color w:val="000000" w:themeColor="text1"/>
          <w:sz w:val="32"/>
          <w:szCs w:val="32"/>
          <w14:textFill>
            <w14:solidFill>
              <w14:schemeClr w14:val="tx1"/>
            </w14:solidFill>
          </w14:textFill>
        </w:rPr>
        <w:t>万元</w:t>
      </w:r>
      <w:r>
        <w:rPr>
          <w:rFonts w:hint="eastAsia" w:ascii="华文仿宋" w:hAnsi="华文仿宋" w:eastAsia="华文仿宋"/>
          <w:color w:val="000000" w:themeColor="text1"/>
          <w:sz w:val="32"/>
          <w:szCs w:val="32"/>
          <w:lang w:val="en-US" w:eastAsia="zh-CN"/>
          <w14:textFill>
            <w14:solidFill>
              <w14:schemeClr w14:val="tx1"/>
            </w14:solidFill>
          </w14:textFill>
        </w:rPr>
        <w:t>在区卫健局</w:t>
      </w:r>
      <w:r>
        <w:rPr>
          <w:rFonts w:hint="eastAsia" w:ascii="华文仿宋" w:hAnsi="华文仿宋" w:eastAsia="华文仿宋"/>
          <w:color w:val="000000" w:themeColor="text1"/>
          <w:sz w:val="32"/>
          <w:szCs w:val="32"/>
          <w14:textFill>
            <w14:solidFill>
              <w14:schemeClr w14:val="tx1"/>
            </w14:solidFill>
          </w14:textFill>
        </w:rPr>
        <w:t>。同时，2018年</w:t>
      </w:r>
      <w:r>
        <w:rPr>
          <w:rFonts w:hint="eastAsia" w:ascii="华文仿宋" w:hAnsi="华文仿宋" w:eastAsia="华文仿宋" w:cs="华文仿宋"/>
          <w:color w:val="000000" w:themeColor="text1"/>
          <w:sz w:val="32"/>
          <w:szCs w:val="32"/>
          <w14:textFill>
            <w14:solidFill>
              <w14:schemeClr w14:val="tx1"/>
            </w14:solidFill>
          </w14:textFill>
        </w:rPr>
        <w:t>区财政配套预算资金为201.84万元，实际拨付资金179.378万元，指标结余22.462万元，</w:t>
      </w:r>
      <w:r>
        <w:rPr>
          <w:rFonts w:hint="eastAsia" w:ascii="华文仿宋" w:hAnsi="华文仿宋" w:eastAsia="华文仿宋"/>
          <w:color w:val="000000" w:themeColor="text1"/>
          <w:sz w:val="32"/>
          <w:szCs w:val="32"/>
          <w14:textFill>
            <w14:solidFill>
              <w14:schemeClr w14:val="tx1"/>
            </w14:solidFill>
          </w14:textFill>
        </w:rPr>
        <w:t>已由财政收回。</w:t>
      </w:r>
    </w:p>
    <w:p>
      <w:pPr>
        <w:numPr>
          <w:ilvl w:val="0"/>
          <w:numId w:val="2"/>
        </w:numPr>
        <w:adjustRightInd w:val="0"/>
        <w:snapToGrid w:val="0"/>
        <w:spacing w:line="600" w:lineRule="exact"/>
        <w:ind w:firstLine="641" w:firstLineChars="200"/>
        <w:jc w:val="left"/>
        <w:outlineLvl w:val="1"/>
        <w:rPr>
          <w:rFonts w:ascii="华文楷体" w:hAnsi="华文楷体" w:eastAsia="华文楷体"/>
          <w:b/>
          <w:color w:val="000000" w:themeColor="text1"/>
          <w:sz w:val="32"/>
          <w:szCs w:val="32"/>
          <w14:textFill>
            <w14:solidFill>
              <w14:schemeClr w14:val="tx1"/>
            </w14:solidFill>
          </w14:textFill>
        </w:rPr>
      </w:pPr>
      <w:bookmarkStart w:id="16" w:name="_Toc1376"/>
      <w:r>
        <w:rPr>
          <w:rFonts w:hint="eastAsia" w:ascii="华文楷体" w:hAnsi="华文楷体" w:eastAsia="华文楷体"/>
          <w:b/>
          <w:color w:val="000000" w:themeColor="text1"/>
          <w:sz w:val="32"/>
          <w:szCs w:val="32"/>
          <w14:textFill>
            <w14:solidFill>
              <w14:schemeClr w14:val="tx1"/>
            </w14:solidFill>
          </w14:textFill>
        </w:rPr>
        <w:t>项目绩效目标及完成情况</w:t>
      </w:r>
      <w:bookmarkEnd w:id="16"/>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区卫生局关于特别扶助项目年度绩效目标为：“严格按照年初制定的项目资金管理办法和方案，按要求进行考核管理，全程对项目资金进行监督考核，严格专款专用，按要求完成一定的社会效益和经济效益”。截止2018年底，区卫生局已将全区369位特别扶助对象的扶助资金100%足额发放至对应的个人储蓄账户，保障了特殊困难家庭的基本生活，维护</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了</w:t>
      </w:r>
      <w:r>
        <w:rPr>
          <w:rFonts w:hint="eastAsia" w:ascii="华文仿宋" w:hAnsi="华文仿宋" w:eastAsia="华文仿宋" w:cs="华文仿宋"/>
          <w:color w:val="000000" w:themeColor="text1"/>
          <w:sz w:val="32"/>
          <w:szCs w:val="32"/>
          <w14:textFill>
            <w14:solidFill>
              <w14:schemeClr w14:val="tx1"/>
            </w14:solidFill>
          </w14:textFill>
        </w:rPr>
        <w:t>社会的和谐与稳定。</w:t>
      </w:r>
    </w:p>
    <w:p>
      <w:pPr>
        <w:pStyle w:val="13"/>
        <w:numPr>
          <w:ilvl w:val="0"/>
          <w:numId w:val="1"/>
        </w:numPr>
        <w:shd w:val="clear" w:color="auto" w:fill="FFFFFF"/>
        <w:spacing w:before="0" w:beforeAutospacing="0" w:after="0" w:afterAutospacing="0" w:line="600" w:lineRule="exact"/>
        <w:ind w:firstLine="640" w:firstLineChars="200"/>
        <w:jc w:val="both"/>
        <w:outlineLvl w:val="0"/>
        <w:rPr>
          <w:rFonts w:ascii="黑体" w:hAnsi="黑体" w:eastAsia="黑体"/>
          <w:color w:val="000000" w:themeColor="text1"/>
          <w:sz w:val="32"/>
          <w:szCs w:val="32"/>
          <w14:textFill>
            <w14:solidFill>
              <w14:schemeClr w14:val="tx1"/>
            </w14:solidFill>
          </w14:textFill>
        </w:rPr>
      </w:pPr>
      <w:bookmarkStart w:id="17" w:name="_Toc12349"/>
      <w:r>
        <w:rPr>
          <w:rFonts w:hint="eastAsia" w:ascii="黑体" w:hAnsi="黑体" w:eastAsia="黑体"/>
          <w:color w:val="000000" w:themeColor="text1"/>
          <w:sz w:val="32"/>
          <w:szCs w:val="32"/>
          <w14:textFill>
            <w14:solidFill>
              <w14:schemeClr w14:val="tx1"/>
            </w14:solidFill>
          </w14:textFill>
        </w:rPr>
        <w:t>项目资金绩效评价及分析</w:t>
      </w:r>
      <w:bookmarkEnd w:id="17"/>
    </w:p>
    <w:p>
      <w:pPr>
        <w:adjustRightInd w:val="0"/>
        <w:snapToGrid w:val="0"/>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对</w:t>
      </w:r>
      <w:r>
        <w:rPr>
          <w:rFonts w:hint="eastAsia" w:ascii="华文仿宋" w:hAnsi="华文仿宋" w:eastAsia="华文仿宋" w:cs="华文仿宋"/>
          <w:color w:val="000000" w:themeColor="text1"/>
          <w:sz w:val="32"/>
          <w:szCs w:val="32"/>
          <w14:textFill>
            <w14:solidFill>
              <w14:schemeClr w14:val="tx1"/>
            </w14:solidFill>
          </w14:textFill>
        </w:rPr>
        <w:t>特别扶助</w:t>
      </w:r>
      <w:r>
        <w:rPr>
          <w:rFonts w:ascii="华文仿宋" w:hAnsi="华文仿宋" w:eastAsia="华文仿宋" w:cs="华文仿宋"/>
          <w:color w:val="000000" w:themeColor="text1"/>
          <w:sz w:val="32"/>
          <w:szCs w:val="32"/>
          <w14:textFill>
            <w14:solidFill>
              <w14:schemeClr w14:val="tx1"/>
            </w14:solidFill>
          </w14:textFill>
        </w:rPr>
        <w:t>项目</w:t>
      </w:r>
      <w:r>
        <w:rPr>
          <w:rFonts w:hint="eastAsia" w:ascii="华文仿宋" w:hAnsi="华文仿宋" w:eastAsia="华文仿宋" w:cs="华文仿宋"/>
          <w:color w:val="000000" w:themeColor="text1"/>
          <w:sz w:val="32"/>
          <w:szCs w:val="32"/>
          <w14:textFill>
            <w14:solidFill>
              <w14:schemeClr w14:val="tx1"/>
            </w14:solidFill>
          </w14:textFill>
        </w:rPr>
        <w:t>资金进行</w:t>
      </w:r>
      <w:r>
        <w:rPr>
          <w:rFonts w:ascii="华文仿宋" w:hAnsi="华文仿宋" w:eastAsia="华文仿宋" w:cs="华文仿宋"/>
          <w:color w:val="000000" w:themeColor="text1"/>
          <w:sz w:val="32"/>
          <w:szCs w:val="32"/>
          <w14:textFill>
            <w14:solidFill>
              <w14:schemeClr w14:val="tx1"/>
            </w14:solidFill>
          </w14:textFill>
        </w:rPr>
        <w:t>评价,目的在于通过全面了</w:t>
      </w:r>
      <w:r>
        <w:rPr>
          <w:rFonts w:hint="eastAsia" w:ascii="华文仿宋" w:hAnsi="华文仿宋" w:eastAsia="华文仿宋" w:cs="华文仿宋"/>
          <w:color w:val="000000" w:themeColor="text1"/>
          <w:sz w:val="32"/>
          <w:szCs w:val="32"/>
          <w14:textFill>
            <w14:solidFill>
              <w14:schemeClr w14:val="tx1"/>
            </w14:solidFill>
          </w14:textFill>
        </w:rPr>
        <w:t>解特别</w:t>
      </w:r>
      <w:r>
        <w:rPr>
          <w:rFonts w:ascii="华文仿宋" w:hAnsi="华文仿宋" w:eastAsia="华文仿宋" w:cs="华文仿宋"/>
          <w:color w:val="000000" w:themeColor="text1"/>
          <w:sz w:val="32"/>
          <w:szCs w:val="32"/>
          <w14:textFill>
            <w14:solidFill>
              <w14:schemeClr w14:val="tx1"/>
            </w14:solidFill>
          </w14:textFill>
        </w:rPr>
        <w:t>项目</w:t>
      </w:r>
      <w:r>
        <w:rPr>
          <w:rFonts w:hint="eastAsia" w:ascii="华文仿宋" w:hAnsi="华文仿宋" w:eastAsia="华文仿宋" w:cs="华文仿宋"/>
          <w:color w:val="000000" w:themeColor="text1"/>
          <w:sz w:val="32"/>
          <w:szCs w:val="32"/>
          <w14:textFill>
            <w14:solidFill>
              <w14:schemeClr w14:val="tx1"/>
            </w14:solidFill>
          </w14:textFill>
        </w:rPr>
        <w:t>管理和资金的</w:t>
      </w:r>
      <w:r>
        <w:rPr>
          <w:rFonts w:ascii="华文仿宋" w:hAnsi="华文仿宋" w:eastAsia="华文仿宋" w:cs="华文仿宋"/>
          <w:color w:val="000000" w:themeColor="text1"/>
          <w:sz w:val="32"/>
          <w:szCs w:val="32"/>
          <w14:textFill>
            <w14:solidFill>
              <w14:schemeClr w14:val="tx1"/>
            </w14:solidFill>
          </w14:textFill>
        </w:rPr>
        <w:t>使用情况，强化</w:t>
      </w:r>
      <w:r>
        <w:rPr>
          <w:rFonts w:hint="eastAsia" w:ascii="华文仿宋" w:hAnsi="华文仿宋" w:eastAsia="华文仿宋" w:cs="华文仿宋"/>
          <w:color w:val="000000" w:themeColor="text1"/>
          <w:sz w:val="32"/>
          <w:szCs w:val="32"/>
          <w14:textFill>
            <w14:solidFill>
              <w14:schemeClr w14:val="tx1"/>
            </w14:solidFill>
          </w14:textFill>
        </w:rPr>
        <w:t>项目</w:t>
      </w:r>
      <w:r>
        <w:rPr>
          <w:rFonts w:ascii="华文仿宋" w:hAnsi="华文仿宋" w:eastAsia="华文仿宋" w:cs="华文仿宋"/>
          <w:color w:val="000000" w:themeColor="text1"/>
          <w:sz w:val="32"/>
          <w:szCs w:val="32"/>
          <w14:textFill>
            <w14:solidFill>
              <w14:schemeClr w14:val="tx1"/>
            </w14:solidFill>
          </w14:textFill>
        </w:rPr>
        <w:t>监督，提高</w:t>
      </w:r>
      <w:r>
        <w:rPr>
          <w:rFonts w:hint="eastAsia" w:ascii="华文仿宋" w:hAnsi="华文仿宋" w:eastAsia="华文仿宋" w:cs="华文仿宋"/>
          <w:color w:val="000000" w:themeColor="text1"/>
          <w:sz w:val="32"/>
          <w:szCs w:val="32"/>
          <w14:textFill>
            <w14:solidFill>
              <w14:schemeClr w14:val="tx1"/>
            </w14:solidFill>
          </w14:textFill>
        </w:rPr>
        <w:t>项目</w:t>
      </w:r>
      <w:r>
        <w:rPr>
          <w:rFonts w:ascii="华文仿宋" w:hAnsi="华文仿宋" w:eastAsia="华文仿宋" w:cs="华文仿宋"/>
          <w:color w:val="000000" w:themeColor="text1"/>
          <w:sz w:val="32"/>
          <w:szCs w:val="32"/>
          <w14:textFill>
            <w14:solidFill>
              <w14:schemeClr w14:val="tx1"/>
            </w14:solidFill>
          </w14:textFill>
        </w:rPr>
        <w:t>资金使用效益和支出透明度，针对存在的</w:t>
      </w:r>
      <w:r>
        <w:rPr>
          <w:rFonts w:hint="eastAsia" w:ascii="华文仿宋" w:hAnsi="华文仿宋" w:eastAsia="华文仿宋" w:cs="华文仿宋"/>
          <w:color w:val="000000" w:themeColor="text1"/>
          <w:sz w:val="32"/>
          <w:szCs w:val="32"/>
          <w14:textFill>
            <w14:solidFill>
              <w14:schemeClr w14:val="tx1"/>
            </w14:solidFill>
          </w14:textFill>
        </w:rPr>
        <w:t>问</w:t>
      </w:r>
      <w:r>
        <w:rPr>
          <w:rFonts w:ascii="华文仿宋" w:hAnsi="华文仿宋" w:eastAsia="华文仿宋" w:cs="华文仿宋"/>
          <w:color w:val="000000" w:themeColor="text1"/>
          <w:sz w:val="32"/>
          <w:szCs w:val="32"/>
          <w14:textFill>
            <w14:solidFill>
              <w14:schemeClr w14:val="tx1"/>
            </w14:solidFill>
          </w14:textFill>
        </w:rPr>
        <w:t>题提出合理化建议。</w:t>
      </w:r>
      <w:r>
        <w:rPr>
          <w:rFonts w:hint="eastAsia" w:ascii="华文仿宋" w:hAnsi="华文仿宋" w:eastAsia="华文仿宋" w:cs="华文仿宋"/>
          <w:color w:val="000000" w:themeColor="text1"/>
          <w:sz w:val="32"/>
          <w:szCs w:val="32"/>
          <w14:textFill>
            <w14:solidFill>
              <w14:schemeClr w14:val="tx1"/>
            </w14:solidFill>
          </w14:textFill>
        </w:rPr>
        <w:t>实施评价前，惟楚</w:t>
      </w:r>
      <w:r>
        <w:rPr>
          <w:rFonts w:ascii="华文仿宋" w:hAnsi="华文仿宋" w:eastAsia="华文仿宋" w:cs="华文仿宋"/>
          <w:color w:val="000000" w:themeColor="text1"/>
          <w:sz w:val="32"/>
          <w:szCs w:val="32"/>
          <w14:textFill>
            <w14:solidFill>
              <w14:schemeClr w14:val="tx1"/>
            </w14:solidFill>
          </w14:textFill>
        </w:rPr>
        <w:t>创智</w:t>
      </w:r>
      <w:r>
        <w:rPr>
          <w:rFonts w:hint="eastAsia" w:ascii="华文仿宋" w:hAnsi="华文仿宋" w:eastAsia="华文仿宋" w:cs="华文仿宋"/>
          <w:color w:val="000000" w:themeColor="text1"/>
          <w:sz w:val="32"/>
          <w:szCs w:val="32"/>
          <w14:textFill>
            <w14:solidFill>
              <w14:schemeClr w14:val="tx1"/>
            </w14:solidFill>
          </w14:textFill>
        </w:rPr>
        <w:t>与区财政局、卫生局进行了充分沟通，成立了评价</w:t>
      </w:r>
      <w:r>
        <w:rPr>
          <w:rFonts w:hint="eastAsia" w:ascii="华文仿宋" w:hAnsi="华文仿宋" w:eastAsia="华文仿宋" w:cs="华文仿宋"/>
          <w:sz w:val="32"/>
          <w:szCs w:val="32"/>
        </w:rPr>
        <w:t>组，</w:t>
      </w:r>
      <w:r>
        <w:rPr>
          <w:rFonts w:hint="eastAsia" w:ascii="华文仿宋" w:hAnsi="华文仿宋" w:eastAsia="华文仿宋" w:cs="华文仿宋"/>
          <w:color w:val="000000" w:themeColor="text1"/>
          <w:sz w:val="32"/>
          <w:szCs w:val="32"/>
          <w14:textFill>
            <w14:solidFill>
              <w14:schemeClr w14:val="tx1"/>
            </w14:solidFill>
          </w14:textFill>
        </w:rPr>
        <w:t>根据有关规定和特别扶助项目实施情况，拟订了绩效评价工作方案，设计出评价指标和标准，</w:t>
      </w:r>
      <w:r>
        <w:rPr>
          <w:rFonts w:ascii="华文仿宋" w:hAnsi="华文仿宋" w:eastAsia="华文仿宋" w:cs="华文仿宋"/>
          <w:color w:val="000000" w:themeColor="text1"/>
          <w:sz w:val="32"/>
          <w:szCs w:val="32"/>
          <w14:textFill>
            <w14:solidFill>
              <w14:schemeClr w14:val="tx1"/>
            </w14:solidFill>
          </w14:textFill>
        </w:rPr>
        <w:t>对</w:t>
      </w:r>
      <w:r>
        <w:rPr>
          <w:rFonts w:hint="eastAsia" w:ascii="华文仿宋" w:hAnsi="华文仿宋" w:eastAsia="华文仿宋" w:cs="华文仿宋"/>
          <w:color w:val="000000" w:themeColor="text1"/>
          <w:sz w:val="32"/>
          <w:szCs w:val="32"/>
          <w14:textFill>
            <w14:solidFill>
              <w14:schemeClr w14:val="tx1"/>
            </w14:solidFill>
          </w14:textFill>
        </w:rPr>
        <w:t>2018年特别扶助项目开展了绩效评价工作。</w:t>
      </w:r>
    </w:p>
    <w:p>
      <w:pPr>
        <w:numPr>
          <w:ilvl w:val="0"/>
          <w:numId w:val="3"/>
        </w:numPr>
        <w:adjustRightInd w:val="0"/>
        <w:snapToGrid w:val="0"/>
        <w:spacing w:line="600" w:lineRule="exact"/>
        <w:ind w:firstLine="643" w:firstLineChars="200"/>
        <w:outlineLvl w:val="1"/>
        <w:rPr>
          <w:rFonts w:ascii="楷体_GB2312" w:hAnsi="文星仿宋" w:eastAsia="楷体_GB2312"/>
          <w:b/>
          <w:color w:val="000000" w:themeColor="text1"/>
          <w:sz w:val="32"/>
          <w:szCs w:val="32"/>
          <w14:textFill>
            <w14:solidFill>
              <w14:schemeClr w14:val="tx1"/>
            </w14:solidFill>
          </w14:textFill>
        </w:rPr>
      </w:pPr>
      <w:bookmarkStart w:id="18" w:name="_Toc2890"/>
      <w:r>
        <w:rPr>
          <w:rFonts w:hint="eastAsia" w:ascii="楷体_GB2312" w:hAnsi="文星仿宋" w:eastAsia="楷体_GB2312"/>
          <w:b/>
          <w:color w:val="000000" w:themeColor="text1"/>
          <w:sz w:val="32"/>
          <w:szCs w:val="32"/>
          <w14:textFill>
            <w14:solidFill>
              <w14:schemeClr w14:val="tx1"/>
            </w14:solidFill>
          </w14:textFill>
        </w:rPr>
        <w:t>评价依据</w:t>
      </w:r>
      <w:bookmarkEnd w:id="18"/>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《中华人民共和国预算法》；</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《党政机关厉行节约反对浪费条例》；</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《中共中央国务院关于全面实施预算绩效管理的意见》（</w:t>
      </w:r>
      <w:r>
        <w:rPr>
          <w:rFonts w:hint="eastAsia" w:ascii="华文仿宋" w:hAnsi="华文仿宋" w:eastAsia="华文仿宋" w:cs="华文仿宋"/>
          <w:color w:val="000000" w:themeColor="text1"/>
          <w:sz w:val="32"/>
          <w:szCs w:val="32"/>
          <w14:textFill>
            <w14:solidFill>
              <w14:schemeClr w14:val="tx1"/>
            </w14:solidFill>
          </w14:textFill>
        </w:rPr>
        <w:t>中发〔2018〕34号</w:t>
      </w:r>
      <w:r>
        <w:rPr>
          <w:rFonts w:hint="eastAsia" w:ascii="华文仿宋" w:hAnsi="华文仿宋" w:eastAsia="华文仿宋" w:cs="华文仿宋"/>
          <w:sz w:val="32"/>
          <w:szCs w:val="32"/>
        </w:rPr>
        <w:t>）；</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财政部《财政财政支出绩效评价管理暂行办法》（财预〔2011〕285号）；</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《中共湖南省委办公厅湖南省人民政府办公厅关于全面实施预算绩效管理的实施意见》（湘办发〔2019〕10号）；</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现行有关</w:t>
      </w:r>
      <w:r>
        <w:rPr>
          <w:rFonts w:ascii="华文仿宋" w:hAnsi="华文仿宋" w:eastAsia="华文仿宋" w:cs="华文仿宋"/>
          <w:sz w:val="32"/>
          <w:szCs w:val="32"/>
        </w:rPr>
        <w:t>财政</w:t>
      </w:r>
      <w:r>
        <w:rPr>
          <w:rFonts w:hint="eastAsia" w:ascii="华文仿宋" w:hAnsi="华文仿宋" w:eastAsia="华文仿宋" w:cs="华文仿宋"/>
          <w:sz w:val="32"/>
          <w:szCs w:val="32"/>
        </w:rPr>
        <w:t>财务会计制度；</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《2018年度预算绩效管理工作实施方案》（鹤财绩〔2018〕26号）；</w:t>
      </w:r>
    </w:p>
    <w:p>
      <w:pPr>
        <w:numPr>
          <w:ilvl w:val="0"/>
          <w:numId w:val="4"/>
        </w:num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项目立项申报资料、财政资金指标文件、预算执行和项目实施的有关材料等；</w:t>
      </w:r>
    </w:p>
    <w:p>
      <w:pPr>
        <w:adjustRightInd w:val="0"/>
        <w:snapToGrid w:val="0"/>
        <w:spacing w:line="600" w:lineRule="exact"/>
        <w:ind w:left="643"/>
        <w:rPr>
          <w:rFonts w:ascii="华文仿宋" w:hAnsi="华文仿宋" w:eastAsia="华文仿宋"/>
          <w:color w:val="000000" w:themeColor="text1"/>
          <w:sz w:val="32"/>
          <w:szCs w:val="32"/>
          <w14:textFill>
            <w14:solidFill>
              <w14:schemeClr w14:val="tx1"/>
            </w14:solidFill>
          </w14:textFill>
        </w:rPr>
      </w:pPr>
      <w:r>
        <w:rPr>
          <w:rFonts w:hint="eastAsia" w:ascii="华文仿宋" w:hAnsi="华文仿宋" w:eastAsia="华文仿宋" w:cs="华文仿宋"/>
          <w:sz w:val="32"/>
          <w:szCs w:val="32"/>
        </w:rPr>
        <w:t>（9）评价组现场调研资料及与评价有关的其他资料。</w:t>
      </w:r>
    </w:p>
    <w:p>
      <w:pPr>
        <w:numPr>
          <w:ilvl w:val="0"/>
          <w:numId w:val="3"/>
        </w:numPr>
        <w:adjustRightInd w:val="0"/>
        <w:snapToGrid w:val="0"/>
        <w:spacing w:line="600" w:lineRule="exact"/>
        <w:ind w:firstLine="643" w:firstLineChars="200"/>
        <w:outlineLvl w:val="1"/>
        <w:rPr>
          <w:rFonts w:ascii="楷体_GB2312" w:hAnsi="文星仿宋" w:eastAsia="楷体_GB2312"/>
          <w:b/>
          <w:color w:val="000000" w:themeColor="text1"/>
          <w:sz w:val="32"/>
          <w:szCs w:val="32"/>
          <w14:textFill>
            <w14:solidFill>
              <w14:schemeClr w14:val="tx1"/>
            </w14:solidFill>
          </w14:textFill>
        </w:rPr>
      </w:pPr>
      <w:bookmarkStart w:id="19" w:name="_Toc6439"/>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方法</w:t>
      </w:r>
      <w:bookmarkEnd w:id="19"/>
    </w:p>
    <w:p>
      <w:pPr>
        <w:adjustRightInd w:val="0"/>
        <w:snapToGrid w:val="0"/>
        <w:spacing w:line="600" w:lineRule="exact"/>
        <w:ind w:firstLine="640" w:firstLineChars="200"/>
        <w:jc w:val="left"/>
        <w:rPr>
          <w:rFonts w:hint="eastAsia"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sz w:val="32"/>
          <w:szCs w:val="32"/>
        </w:rPr>
        <w:t>评价组</w:t>
      </w:r>
      <w:r>
        <w:rPr>
          <w:rFonts w:hint="eastAsia" w:ascii="华文仿宋" w:hAnsi="华文仿宋" w:eastAsia="华文仿宋" w:cs="华文仿宋"/>
          <w:bCs/>
          <w:sz w:val="32"/>
          <w:szCs w:val="32"/>
        </w:rPr>
        <w:t>结合项目的特点，坚持定量分析和定性分析相结合，</w:t>
      </w:r>
      <w:r>
        <w:rPr>
          <w:rFonts w:hint="eastAsia" w:ascii="华文仿宋" w:hAnsi="华文仿宋" w:eastAsia="华文仿宋" w:cs="华文仿宋"/>
          <w:bCs/>
          <w:sz w:val="32"/>
          <w:szCs w:val="32"/>
          <w:lang w:eastAsia="zh-CN"/>
        </w:rPr>
        <w:t>充分</w:t>
      </w:r>
      <w:r>
        <w:rPr>
          <w:rFonts w:hint="eastAsia" w:ascii="华文仿宋" w:hAnsi="华文仿宋" w:eastAsia="华文仿宋" w:cs="华文仿宋"/>
          <w:color w:val="000000"/>
          <w:sz w:val="32"/>
          <w:szCs w:val="32"/>
        </w:rPr>
        <w:t>运用比较法、公众评判法、因素分析法、数据分析法等方法，</w:t>
      </w:r>
      <w:r>
        <w:rPr>
          <w:rFonts w:hint="eastAsia" w:ascii="华文仿宋" w:hAnsi="华文仿宋" w:eastAsia="华文仿宋" w:cs="华文仿宋"/>
          <w:color w:val="000000" w:themeColor="text1"/>
          <w:sz w:val="32"/>
          <w:szCs w:val="32"/>
          <w14:textFill>
            <w14:solidFill>
              <w14:schemeClr w14:val="tx1"/>
            </w14:solidFill>
          </w14:textFill>
        </w:rPr>
        <w:t>对特别扶助项目实施及资金绩效情况进行了绩效评价。</w:t>
      </w:r>
    </w:p>
    <w:p>
      <w:pPr>
        <w:numPr>
          <w:ilvl w:val="0"/>
          <w:numId w:val="3"/>
        </w:numPr>
        <w:adjustRightInd w:val="0"/>
        <w:snapToGrid w:val="0"/>
        <w:spacing w:line="600" w:lineRule="exact"/>
        <w:ind w:firstLine="643" w:firstLineChars="200"/>
        <w:outlineLvl w:val="1"/>
        <w:rPr>
          <w:rFonts w:ascii="楷体_GB2312" w:hAnsi="文星仿宋" w:eastAsia="楷体_GB2312"/>
          <w:b/>
          <w:color w:val="000000" w:themeColor="text1"/>
          <w:sz w:val="32"/>
          <w:szCs w:val="32"/>
          <w14:textFill>
            <w14:solidFill>
              <w14:schemeClr w14:val="tx1"/>
            </w14:solidFill>
          </w14:textFill>
        </w:rPr>
      </w:pPr>
      <w:bookmarkStart w:id="20" w:name="_Toc15539"/>
      <w:r>
        <w:rPr>
          <w:rFonts w:hint="eastAsia" w:ascii="楷体_GB2312" w:hAnsi="文星仿宋" w:eastAsia="楷体_GB2312"/>
          <w:b/>
          <w:color w:val="000000" w:themeColor="text1"/>
          <w:sz w:val="32"/>
          <w:szCs w:val="32"/>
          <w14:textFill>
            <w14:solidFill>
              <w14:schemeClr w14:val="tx1"/>
            </w14:solidFill>
          </w14:textFill>
        </w:rPr>
        <w:t>评价</w:t>
      </w:r>
      <w:r>
        <w:rPr>
          <w:rFonts w:ascii="楷体_GB2312" w:hAnsi="文星仿宋" w:eastAsia="楷体_GB2312"/>
          <w:b/>
          <w:color w:val="000000" w:themeColor="text1"/>
          <w:sz w:val="32"/>
          <w:szCs w:val="32"/>
          <w14:textFill>
            <w14:solidFill>
              <w14:schemeClr w14:val="tx1"/>
            </w14:solidFill>
          </w14:textFill>
        </w:rPr>
        <w:t>指标</w:t>
      </w:r>
      <w:bookmarkEnd w:id="20"/>
    </w:p>
    <w:p>
      <w:pPr>
        <w:adjustRightInd w:val="0"/>
        <w:snapToGrid w:val="0"/>
        <w:spacing w:line="600" w:lineRule="exact"/>
        <w:ind w:firstLine="640" w:firstLineChars="200"/>
        <w:jc w:val="left"/>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按照鹤城区财政局《2018年度预算绩效管理工作实施方案》（鹤财绩〔2018〕26号）的有关要求，结合项目具体情况，设计了该项目的评价指标体系，</w:t>
      </w:r>
      <w:r>
        <w:rPr>
          <w:rFonts w:ascii="华文仿宋" w:hAnsi="华文仿宋" w:eastAsia="华文仿宋" w:cs="华文仿宋"/>
          <w:color w:val="000000" w:themeColor="text1"/>
          <w:sz w:val="32"/>
          <w:szCs w:val="32"/>
          <w14:textFill>
            <w14:solidFill>
              <w14:schemeClr w14:val="tx1"/>
            </w14:solidFill>
          </w14:textFill>
        </w:rPr>
        <w:t>指标体系包括共性指标和个性指标两部分</w:t>
      </w:r>
      <w:r>
        <w:rPr>
          <w:rFonts w:hint="eastAsia" w:ascii="华文仿宋" w:hAnsi="华文仿宋" w:eastAsia="华文仿宋" w:cs="华文仿宋"/>
          <w:color w:val="000000" w:themeColor="text1"/>
          <w:sz w:val="32"/>
          <w:szCs w:val="32"/>
          <w14:textFill>
            <w14:solidFill>
              <w14:schemeClr w14:val="tx1"/>
            </w14:solidFill>
          </w14:textFill>
        </w:rPr>
        <w:t>。指标体系由三级指标组成，包括4项一级指标，9项二级指标，30项三级指标，主要包括投入、过程、产出和效果四个维度，满分100分。</w:t>
      </w:r>
    </w:p>
    <w:p>
      <w:pPr>
        <w:adjustRightInd w:val="0"/>
        <w:snapToGrid w:val="0"/>
        <w:spacing w:line="600" w:lineRule="exact"/>
        <w:ind w:firstLine="640" w:firstLineChars="200"/>
        <w:jc w:val="left"/>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一是投入（20 分），主要对项目立项规范性、绩效目标合理性、绩效指标明确性、资金到位率以及到位及时率进行评价。</w:t>
      </w:r>
    </w:p>
    <w:p>
      <w:pPr>
        <w:adjustRightInd w:val="0"/>
        <w:snapToGrid w:val="0"/>
        <w:spacing w:line="600" w:lineRule="exact"/>
        <w:ind w:firstLine="640" w:firstLineChars="200"/>
        <w:jc w:val="left"/>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二是过程（30 分），</w:t>
      </w:r>
      <w:r>
        <w:rPr>
          <w:rFonts w:hint="eastAsia" w:ascii="华文仿宋" w:hAnsi="华文仿宋" w:eastAsia="华文仿宋" w:cs="华文仿宋"/>
          <w:color w:val="000000" w:themeColor="text1"/>
          <w:sz w:val="32"/>
          <w:szCs w:val="32"/>
          <w14:textFill>
            <w14:solidFill>
              <w14:schemeClr w14:val="tx1"/>
            </w14:solidFill>
          </w14:textFill>
        </w:rPr>
        <w:t>主要</w:t>
      </w:r>
      <w:r>
        <w:rPr>
          <w:rFonts w:ascii="华文仿宋" w:hAnsi="华文仿宋" w:eastAsia="华文仿宋" w:cs="华文仿宋"/>
          <w:color w:val="000000" w:themeColor="text1"/>
          <w:sz w:val="32"/>
          <w:szCs w:val="32"/>
          <w14:textFill>
            <w14:solidFill>
              <w14:schemeClr w14:val="tx1"/>
            </w14:solidFill>
          </w14:textFill>
        </w:rPr>
        <w:t>是从业务管理的角度，对管理制度健全性、制度执行有效性、项目质量可控性等方面进行评价；</w:t>
      </w:r>
      <w:r>
        <w:rPr>
          <w:rFonts w:hint="eastAsia" w:ascii="华文仿宋" w:hAnsi="华文仿宋" w:eastAsia="华文仿宋" w:cs="华文仿宋"/>
          <w:color w:val="000000" w:themeColor="text1"/>
          <w:sz w:val="32"/>
          <w:szCs w:val="32"/>
          <w14:textFill>
            <w14:solidFill>
              <w14:schemeClr w14:val="tx1"/>
            </w14:solidFill>
          </w14:textFill>
        </w:rPr>
        <w:t>同时</w:t>
      </w:r>
      <w:r>
        <w:rPr>
          <w:rFonts w:ascii="华文仿宋" w:hAnsi="华文仿宋" w:eastAsia="华文仿宋" w:cs="华文仿宋"/>
          <w:color w:val="000000" w:themeColor="text1"/>
          <w:sz w:val="32"/>
          <w:szCs w:val="32"/>
          <w14:textFill>
            <w14:solidFill>
              <w14:schemeClr w14:val="tx1"/>
            </w14:solidFill>
          </w14:textFill>
        </w:rPr>
        <w:t>从财务管理的角度，对管理制度健全性、资金使用合规性、财务监控有效性等方面进行评价。</w:t>
      </w:r>
    </w:p>
    <w:p>
      <w:pPr>
        <w:adjustRightInd w:val="0"/>
        <w:snapToGrid w:val="0"/>
        <w:spacing w:line="600" w:lineRule="exact"/>
        <w:ind w:firstLine="640" w:firstLineChars="200"/>
        <w:jc w:val="left"/>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三是产出（25分），主要</w:t>
      </w:r>
      <w:r>
        <w:rPr>
          <w:rFonts w:hint="eastAsia" w:ascii="华文仿宋" w:hAnsi="华文仿宋" w:eastAsia="华文仿宋" w:cs="华文仿宋"/>
          <w:color w:val="000000" w:themeColor="text1"/>
          <w:sz w:val="32"/>
          <w:szCs w:val="32"/>
          <w14:textFill>
            <w14:solidFill>
              <w14:schemeClr w14:val="tx1"/>
            </w14:solidFill>
          </w14:textFill>
        </w:rPr>
        <w:t>从产出数量、成本方面进行评价。</w:t>
      </w:r>
    </w:p>
    <w:p>
      <w:pPr>
        <w:adjustRightInd w:val="0"/>
        <w:snapToGrid w:val="0"/>
        <w:spacing w:line="600" w:lineRule="exact"/>
        <w:ind w:firstLine="640" w:firstLineChars="200"/>
        <w:jc w:val="left"/>
        <w:rPr>
          <w:rFonts w:ascii="华文仿宋" w:hAnsi="华文仿宋" w:eastAsia="华文仿宋" w:cs="华文仿宋"/>
          <w:color w:val="000000" w:themeColor="text1"/>
          <w:sz w:val="32"/>
          <w:szCs w:val="32"/>
          <w14:textFill>
            <w14:solidFill>
              <w14:schemeClr w14:val="tx1"/>
            </w14:solidFill>
          </w14:textFill>
        </w:rPr>
      </w:pPr>
      <w:r>
        <w:rPr>
          <w:rFonts w:ascii="华文仿宋" w:hAnsi="华文仿宋" w:eastAsia="华文仿宋" w:cs="华文仿宋"/>
          <w:color w:val="000000" w:themeColor="text1"/>
          <w:sz w:val="32"/>
          <w:szCs w:val="32"/>
          <w14:textFill>
            <w14:solidFill>
              <w14:schemeClr w14:val="tx1"/>
            </w14:solidFill>
          </w14:textFill>
        </w:rPr>
        <w:t>四是效果（25 分），主要对经济效益、社会效益 、可持续影响及社会公众或服务对象满意度等方面进行评价。</w:t>
      </w:r>
    </w:p>
    <w:p>
      <w:pPr>
        <w:adjustRightInd w:val="0"/>
        <w:snapToGrid w:val="0"/>
        <w:spacing w:line="600" w:lineRule="exact"/>
        <w:ind w:firstLine="640" w:firstLineChars="200"/>
        <w:jc w:val="left"/>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绩效评价级别分为四个等级：综合得分在 90-100 分，评价为“优”；80-89 分，评价为“良”；60-79分，评价为“中”；0-59 分，评价为“差”。</w:t>
      </w:r>
    </w:p>
    <w:p>
      <w:pPr>
        <w:pStyle w:val="28"/>
        <w:numPr>
          <w:ilvl w:val="0"/>
          <w:numId w:val="3"/>
        </w:numPr>
        <w:adjustRightInd w:val="0"/>
        <w:snapToGrid w:val="0"/>
        <w:spacing w:line="600" w:lineRule="exact"/>
        <w:ind w:firstLine="643"/>
        <w:outlineLvl w:val="1"/>
        <w:rPr>
          <w:rFonts w:ascii="楷体_GB2312" w:hAnsi="文星仿宋" w:eastAsia="楷体_GB2312"/>
          <w:b/>
          <w:color w:val="000000" w:themeColor="text1"/>
          <w:sz w:val="32"/>
          <w:szCs w:val="32"/>
          <w14:textFill>
            <w14:solidFill>
              <w14:schemeClr w14:val="tx1"/>
            </w14:solidFill>
          </w14:textFill>
        </w:rPr>
      </w:pPr>
      <w:bookmarkStart w:id="21" w:name="_Toc11288"/>
      <w:r>
        <w:rPr>
          <w:rFonts w:hint="eastAsia" w:ascii="楷体_GB2312" w:hAnsi="文星仿宋" w:eastAsia="楷体_GB2312"/>
          <w:b/>
          <w:color w:val="000000" w:themeColor="text1"/>
          <w:sz w:val="32"/>
          <w:szCs w:val="32"/>
          <w14:textFill>
            <w14:solidFill>
              <w14:schemeClr w14:val="tx1"/>
            </w14:solidFill>
          </w14:textFill>
        </w:rPr>
        <w:t>评价结论</w:t>
      </w:r>
      <w:bookmarkEnd w:id="21"/>
    </w:p>
    <w:p>
      <w:p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评价组在</w:t>
      </w:r>
      <w:r>
        <w:rPr>
          <w:rFonts w:ascii="华文仿宋" w:hAnsi="华文仿宋" w:eastAsia="华文仿宋" w:cs="华文仿宋"/>
          <w:sz w:val="32"/>
          <w:szCs w:val="32"/>
        </w:rPr>
        <w:t>全面了解</w:t>
      </w:r>
      <w:r>
        <w:rPr>
          <w:rFonts w:hint="eastAsia" w:ascii="华文仿宋" w:hAnsi="华文仿宋" w:eastAsia="华文仿宋" w:cs="华文仿宋"/>
          <w:sz w:val="32"/>
          <w:szCs w:val="32"/>
        </w:rPr>
        <w:t>特别扶助项目的立项背景依据、资金的使用情况、绩效目标的设定完成情况以及产生的效果</w:t>
      </w:r>
      <w:r>
        <w:rPr>
          <w:rFonts w:ascii="华文仿宋" w:hAnsi="华文仿宋" w:eastAsia="华文仿宋" w:cs="华文仿宋"/>
          <w:sz w:val="32"/>
          <w:szCs w:val="32"/>
        </w:rPr>
        <w:t>的基础上</w:t>
      </w:r>
      <w:r>
        <w:rPr>
          <w:rFonts w:hint="eastAsia" w:ascii="华文仿宋" w:hAnsi="华文仿宋" w:eastAsia="华文仿宋" w:cs="华文仿宋"/>
          <w:sz w:val="32"/>
          <w:szCs w:val="32"/>
        </w:rPr>
        <w:t>，通过书面评价与现场核查，结合区财政局、卫生局提供的佐证材料，</w:t>
      </w:r>
      <w:r>
        <w:rPr>
          <w:rFonts w:hint="eastAsia" w:ascii="华文仿宋" w:hAnsi="华文仿宋" w:eastAsia="华文仿宋" w:cs="华文仿宋"/>
          <w:sz w:val="32"/>
          <w:szCs w:val="32"/>
          <w:lang w:eastAsia="zh-CN"/>
        </w:rPr>
        <w:t>经</w:t>
      </w:r>
      <w:r>
        <w:rPr>
          <w:rFonts w:hint="eastAsia" w:ascii="华文仿宋" w:hAnsi="华文仿宋" w:eastAsia="华文仿宋" w:cs="华文仿宋"/>
          <w:sz w:val="32"/>
          <w:szCs w:val="32"/>
        </w:rPr>
        <w:t>综合</w:t>
      </w:r>
      <w:r>
        <w:rPr>
          <w:rFonts w:ascii="华文仿宋" w:hAnsi="华文仿宋" w:eastAsia="华文仿宋" w:cs="华文仿宋"/>
          <w:sz w:val="32"/>
          <w:szCs w:val="32"/>
        </w:rPr>
        <w:t>评</w:t>
      </w:r>
      <w:r>
        <w:rPr>
          <w:rFonts w:hint="eastAsia" w:ascii="华文仿宋" w:hAnsi="华文仿宋" w:eastAsia="华文仿宋" w:cs="华文仿宋"/>
          <w:sz w:val="32"/>
          <w:szCs w:val="32"/>
          <w:lang w:val="en-US" w:eastAsia="zh-CN"/>
        </w:rPr>
        <w:t>定</w:t>
      </w:r>
      <w:r>
        <w:rPr>
          <w:rFonts w:ascii="华文仿宋" w:hAnsi="华文仿宋" w:eastAsia="华文仿宋" w:cs="华文仿宋"/>
          <w:sz w:val="32"/>
          <w:szCs w:val="32"/>
        </w:rPr>
        <w:t>，</w:t>
      </w:r>
      <w:r>
        <w:rPr>
          <w:rFonts w:hint="eastAsia" w:ascii="华文仿宋" w:hAnsi="华文仿宋" w:eastAsia="华文仿宋" w:cs="华文仿宋"/>
          <w:color w:val="000000" w:themeColor="text1"/>
          <w:sz w:val="32"/>
          <w:szCs w:val="32"/>
          <w14:textFill>
            <w14:solidFill>
              <w14:schemeClr w14:val="tx1"/>
            </w14:solidFill>
          </w14:textFill>
        </w:rPr>
        <w:t>特别扶助项目资金</w:t>
      </w:r>
      <w:r>
        <w:rPr>
          <w:rFonts w:hint="eastAsia" w:ascii="华文仿宋" w:hAnsi="华文仿宋" w:eastAsia="华文仿宋" w:cs="华文仿宋"/>
          <w:sz w:val="32"/>
          <w:szCs w:val="32"/>
        </w:rPr>
        <w:t>绩效评价得分为9</w:t>
      </w:r>
      <w:r>
        <w:rPr>
          <w:rFonts w:hint="eastAsia" w:ascii="华文仿宋" w:hAnsi="华文仿宋" w:eastAsia="华文仿宋" w:cs="华文仿宋"/>
          <w:sz w:val="32"/>
          <w:szCs w:val="32"/>
          <w:lang w:val="en-US" w:eastAsia="zh-CN"/>
        </w:rPr>
        <w:t>4分</w:t>
      </w:r>
      <w:r>
        <w:rPr>
          <w:rFonts w:hint="eastAsia" w:ascii="华文仿宋" w:hAnsi="华文仿宋" w:eastAsia="华文仿宋" w:cs="华文仿宋"/>
          <w:sz w:val="32"/>
          <w:szCs w:val="32"/>
        </w:rPr>
        <w:t>，评价等级为优。</w:t>
      </w:r>
    </w:p>
    <w:p>
      <w:pPr>
        <w:spacing w:line="600" w:lineRule="exact"/>
        <w:ind w:firstLine="640" w:firstLineChars="200"/>
        <w:jc w:val="left"/>
        <w:rPr>
          <w:rFonts w:ascii="华文仿宋" w:hAnsi="华文仿宋" w:eastAsia="华文仿宋" w:cs="华文仿宋"/>
          <w:sz w:val="32"/>
          <w:szCs w:val="32"/>
        </w:rPr>
      </w:pPr>
      <w:r>
        <w:rPr>
          <w:rFonts w:hint="eastAsia" w:ascii="华文仿宋" w:hAnsi="华文仿宋" w:eastAsia="华文仿宋" w:cs="华文仿宋"/>
          <w:sz w:val="32"/>
          <w:szCs w:val="32"/>
        </w:rPr>
        <w:t>从评价结果看，特别扶助项目取得</w:t>
      </w:r>
      <w:r>
        <w:rPr>
          <w:rFonts w:hint="eastAsia" w:ascii="华文仿宋" w:hAnsi="华文仿宋" w:eastAsia="华文仿宋" w:cs="华文仿宋"/>
          <w:sz w:val="32"/>
          <w:szCs w:val="32"/>
          <w:lang w:eastAsia="zh-CN"/>
        </w:rPr>
        <w:t>了</w:t>
      </w:r>
      <w:r>
        <w:rPr>
          <w:rFonts w:hint="eastAsia" w:ascii="华文仿宋" w:hAnsi="华文仿宋" w:eastAsia="华文仿宋" w:cs="华文仿宋"/>
          <w:sz w:val="32"/>
          <w:szCs w:val="32"/>
        </w:rPr>
        <w:t>良好的社会效益，缓解</w:t>
      </w:r>
      <w:r>
        <w:rPr>
          <w:rFonts w:hint="eastAsia" w:ascii="华文仿宋" w:hAnsi="华文仿宋" w:eastAsia="华文仿宋" w:cs="华文仿宋"/>
          <w:sz w:val="32"/>
          <w:szCs w:val="32"/>
          <w:lang w:eastAsia="zh-CN"/>
        </w:rPr>
        <w:t>了</w:t>
      </w:r>
      <w:r>
        <w:rPr>
          <w:rFonts w:hint="eastAsia" w:ascii="华文仿宋" w:hAnsi="华文仿宋" w:eastAsia="华文仿宋" w:cs="华文仿宋"/>
          <w:sz w:val="32"/>
          <w:szCs w:val="32"/>
        </w:rPr>
        <w:t>独生子女伤残、死亡家庭的实际困难，对提升特殊困难家庭的发展能力、生活希望及幸福指数发挥了积极作用。但项目绩效管理及预算资金安排等方面还有待改进。</w:t>
      </w:r>
    </w:p>
    <w:p>
      <w:pPr>
        <w:numPr>
          <w:ilvl w:val="0"/>
          <w:numId w:val="3"/>
        </w:numPr>
        <w:adjustRightInd w:val="0"/>
        <w:snapToGrid w:val="0"/>
        <w:spacing w:line="600" w:lineRule="exact"/>
        <w:ind w:firstLine="643" w:firstLineChars="200"/>
        <w:outlineLvl w:val="1"/>
        <w:rPr>
          <w:rFonts w:ascii="楷体_GB2312" w:hAnsi="文星仿宋" w:eastAsia="楷体_GB2312"/>
          <w:b/>
          <w:color w:val="000000" w:themeColor="text1"/>
          <w:sz w:val="32"/>
          <w:szCs w:val="32"/>
          <w14:textFill>
            <w14:solidFill>
              <w14:schemeClr w14:val="tx1"/>
            </w14:solidFill>
          </w14:textFill>
        </w:rPr>
      </w:pPr>
      <w:bookmarkStart w:id="22" w:name="_Toc19320"/>
      <w:r>
        <w:rPr>
          <w:rFonts w:hint="eastAsia" w:ascii="楷体_GB2312" w:hAnsi="文星仿宋" w:eastAsia="楷体_GB2312"/>
          <w:b/>
          <w:color w:val="000000" w:themeColor="text1"/>
          <w:sz w:val="32"/>
          <w:szCs w:val="32"/>
          <w14:textFill>
            <w14:solidFill>
              <w14:schemeClr w14:val="tx1"/>
            </w14:solidFill>
          </w14:textFill>
        </w:rPr>
        <w:t>评价指标分析</w:t>
      </w:r>
      <w:bookmarkEnd w:id="22"/>
    </w:p>
    <w:p>
      <w:pPr>
        <w:numPr>
          <w:ilvl w:val="0"/>
          <w:numId w:val="5"/>
        </w:numPr>
        <w:autoSpaceDN w:val="0"/>
        <w:adjustRightInd w:val="0"/>
        <w:snapToGrid w:val="0"/>
        <w:spacing w:line="600" w:lineRule="exact"/>
        <w:ind w:firstLine="641" w:firstLineChars="200"/>
        <w:outlineLvl w:val="2"/>
        <w:rPr>
          <w:rFonts w:ascii="华文仿宋" w:hAnsi="华文仿宋" w:eastAsia="华文仿宋" w:cs="华文仿宋"/>
          <w:b/>
          <w:color w:val="000000" w:themeColor="text1"/>
          <w:sz w:val="32"/>
          <w:szCs w:val="32"/>
          <w14:textFill>
            <w14:solidFill>
              <w14:schemeClr w14:val="tx1"/>
            </w14:solidFill>
          </w14:textFill>
        </w:rPr>
      </w:pPr>
      <w:bookmarkStart w:id="23" w:name="_Toc29084"/>
      <w:r>
        <w:rPr>
          <w:rFonts w:hint="eastAsia" w:ascii="华文仿宋" w:hAnsi="华文仿宋" w:eastAsia="华文仿宋" w:cs="华文仿宋"/>
          <w:b/>
          <w:color w:val="000000" w:themeColor="text1"/>
          <w:sz w:val="32"/>
          <w:szCs w:val="32"/>
          <w14:textFill>
            <w14:solidFill>
              <w14:schemeClr w14:val="tx1"/>
            </w14:solidFill>
          </w14:textFill>
        </w:rPr>
        <w:t>项目投入</w:t>
      </w:r>
      <w:bookmarkEnd w:id="23"/>
    </w:p>
    <w:p>
      <w:pPr>
        <w:keepNext/>
        <w:keepLines/>
        <w:numPr>
          <w:ilvl w:val="0"/>
          <w:numId w:val="6"/>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立项决策</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-1         </w:t>
      </w:r>
      <w:r>
        <w:rPr>
          <w:rFonts w:hint="eastAsia" w:eastAsia="仿宋"/>
          <w:sz w:val="24"/>
          <w:szCs w:val="22"/>
        </w:rPr>
        <w:t xml:space="preserve">     </w:t>
      </w:r>
      <w:r>
        <w:rPr>
          <w:rFonts w:eastAsia="仿宋"/>
          <w:sz w:val="24"/>
          <w:szCs w:val="22"/>
        </w:rPr>
        <w:t>立项决策指标得分情况</w:t>
      </w:r>
    </w:p>
    <w:tbl>
      <w:tblPr>
        <w:tblStyle w:val="14"/>
        <w:tblW w:w="88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38"/>
        <w:gridCol w:w="1979"/>
        <w:gridCol w:w="1964"/>
        <w:gridCol w:w="959"/>
        <w:gridCol w:w="974"/>
        <w:gridCol w:w="120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7" w:hRule="atLeast"/>
          <w:jc w:val="center"/>
        </w:trPr>
        <w:tc>
          <w:tcPr>
            <w:tcW w:w="173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7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6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7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206"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7" w:hRule="atLeast"/>
          <w:jc w:val="center"/>
        </w:trPr>
        <w:tc>
          <w:tcPr>
            <w:tcW w:w="1738"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7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A1立项决策（7）</w:t>
            </w:r>
          </w:p>
        </w:tc>
        <w:tc>
          <w:tcPr>
            <w:tcW w:w="196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kern w:val="0"/>
                <w:sz w:val="24"/>
              </w:rPr>
            </w:pPr>
            <w:r>
              <w:rPr>
                <w:rFonts w:eastAsia="仿宋"/>
                <w:kern w:val="0"/>
                <w:sz w:val="24"/>
              </w:rPr>
              <w:t>项目立项规范性</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kern w:val="0"/>
                <w:sz w:val="24"/>
              </w:rPr>
            </w:pPr>
            <w:r>
              <w:rPr>
                <w:rFonts w:eastAsia="仿宋"/>
                <w:kern w:val="0"/>
                <w:sz w:val="24"/>
              </w:rPr>
              <w:t>2</w:t>
            </w:r>
          </w:p>
        </w:tc>
        <w:tc>
          <w:tcPr>
            <w:tcW w:w="97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kern w:val="0"/>
                <w:sz w:val="24"/>
              </w:rPr>
            </w:pPr>
            <w:r>
              <w:rPr>
                <w:rFonts w:hint="eastAsia" w:eastAsia="仿宋"/>
                <w:kern w:val="0"/>
                <w:sz w:val="24"/>
              </w:rPr>
              <w:t>2</w:t>
            </w:r>
          </w:p>
        </w:tc>
        <w:tc>
          <w:tcPr>
            <w:tcW w:w="120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7" w:hRule="atLeast"/>
          <w:jc w:val="center"/>
        </w:trPr>
        <w:tc>
          <w:tcPr>
            <w:tcW w:w="1738"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6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决策实施合规性</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7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3</w:t>
            </w:r>
          </w:p>
        </w:tc>
        <w:tc>
          <w:tcPr>
            <w:tcW w:w="120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7" w:hRule="atLeast"/>
          <w:jc w:val="center"/>
        </w:trPr>
        <w:tc>
          <w:tcPr>
            <w:tcW w:w="1738"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7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6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资金分配合理性</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7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20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9" w:hRule="atLeast"/>
          <w:jc w:val="center"/>
        </w:trPr>
        <w:tc>
          <w:tcPr>
            <w:tcW w:w="173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7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6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7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7</w:t>
            </w:r>
          </w:p>
        </w:tc>
        <w:tc>
          <w:tcPr>
            <w:tcW w:w="120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46" w:beforeLines="15"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按照国卫家庭发〔2013〕41号、湘卫家庭发〔2015〕8号、怀政办发〔2015〕48号有关计划生育特殊困难家庭扶助工作的通知要求，2016年10月21日，区委书记组织召开全区计生特殊困难家庭扶助关怀专题研究会议，将计生特殊困难家庭扶助关怀工作为围护群众切身利益、稳定社会和谐的重大民生工程。</w:t>
      </w:r>
    </w:p>
    <w:p>
      <w:pPr>
        <w:spacing w:before="46" w:beforeLines="15"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lang w:eastAsia="zh-CN"/>
        </w:rPr>
        <w:t>区</w:t>
      </w:r>
      <w:r>
        <w:rPr>
          <w:rFonts w:hint="eastAsia" w:ascii="华文仿宋" w:hAnsi="华文仿宋" w:eastAsia="华文仿宋" w:cs="华文仿宋"/>
          <w:sz w:val="32"/>
          <w:szCs w:val="32"/>
        </w:rPr>
        <w:t>卫生局按照扶助对象申报、退出审核机制，对符合政策的对象进行摸底、登记、核实、确认、录入系统。在国家、省级、市级规定的扶助标准基础上，依据本区实际情况，进一步加大经济扶助力度，将年满49周岁的独生子女死亡家庭的扶助标准提高到1000元/人/月，将年满49周岁的独生子女伤残家庭的扶助标准提高到670元/人/月。</w:t>
      </w:r>
    </w:p>
    <w:p>
      <w:pPr>
        <w:keepNext/>
        <w:keepLines/>
        <w:numPr>
          <w:ilvl w:val="0"/>
          <w:numId w:val="6"/>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绩效目标</w:t>
      </w:r>
    </w:p>
    <w:p>
      <w:pPr>
        <w:widowControl/>
        <w:shd w:val="clear" w:color="auto" w:fill="FFFFFF"/>
        <w:spacing w:after="31" w:afterLines="10" w:line="400" w:lineRule="exact"/>
        <w:ind w:firstLine="720" w:firstLineChars="300"/>
        <w:rPr>
          <w:rFonts w:eastAsia="仿宋"/>
          <w:sz w:val="24"/>
        </w:rPr>
      </w:pPr>
      <w:r>
        <w:rPr>
          <w:rFonts w:eastAsia="仿宋"/>
          <w:sz w:val="24"/>
          <w:szCs w:val="22"/>
        </w:rPr>
        <w:t>表</w:t>
      </w:r>
      <w:r>
        <w:rPr>
          <w:rFonts w:hint="eastAsia" w:eastAsia="仿宋"/>
          <w:sz w:val="24"/>
          <w:szCs w:val="22"/>
        </w:rPr>
        <w:t>2</w:t>
      </w:r>
      <w:r>
        <w:rPr>
          <w:rFonts w:eastAsia="仿宋"/>
          <w:sz w:val="24"/>
          <w:szCs w:val="22"/>
        </w:rPr>
        <w:t xml:space="preserve">-2     </w:t>
      </w:r>
      <w:r>
        <w:rPr>
          <w:rFonts w:hint="eastAsia" w:eastAsia="仿宋"/>
          <w:sz w:val="24"/>
          <w:szCs w:val="22"/>
        </w:rPr>
        <w:t xml:space="preserve">           </w:t>
      </w:r>
      <w:r>
        <w:rPr>
          <w:rFonts w:eastAsia="仿宋"/>
          <w:sz w:val="24"/>
          <w:szCs w:val="22"/>
        </w:rPr>
        <w:t>绩效目标指标得分情况</w:t>
      </w:r>
    </w:p>
    <w:tbl>
      <w:tblPr>
        <w:tblStyle w:val="14"/>
        <w:tblW w:w="85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1"/>
        <w:gridCol w:w="1925"/>
        <w:gridCol w:w="1910"/>
        <w:gridCol w:w="933"/>
        <w:gridCol w:w="948"/>
        <w:gridCol w:w="1173"/>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69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25"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4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7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691"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925" w:type="dxa"/>
            <w:vMerge w:val="restart"/>
            <w:tcBorders>
              <w:top w:val="dotted" w:color="auto" w:sz="2" w:space="0"/>
              <w:left w:val="dotted" w:color="auto" w:sz="8" w:space="0"/>
              <w:bottom w:val="nil"/>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A2绩效目标（7）</w:t>
            </w:r>
          </w:p>
        </w:tc>
        <w:tc>
          <w:tcPr>
            <w:tcW w:w="191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绩效目标合理性</w:t>
            </w:r>
          </w:p>
        </w:tc>
        <w:tc>
          <w:tcPr>
            <w:tcW w:w="93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4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kern w:val="0"/>
                <w:sz w:val="24"/>
              </w:rPr>
            </w:pPr>
            <w:r>
              <w:rPr>
                <w:rFonts w:hint="eastAsia" w:eastAsia="仿宋"/>
                <w:kern w:val="0"/>
                <w:sz w:val="24"/>
              </w:rPr>
              <w:t>1</w:t>
            </w:r>
          </w:p>
        </w:tc>
        <w:tc>
          <w:tcPr>
            <w:tcW w:w="1173"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kern w:val="0"/>
                <w:sz w:val="24"/>
              </w:rPr>
            </w:pPr>
            <w:r>
              <w:rPr>
                <w:rFonts w:hint="eastAsia" w:eastAsia="仿宋"/>
                <w:kern w:val="0"/>
                <w:sz w:val="24"/>
              </w:rPr>
              <w:t>33</w:t>
            </w:r>
            <w:r>
              <w:rPr>
                <w:rFonts w:eastAsia="仿宋"/>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691"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5" w:type="dxa"/>
            <w:vMerge w:val="continue"/>
            <w:tcBorders>
              <w:top w:val="dotted" w:color="auto" w:sz="2" w:space="0"/>
              <w:left w:val="dotted" w:color="auto" w:sz="8" w:space="0"/>
              <w:bottom w:val="nil"/>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绩效指标明确性</w:t>
            </w:r>
          </w:p>
        </w:tc>
        <w:tc>
          <w:tcPr>
            <w:tcW w:w="93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4</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auto"/>
                <w:kern w:val="0"/>
                <w:sz w:val="24"/>
                <w:lang w:val="en-US" w:eastAsia="zh-CN"/>
              </w:rPr>
            </w:pPr>
            <w:r>
              <w:rPr>
                <w:rFonts w:hint="eastAsia" w:eastAsia="仿宋"/>
                <w:color w:val="auto"/>
                <w:kern w:val="0"/>
                <w:sz w:val="24"/>
                <w:lang w:val="en-US" w:eastAsia="zh-CN"/>
              </w:rPr>
              <w:t>1</w:t>
            </w:r>
          </w:p>
        </w:tc>
        <w:tc>
          <w:tcPr>
            <w:tcW w:w="11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kern w:val="0"/>
                <w:sz w:val="24"/>
              </w:rPr>
            </w:pPr>
            <w:r>
              <w:rPr>
                <w:rFonts w:hint="eastAsia" w:eastAsia="仿宋"/>
                <w:kern w:val="0"/>
                <w:sz w:val="24"/>
                <w:lang w:val="en-US" w:eastAsia="zh-CN"/>
              </w:rPr>
              <w:t>25</w:t>
            </w:r>
            <w:r>
              <w:rPr>
                <w:rFonts w:eastAsia="仿宋"/>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7" w:hRule="atLeast"/>
          <w:jc w:val="center"/>
        </w:trPr>
        <w:tc>
          <w:tcPr>
            <w:tcW w:w="169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2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1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3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auto"/>
                <w:kern w:val="0"/>
                <w:sz w:val="24"/>
                <w:lang w:val="en-US" w:eastAsia="zh-CN"/>
              </w:rPr>
            </w:pPr>
            <w:r>
              <w:rPr>
                <w:rFonts w:hint="eastAsia" w:eastAsia="仿宋"/>
                <w:color w:val="auto"/>
                <w:kern w:val="0"/>
                <w:sz w:val="24"/>
                <w:lang w:val="en-US" w:eastAsia="zh-CN"/>
              </w:rPr>
              <w:t>2</w:t>
            </w:r>
          </w:p>
        </w:tc>
        <w:tc>
          <w:tcPr>
            <w:tcW w:w="1173"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kern w:val="0"/>
                <w:sz w:val="24"/>
              </w:rPr>
            </w:pPr>
          </w:p>
        </w:tc>
      </w:tr>
    </w:tbl>
    <w:p>
      <w:pPr>
        <w:spacing w:before="46" w:beforeLines="15"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color w:val="000000" w:themeColor="text1"/>
          <w:sz w:val="32"/>
          <w:szCs w:val="32"/>
          <w14:textFill>
            <w14:solidFill>
              <w14:schemeClr w14:val="tx1"/>
            </w14:solidFill>
          </w14:textFill>
        </w:rPr>
        <w:t>从区卫生局上报的特别扶助资金预算绩效目标表来看，卫生局关于特别扶助项目的长期绩效目标和年度绩效目标均为：项目资金严格按照年初制定的项目资金管理办法和方案，按要求进行考核管理，全程对项目资金进行监督考核，严格专款专用，按要求完成一定的社会效益和经济效益，并打卡发放。绩效目标设定不具体，且年度目标和长期目标设定一致，无法体现项目任务的近期目标和发展规划。</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区</w:t>
      </w:r>
      <w:r>
        <w:rPr>
          <w:rFonts w:hint="eastAsia" w:ascii="华文仿宋" w:hAnsi="华文仿宋" w:eastAsia="华文仿宋" w:cs="华文仿宋"/>
          <w:color w:val="000000" w:themeColor="text1"/>
          <w:sz w:val="32"/>
          <w:szCs w:val="32"/>
          <w14:textFill>
            <w14:solidFill>
              <w14:schemeClr w14:val="tx1"/>
            </w14:solidFill>
          </w14:textFill>
        </w:rPr>
        <w:t>卫生局未制定项目产出的数量、质量、时效、成本指标，同时也未明确项目的效益指标。</w:t>
      </w:r>
    </w:p>
    <w:p>
      <w:pPr>
        <w:keepNext/>
        <w:keepLines/>
        <w:numPr>
          <w:ilvl w:val="0"/>
          <w:numId w:val="6"/>
        </w:numPr>
        <w:spacing w:line="600" w:lineRule="exact"/>
        <w:ind w:left="420" w:leftChars="200"/>
        <w:outlineLvl w:val="3"/>
        <w:rPr>
          <w:rFonts w:eastAsia="仿宋"/>
          <w:bCs/>
          <w:sz w:val="32"/>
          <w:szCs w:val="32"/>
        </w:rPr>
      </w:pPr>
      <w:r>
        <w:rPr>
          <w:rFonts w:eastAsia="仿宋"/>
          <w:bCs/>
          <w:sz w:val="32"/>
          <w:szCs w:val="32"/>
        </w:rPr>
        <w:t>资金落实情况</w:t>
      </w:r>
    </w:p>
    <w:p>
      <w:pPr>
        <w:widowControl/>
        <w:shd w:val="clear" w:color="auto" w:fill="FFFFFF"/>
        <w:spacing w:after="31" w:afterLines="10" w:line="400" w:lineRule="exact"/>
        <w:ind w:firstLine="675"/>
        <w:jc w:val="left"/>
        <w:rPr>
          <w:rFonts w:eastAsia="仿宋"/>
          <w:sz w:val="24"/>
        </w:rPr>
      </w:pPr>
      <w:r>
        <w:rPr>
          <w:rFonts w:eastAsia="仿宋"/>
          <w:sz w:val="24"/>
          <w:szCs w:val="22"/>
        </w:rPr>
        <w:t xml:space="preserve"> 表</w:t>
      </w:r>
      <w:r>
        <w:rPr>
          <w:rFonts w:hint="eastAsia" w:eastAsia="仿宋"/>
          <w:sz w:val="24"/>
          <w:szCs w:val="22"/>
        </w:rPr>
        <w:t>2</w:t>
      </w:r>
      <w:r>
        <w:rPr>
          <w:rFonts w:eastAsia="仿宋"/>
          <w:sz w:val="24"/>
          <w:szCs w:val="22"/>
        </w:rPr>
        <w:t xml:space="preserve">-3     </w:t>
      </w:r>
      <w:r>
        <w:rPr>
          <w:rFonts w:hint="eastAsia" w:eastAsia="仿宋"/>
          <w:sz w:val="24"/>
          <w:szCs w:val="22"/>
        </w:rPr>
        <w:t xml:space="preserve">          </w:t>
      </w:r>
      <w:r>
        <w:rPr>
          <w:rFonts w:eastAsia="仿宋"/>
          <w:sz w:val="24"/>
          <w:szCs w:val="22"/>
        </w:rPr>
        <w:t>资金落实指标得分情况</w:t>
      </w:r>
    </w:p>
    <w:tbl>
      <w:tblPr>
        <w:tblStyle w:val="14"/>
        <w:tblW w:w="84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7"/>
        <w:gridCol w:w="1899"/>
        <w:gridCol w:w="1882"/>
        <w:gridCol w:w="921"/>
        <w:gridCol w:w="934"/>
        <w:gridCol w:w="115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jc w:val="center"/>
        </w:trPr>
        <w:tc>
          <w:tcPr>
            <w:tcW w:w="166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89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88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2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3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jc w:val="center"/>
        </w:trPr>
        <w:tc>
          <w:tcPr>
            <w:tcW w:w="166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A投入（20）</w:t>
            </w:r>
          </w:p>
        </w:tc>
        <w:tc>
          <w:tcPr>
            <w:tcW w:w="189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A3资金落实（6）</w:t>
            </w:r>
          </w:p>
        </w:tc>
        <w:tc>
          <w:tcPr>
            <w:tcW w:w="188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资金到位率</w:t>
            </w:r>
          </w:p>
        </w:tc>
        <w:tc>
          <w:tcPr>
            <w:tcW w:w="92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3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jc w:val="center"/>
        </w:trPr>
        <w:tc>
          <w:tcPr>
            <w:tcW w:w="166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8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到位及时率</w:t>
            </w:r>
          </w:p>
        </w:tc>
        <w:tc>
          <w:tcPr>
            <w:tcW w:w="92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3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w:t>
            </w:r>
            <w:r>
              <w:rPr>
                <w:rFonts w:eastAsia="仿宋"/>
                <w:color w:val="000000"/>
                <w:kern w:val="0"/>
                <w:sz w:val="24"/>
              </w:rPr>
              <w:t>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jc w:val="center"/>
        </w:trPr>
        <w:tc>
          <w:tcPr>
            <w:tcW w:w="166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9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88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资金使用率</w:t>
            </w:r>
          </w:p>
        </w:tc>
        <w:tc>
          <w:tcPr>
            <w:tcW w:w="92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3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1</w:t>
            </w:r>
          </w:p>
        </w:tc>
        <w:tc>
          <w:tcPr>
            <w:tcW w:w="11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50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6" w:hRule="atLeast"/>
          <w:jc w:val="center"/>
        </w:trPr>
        <w:tc>
          <w:tcPr>
            <w:tcW w:w="166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89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88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2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3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rPr>
              <w:t>5</w:t>
            </w:r>
          </w:p>
        </w:tc>
        <w:tc>
          <w:tcPr>
            <w:tcW w:w="11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据湘财社指〔2017〕142号、湘财社指〔2018〕56号、湘财社指〔2018〕116号、鹤财预〔2018〕19号指标文件获悉，2018年，中央、省级关于特别扶助（子女死亡、伤残）项目拨付到位资金178.24万元；市级特别扶助（子女死亡、伤残）项目拨付到位固定配套资金80万元；区财政配套预算资金为201.84万元，由于2018年度实际扶助对象人数减少，实际拨付到位配套资金179.378万元，指标结余22.462万元。截止2018年底，卫生局共收到中央、省、市、区级关于特别扶助（子女死亡、伤残）项目经费437.618万元（178.24+80+179.378万元）。2018年全区特别扶助对象的扶助资金均100%足额发放至对应的个人账户，合计发放金额406.368万元（详情见表1-2），资金使用率9</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2.86</w:t>
      </w:r>
      <w:r>
        <w:rPr>
          <w:rFonts w:hint="eastAsia" w:ascii="华文仿宋" w:hAnsi="华文仿宋" w:eastAsia="华文仿宋" w:cs="华文仿宋"/>
          <w:color w:val="000000" w:themeColor="text1"/>
          <w:sz w:val="32"/>
          <w:szCs w:val="32"/>
          <w14:textFill>
            <w14:solidFill>
              <w14:schemeClr w14:val="tx1"/>
            </w14:solidFill>
          </w14:textFill>
        </w:rPr>
        <w:t>%（406.368万元/437.618万元*100%）。</w:t>
      </w:r>
    </w:p>
    <w:p>
      <w:pPr>
        <w:numPr>
          <w:ilvl w:val="0"/>
          <w:numId w:val="5"/>
        </w:numPr>
        <w:autoSpaceDN w:val="0"/>
        <w:adjustRightInd w:val="0"/>
        <w:snapToGrid w:val="0"/>
        <w:spacing w:line="600" w:lineRule="exact"/>
        <w:ind w:firstLine="641" w:firstLineChars="200"/>
        <w:outlineLvl w:val="2"/>
        <w:rPr>
          <w:rFonts w:ascii="华文仿宋" w:hAnsi="华文仿宋" w:eastAsia="华文仿宋" w:cs="华文仿宋"/>
          <w:b/>
          <w:color w:val="000000" w:themeColor="text1"/>
          <w:sz w:val="32"/>
          <w:szCs w:val="32"/>
          <w14:textFill>
            <w14:solidFill>
              <w14:schemeClr w14:val="tx1"/>
            </w14:solidFill>
          </w14:textFill>
        </w:rPr>
      </w:pPr>
      <w:bookmarkStart w:id="24" w:name="_Toc19348"/>
      <w:r>
        <w:rPr>
          <w:rFonts w:hint="eastAsia" w:ascii="华文仿宋" w:hAnsi="华文仿宋" w:eastAsia="华文仿宋" w:cs="华文仿宋"/>
          <w:b/>
          <w:color w:val="000000" w:themeColor="text1"/>
          <w:sz w:val="32"/>
          <w:szCs w:val="32"/>
          <w14:textFill>
            <w14:solidFill>
              <w14:schemeClr w14:val="tx1"/>
            </w14:solidFill>
          </w14:textFill>
        </w:rPr>
        <w:t>项目实施过程</w:t>
      </w:r>
      <w:bookmarkEnd w:id="24"/>
    </w:p>
    <w:p>
      <w:pPr>
        <w:keepNext/>
        <w:keepLines/>
        <w:numPr>
          <w:ilvl w:val="0"/>
          <w:numId w:val="7"/>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业务管理</w:t>
      </w:r>
    </w:p>
    <w:p>
      <w:pPr>
        <w:widowControl/>
        <w:shd w:val="clear" w:color="auto" w:fill="FFFFFF"/>
        <w:spacing w:after="31" w:afterLines="10" w:line="400" w:lineRule="exact"/>
        <w:ind w:firstLine="675"/>
        <w:jc w:val="left"/>
        <w:rPr>
          <w:rFonts w:ascii="华文仿宋" w:hAnsi="华文仿宋" w:eastAsia="华文仿宋" w:cs="华文仿宋"/>
          <w:bCs/>
          <w:sz w:val="32"/>
          <w:szCs w:val="32"/>
        </w:rPr>
      </w:pPr>
      <w:r>
        <w:rPr>
          <w:rFonts w:eastAsia="仿宋"/>
          <w:sz w:val="24"/>
          <w:szCs w:val="22"/>
        </w:rPr>
        <w:t xml:space="preserve"> 表</w:t>
      </w:r>
      <w:r>
        <w:rPr>
          <w:rFonts w:hint="eastAsia" w:eastAsia="仿宋"/>
          <w:sz w:val="24"/>
          <w:szCs w:val="22"/>
        </w:rPr>
        <w:t>2</w:t>
      </w:r>
      <w:r>
        <w:rPr>
          <w:rFonts w:eastAsia="仿宋"/>
          <w:sz w:val="24"/>
          <w:szCs w:val="22"/>
        </w:rPr>
        <w:t>-</w:t>
      </w:r>
      <w:r>
        <w:rPr>
          <w:rFonts w:hint="eastAsia" w:eastAsia="仿宋"/>
          <w:sz w:val="24"/>
          <w:szCs w:val="22"/>
        </w:rPr>
        <w:t>4</w:t>
      </w:r>
      <w:r>
        <w:rPr>
          <w:rFonts w:eastAsia="仿宋"/>
          <w:sz w:val="24"/>
          <w:szCs w:val="22"/>
        </w:rPr>
        <w:t xml:space="preserve">     </w:t>
      </w:r>
      <w:r>
        <w:rPr>
          <w:rFonts w:hint="eastAsia" w:eastAsia="仿宋"/>
          <w:sz w:val="24"/>
          <w:szCs w:val="22"/>
        </w:rPr>
        <w:t xml:space="preserve">          业务管理</w:t>
      </w:r>
      <w:r>
        <w:rPr>
          <w:rFonts w:eastAsia="仿宋"/>
          <w:sz w:val="24"/>
          <w:szCs w:val="22"/>
        </w:rPr>
        <w:t>指标得分情况</w:t>
      </w:r>
    </w:p>
    <w:tbl>
      <w:tblPr>
        <w:tblStyle w:val="14"/>
        <w:tblW w:w="87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5"/>
        <w:gridCol w:w="1950"/>
        <w:gridCol w:w="1939"/>
        <w:gridCol w:w="945"/>
        <w:gridCol w:w="961"/>
        <w:gridCol w:w="1190"/>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1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50"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3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61"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90"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15"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50"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B1业务管理（9）</w:t>
            </w:r>
          </w:p>
        </w:tc>
        <w:tc>
          <w:tcPr>
            <w:tcW w:w="193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4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6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119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1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制度执行有效性</w:t>
            </w:r>
          </w:p>
        </w:tc>
        <w:tc>
          <w:tcPr>
            <w:tcW w:w="94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6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5</w:t>
            </w:r>
          </w:p>
        </w:tc>
        <w:tc>
          <w:tcPr>
            <w:tcW w:w="119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1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5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项目质量可控性</w:t>
            </w:r>
          </w:p>
        </w:tc>
        <w:tc>
          <w:tcPr>
            <w:tcW w:w="94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6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9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5604"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6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9</w:t>
            </w:r>
          </w:p>
        </w:tc>
        <w:tc>
          <w:tcPr>
            <w:tcW w:w="119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区卫生局积极落实计划生育政策，建立全区计生特殊困难家庭扶助关怀联席会议制度，实行城乡居民社会养老保障、居民医保制度。对特殊困难家庭开展了精神慰藉、走访慰问工作。区卫生局按照扶助对象申报、退出机制，对于本年新增对象入户调查落实，层层把关、严格审核，对往年对象深入家庭重新核实情况进行年审。同时，按照规定标准将扶助资金足额发放到对象的个人储蓄账户。确保了计划生育利益导向对象的准确和资金发放及时性。</w:t>
      </w:r>
    </w:p>
    <w:p>
      <w:pPr>
        <w:keepNext/>
        <w:keepLines/>
        <w:numPr>
          <w:ilvl w:val="0"/>
          <w:numId w:val="7"/>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财务管理</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5</w:t>
      </w:r>
      <w:r>
        <w:rPr>
          <w:rFonts w:eastAsia="仿宋"/>
          <w:sz w:val="24"/>
          <w:szCs w:val="22"/>
        </w:rPr>
        <w:t xml:space="preserve">     </w:t>
      </w:r>
      <w:r>
        <w:rPr>
          <w:rFonts w:hint="eastAsia" w:eastAsia="仿宋"/>
          <w:sz w:val="24"/>
          <w:szCs w:val="22"/>
        </w:rPr>
        <w:t xml:space="preserve">           </w:t>
      </w:r>
      <w:r>
        <w:rPr>
          <w:rFonts w:hint="eastAsia" w:eastAsia="仿宋"/>
          <w:sz w:val="24"/>
          <w:szCs w:val="22"/>
          <w:lang w:val="en-US" w:eastAsia="zh-CN"/>
        </w:rPr>
        <w:t>财</w:t>
      </w:r>
      <w:r>
        <w:rPr>
          <w:rFonts w:eastAsia="仿宋"/>
          <w:sz w:val="24"/>
          <w:szCs w:val="22"/>
        </w:rPr>
        <w:t>务管理指标得分情况</w:t>
      </w:r>
    </w:p>
    <w:tbl>
      <w:tblPr>
        <w:tblStyle w:val="14"/>
        <w:tblW w:w="86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2" w:hRule="atLeast"/>
          <w:jc w:val="center"/>
        </w:trPr>
        <w:tc>
          <w:tcPr>
            <w:tcW w:w="169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548DD4"/>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jc w:val="center"/>
        </w:trPr>
        <w:tc>
          <w:tcPr>
            <w:tcW w:w="1695"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2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B2财务管理（15）</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管理制度健全性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3</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资金使用合规性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8</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8</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财务监控有效性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4</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2" w:hRule="atLeast"/>
          <w:jc w:val="center"/>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15</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lang w:val="en-US" w:eastAsia="zh-CN"/>
        </w:rPr>
        <w:t>区</w:t>
      </w:r>
      <w:r>
        <w:rPr>
          <w:rFonts w:hint="eastAsia" w:ascii="华文仿宋" w:hAnsi="华文仿宋" w:eastAsia="华文仿宋" w:cs="华文仿宋"/>
          <w:sz w:val="32"/>
          <w:szCs w:val="32"/>
        </w:rPr>
        <w:t>卫生局认真执行本单位的财务管理制度和区财政下达的专项资金管理办法，特别扶助资金全部进入乡财政局计生特别扶助专户，项目资金实行“财政统管、分账核算、直接补助、到户到人”的原则进行管理发放。资金拨付有完整的审批程序和手续，未发现截留、挤占、挪用、乱发滥补、虚报冒领等违规违纪行为。</w:t>
      </w:r>
    </w:p>
    <w:p>
      <w:pPr>
        <w:keepNext/>
        <w:keepLines/>
        <w:numPr>
          <w:ilvl w:val="0"/>
          <w:numId w:val="7"/>
        </w:numPr>
        <w:spacing w:line="60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绩效管理</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6</w:t>
      </w:r>
      <w:r>
        <w:rPr>
          <w:rFonts w:eastAsia="仿宋"/>
          <w:sz w:val="24"/>
          <w:szCs w:val="22"/>
        </w:rPr>
        <w:t xml:space="preserve">       </w:t>
      </w:r>
      <w:r>
        <w:rPr>
          <w:rFonts w:hint="eastAsia" w:eastAsia="仿宋"/>
          <w:sz w:val="24"/>
          <w:szCs w:val="22"/>
        </w:rPr>
        <w:t xml:space="preserve">         </w:t>
      </w:r>
      <w:r>
        <w:rPr>
          <w:rFonts w:eastAsia="仿宋"/>
          <w:sz w:val="24"/>
          <w:szCs w:val="22"/>
        </w:rPr>
        <w:t xml:space="preserve"> 绩效管理指标得分情况</w:t>
      </w:r>
    </w:p>
    <w:tbl>
      <w:tblPr>
        <w:tblStyle w:val="14"/>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3"/>
        <w:gridCol w:w="1928"/>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9"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3"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1"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B过程（30）</w:t>
            </w:r>
          </w:p>
        </w:tc>
        <w:tc>
          <w:tcPr>
            <w:tcW w:w="194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B3绩效管理（6）</w:t>
            </w:r>
          </w:p>
        </w:tc>
        <w:tc>
          <w:tcPr>
            <w:tcW w:w="19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信息质量</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2</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9"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监控质量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9"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auto"/>
                <w:kern w:val="0"/>
                <w:sz w:val="24"/>
              </w:rPr>
              <w:t>自评质量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val="en-US" w:eastAsia="zh-CN"/>
              </w:rPr>
            </w:pPr>
            <w:r>
              <w:rPr>
                <w:rFonts w:hint="eastAsia" w:eastAsia="仿宋"/>
                <w:color w:val="000000"/>
                <w:kern w:val="0"/>
                <w:sz w:val="24"/>
                <w:lang w:val="en-US" w:eastAsia="zh-CN"/>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6</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before="31" w:beforeLines="10" w:line="600" w:lineRule="exact"/>
        <w:ind w:firstLine="640" w:firstLineChars="200"/>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区</w:t>
      </w:r>
      <w:r>
        <w:rPr>
          <w:rFonts w:hint="eastAsia" w:ascii="华文仿宋" w:hAnsi="华文仿宋" w:eastAsia="华文仿宋" w:cs="华文仿宋"/>
          <w:sz w:val="32"/>
          <w:szCs w:val="32"/>
        </w:rPr>
        <w:t>卫生局按照</w:t>
      </w:r>
      <w:r>
        <w:rPr>
          <w:rFonts w:hint="eastAsia" w:ascii="华文仿宋" w:hAnsi="华文仿宋" w:eastAsia="华文仿宋" w:cs="华文仿宋"/>
          <w:color w:val="000000" w:themeColor="text1"/>
          <w:sz w:val="32"/>
          <w:szCs w:val="32"/>
          <w14:textFill>
            <w14:solidFill>
              <w14:schemeClr w14:val="tx1"/>
            </w14:solidFill>
          </w14:textFill>
        </w:rPr>
        <w:t>《鹤城区项目库管理实施方案》</w:t>
      </w:r>
      <w:r>
        <w:rPr>
          <w:rFonts w:hint="eastAsia" w:ascii="华文仿宋" w:hAnsi="华文仿宋" w:eastAsia="华文仿宋" w:cs="华文仿宋"/>
          <w:sz w:val="32"/>
          <w:szCs w:val="32"/>
        </w:rPr>
        <w:t>，及时报送特别扶助项目资金预算绩效目标表，严格审核扶助对象信息，保证了特扶对象确认准确。</w:t>
      </w:r>
      <w:r>
        <w:rPr>
          <w:rFonts w:hint="eastAsia" w:ascii="华文仿宋" w:hAnsi="华文仿宋" w:eastAsia="华文仿宋" w:cs="华文仿宋"/>
          <w:sz w:val="32"/>
          <w:szCs w:val="32"/>
          <w:lang w:val="en-US" w:eastAsia="zh-CN"/>
        </w:rPr>
        <w:t>同时，区卫生局按规定做出了绩效自评报告，自评得分95分。</w:t>
      </w:r>
    </w:p>
    <w:p>
      <w:pPr>
        <w:numPr>
          <w:ilvl w:val="0"/>
          <w:numId w:val="5"/>
        </w:numPr>
        <w:autoSpaceDN w:val="0"/>
        <w:adjustRightInd w:val="0"/>
        <w:snapToGrid w:val="0"/>
        <w:spacing w:line="600" w:lineRule="exact"/>
        <w:ind w:firstLine="641" w:firstLineChars="200"/>
        <w:outlineLvl w:val="2"/>
        <w:rPr>
          <w:rFonts w:ascii="华文仿宋" w:hAnsi="华文仿宋" w:eastAsia="华文仿宋" w:cs="华文仿宋"/>
          <w:b/>
          <w:color w:val="000000" w:themeColor="text1"/>
          <w:sz w:val="32"/>
          <w:szCs w:val="32"/>
          <w14:textFill>
            <w14:solidFill>
              <w14:schemeClr w14:val="tx1"/>
            </w14:solidFill>
          </w14:textFill>
        </w:rPr>
      </w:pPr>
      <w:bookmarkStart w:id="25" w:name="_Toc3318"/>
      <w:r>
        <w:rPr>
          <w:rFonts w:hint="eastAsia" w:ascii="华文仿宋" w:hAnsi="华文仿宋" w:eastAsia="华文仿宋" w:cs="华文仿宋"/>
          <w:b/>
          <w:color w:val="000000" w:themeColor="text1"/>
          <w:sz w:val="32"/>
          <w:szCs w:val="32"/>
          <w14:textFill>
            <w14:solidFill>
              <w14:schemeClr w14:val="tx1"/>
            </w14:solidFill>
          </w14:textFill>
        </w:rPr>
        <w:t>项目产出及效果</w:t>
      </w:r>
      <w:bookmarkEnd w:id="25"/>
    </w:p>
    <w:p>
      <w:pPr>
        <w:keepNext/>
        <w:keepLines/>
        <w:numPr>
          <w:ilvl w:val="0"/>
          <w:numId w:val="8"/>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项目产出</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7</w:t>
      </w:r>
      <w:r>
        <w:rPr>
          <w:rFonts w:eastAsia="仿宋"/>
          <w:sz w:val="24"/>
          <w:szCs w:val="22"/>
        </w:rPr>
        <w:t xml:space="preserve">         </w:t>
      </w:r>
      <w:r>
        <w:rPr>
          <w:rFonts w:hint="eastAsia" w:eastAsia="仿宋"/>
          <w:sz w:val="24"/>
          <w:szCs w:val="22"/>
        </w:rPr>
        <w:t xml:space="preserve">     </w:t>
      </w:r>
      <w:r>
        <w:rPr>
          <w:rFonts w:eastAsia="仿宋"/>
          <w:sz w:val="24"/>
          <w:szCs w:val="22"/>
        </w:rPr>
        <w:t xml:space="preserve"> 项目产出指标得分情况</w:t>
      </w:r>
    </w:p>
    <w:tbl>
      <w:tblPr>
        <w:tblStyle w:val="14"/>
        <w:tblW w:w="86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7"/>
        <w:gridCol w:w="1932"/>
        <w:gridCol w:w="944"/>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17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94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193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944"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5" w:hRule="atLeast"/>
          <w:jc w:val="center"/>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rPr>
              <w:t>产出及效果</w:t>
            </w:r>
            <w:r>
              <w:rPr>
                <w:rFonts w:eastAsia="仿宋"/>
                <w:color w:val="000000"/>
                <w:kern w:val="0"/>
                <w:sz w:val="24"/>
              </w:rPr>
              <w:t>（</w:t>
            </w:r>
            <w:r>
              <w:rPr>
                <w:rFonts w:hint="eastAsia" w:eastAsia="仿宋"/>
                <w:color w:val="000000"/>
                <w:kern w:val="0"/>
                <w:sz w:val="24"/>
              </w:rPr>
              <w:t>5</w:t>
            </w:r>
            <w:r>
              <w:rPr>
                <w:rFonts w:eastAsia="仿宋"/>
                <w:color w:val="000000"/>
                <w:kern w:val="0"/>
                <w:sz w:val="24"/>
              </w:rPr>
              <w:t>0）</w:t>
            </w:r>
          </w:p>
        </w:tc>
        <w:tc>
          <w:tcPr>
            <w:tcW w:w="194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C1项目产出（25）</w:t>
            </w:r>
          </w:p>
        </w:tc>
        <w:tc>
          <w:tcPr>
            <w:tcW w:w="193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实际完成率</w:t>
            </w:r>
          </w:p>
        </w:tc>
        <w:tc>
          <w:tcPr>
            <w:tcW w:w="944"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完成及时率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质量达标率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成本节约率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lang w:val="en-US" w:eastAsia="zh-CN"/>
              </w:rPr>
              <w:t>10</w:t>
            </w:r>
            <w:r>
              <w:rPr>
                <w:rFonts w:hint="eastAsia" w:eastAsia="仿宋"/>
                <w:color w:val="000000"/>
                <w:kern w:val="0"/>
                <w:sz w:val="24"/>
              </w:rPr>
              <w:t>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jc w:val="center"/>
        </w:trPr>
        <w:tc>
          <w:tcPr>
            <w:tcW w:w="5590"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hint="eastAsia" w:eastAsia="仿宋"/>
                <w:color w:val="000000"/>
                <w:kern w:val="0"/>
                <w:sz w:val="24"/>
                <w:lang w:eastAsia="zh-CN"/>
              </w:rPr>
            </w:pPr>
            <w:r>
              <w:rPr>
                <w:rFonts w:hint="eastAsia" w:eastAsia="仿宋"/>
                <w:color w:val="000000"/>
                <w:kern w:val="0"/>
                <w:sz w:val="24"/>
              </w:rPr>
              <w:t>2</w:t>
            </w:r>
            <w:r>
              <w:rPr>
                <w:rFonts w:hint="eastAsia" w:eastAsia="仿宋"/>
                <w:color w:val="000000"/>
                <w:kern w:val="0"/>
                <w:sz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pStyle w:val="6"/>
        <w:ind w:firstLine="640" w:firstLineChars="200"/>
      </w:pPr>
      <w:r>
        <w:rPr>
          <w:rFonts w:hint="eastAsia" w:ascii="华文仿宋" w:hAnsi="华文仿宋" w:eastAsia="华文仿宋" w:cs="华文仿宋"/>
          <w:color w:val="000000" w:themeColor="text1"/>
          <w:sz w:val="32"/>
          <w:szCs w:val="32"/>
          <w14:textFill>
            <w14:solidFill>
              <w14:schemeClr w14:val="tx1"/>
            </w14:solidFill>
          </w14:textFill>
        </w:rPr>
        <w:t>2018年4月15日前，区卫生局按照申报确认要求，共确定并录入完成特别扶助对象369人，</w:t>
      </w:r>
      <w:r>
        <w:rPr>
          <w:rFonts w:hint="eastAsia" w:ascii="华文仿宋" w:hAnsi="华文仿宋" w:eastAsia="华文仿宋" w:cs="华文仿宋"/>
          <w:sz w:val="32"/>
          <w:szCs w:val="32"/>
        </w:rPr>
        <w:t>2018年年底100%足额发放特别扶助资金共406.368万元（其中：独生子女死亡家庭发放人数277人，按每人每月1000元标准发放，共发放金额332.4万元；独生子女伤残家庭发放人数92人，按每人每月670元标准发放，共发放金额73.968万元）。由于年初预算死亡、伤残对象新增人数与实际入户核查确认的死亡、伤残对象新增人数有出入，2018年底，特别扶助（子女死亡、伤残）项目结余</w:t>
      </w:r>
      <w:r>
        <w:rPr>
          <w:rFonts w:hint="eastAsia" w:ascii="华文仿宋" w:hAnsi="华文仿宋" w:eastAsia="华文仿宋"/>
          <w:color w:val="000000" w:themeColor="text1"/>
          <w:sz w:val="32"/>
          <w:szCs w:val="32"/>
          <w:lang w:val="en-US" w:eastAsia="zh-CN"/>
          <w14:textFill>
            <w14:solidFill>
              <w14:schemeClr w14:val="tx1"/>
            </w14:solidFill>
          </w14:textFill>
        </w:rPr>
        <w:t>31.25</w:t>
      </w:r>
      <w:r>
        <w:rPr>
          <w:rFonts w:hint="eastAsia" w:ascii="华文仿宋" w:hAnsi="华文仿宋" w:eastAsia="华文仿宋" w:cs="华文仿宋"/>
          <w:sz w:val="32"/>
          <w:szCs w:val="32"/>
        </w:rPr>
        <w:t>万元</w:t>
      </w:r>
      <w:r>
        <w:rPr>
          <w:rFonts w:hint="eastAsia" w:ascii="华文仿宋" w:hAnsi="华文仿宋" w:eastAsia="华文仿宋" w:cs="华文仿宋"/>
          <w:sz w:val="32"/>
          <w:szCs w:val="32"/>
          <w:lang w:val="en-US" w:eastAsia="zh-CN"/>
        </w:rPr>
        <w:t>在区卫生局</w:t>
      </w:r>
      <w:r>
        <w:rPr>
          <w:rFonts w:hint="eastAsia" w:ascii="华文仿宋" w:hAnsi="华文仿宋" w:eastAsia="华文仿宋" w:cs="华文仿宋"/>
          <w:sz w:val="32"/>
          <w:szCs w:val="32"/>
        </w:rPr>
        <w:t>。</w:t>
      </w:r>
    </w:p>
    <w:p>
      <w:pPr>
        <w:keepNext/>
        <w:keepLines/>
        <w:numPr>
          <w:ilvl w:val="0"/>
          <w:numId w:val="8"/>
        </w:numPr>
        <w:spacing w:line="520" w:lineRule="exact"/>
        <w:ind w:left="420" w:leftChars="200"/>
        <w:outlineLvl w:val="3"/>
        <w:rPr>
          <w:rFonts w:ascii="华文仿宋" w:hAnsi="华文仿宋" w:eastAsia="华文仿宋" w:cs="华文仿宋"/>
          <w:bCs/>
          <w:sz w:val="32"/>
          <w:szCs w:val="32"/>
        </w:rPr>
      </w:pPr>
      <w:r>
        <w:rPr>
          <w:rFonts w:hint="eastAsia" w:ascii="华文仿宋" w:hAnsi="华文仿宋" w:eastAsia="华文仿宋" w:cs="华文仿宋"/>
          <w:bCs/>
          <w:sz w:val="32"/>
          <w:szCs w:val="32"/>
        </w:rPr>
        <w:t>项目效果</w:t>
      </w:r>
    </w:p>
    <w:p>
      <w:pPr>
        <w:widowControl/>
        <w:shd w:val="clear" w:color="auto" w:fill="FFFFFF"/>
        <w:spacing w:after="31" w:afterLines="10" w:line="400" w:lineRule="exact"/>
        <w:ind w:firstLine="720" w:firstLineChars="300"/>
        <w:jc w:val="left"/>
        <w:rPr>
          <w:rFonts w:eastAsia="仿宋"/>
          <w:sz w:val="24"/>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8</w:t>
      </w:r>
      <w:r>
        <w:rPr>
          <w:rFonts w:eastAsia="仿宋"/>
          <w:sz w:val="24"/>
          <w:szCs w:val="22"/>
        </w:rPr>
        <w:t xml:space="preserve">         </w:t>
      </w:r>
      <w:r>
        <w:rPr>
          <w:rFonts w:hint="eastAsia" w:eastAsia="仿宋"/>
          <w:sz w:val="24"/>
          <w:szCs w:val="22"/>
        </w:rPr>
        <w:t xml:space="preserve">        </w:t>
      </w:r>
      <w:r>
        <w:rPr>
          <w:rFonts w:eastAsia="仿宋"/>
          <w:sz w:val="24"/>
          <w:szCs w:val="22"/>
        </w:rPr>
        <w:t xml:space="preserve"> 项目效果指标得分情况</w:t>
      </w:r>
    </w:p>
    <w:tbl>
      <w:tblPr>
        <w:tblStyle w:val="14"/>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1"/>
        <w:gridCol w:w="1501"/>
        <w:gridCol w:w="3162"/>
        <w:gridCol w:w="811"/>
        <w:gridCol w:w="828"/>
        <w:gridCol w:w="9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37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一级指标</w:t>
            </w:r>
          </w:p>
        </w:tc>
        <w:tc>
          <w:tcPr>
            <w:tcW w:w="150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二级指标</w:t>
            </w:r>
          </w:p>
        </w:tc>
        <w:tc>
          <w:tcPr>
            <w:tcW w:w="3162"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三级指标</w:t>
            </w:r>
          </w:p>
        </w:tc>
        <w:tc>
          <w:tcPr>
            <w:tcW w:w="8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分值</w:t>
            </w:r>
          </w:p>
        </w:tc>
        <w:tc>
          <w:tcPr>
            <w:tcW w:w="8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w:t>
            </w:r>
          </w:p>
        </w:tc>
        <w:tc>
          <w:tcPr>
            <w:tcW w:w="9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widowControl/>
              <w:adjustRightInd w:val="0"/>
              <w:snapToGrid w:val="0"/>
              <w:jc w:val="center"/>
              <w:rPr>
                <w:rFonts w:eastAsia="仿宋"/>
                <w:b/>
                <w:color w:val="FFFFFF"/>
                <w:kern w:val="0"/>
                <w:sz w:val="24"/>
              </w:rPr>
            </w:pPr>
            <w:r>
              <w:rPr>
                <w:rFonts w:eastAsia="仿宋"/>
                <w:b/>
                <w:color w:val="FFFFFF"/>
                <w:kern w:val="0"/>
                <w:sz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37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w:t>
            </w:r>
            <w:r>
              <w:rPr>
                <w:rFonts w:hint="eastAsia" w:eastAsia="仿宋"/>
                <w:color w:val="000000"/>
                <w:kern w:val="0"/>
                <w:sz w:val="24"/>
              </w:rPr>
              <w:t>产出及效果</w:t>
            </w:r>
            <w:r>
              <w:rPr>
                <w:rFonts w:eastAsia="仿宋"/>
                <w:color w:val="000000"/>
                <w:kern w:val="0"/>
                <w:sz w:val="24"/>
              </w:rPr>
              <w:t>（</w:t>
            </w:r>
            <w:r>
              <w:rPr>
                <w:rFonts w:hint="eastAsia" w:eastAsia="仿宋"/>
                <w:color w:val="000000"/>
                <w:kern w:val="0"/>
                <w:sz w:val="24"/>
              </w:rPr>
              <w:t>5</w:t>
            </w:r>
            <w:r>
              <w:rPr>
                <w:rFonts w:eastAsia="仿宋"/>
                <w:color w:val="000000"/>
                <w:kern w:val="0"/>
                <w:sz w:val="24"/>
              </w:rPr>
              <w:t>0）</w:t>
            </w:r>
          </w:p>
        </w:tc>
        <w:tc>
          <w:tcPr>
            <w:tcW w:w="150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C2项目效果（25）</w:t>
            </w:r>
          </w:p>
        </w:tc>
        <w:tc>
          <w:tcPr>
            <w:tcW w:w="3162"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经济效益</w:t>
            </w:r>
          </w:p>
        </w:tc>
        <w:tc>
          <w:tcPr>
            <w:tcW w:w="811"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828"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87" w:type="dxa"/>
            <w:tcBorders>
              <w:top w:val="dotted" w:color="auto" w:sz="2"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社会效益</w:t>
            </w:r>
          </w:p>
        </w:tc>
        <w:tc>
          <w:tcPr>
            <w:tcW w:w="81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可持续影响</w:t>
            </w:r>
          </w:p>
        </w:tc>
        <w:tc>
          <w:tcPr>
            <w:tcW w:w="81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150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widowControl/>
              <w:adjustRightInd w:val="0"/>
              <w:snapToGrid w:val="0"/>
              <w:jc w:val="left"/>
              <w:rPr>
                <w:rFonts w:eastAsia="仿宋"/>
                <w:color w:val="000000"/>
                <w:kern w:val="0"/>
                <w:sz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社会公众或服务对象满意度</w:t>
            </w:r>
          </w:p>
        </w:tc>
        <w:tc>
          <w:tcPr>
            <w:tcW w:w="81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100</w:t>
            </w:r>
            <w:r>
              <w:rPr>
                <w:rFonts w:eastAsia="仿宋"/>
                <w:color w:val="000000"/>
                <w:kern w:val="0"/>
                <w:sz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6034"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eastAsia="仿宋"/>
                <w:color w:val="000000"/>
                <w:kern w:val="0"/>
                <w:sz w:val="24"/>
              </w:rPr>
              <w:t>合计</w:t>
            </w:r>
          </w:p>
        </w:tc>
        <w:tc>
          <w:tcPr>
            <w:tcW w:w="811"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r>
              <w:rPr>
                <w:rFonts w:hint="eastAsia" w:eastAsia="仿宋"/>
                <w:color w:val="000000"/>
                <w:kern w:val="0"/>
                <w:sz w:val="24"/>
              </w:rPr>
              <w:t>25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widowControl/>
              <w:adjustRightInd w:val="0"/>
              <w:snapToGrid w:val="0"/>
              <w:jc w:val="center"/>
              <w:rPr>
                <w:rFonts w:eastAsia="仿宋"/>
                <w:color w:val="000000"/>
                <w:kern w:val="0"/>
                <w:sz w:val="24"/>
              </w:rPr>
            </w:pPr>
          </w:p>
        </w:tc>
      </w:tr>
    </w:tbl>
    <w:p>
      <w:pPr>
        <w:spacing w:line="600" w:lineRule="exact"/>
        <w:ind w:firstLine="640" w:firstLineChars="200"/>
        <w:jc w:val="left"/>
        <w:rPr>
          <w:rFonts w:ascii="华文仿宋" w:hAnsi="华文仿宋" w:eastAsia="华文仿宋" w:cs="华文仿宋"/>
          <w:b/>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特别扶助项目的实施，缓解了部分计划生育特殊困难家庭实际困难，改善了生活质量，使这些家庭经济上得到实惠、生活上得到保障。同时，让计生特别扶助人员感受到国家对特殊困难家庭的关注与关爱，有效地促进了基层计划生育工作的开展，提高了计划生育家庭对国家计生政策的满意度，融洽了人口计生工作者与群众的关系，促进了贯彻国家计划生育政策的执行。根据对特别扶助对象的随机</w:t>
      </w:r>
      <w:r>
        <w:rPr>
          <w:rFonts w:ascii="华文仿宋" w:hAnsi="华文仿宋" w:eastAsia="华文仿宋" w:cs="华文仿宋"/>
          <w:color w:val="000000" w:themeColor="text1"/>
          <w:sz w:val="32"/>
          <w:szCs w:val="32"/>
          <w14:textFill>
            <w14:solidFill>
              <w14:schemeClr w14:val="tx1"/>
            </w14:solidFill>
          </w14:textFill>
        </w:rPr>
        <w:t>调查问卷统计</w:t>
      </w:r>
      <w:r>
        <w:rPr>
          <w:rFonts w:hint="eastAsia" w:ascii="华文仿宋" w:hAnsi="华文仿宋" w:eastAsia="华文仿宋" w:cs="华文仿宋"/>
          <w:sz w:val="32"/>
          <w:szCs w:val="32"/>
        </w:rPr>
        <w:t>，社会公众满意度为96.4%。</w:t>
      </w:r>
    </w:p>
    <w:p>
      <w:pPr>
        <w:pStyle w:val="13"/>
        <w:numPr>
          <w:ilvl w:val="0"/>
          <w:numId w:val="1"/>
        </w:numPr>
        <w:shd w:val="clear" w:color="auto" w:fill="FFFFFF"/>
        <w:spacing w:before="0" w:beforeAutospacing="0" w:after="0" w:afterAutospacing="0" w:line="600" w:lineRule="exact"/>
        <w:ind w:firstLine="640" w:firstLineChars="200"/>
        <w:jc w:val="both"/>
        <w:outlineLvl w:val="0"/>
        <w:rPr>
          <w:rFonts w:ascii="黑体" w:hAnsi="黑体" w:eastAsia="黑体"/>
          <w:color w:val="000000" w:themeColor="text1"/>
          <w:sz w:val="32"/>
          <w:szCs w:val="32"/>
          <w14:textFill>
            <w14:solidFill>
              <w14:schemeClr w14:val="tx1"/>
            </w14:solidFill>
          </w14:textFill>
        </w:rPr>
      </w:pPr>
      <w:bookmarkStart w:id="26" w:name="_Toc32164"/>
      <w:r>
        <w:rPr>
          <w:rFonts w:hint="eastAsia" w:ascii="黑体" w:hAnsi="黑体" w:eastAsia="黑体"/>
          <w:color w:val="000000" w:themeColor="text1"/>
          <w:sz w:val="32"/>
          <w:szCs w:val="32"/>
          <w14:textFill>
            <w14:solidFill>
              <w14:schemeClr w14:val="tx1"/>
            </w14:solidFill>
          </w14:textFill>
        </w:rPr>
        <w:t>存在的主要问题</w:t>
      </w:r>
      <w:bookmarkEnd w:id="26"/>
    </w:p>
    <w:p>
      <w:pPr>
        <w:spacing w:line="600" w:lineRule="exact"/>
        <w:ind w:firstLine="641" w:firstLineChars="200"/>
        <w:jc w:val="left"/>
        <w:rPr>
          <w:rFonts w:ascii="华文仿宋" w:hAnsi="华文仿宋" w:eastAsia="华文仿宋" w:cs="华文仿宋"/>
          <w:sz w:val="32"/>
          <w:szCs w:val="32"/>
        </w:rPr>
      </w:pPr>
      <w:r>
        <w:rPr>
          <w:rFonts w:hint="eastAsia" w:ascii="华文楷体" w:hAnsi="华文楷体" w:eastAsia="华文楷体"/>
          <w:b/>
          <w:color w:val="000000" w:themeColor="text1"/>
          <w:sz w:val="32"/>
          <w:szCs w:val="32"/>
          <w14:textFill>
            <w14:solidFill>
              <w14:schemeClr w14:val="tx1"/>
            </w14:solidFill>
          </w14:textFill>
        </w:rPr>
        <w:t>绩效目标设置不够规范：</w:t>
      </w:r>
      <w:r>
        <w:rPr>
          <w:rFonts w:hint="eastAsia" w:ascii="华文仿宋" w:hAnsi="华文仿宋" w:eastAsia="华文仿宋"/>
          <w:color w:val="000000" w:themeColor="text1"/>
          <w:sz w:val="32"/>
          <w:szCs w:val="32"/>
          <w14:textFill>
            <w14:solidFill>
              <w14:schemeClr w14:val="tx1"/>
            </w14:solidFill>
          </w14:textFill>
        </w:rPr>
        <w:t>区</w:t>
      </w:r>
      <w:r>
        <w:rPr>
          <w:rFonts w:hint="eastAsia" w:ascii="华文仿宋" w:hAnsi="华文仿宋" w:eastAsia="华文仿宋" w:cs="华文仿宋"/>
          <w:color w:val="000000" w:themeColor="text1"/>
          <w:sz w:val="32"/>
          <w:szCs w:val="32"/>
          <w14:textFill>
            <w14:solidFill>
              <w14:schemeClr w14:val="tx1"/>
            </w14:solidFill>
          </w14:textFill>
        </w:rPr>
        <w:t>卫生局关于特别扶助项目的长期绩效目标和年度绩效目标均为：“项目资金严格按照年初制定的项目资金管理办法和方案，按要求进行考核管理，全程对项目资金进行监督考核，严格专款专用，按要求完成一定的社会效益和经济效益，并打卡发放。”绩效年度目标和长期目标设定一致，年度没有设定细化和量化的</w:t>
      </w:r>
      <w:r>
        <w:rPr>
          <w:rFonts w:ascii="华文仿宋" w:hAnsi="华文仿宋" w:eastAsia="华文仿宋" w:cs="华文仿宋"/>
          <w:color w:val="000000" w:themeColor="text1"/>
          <w:sz w:val="32"/>
          <w:szCs w:val="32"/>
          <w14:textFill>
            <w14:solidFill>
              <w14:schemeClr w14:val="tx1"/>
            </w14:solidFill>
          </w14:textFill>
        </w:rPr>
        <w:t>绩效目标</w:t>
      </w:r>
      <w:r>
        <w:rPr>
          <w:rFonts w:hint="eastAsia" w:ascii="华文仿宋" w:hAnsi="华文仿宋" w:eastAsia="华文仿宋" w:cs="华文仿宋"/>
          <w:color w:val="000000" w:themeColor="text1"/>
          <w:sz w:val="32"/>
          <w:szCs w:val="32"/>
          <w14:textFill>
            <w14:solidFill>
              <w14:schemeClr w14:val="tx1"/>
            </w14:solidFill>
          </w14:textFill>
        </w:rPr>
        <w:t>，</w:t>
      </w:r>
      <w:r>
        <w:rPr>
          <w:rFonts w:hint="eastAsia" w:ascii="仿宋" w:hAnsi="仿宋" w:eastAsia="仿宋" w:cs="仿宋"/>
          <w:sz w:val="32"/>
          <w:szCs w:val="32"/>
        </w:rPr>
        <w:t>与年度工作计划或项目任务关联不够紧密，</w:t>
      </w:r>
      <w:r>
        <w:rPr>
          <w:rFonts w:hint="eastAsia" w:ascii="华文仿宋" w:hAnsi="华文仿宋" w:eastAsia="华文仿宋" w:cs="华文仿宋"/>
          <w:color w:val="000000" w:themeColor="text1"/>
          <w:sz w:val="32"/>
          <w:szCs w:val="32"/>
          <w14:textFill>
            <w14:solidFill>
              <w14:schemeClr w14:val="tx1"/>
            </w14:solidFill>
          </w14:textFill>
        </w:rPr>
        <w:t>且没有体现该项目的长期发展绩效规划。同时，区卫生局也未制定该项目产出的数量、质量、时效、成本</w:t>
      </w:r>
      <w:r>
        <w:rPr>
          <w:rFonts w:hint="eastAsia" w:ascii="华文仿宋" w:hAnsi="华文仿宋" w:eastAsia="华文仿宋" w:cs="华文仿宋"/>
          <w:color w:val="000000" w:themeColor="text1"/>
          <w:sz w:val="32"/>
          <w:szCs w:val="32"/>
          <w:lang w:eastAsia="zh-CN"/>
          <w14:textFill>
            <w14:solidFill>
              <w14:schemeClr w14:val="tx1"/>
            </w14:solidFill>
          </w14:textFill>
        </w:rPr>
        <w:t>及</w:t>
      </w:r>
      <w:r>
        <w:rPr>
          <w:rFonts w:hint="eastAsia" w:ascii="华文仿宋" w:hAnsi="华文仿宋" w:eastAsia="华文仿宋" w:cs="华文仿宋"/>
          <w:color w:val="000000" w:themeColor="text1"/>
          <w:sz w:val="32"/>
          <w:szCs w:val="32"/>
          <w14:textFill>
            <w14:solidFill>
              <w14:schemeClr w14:val="tx1"/>
            </w14:solidFill>
          </w14:textFill>
        </w:rPr>
        <w:t>效益指标。</w:t>
      </w:r>
    </w:p>
    <w:p>
      <w:pPr>
        <w:pStyle w:val="13"/>
        <w:numPr>
          <w:ilvl w:val="0"/>
          <w:numId w:val="1"/>
        </w:numPr>
        <w:shd w:val="clear" w:color="auto" w:fill="FFFFFF"/>
        <w:spacing w:before="0" w:beforeAutospacing="0" w:after="0" w:afterAutospacing="0" w:line="600" w:lineRule="exact"/>
        <w:ind w:firstLine="640" w:firstLineChars="200"/>
        <w:jc w:val="both"/>
        <w:outlineLvl w:val="0"/>
        <w:rPr>
          <w:rFonts w:ascii="黑体" w:hAnsi="黑体" w:eastAsia="黑体"/>
          <w:color w:val="000000" w:themeColor="text1"/>
          <w:sz w:val="32"/>
          <w:szCs w:val="32"/>
          <w14:textFill>
            <w14:solidFill>
              <w14:schemeClr w14:val="tx1"/>
            </w14:solidFill>
          </w14:textFill>
        </w:rPr>
      </w:pPr>
      <w:bookmarkStart w:id="27" w:name="_Toc25866"/>
      <w:r>
        <w:rPr>
          <w:rFonts w:hint="eastAsia" w:ascii="黑体" w:hAnsi="黑体" w:eastAsia="黑体"/>
          <w:color w:val="000000" w:themeColor="text1"/>
          <w:sz w:val="32"/>
          <w:szCs w:val="32"/>
          <w14:textFill>
            <w14:solidFill>
              <w14:schemeClr w14:val="tx1"/>
            </w14:solidFill>
          </w14:textFill>
        </w:rPr>
        <w:t>相关建议</w:t>
      </w:r>
      <w:bookmarkEnd w:id="27"/>
    </w:p>
    <w:p>
      <w:pPr>
        <w:numPr>
          <w:ilvl w:val="0"/>
          <w:numId w:val="9"/>
        </w:numPr>
        <w:spacing w:line="600" w:lineRule="exact"/>
        <w:ind w:firstLine="641" w:firstLineChars="200"/>
        <w:jc w:val="left"/>
        <w:outlineLvl w:val="1"/>
        <w:rPr>
          <w:rFonts w:ascii="华文楷体" w:hAnsi="华文楷体" w:eastAsia="华文楷体" w:cs="华文楷体"/>
          <w:b/>
          <w:color w:val="000000" w:themeColor="text1"/>
          <w:sz w:val="32"/>
          <w:szCs w:val="32"/>
          <w14:textFill>
            <w14:solidFill>
              <w14:schemeClr w14:val="tx1"/>
            </w14:solidFill>
          </w14:textFill>
        </w:rPr>
      </w:pPr>
      <w:bookmarkStart w:id="28" w:name="_Toc15031"/>
      <w:r>
        <w:rPr>
          <w:rFonts w:hint="eastAsia" w:ascii="华文楷体" w:hAnsi="华文楷体" w:eastAsia="华文楷体" w:cs="华文楷体"/>
          <w:b/>
          <w:color w:val="000000" w:themeColor="text1"/>
          <w:sz w:val="32"/>
          <w:szCs w:val="32"/>
          <w14:textFill>
            <w14:solidFill>
              <w14:schemeClr w14:val="tx1"/>
            </w14:solidFill>
          </w14:textFill>
        </w:rPr>
        <w:t>建议进一步规范绩效目标设置</w:t>
      </w:r>
      <w:bookmarkEnd w:id="28"/>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按照《湖南省财政厅关于印发〈湖南省预算绩效目标管理办法〉的通知》（湘财绩〔2013〕29号）文件要求，编制项目资金绩效目标时，要求绩效目标指向明确、细化量化、合理可行、相应匹配，</w:t>
      </w:r>
      <w:r>
        <w:rPr>
          <w:rFonts w:ascii="华文仿宋" w:hAnsi="华文仿宋" w:eastAsia="华文仿宋" w:cs="华文仿宋"/>
          <w:sz w:val="32"/>
          <w:szCs w:val="32"/>
        </w:rPr>
        <w:t>以</w:t>
      </w:r>
      <w:r>
        <w:rPr>
          <w:rFonts w:hint="eastAsia" w:ascii="华文仿宋" w:hAnsi="华文仿宋" w:eastAsia="华文仿宋" w:cs="华文仿宋"/>
          <w:sz w:val="32"/>
          <w:szCs w:val="32"/>
        </w:rPr>
        <w:t>保证专项资金用到实处，最大限度地发挥专项资金使用效益。要依据项目的目标整体性和重要性，设定相应清晰明确、可量化的绩效指标，充分发挥绩效目标在项目实施及预算执行过程中的管理和规范作用。按计划产出、质量要求、进度及预期效益，以绩效目标作为标尺，监控项目实施过程，及时调整纠偏。</w:t>
      </w:r>
    </w:p>
    <w:p>
      <w:pPr>
        <w:numPr>
          <w:ilvl w:val="0"/>
          <w:numId w:val="9"/>
        </w:numPr>
        <w:spacing w:line="600" w:lineRule="exact"/>
        <w:ind w:firstLine="641" w:firstLineChars="200"/>
        <w:jc w:val="left"/>
        <w:outlineLvl w:val="1"/>
        <w:rPr>
          <w:rFonts w:ascii="华文楷体" w:hAnsi="华文楷体" w:eastAsia="华文楷体" w:cs="华文楷体"/>
          <w:b/>
          <w:color w:val="000000" w:themeColor="text1"/>
          <w:sz w:val="32"/>
          <w:szCs w:val="32"/>
          <w14:textFill>
            <w14:solidFill>
              <w14:schemeClr w14:val="tx1"/>
            </w14:solidFill>
          </w14:textFill>
        </w:rPr>
      </w:pPr>
      <w:bookmarkStart w:id="29" w:name="_Toc11649"/>
      <w:r>
        <w:rPr>
          <w:rFonts w:hint="eastAsia" w:ascii="华文楷体" w:hAnsi="华文楷体" w:eastAsia="华文楷体" w:cs="华文楷体"/>
          <w:b/>
          <w:color w:val="000000" w:themeColor="text1"/>
          <w:sz w:val="32"/>
          <w:szCs w:val="32"/>
          <w14:textFill>
            <w14:solidFill>
              <w14:schemeClr w14:val="tx1"/>
            </w14:solidFill>
          </w14:textFill>
        </w:rPr>
        <w:t>建议及时调整预算，提升专项资金使用效率</w:t>
      </w:r>
      <w:bookmarkEnd w:id="29"/>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区卫生局应在核实扶助对象人数的基础上，将特别扶助所需资金变化情况及时上报财政，以便区财政按照扶助资金分担比列，及时调整财政支出预算，对专项资金进行统筹分配，提高专项资金使用效率。</w:t>
      </w:r>
    </w:p>
    <w:p>
      <w:pPr>
        <w:numPr>
          <w:ilvl w:val="0"/>
          <w:numId w:val="9"/>
        </w:numPr>
        <w:spacing w:line="600" w:lineRule="exact"/>
        <w:ind w:firstLine="641" w:firstLineChars="200"/>
        <w:jc w:val="left"/>
        <w:outlineLvl w:val="1"/>
        <w:rPr>
          <w:rFonts w:ascii="华文楷体" w:hAnsi="华文楷体" w:eastAsia="华文楷体" w:cs="华文楷体"/>
          <w:b/>
          <w:color w:val="000000" w:themeColor="text1"/>
          <w:sz w:val="32"/>
          <w:szCs w:val="32"/>
          <w14:textFill>
            <w14:solidFill>
              <w14:schemeClr w14:val="tx1"/>
            </w14:solidFill>
          </w14:textFill>
        </w:rPr>
      </w:pPr>
      <w:bookmarkStart w:id="30" w:name="_Toc29532"/>
      <w:r>
        <w:rPr>
          <w:rFonts w:hint="eastAsia" w:ascii="华文楷体" w:hAnsi="华文楷体" w:eastAsia="华文楷体" w:cs="华文楷体"/>
          <w:b/>
          <w:color w:val="000000" w:themeColor="text1"/>
          <w:sz w:val="32"/>
          <w:szCs w:val="32"/>
          <w14:textFill>
            <w14:solidFill>
              <w14:schemeClr w14:val="tx1"/>
            </w14:solidFill>
          </w14:textFill>
        </w:rPr>
        <w:t>建议搭建</w:t>
      </w:r>
      <w:r>
        <w:rPr>
          <w:rFonts w:ascii="华文楷体" w:hAnsi="华文楷体" w:eastAsia="华文楷体" w:cs="华文楷体"/>
          <w:b/>
          <w:color w:val="000000" w:themeColor="text1"/>
          <w:sz w:val="32"/>
          <w:szCs w:val="32"/>
          <w14:textFill>
            <w14:solidFill>
              <w14:schemeClr w14:val="tx1"/>
            </w14:solidFill>
          </w14:textFill>
        </w:rPr>
        <w:t>社会</w:t>
      </w:r>
      <w:r>
        <w:rPr>
          <w:rFonts w:hint="eastAsia" w:ascii="华文楷体" w:hAnsi="华文楷体" w:eastAsia="华文楷体" w:cs="华文楷体"/>
          <w:b/>
          <w:color w:val="000000" w:themeColor="text1"/>
          <w:sz w:val="32"/>
          <w:szCs w:val="32"/>
          <w14:textFill>
            <w14:solidFill>
              <w14:schemeClr w14:val="tx1"/>
            </w14:solidFill>
          </w14:textFill>
        </w:rPr>
        <w:t>扶</w:t>
      </w:r>
      <w:r>
        <w:rPr>
          <w:rFonts w:ascii="华文楷体" w:hAnsi="华文楷体" w:eastAsia="华文楷体" w:cs="华文楷体"/>
          <w:b/>
          <w:color w:val="000000" w:themeColor="text1"/>
          <w:sz w:val="32"/>
          <w:szCs w:val="32"/>
          <w14:textFill>
            <w14:solidFill>
              <w14:schemeClr w14:val="tx1"/>
            </w14:solidFill>
          </w14:textFill>
        </w:rPr>
        <w:t>助平台</w:t>
      </w:r>
      <w:r>
        <w:rPr>
          <w:rFonts w:hint="eastAsia" w:ascii="华文楷体" w:hAnsi="华文楷体" w:eastAsia="华文楷体" w:cs="华文楷体"/>
          <w:b/>
          <w:color w:val="000000" w:themeColor="text1"/>
          <w:sz w:val="32"/>
          <w:szCs w:val="32"/>
          <w14:textFill>
            <w14:solidFill>
              <w14:schemeClr w14:val="tx1"/>
            </w14:solidFill>
          </w14:textFill>
        </w:rPr>
        <w:t>，加大特困家庭帮扶力度</w:t>
      </w:r>
      <w:bookmarkEnd w:id="30"/>
    </w:p>
    <w:p>
      <w:pPr>
        <w:tabs>
          <w:tab w:val="left" w:pos="312"/>
        </w:tabs>
        <w:spacing w:line="60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问卷调查显示：计生特殊困难家庭，尤其是失独父母出现重大疾病或常年久病不治时，需要政府给予更大的扶助力度或帮助。建议政府搭建社会扶助平台，出台扶助政策，形成政府、企业和社会各界共同扶助的氛围，降低特殊困难家庭的诸多风险，促进社会的稳定与和谐。</w:t>
      </w:r>
    </w:p>
    <w:p>
      <w:pPr>
        <w:pStyle w:val="13"/>
        <w:numPr>
          <w:ilvl w:val="0"/>
          <w:numId w:val="1"/>
        </w:numPr>
        <w:shd w:val="clear" w:color="auto" w:fill="FFFFFF"/>
        <w:spacing w:before="0" w:beforeAutospacing="0" w:after="0" w:afterAutospacing="0" w:line="600" w:lineRule="exact"/>
        <w:ind w:firstLine="640" w:firstLineChars="200"/>
        <w:jc w:val="both"/>
        <w:outlineLvl w:val="0"/>
        <w:rPr>
          <w:rFonts w:ascii="黑体" w:hAnsi="黑体" w:eastAsia="黑体"/>
          <w:color w:val="000000" w:themeColor="text1"/>
          <w:sz w:val="32"/>
          <w:szCs w:val="32"/>
          <w14:textFill>
            <w14:solidFill>
              <w14:schemeClr w14:val="tx1"/>
            </w14:solidFill>
          </w14:textFill>
        </w:rPr>
      </w:pPr>
      <w:bookmarkStart w:id="31" w:name="_Toc12878"/>
      <w:bookmarkStart w:id="32" w:name="_Toc1090"/>
      <w:r>
        <w:rPr>
          <w:rFonts w:hint="eastAsia" w:ascii="黑体" w:hAnsi="黑体" w:eastAsia="黑体"/>
          <w:color w:val="000000" w:themeColor="text1"/>
          <w:sz w:val="32"/>
          <w:szCs w:val="32"/>
          <w14:textFill>
            <w14:solidFill>
              <w14:schemeClr w14:val="tx1"/>
            </w14:solidFill>
          </w14:textFill>
        </w:rPr>
        <w:t>需说明的问题</w:t>
      </w:r>
      <w:bookmarkEnd w:id="31"/>
      <w:bookmarkEnd w:id="32"/>
    </w:p>
    <w:p>
      <w:pPr>
        <w:pStyle w:val="13"/>
        <w:shd w:val="clear" w:color="auto" w:fill="FFFFFF"/>
        <w:spacing w:before="0" w:beforeAutospacing="0" w:after="0" w:afterAutospacing="0" w:line="600" w:lineRule="exact"/>
        <w:ind w:firstLine="640" w:firstLineChars="200"/>
        <w:jc w:val="both"/>
        <w:rPr>
          <w:rFonts w:ascii="华文仿宋" w:hAnsi="华文仿宋" w:eastAsia="华文仿宋" w:cs="华文仿宋"/>
          <w:color w:val="000000" w:themeColor="text1"/>
          <w:sz w:val="32"/>
          <w:szCs w:val="32"/>
          <w14:textFill>
            <w14:solidFill>
              <w14:schemeClr w14:val="tx1"/>
            </w14:solidFill>
          </w14:textFill>
        </w:rPr>
      </w:pPr>
      <w:r>
        <w:rPr>
          <w:rFonts w:hint="eastAsia" w:ascii="华文仿宋" w:hAnsi="华文仿宋" w:eastAsia="华文仿宋" w:cs="华文仿宋"/>
          <w:color w:val="000000" w:themeColor="text1"/>
          <w:sz w:val="32"/>
          <w:szCs w:val="32"/>
          <w14:textFill>
            <w14:solidFill>
              <w14:schemeClr w14:val="tx1"/>
            </w14:solidFill>
          </w14:textFill>
        </w:rPr>
        <w:t>在本次现场调查过程中，由于随机抽取的扶助对象有的在外地，有的出行不方便，评价组在街道办共发放问卷30份，实际</w:t>
      </w:r>
      <w:r>
        <w:rPr>
          <w:rFonts w:ascii="华文仿宋" w:hAnsi="华文仿宋" w:eastAsia="华文仿宋" w:cs="华文仿宋"/>
          <w:color w:val="000000" w:themeColor="text1"/>
          <w:sz w:val="32"/>
          <w:szCs w:val="32"/>
          <w14:textFill>
            <w14:solidFill>
              <w14:schemeClr w14:val="tx1"/>
            </w14:solidFill>
          </w14:textFill>
        </w:rPr>
        <w:t>回收</w:t>
      </w:r>
      <w:r>
        <w:rPr>
          <w:rFonts w:hint="eastAsia" w:ascii="华文仿宋" w:hAnsi="华文仿宋" w:eastAsia="华文仿宋" w:cs="华文仿宋"/>
          <w:color w:val="000000" w:themeColor="text1"/>
          <w:sz w:val="32"/>
          <w:szCs w:val="32"/>
          <w14:textFill>
            <w14:solidFill>
              <w14:schemeClr w14:val="tx1"/>
            </w14:solidFill>
          </w14:textFill>
        </w:rPr>
        <w:t>25份</w:t>
      </w:r>
      <w:r>
        <w:rPr>
          <w:rFonts w:ascii="华文仿宋" w:hAnsi="华文仿宋" w:eastAsia="华文仿宋" w:cs="华文仿宋"/>
          <w:color w:val="000000" w:themeColor="text1"/>
          <w:sz w:val="32"/>
          <w:szCs w:val="32"/>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故在群众满意度这一指标的合理性上受到一定影响。</w:t>
      </w: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bookmarkStart w:id="33" w:name="_Toc6676"/>
      <w:bookmarkStart w:id="34" w:name="_Toc21002"/>
      <w:bookmarkStart w:id="35" w:name="_Toc29492_WPSOffice_Level1"/>
      <w:bookmarkStart w:id="36" w:name="_Toc15768"/>
      <w:bookmarkStart w:id="37" w:name="_Toc26717_WPSOffice_Level1"/>
      <w:bookmarkStart w:id="38" w:name="_Toc2915_WPSOffice_Level1"/>
      <w:bookmarkStart w:id="39" w:name="_Toc1834"/>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14:textFill>
            <w14:solidFill>
              <w14:schemeClr w14:val="tx1"/>
            </w14:solidFill>
          </w14:textFill>
        </w:rPr>
      </w:pPr>
    </w:p>
    <w:p>
      <w:pPr>
        <w:pStyle w:val="13"/>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附件</w:t>
      </w:r>
      <w:bookmarkEnd w:id="33"/>
      <w:bookmarkEnd w:id="34"/>
      <w:bookmarkEnd w:id="35"/>
      <w:bookmarkEnd w:id="36"/>
      <w:bookmarkEnd w:id="37"/>
      <w:bookmarkEnd w:id="38"/>
      <w:bookmarkEnd w:id="39"/>
      <w:r>
        <w:rPr>
          <w:rFonts w:hint="eastAsia" w:ascii="黑体" w:hAnsi="黑体" w:eastAsia="黑体" w:cs="黑体"/>
          <w:b w:val="0"/>
          <w:bCs w:val="0"/>
          <w:color w:val="000000" w:themeColor="text1"/>
          <w:sz w:val="32"/>
          <w:szCs w:val="32"/>
          <w:lang w:eastAsia="zh-CN"/>
          <w14:textFill>
            <w14:solidFill>
              <w14:schemeClr w14:val="tx1"/>
            </w14:solidFill>
          </w14:textFill>
        </w:rPr>
        <w:t>：</w:t>
      </w:r>
    </w:p>
    <w:p>
      <w:pPr>
        <w:spacing w:line="600" w:lineRule="exact"/>
        <w:ind w:firstLine="640" w:firstLineChars="200"/>
        <w:rPr>
          <w:rFonts w:ascii="华文仿宋" w:hAnsi="华文仿宋" w:eastAsia="华文仿宋" w:cs="华文仿宋"/>
          <w:sz w:val="32"/>
          <w:szCs w:val="32"/>
        </w:rPr>
      </w:pPr>
      <w:bookmarkStart w:id="40" w:name="_Toc19246"/>
      <w:bookmarkStart w:id="41" w:name="_Toc1018_WPSOffice_Level1"/>
      <w:bookmarkStart w:id="42" w:name="_Toc2500_WPSOffice_Level1"/>
      <w:bookmarkStart w:id="43" w:name="_Toc30121_WPSOffice_Level1"/>
      <w:bookmarkStart w:id="44" w:name="_Toc5844_WPSOffice_Level2"/>
      <w:r>
        <w:rPr>
          <w:rFonts w:hint="eastAsia" w:ascii="华文仿宋" w:hAnsi="华文仿宋" w:eastAsia="华文仿宋" w:cs="华文仿宋"/>
          <w:sz w:val="32"/>
          <w:szCs w:val="32"/>
        </w:rPr>
        <w:t>1</w:t>
      </w:r>
      <w:bookmarkEnd w:id="40"/>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怀化市鹤城区2018年度计划生育特别扶助项目绩效评价指标体系及评分表</w:t>
      </w:r>
      <w:bookmarkEnd w:id="41"/>
      <w:bookmarkEnd w:id="42"/>
      <w:bookmarkEnd w:id="43"/>
      <w:bookmarkEnd w:id="44"/>
    </w:p>
    <w:p>
      <w:pPr>
        <w:spacing w:line="600" w:lineRule="exact"/>
        <w:ind w:firstLine="640" w:firstLineChars="200"/>
        <w:rPr>
          <w:rFonts w:hint="eastAsia" w:ascii="华文仿宋" w:hAnsi="华文仿宋" w:eastAsia="华文仿宋" w:cs="华文仿宋"/>
          <w:sz w:val="32"/>
          <w:szCs w:val="32"/>
        </w:rPr>
      </w:pPr>
      <w:bookmarkStart w:id="45" w:name="_Toc17883"/>
      <w:bookmarkStart w:id="46" w:name="_Toc4997_WPSOffice_Level1"/>
      <w:bookmarkStart w:id="47" w:name="_Toc13724_WPSOffice_Level1"/>
      <w:bookmarkStart w:id="48" w:name="_Toc6496_WPSOffice_Level1"/>
      <w:bookmarkStart w:id="49" w:name="_Toc12832_WPSOffice_Level2"/>
      <w:r>
        <w:rPr>
          <w:rFonts w:hint="eastAsia" w:ascii="华文仿宋" w:hAnsi="华文仿宋" w:eastAsia="华文仿宋" w:cs="华文仿宋"/>
          <w:sz w:val="32"/>
          <w:szCs w:val="32"/>
        </w:rPr>
        <w:t>2</w:t>
      </w:r>
      <w:bookmarkEnd w:id="45"/>
      <w:bookmarkEnd w:id="46"/>
      <w:bookmarkEnd w:id="47"/>
      <w:bookmarkEnd w:id="48"/>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怀化市鹤城区2018年度计划生育特别扶助项目资金绩效评价调查问卷</w:t>
      </w:r>
      <w:bookmarkEnd w:id="49"/>
    </w:p>
    <w:p>
      <w:pPr>
        <w:spacing w:line="600" w:lineRule="exact"/>
        <w:ind w:firstLine="640" w:firstLineChars="200"/>
        <w:rPr>
          <w:rFonts w:hint="eastAsia" w:ascii="华文仿宋" w:hAnsi="华文仿宋" w:eastAsia="华文仿宋" w:cs="华文仿宋"/>
          <w:sz w:val="32"/>
          <w:szCs w:val="32"/>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eastAsia="华文仿宋" w:cs="华文仿宋"/>
          <w:color w:val="000000"/>
          <w:sz w:val="32"/>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 xml:space="preserve"> 湖南惟楚创智经济咨询有限责任公司</w:t>
      </w:r>
    </w:p>
    <w:p>
      <w:pPr>
        <w:autoSpaceDN w:val="0"/>
        <w:adjustRightInd w:val="0"/>
        <w:snapToGrid w:val="0"/>
        <w:spacing w:line="600" w:lineRule="exact"/>
        <w:ind w:firstLine="0" w:firstLineChars="0"/>
        <w:rPr>
          <w:rFonts w:hint="default" w:ascii="华文仿宋" w:hAnsi="华文仿宋" w:eastAsia="华文仿宋" w:cs="华文仿宋"/>
          <w:color w:val="000000"/>
          <w:sz w:val="32"/>
          <w:szCs w:val="32"/>
          <w:lang w:val="en-US" w:eastAsia="zh-CN"/>
        </w:rPr>
      </w:pPr>
      <w:r>
        <w:rPr>
          <w:rFonts w:hint="eastAsia" w:ascii="华文仿宋" w:hAnsi="华文仿宋" w:eastAsia="华文仿宋" w:cs="华文仿宋"/>
          <w:color w:val="000000"/>
          <w:sz w:val="32"/>
          <w:szCs w:val="32"/>
          <w:lang w:val="en-US" w:eastAsia="zh-CN"/>
        </w:rPr>
        <w:t xml:space="preserve">                                  2019年9月30日</w:t>
      </w:r>
    </w:p>
    <w:p>
      <w:pPr>
        <w:spacing w:line="600" w:lineRule="exact"/>
        <w:ind w:firstLine="640" w:firstLineChars="200"/>
        <w:rPr>
          <w:rFonts w:hint="eastAsia" w:ascii="华文仿宋" w:hAnsi="华文仿宋" w:eastAsia="华文仿宋" w:cs="华文仿宋"/>
          <w:sz w:val="32"/>
          <w:szCs w:val="32"/>
        </w:rPr>
        <w:sectPr>
          <w:type w:val="continuous"/>
          <w:pgSz w:w="11906" w:h="16838"/>
          <w:pgMar w:top="1440" w:right="1474" w:bottom="1440" w:left="1588" w:header="851" w:footer="992" w:gutter="0"/>
          <w:pgNumType w:fmt="decimal"/>
          <w:cols w:space="425" w:num="1"/>
          <w:docGrid w:type="lines" w:linePitch="312" w:charSpace="0"/>
        </w:sectPr>
      </w:pPr>
    </w:p>
    <w:p>
      <w:pPr>
        <w:autoSpaceDN w:val="0"/>
        <w:adjustRightInd w:val="0"/>
        <w:snapToGrid w:val="0"/>
        <w:spacing w:line="600" w:lineRule="exact"/>
        <w:jc w:val="center"/>
        <w:outlineLvl w:val="0"/>
        <w:rPr>
          <w:rFonts w:ascii="华文仿宋" w:hAnsi="华文仿宋" w:eastAsia="华文仿宋" w:cs="华文仿宋"/>
          <w:b/>
          <w:bCs/>
          <w:color w:val="000000" w:themeColor="text1"/>
          <w:sz w:val="32"/>
          <w:szCs w:val="32"/>
          <w14:textFill>
            <w14:solidFill>
              <w14:schemeClr w14:val="tx1"/>
            </w14:solidFill>
          </w14:textFill>
        </w:rPr>
      </w:pPr>
      <w:bookmarkStart w:id="50" w:name="_Toc7477_WPSOffice_Level1"/>
      <w:bookmarkStart w:id="51" w:name="_Toc5409"/>
      <w:bookmarkStart w:id="52" w:name="_Toc10851_WPSOffice_Level1"/>
      <w:bookmarkStart w:id="53" w:name="_Toc23352_WPSOffice_Level1"/>
      <w:bookmarkStart w:id="54" w:name="_Toc15444_WPSOffice_Level1"/>
      <w:r>
        <w:rPr>
          <w:rFonts w:hint="eastAsia" w:ascii="华文仿宋" w:hAnsi="华文仿宋" w:eastAsia="华文仿宋" w:cs="华文仿宋"/>
          <w:b/>
          <w:bCs/>
          <w:color w:val="000000" w:themeColor="text1"/>
          <w:sz w:val="32"/>
          <w:szCs w:val="32"/>
          <w14:textFill>
            <w14:solidFill>
              <w14:schemeClr w14:val="tx1"/>
            </w14:solidFill>
          </w14:textFill>
        </w:rPr>
        <w:t>附件1：怀化市鹤城区2018年度计划生育特别扶助项目</w:t>
      </w:r>
      <w:bookmarkEnd w:id="50"/>
      <w:bookmarkEnd w:id="51"/>
    </w:p>
    <w:p>
      <w:pPr>
        <w:autoSpaceDN w:val="0"/>
        <w:adjustRightInd w:val="0"/>
        <w:snapToGrid w:val="0"/>
        <w:spacing w:line="600" w:lineRule="exact"/>
        <w:jc w:val="center"/>
        <w:rPr>
          <w:rFonts w:ascii="华文仿宋" w:hAnsi="华文仿宋" w:eastAsia="华文仿宋" w:cs="华文仿宋"/>
          <w:b/>
          <w:bCs/>
          <w:color w:val="333333"/>
          <w:kern w:val="0"/>
          <w:sz w:val="32"/>
          <w:szCs w:val="32"/>
          <w:lang w:bidi="ar"/>
        </w:rPr>
      </w:pPr>
      <w:bookmarkStart w:id="55" w:name="_Toc7934_WPSOffice_Level2"/>
      <w:r>
        <w:rPr>
          <w:rFonts w:hint="eastAsia" w:ascii="华文仿宋" w:hAnsi="华文仿宋" w:eastAsia="华文仿宋" w:cs="华文仿宋"/>
          <w:b/>
          <w:bCs/>
          <w:color w:val="333333"/>
          <w:kern w:val="0"/>
          <w:sz w:val="32"/>
          <w:szCs w:val="32"/>
          <w:lang w:bidi="ar"/>
        </w:rPr>
        <w:t>绩效评价指标体系及评分表</w:t>
      </w:r>
      <w:bookmarkEnd w:id="52"/>
      <w:bookmarkEnd w:id="53"/>
      <w:bookmarkEnd w:id="54"/>
      <w:bookmarkEnd w:id="55"/>
    </w:p>
    <w:tbl>
      <w:tblPr>
        <w:tblStyle w:val="14"/>
        <w:tblW w:w="9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585"/>
        <w:gridCol w:w="698"/>
        <w:gridCol w:w="544"/>
        <w:gridCol w:w="1209"/>
        <w:gridCol w:w="585"/>
        <w:gridCol w:w="4178"/>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blHeader/>
          <w:jc w:val="center"/>
        </w:trPr>
        <w:tc>
          <w:tcPr>
            <w:tcW w:w="71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一级</w:t>
            </w:r>
            <w:r>
              <w:rPr>
                <w:rFonts w:hint="eastAsia" w:eastAsia="仿宋"/>
                <w:b/>
                <w:bCs/>
                <w:sz w:val="24"/>
              </w:rPr>
              <w:br w:type="textWrapping"/>
            </w:r>
            <w:r>
              <w:rPr>
                <w:rFonts w:hint="eastAsia" w:eastAsia="仿宋"/>
                <w:b/>
                <w:bCs/>
                <w:sz w:val="24"/>
              </w:rPr>
              <w:t>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69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二级    指标</w:t>
            </w:r>
          </w:p>
        </w:tc>
        <w:tc>
          <w:tcPr>
            <w:tcW w:w="544"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1209"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三级指标</w:t>
            </w:r>
          </w:p>
        </w:tc>
        <w:tc>
          <w:tcPr>
            <w:tcW w:w="58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分值</w:t>
            </w:r>
          </w:p>
        </w:tc>
        <w:tc>
          <w:tcPr>
            <w:tcW w:w="4178"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评价标准</w:t>
            </w:r>
          </w:p>
        </w:tc>
        <w:tc>
          <w:tcPr>
            <w:tcW w:w="70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eastAsia="仿宋"/>
                <w:b/>
                <w:bCs/>
                <w:sz w:val="24"/>
              </w:rPr>
            </w:pPr>
            <w:r>
              <w:rPr>
                <w:rFonts w:hint="eastAsia" w:eastAsia="仿宋"/>
                <w:b/>
                <w:bCs/>
                <w:sz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投</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入</w:t>
            </w: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698"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立项决策</w:t>
            </w:r>
          </w:p>
        </w:tc>
        <w:tc>
          <w:tcPr>
            <w:tcW w:w="544" w:type="dxa"/>
            <w:vMerge w:val="restart"/>
            <w:tcBorders>
              <w:top w:val="nil"/>
              <w:left w:val="nil"/>
              <w:bottom w:val="single" w:color="auto" w:sz="4" w:space="0"/>
              <w:right w:val="single" w:color="auto" w:sz="4" w:space="0"/>
            </w:tcBorders>
            <w:vAlign w:val="center"/>
          </w:tcPr>
          <w:p>
            <w:pPr>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项目立项</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规范性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①项目按规定程序申请设立，立项符合立项原则、立项重点和申报要求，1分；②事前经过可行性研究、专家论证、风险评估、集体决策，1分。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决策实施</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①项目批复程序符合管理办法，1分；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②项目调整履行相应手续，1分；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③项目按计划进行开工，1分。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资金分配</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①符合申报目标，1分；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②符合相应的分配办法，1分。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绩效目标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①预期目标明确具体，合理可行2分；基本可行1分，不可行0分；②项目总体目标和年度目标设定合理，1分。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明确性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①依目标设立的绩效指标细化，1分；②量化，1分；③项目年度任务数与计划数对应，1分；④项目与预算确定的投资额或资金量相匹配，1分。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资金落实</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资金到位率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资金到位率=100%，2分，未达按情况酌情扣分。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资金到位率=实际到位金额/计划投入金额×100%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到位及时率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到位及时，2分；不及时但项目进度影响不大或未造成影响，1分，不及时且严重影响项目进度，0分。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到位及时率=及时到位金额/应到位金额</w:t>
            </w:r>
            <w:r>
              <w:rPr>
                <w:rFonts w:hint="eastAsia" w:ascii="宋体" w:hAnsi="宋体" w:cs="宋体"/>
                <w:color w:val="333333"/>
                <w:kern w:val="0"/>
                <w:sz w:val="18"/>
                <w:szCs w:val="18"/>
              </w:rPr>
              <w:t xml:space="preserve">×100%                                                </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资金使用率</w:t>
            </w:r>
            <w:r>
              <w:rPr>
                <w:rFonts w:hint="eastAsia" w:ascii="宋体" w:hAnsi="宋体" w:cs="宋体"/>
                <w:kern w:val="0"/>
                <w:sz w:val="18"/>
                <w:szCs w:val="18"/>
              </w:rPr>
              <w:t>=</w:t>
            </w:r>
            <w:r>
              <w:rPr>
                <w:rFonts w:hint="eastAsia" w:ascii="宋体" w:hAnsi="宋体" w:cs="宋体"/>
                <w:color w:val="333333"/>
                <w:kern w:val="0"/>
                <w:sz w:val="18"/>
                <w:szCs w:val="18"/>
              </w:rPr>
              <w:t>100%，2分，每少1个百分点扣0.1分，扣完为止。因项目全额支付后结余资金，1分。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资金使用率=</w:t>
            </w:r>
            <w:r>
              <w:rPr>
                <w:rFonts w:hint="eastAsia" w:ascii="宋体" w:hAnsi="宋体" w:cs="宋体"/>
                <w:color w:val="333333"/>
                <w:kern w:val="0"/>
                <w:sz w:val="18"/>
                <w:szCs w:val="18"/>
              </w:rPr>
              <w:t>实际使用金额/实际到位金额×100%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过</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程</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业务管理</w:t>
            </w:r>
          </w:p>
          <w:p>
            <w:pPr>
              <w:spacing w:line="240" w:lineRule="exact"/>
              <w:jc w:val="left"/>
              <w:rPr>
                <w:rFonts w:ascii="宋体" w:hAnsi="宋体" w:cs="宋体"/>
                <w:kern w:val="0"/>
                <w:sz w:val="18"/>
                <w:szCs w:val="18"/>
              </w:rPr>
            </w:pPr>
            <w:r>
              <w:rPr>
                <w:rFonts w:hint="eastAsia" w:ascii="宋体" w:hAnsi="宋体" w:cs="宋体"/>
                <w:kern w:val="0"/>
                <w:sz w:val="18"/>
                <w:szCs w:val="18"/>
              </w:rPr>
              <w:t> </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①制定相应业务管理制度，1分；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②业务管理制度合法合规完整，1分。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制度执行</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遵守相关法律法规和业务管理规定，1分；②项目调整及支出调整手续完备，1分；③项目合同书、验收报告、技术鉴定等资料齐全，1分；④业务资料及时归档，1分；⑤项目实施的人员条件、场地设备、信息支撑等落实到位，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项目质量</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可控性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①已制定或其有相应的项目质量要求或标准，1分；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②项目质量检查、验收等采取了相应的必需的控制措施或手段，1分。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管理制度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①已制定或具有相应的项目资金管理办法，2分；②办法符合相关财务会计制度的规定，1分。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4"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资金使用</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①支出符合国家财经法规和财务管理以及有关专项资金管理办法的规定，5分。出现截留、挤占、挪用、虚列支出、乱存乱放、乱发滥补、虚报冒顶等违规违纪行为，每项扣1分，扣完为止； ②资金拨付有完整的审批程序和手续，1分；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③项目的重大开支经过评估认证，1分；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④符合项目预算批复或合同规定的用途，1分。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财务监控</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①已制定或具有相应的监控机制，2分；②采取了相应的财务检查等必要的监控措施或手段，2分；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绩效管理</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信息质量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①按规定及时报送绩效目标、监控、评价、应用等</w:t>
            </w:r>
            <w:r>
              <w:rPr>
                <w:rFonts w:hint="eastAsia" w:ascii="宋体" w:hAnsi="宋体" w:cs="宋体"/>
                <w:sz w:val="18"/>
                <w:szCs w:val="18"/>
                <w:lang w:bidi="ar"/>
              </w:rPr>
              <w:t>绩效资料和</w:t>
            </w:r>
            <w:r>
              <w:rPr>
                <w:rFonts w:hint="eastAsia" w:ascii="宋体" w:hAnsi="宋体" w:cs="宋体"/>
                <w:kern w:val="0"/>
                <w:sz w:val="18"/>
                <w:szCs w:val="18"/>
              </w:rPr>
              <w:t>信息，1分；</w:t>
            </w:r>
          </w:p>
          <w:p>
            <w:pPr>
              <w:widowControl/>
              <w:spacing w:line="240" w:lineRule="exact"/>
              <w:jc w:val="left"/>
              <w:rPr>
                <w:rFonts w:ascii="宋体" w:hAnsi="宋体" w:cs="宋体"/>
                <w:color w:val="333333"/>
                <w:kern w:val="0"/>
                <w:sz w:val="18"/>
                <w:szCs w:val="18"/>
              </w:rPr>
            </w:pPr>
            <w:r>
              <w:rPr>
                <w:rFonts w:hint="eastAsia" w:ascii="宋体" w:hAnsi="宋体" w:cs="宋体"/>
                <w:kern w:val="0"/>
                <w:sz w:val="18"/>
                <w:szCs w:val="18"/>
              </w:rPr>
              <w:t>②按规定及时公开绩效信息，1分。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716"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监控质量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对绩效目标实施有效监控，（采取措施）确保目标如期实现，2分。偏离目标扣1分；不能完成预期目标扣1分；目标无效，不得分。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71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自评质量</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kern w:val="0"/>
                <w:sz w:val="18"/>
                <w:szCs w:val="18"/>
              </w:rPr>
              <w:t>认真开展自评，2分。自评得分与财政复评或重点评价评定得分相差1分扣0.2分；误差≥10分，不得分。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0"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4"/>
              </w:rPr>
            </w:pPr>
            <w:r>
              <w:rPr>
                <w:rFonts w:hint="eastAsia" w:ascii="宋体" w:hAnsi="宋体" w:cs="宋体"/>
                <w:kern w:val="0"/>
                <w:sz w:val="24"/>
              </w:rPr>
              <w:t>产</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出</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及</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效</w:t>
            </w:r>
          </w:p>
          <w:p>
            <w:pPr>
              <w:widowControl/>
              <w:spacing w:line="240" w:lineRule="exact"/>
              <w:jc w:val="center"/>
              <w:rPr>
                <w:rFonts w:ascii="宋体" w:hAnsi="宋体" w:cs="宋体"/>
                <w:kern w:val="0"/>
                <w:sz w:val="24"/>
              </w:rPr>
            </w:pPr>
          </w:p>
          <w:p>
            <w:pPr>
              <w:widowControl/>
              <w:spacing w:line="240" w:lineRule="exact"/>
              <w:jc w:val="center"/>
              <w:rPr>
                <w:rFonts w:ascii="宋体" w:hAnsi="宋体" w:cs="宋体"/>
                <w:kern w:val="0"/>
                <w:sz w:val="24"/>
              </w:rPr>
            </w:pPr>
            <w:r>
              <w:rPr>
                <w:rFonts w:hint="eastAsia" w:ascii="宋体" w:hAnsi="宋体" w:cs="宋体"/>
                <w:kern w:val="0"/>
                <w:sz w:val="24"/>
              </w:rPr>
              <w:t>果</w:t>
            </w:r>
          </w:p>
        </w:tc>
        <w:tc>
          <w:tcPr>
            <w:tcW w:w="585"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项目产出</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1.按年度项目实施计划批复，所有子项目建设个数不低于批复个数，能全部完成各项批复内容的，得10分；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2.基本完成各项批复内容，所有子项目建设个数不低于批复个数，但有个别子项建设内容与批复明细计划不一致的，得8分（经批准调整的项目除外）；</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3.对照设计或计划批复内容，个别子项目建设个数低于批复个数，发现有部分子项擅自改变批复内容，得6分；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4.对照设计或计划批复内容，所有子项目建设个数低于批复个数，发现有部分子项擅自改变批复内容，得4分；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5.未按设计或计划批复要求，有大量子项擅自改变建设规模或大量子项目擅自变更建设内容，得0分。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完成及时率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1.项目开工率：X＝100%不扣分，90%≤X＜100%扣1分，X＜90%扣2分；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2.项目完工率：X＝100%不扣分，90%≤X＜100%扣1分，X＜90%扣3分；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4"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质量达标率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经检查、抽检和检测：</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1.项目全部完成，质量验收全部合格，现场踏勘，观感良好，且工程实体质量良好，得5分；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2.项目质量验收合格，现场踏勘，观感较好，实体质量较好，有少量存在缺陷、且及时整改处理的，得4分；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3.项目质量验收合格，现场踏勘，观感一般，实体质量一般，存在质量缺陷未能及时处理的，得2分；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4.验收不合格，实体质量差，得0分；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5.项目若出现重大质量、安全事故的，不论满足几项均得0分。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成本节约率</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项目完成成本控制在目标值内，5分，每超出5%扣2分。</w:t>
            </w:r>
          </w:p>
          <w:p>
            <w:pPr>
              <w:widowControl/>
              <w:spacing w:line="240" w:lineRule="exact"/>
              <w:rPr>
                <w:rFonts w:ascii="宋体" w:hAnsi="宋体" w:cs="宋体"/>
                <w:color w:val="333333"/>
                <w:kern w:val="0"/>
                <w:sz w:val="18"/>
                <w:szCs w:val="18"/>
              </w:rPr>
            </w:pPr>
            <w:r>
              <w:rPr>
                <w:rFonts w:hint="eastAsia" w:ascii="宋体" w:hAnsi="宋体" w:cs="宋体"/>
                <w:color w:val="333333"/>
                <w:kern w:val="0"/>
                <w:sz w:val="18"/>
                <w:szCs w:val="18"/>
              </w:rPr>
              <w:t>成本节约率＝(计划成本-实际成本)/计划成本×100%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项目效果</w:t>
            </w:r>
          </w:p>
        </w:tc>
        <w:tc>
          <w:tcPr>
            <w:tcW w:w="544" w:type="dxa"/>
            <w:vMerge w:val="restart"/>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vMerge w:val="restart"/>
            <w:tcBorders>
              <w:top w:val="nil"/>
              <w:left w:val="nil"/>
              <w:bottom w:val="single" w:color="auto" w:sz="4" w:space="0"/>
              <w:right w:val="single" w:color="auto" w:sz="4" w:space="0"/>
            </w:tcBorders>
            <w:vAlign w:val="center"/>
          </w:tcPr>
          <w:p>
            <w:pPr>
              <w:spacing w:line="240" w:lineRule="exact"/>
              <w:rPr>
                <w:rFonts w:ascii="宋体" w:hAnsi="宋体" w:cs="宋体"/>
                <w:color w:val="333333"/>
                <w:kern w:val="0"/>
                <w:sz w:val="18"/>
                <w:szCs w:val="18"/>
              </w:rPr>
            </w:pPr>
            <w:r>
              <w:rPr>
                <w:rFonts w:hint="eastAsia" w:ascii="宋体" w:hAnsi="宋体" w:cs="宋体"/>
                <w:color w:val="333333"/>
                <w:kern w:val="0"/>
                <w:sz w:val="18"/>
                <w:szCs w:val="18"/>
              </w:rPr>
              <w:t>根据具体指标有选择的进行设置，并将其细化为相应的个性化指标。</w:t>
            </w:r>
          </w:p>
          <w:p>
            <w:pPr>
              <w:spacing w:line="200" w:lineRule="exact"/>
              <w:rPr>
                <w:rFonts w:ascii="宋体" w:hAnsi="宋体" w:cs="宋体"/>
                <w:color w:val="333333"/>
                <w:kern w:val="0"/>
                <w:sz w:val="18"/>
                <w:szCs w:val="18"/>
              </w:rPr>
            </w:pPr>
          </w:p>
          <w:p>
            <w:pPr>
              <w:spacing w:line="200" w:lineRule="exact"/>
              <w:rPr>
                <w:rFonts w:ascii="宋体" w:hAnsi="宋体" w:cs="宋体"/>
                <w:color w:val="333333"/>
                <w:kern w:val="0"/>
                <w:sz w:val="18"/>
                <w:szCs w:val="18"/>
              </w:rPr>
            </w:pPr>
            <w:r>
              <w:rPr>
                <w:rFonts w:hint="eastAsia" w:ascii="宋体" w:hAnsi="宋体" w:cs="宋体"/>
                <w:color w:val="333333"/>
                <w:kern w:val="0"/>
                <w:sz w:val="18"/>
                <w:szCs w:val="18"/>
              </w:rPr>
              <w:t>（各项中成效明显，5分；有一定成效，3</w:t>
            </w:r>
            <w:r>
              <w:rPr>
                <w:rFonts w:hint="eastAsia" w:ascii="宋体" w:hAnsi="宋体" w:cs="宋体"/>
                <w:kern w:val="0"/>
                <w:sz w:val="18"/>
                <w:szCs w:val="18"/>
              </w:rPr>
              <w:t>～</w:t>
            </w:r>
            <w:r>
              <w:rPr>
                <w:rFonts w:hint="eastAsia" w:ascii="宋体" w:hAnsi="宋体" w:cs="宋体"/>
                <w:color w:val="333333"/>
                <w:kern w:val="0"/>
                <w:sz w:val="18"/>
                <w:szCs w:val="18"/>
              </w:rPr>
              <w:t>5分；成效不明显，1</w:t>
            </w:r>
            <w:r>
              <w:rPr>
                <w:rFonts w:hint="eastAsia" w:ascii="宋体" w:hAnsi="宋体" w:cs="宋体"/>
                <w:kern w:val="0"/>
                <w:sz w:val="18"/>
                <w:szCs w:val="18"/>
              </w:rPr>
              <w:t>～</w:t>
            </w:r>
            <w:r>
              <w:rPr>
                <w:rFonts w:hint="eastAsia" w:ascii="宋体" w:hAnsi="宋体" w:cs="宋体"/>
                <w:color w:val="333333"/>
                <w:kern w:val="0"/>
                <w:sz w:val="18"/>
                <w:szCs w:val="18"/>
              </w:rPr>
              <w:t>3分；无成效，0分）</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4178"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333333"/>
                <w:kern w:val="0"/>
                <w:sz w:val="18"/>
                <w:szCs w:val="18"/>
              </w:rPr>
            </w:pP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社会公众或服务对象满意度</w:t>
            </w:r>
          </w:p>
        </w:tc>
        <w:tc>
          <w:tcPr>
            <w:tcW w:w="5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417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对项目立项、实施、结果和影响等的满意度≥95%，计10分；每降低一个百分点扣0.2分，满意度＜75%，计0分。</w:t>
            </w:r>
          </w:p>
          <w:p>
            <w:pPr>
              <w:widowControl/>
              <w:spacing w:line="240" w:lineRule="exact"/>
              <w:rPr>
                <w:rFonts w:ascii="宋体" w:hAnsi="宋体" w:cs="宋体"/>
                <w:color w:val="333333"/>
                <w:kern w:val="0"/>
                <w:sz w:val="18"/>
                <w:szCs w:val="18"/>
              </w:rPr>
            </w:pPr>
            <w:r>
              <w:rPr>
                <w:rFonts w:hint="eastAsia" w:ascii="宋体" w:hAnsi="宋体" w:cs="宋体"/>
                <w:kern w:val="0"/>
                <w:sz w:val="18"/>
                <w:szCs w:val="18"/>
              </w:rPr>
              <w:t>社会公众或服务对象满意度=满意人数/被调查人数</w:t>
            </w:r>
            <w:r>
              <w:rPr>
                <w:rFonts w:hint="eastAsia" w:ascii="宋体" w:hAnsi="宋体" w:cs="宋体"/>
                <w:color w:val="333333"/>
                <w:kern w:val="0"/>
                <w:sz w:val="18"/>
                <w:szCs w:val="18"/>
              </w:rPr>
              <w:t>×100%</w:t>
            </w:r>
          </w:p>
        </w:tc>
        <w:tc>
          <w:tcPr>
            <w:tcW w:w="705" w:type="dxa"/>
            <w:tcBorders>
              <w:top w:val="single" w:color="auto" w:sz="4" w:space="0"/>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jc w:val="center"/>
        </w:trPr>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Cs w:val="21"/>
              </w:rPr>
            </w:pPr>
            <w:r>
              <w:rPr>
                <w:rFonts w:hint="eastAsia" w:ascii="宋体" w:hAnsi="宋体" w:cs="宋体"/>
                <w:kern w:val="0"/>
                <w:szCs w:val="21"/>
              </w:rPr>
              <w:t>总分</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69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544"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1209"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　</w:t>
            </w:r>
          </w:p>
        </w:tc>
        <w:tc>
          <w:tcPr>
            <w:tcW w:w="585"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4178"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宋体" w:hAnsi="宋体" w:cs="宋体"/>
                <w:b/>
                <w:bCs/>
                <w:kern w:val="0"/>
                <w:szCs w:val="21"/>
              </w:rPr>
            </w:pPr>
            <w:r>
              <w:rPr>
                <w:rFonts w:hint="eastAsia" w:ascii="宋体" w:hAnsi="宋体" w:cs="宋体"/>
                <w:b/>
                <w:bCs/>
                <w:kern w:val="0"/>
                <w:szCs w:val="21"/>
              </w:rPr>
              <w:t>　</w:t>
            </w:r>
          </w:p>
        </w:tc>
        <w:tc>
          <w:tcPr>
            <w:tcW w:w="705"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jc w:val="center"/>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94</w:t>
            </w:r>
          </w:p>
        </w:tc>
      </w:tr>
    </w:tbl>
    <w:p>
      <w:pPr>
        <w:jc w:val="center"/>
        <w:outlineLvl w:val="0"/>
        <w:rPr>
          <w:rFonts w:ascii="华文楷体" w:hAnsi="华文楷体" w:eastAsia="华文楷体" w:cs="华文楷体"/>
          <w:b/>
          <w:bCs/>
          <w:sz w:val="32"/>
          <w:szCs w:val="32"/>
        </w:rPr>
      </w:pPr>
      <w:bookmarkStart w:id="56" w:name="_Toc20431_WPSOffice_Level1"/>
      <w:bookmarkStart w:id="57" w:name="_Toc17413_WPSOffice_Level1"/>
      <w:bookmarkStart w:id="58" w:name="_Toc2492_WPSOffice_Level1"/>
      <w:bookmarkStart w:id="59" w:name="_Toc22553_WPSOffice_Level1"/>
      <w:bookmarkStart w:id="60" w:name="_Toc29949"/>
      <w:r>
        <w:rPr>
          <w:rFonts w:hint="eastAsia" w:ascii="华文楷体" w:hAnsi="华文楷体" w:eastAsia="华文楷体" w:cs="华文楷体"/>
          <w:b/>
          <w:bCs/>
          <w:sz w:val="32"/>
          <w:szCs w:val="32"/>
        </w:rPr>
        <w:t>附件2：怀化市鹤城区</w:t>
      </w:r>
      <w:r>
        <w:rPr>
          <w:rFonts w:hint="eastAsia" w:ascii="华文楷体" w:hAnsi="华文楷体" w:eastAsia="华文楷体" w:cs="华文楷体"/>
          <w:b/>
          <w:bCs/>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楷体" w:hAnsi="华文楷体" w:eastAsia="华文楷体" w:cs="华文楷体"/>
          <w:b/>
          <w:bCs/>
          <w:sz w:val="32"/>
          <w:szCs w:val="32"/>
        </w:rPr>
        <w:instrText xml:space="preserve">ADDIN CNKISM.UserStyle</w:instrText>
      </w:r>
      <w:r>
        <w:rPr>
          <w:rFonts w:hint="eastAsia" w:ascii="华文楷体" w:hAnsi="华文楷体" w:eastAsia="华文楷体" w:cs="华文楷体"/>
          <w:b/>
          <w:bCs/>
          <w:sz w:val="32"/>
          <w:szCs w:val="32"/>
        </w:rPr>
        <w:fldChar w:fldCharType="end"/>
      </w:r>
      <w:r>
        <w:rPr>
          <w:rFonts w:hint="eastAsia" w:ascii="华文楷体" w:hAnsi="华文楷体" w:eastAsia="华文楷体" w:cs="华文楷体"/>
          <w:b/>
          <w:bCs/>
          <w:sz w:val="32"/>
          <w:szCs w:val="32"/>
        </w:rPr>
        <w:t>20</w:t>
      </w:r>
      <w:bookmarkEnd w:id="56"/>
      <w:bookmarkEnd w:id="57"/>
      <w:bookmarkEnd w:id="58"/>
      <w:bookmarkEnd w:id="59"/>
      <w:r>
        <w:rPr>
          <w:rFonts w:hint="eastAsia" w:ascii="华文楷体" w:hAnsi="华文楷体" w:eastAsia="华文楷体" w:cs="华文楷体"/>
          <w:b/>
          <w:bCs/>
          <w:sz w:val="32"/>
          <w:szCs w:val="32"/>
        </w:rPr>
        <w:t>18年度计划生育特别扶助项目资金绩效评价调查问卷</w:t>
      </w:r>
      <w:bookmarkEnd w:id="60"/>
    </w:p>
    <w:p>
      <w:pPr>
        <w:spacing w:line="300" w:lineRule="exact"/>
        <w:rPr>
          <w:rFonts w:ascii="华文仿宋" w:hAnsi="华文仿宋" w:eastAsia="华文仿宋" w:cs="华文仿宋"/>
          <w:sz w:val="24"/>
        </w:rPr>
      </w:pPr>
      <w:r>
        <w:rPr>
          <w:rFonts w:hint="eastAsia" w:ascii="华文仿宋" w:hAnsi="华文仿宋" w:eastAsia="华文仿宋" w:cs="华文仿宋"/>
          <w:sz w:val="24"/>
        </w:rPr>
        <w:t>尊敬的先生/女士：</w:t>
      </w:r>
    </w:p>
    <w:p>
      <w:pPr>
        <w:spacing w:line="300" w:lineRule="exact"/>
        <w:ind w:firstLine="480" w:firstLineChars="200"/>
        <w:rPr>
          <w:rFonts w:ascii="华文仿宋" w:hAnsi="华文仿宋" w:eastAsia="华文仿宋" w:cs="华文仿宋"/>
          <w:sz w:val="24"/>
        </w:rPr>
      </w:pPr>
      <w:r>
        <w:rPr>
          <w:rFonts w:hint="eastAsia" w:ascii="华文仿宋" w:hAnsi="华文仿宋" w:eastAsia="华文仿宋" w:cs="华文仿宋"/>
          <w:sz w:val="24"/>
        </w:rPr>
        <w:t>您好！目前，正在对您所在的区域实施的2018年度计划生育特别扶助项目专项资金进行绩效评价，我们将就项目实施的情况向您做些了解，请您根据您的实际情况或您了解的情况回答下面的问题，该调查仅用于财政资金绩效评价，不做任何商业用途，问卷内容我们将严格保密，请您实事求是地放心回答。</w:t>
      </w:r>
    </w:p>
    <w:p>
      <w:pPr>
        <w:spacing w:line="320" w:lineRule="exact"/>
        <w:outlineLvl w:val="0"/>
        <w:rPr>
          <w:rFonts w:ascii="华文仿宋" w:hAnsi="华文仿宋" w:eastAsia="华文仿宋" w:cs="华文仿宋"/>
          <w:b/>
          <w:sz w:val="24"/>
        </w:rPr>
      </w:pPr>
      <w:bookmarkStart w:id="61" w:name="_Toc23541"/>
      <w:bookmarkStart w:id="62" w:name="_Toc12388_WPSOffice_Level1"/>
      <w:bookmarkStart w:id="63" w:name="_Toc27775_WPSOffice_Level1"/>
      <w:bookmarkStart w:id="64" w:name="_Toc14636_WPSOffice_Level1"/>
      <w:bookmarkStart w:id="65" w:name="_Toc3091_WPSOffice_Level1"/>
      <w:r>
        <w:rPr>
          <w:rFonts w:hint="eastAsia" w:ascii="华文仿宋" w:hAnsi="华文仿宋" w:eastAsia="华文仿宋" w:cs="华文仿宋"/>
          <w:b/>
          <w:sz w:val="24"/>
        </w:rPr>
        <w:t>一、基本信息</w:t>
      </w:r>
      <w:bookmarkEnd w:id="61"/>
      <w:bookmarkEnd w:id="62"/>
      <w:bookmarkEnd w:id="63"/>
      <w:bookmarkEnd w:id="64"/>
      <w:bookmarkEnd w:id="65"/>
    </w:p>
    <w:p>
      <w:pPr>
        <w:pStyle w:val="28"/>
        <w:numPr>
          <w:ilvl w:val="0"/>
          <w:numId w:val="10"/>
        </w:numPr>
        <w:spacing w:line="360" w:lineRule="exact"/>
        <w:ind w:firstLineChars="0"/>
        <w:outlineLvl w:val="1"/>
        <w:rPr>
          <w:rFonts w:ascii="华文仿宋" w:hAnsi="华文仿宋" w:eastAsia="华文仿宋" w:cs="华文仿宋"/>
          <w:sz w:val="24"/>
        </w:rPr>
      </w:pPr>
      <w:bookmarkStart w:id="66" w:name="_Toc6552"/>
      <w:bookmarkStart w:id="67" w:name="_Toc23953_WPSOffice_Level2"/>
      <w:bookmarkStart w:id="68" w:name="_Toc26214_WPSOffice_Level2"/>
      <w:bookmarkStart w:id="69" w:name="_Toc31066_WPSOffice_Level2"/>
      <w:bookmarkStart w:id="70" w:name="_Toc21307_WPSOffice_Level2"/>
      <w:r>
        <w:rPr>
          <w:rFonts w:hint="eastAsia" w:ascii="华文仿宋" w:hAnsi="华文仿宋" w:eastAsia="华文仿宋" w:cs="华文仿宋"/>
          <w:sz w:val="24"/>
        </w:rPr>
        <w:t>您的年龄是？</w:t>
      </w:r>
      <w:bookmarkEnd w:id="66"/>
      <w:bookmarkEnd w:id="67"/>
      <w:bookmarkEnd w:id="68"/>
      <w:bookmarkEnd w:id="69"/>
      <w:bookmarkEnd w:id="70"/>
    </w:p>
    <w:p>
      <w:pPr>
        <w:spacing w:line="320" w:lineRule="exact"/>
        <w:rPr>
          <w:rFonts w:ascii="华文仿宋" w:hAnsi="华文仿宋" w:eastAsia="华文仿宋" w:cs="华文仿宋"/>
          <w:sz w:val="24"/>
        </w:rPr>
      </w:pPr>
      <w:bookmarkStart w:id="71" w:name="_Toc4178_WPSOffice_Level3"/>
      <w:bookmarkStart w:id="72" w:name="_Toc26117_WPSOffice_Level3"/>
      <w:bookmarkStart w:id="73" w:name="_Toc28005_WPSOffice_Level3"/>
      <w:bookmarkStart w:id="74" w:name="_Toc23348_WPSOffice_Level3"/>
      <w:r>
        <w:rPr>
          <w:rFonts w:hint="eastAsia" w:ascii="华文仿宋" w:hAnsi="华文仿宋" w:eastAsia="华文仿宋" w:cs="华文仿宋"/>
          <w:sz w:val="24"/>
        </w:rPr>
        <w:t>A、□18岁以下    B、□18-36岁   C、□37-60岁</w:t>
      </w:r>
      <w:r>
        <w:rPr>
          <w:rFonts w:hint="eastAsia" w:ascii="华文仿宋" w:hAnsi="华文仿宋" w:eastAsia="华文仿宋" w:cs="华文仿宋"/>
          <w:color w:val="C00000"/>
          <w:sz w:val="24"/>
        </w:rPr>
        <w:t>32%</w:t>
      </w:r>
      <w:r>
        <w:rPr>
          <w:rFonts w:hint="eastAsia" w:ascii="华文仿宋" w:hAnsi="华文仿宋" w:eastAsia="华文仿宋" w:cs="华文仿宋"/>
          <w:sz w:val="24"/>
        </w:rPr>
        <w:t xml:space="preserve">    D、□60岁以上</w:t>
      </w:r>
      <w:r>
        <w:rPr>
          <w:rFonts w:hint="eastAsia" w:ascii="华文仿宋" w:hAnsi="华文仿宋" w:eastAsia="华文仿宋" w:cs="华文仿宋"/>
          <w:color w:val="C00000"/>
          <w:sz w:val="24"/>
        </w:rPr>
        <w:t>68%</w:t>
      </w:r>
      <w:bookmarkEnd w:id="71"/>
      <w:bookmarkEnd w:id="72"/>
      <w:bookmarkEnd w:id="73"/>
      <w:bookmarkEnd w:id="74"/>
    </w:p>
    <w:p>
      <w:pPr>
        <w:pStyle w:val="28"/>
        <w:numPr>
          <w:ilvl w:val="0"/>
          <w:numId w:val="10"/>
        </w:numPr>
        <w:spacing w:line="360" w:lineRule="exact"/>
        <w:ind w:firstLineChars="0"/>
        <w:outlineLvl w:val="1"/>
        <w:rPr>
          <w:rFonts w:ascii="华文仿宋" w:hAnsi="华文仿宋" w:eastAsia="华文仿宋" w:cs="华文仿宋"/>
          <w:sz w:val="24"/>
        </w:rPr>
      </w:pPr>
      <w:bookmarkStart w:id="75" w:name="_Toc19998_WPSOffice_Level2"/>
      <w:bookmarkStart w:id="76" w:name="_Toc14708_WPSOffice_Level2"/>
      <w:bookmarkStart w:id="77" w:name="_Toc3588_WPSOffice_Level2"/>
      <w:bookmarkStart w:id="78" w:name="_Toc2125_WPSOffice_Level2"/>
      <w:bookmarkStart w:id="79" w:name="_Toc13946"/>
      <w:r>
        <w:rPr>
          <w:rFonts w:hint="eastAsia" w:ascii="华文仿宋" w:hAnsi="华文仿宋" w:eastAsia="华文仿宋" w:cs="华文仿宋"/>
          <w:sz w:val="24"/>
        </w:rPr>
        <w:t>您的性别是？</w:t>
      </w:r>
      <w:bookmarkEnd w:id="75"/>
      <w:bookmarkEnd w:id="76"/>
      <w:bookmarkEnd w:id="77"/>
      <w:bookmarkEnd w:id="78"/>
      <w:bookmarkEnd w:id="79"/>
    </w:p>
    <w:p>
      <w:pPr>
        <w:spacing w:line="320" w:lineRule="exact"/>
        <w:rPr>
          <w:rFonts w:ascii="华文仿宋" w:hAnsi="华文仿宋" w:eastAsia="华文仿宋" w:cs="华文仿宋"/>
          <w:sz w:val="24"/>
        </w:rPr>
      </w:pPr>
      <w:bookmarkStart w:id="80" w:name="_Toc4148_WPSOffice_Level3"/>
      <w:bookmarkStart w:id="81" w:name="_Toc8099_WPSOffice_Level3"/>
      <w:bookmarkStart w:id="82" w:name="_Toc24343_WPSOffice_Level3"/>
      <w:bookmarkStart w:id="83" w:name="_Toc4754_WPSOffice_Level3"/>
      <w:r>
        <w:rPr>
          <w:rFonts w:hint="eastAsia" w:ascii="华文仿宋" w:hAnsi="华文仿宋" w:eastAsia="华文仿宋" w:cs="华文仿宋"/>
          <w:sz w:val="24"/>
        </w:rPr>
        <w:t>A、□男</w:t>
      </w:r>
      <w:r>
        <w:rPr>
          <w:rFonts w:hint="eastAsia" w:ascii="华文仿宋" w:hAnsi="华文仿宋" w:eastAsia="华文仿宋" w:cs="华文仿宋"/>
          <w:color w:val="C00000"/>
          <w:sz w:val="24"/>
        </w:rPr>
        <w:t>48%</w:t>
      </w:r>
      <w:r>
        <w:rPr>
          <w:rFonts w:hint="eastAsia" w:ascii="华文仿宋" w:hAnsi="华文仿宋" w:eastAsia="华文仿宋" w:cs="华文仿宋"/>
          <w:sz w:val="24"/>
        </w:rPr>
        <w:tab/>
      </w:r>
      <w:r>
        <w:rPr>
          <w:rFonts w:hint="eastAsia" w:ascii="华文仿宋" w:hAnsi="华文仿宋" w:eastAsia="华文仿宋" w:cs="华文仿宋"/>
          <w:sz w:val="24"/>
        </w:rPr>
        <w:tab/>
      </w:r>
      <w:r>
        <w:rPr>
          <w:rFonts w:hint="eastAsia" w:ascii="华文仿宋" w:hAnsi="华文仿宋" w:eastAsia="华文仿宋" w:cs="华文仿宋"/>
          <w:sz w:val="24"/>
        </w:rPr>
        <w:tab/>
      </w:r>
      <w:r>
        <w:rPr>
          <w:rFonts w:hint="eastAsia" w:ascii="华文仿宋" w:hAnsi="华文仿宋" w:eastAsia="华文仿宋" w:cs="华文仿宋"/>
          <w:sz w:val="24"/>
        </w:rPr>
        <w:t xml:space="preserve">  B、□女</w:t>
      </w:r>
      <w:r>
        <w:rPr>
          <w:rFonts w:hint="eastAsia" w:ascii="华文仿宋" w:hAnsi="华文仿宋" w:eastAsia="华文仿宋" w:cs="华文仿宋"/>
          <w:color w:val="C00000"/>
          <w:sz w:val="24"/>
        </w:rPr>
        <w:t>40%</w:t>
      </w:r>
      <w:bookmarkEnd w:id="80"/>
      <w:bookmarkEnd w:id="81"/>
      <w:bookmarkEnd w:id="82"/>
      <w:bookmarkEnd w:id="83"/>
    </w:p>
    <w:p>
      <w:pPr>
        <w:pStyle w:val="28"/>
        <w:numPr>
          <w:ilvl w:val="0"/>
          <w:numId w:val="10"/>
        </w:numPr>
        <w:spacing w:line="360" w:lineRule="exact"/>
        <w:ind w:firstLineChars="0"/>
        <w:outlineLvl w:val="1"/>
        <w:rPr>
          <w:rFonts w:ascii="华文仿宋" w:hAnsi="华文仿宋" w:eastAsia="华文仿宋" w:cs="华文仿宋"/>
          <w:sz w:val="24"/>
        </w:rPr>
      </w:pPr>
      <w:bookmarkStart w:id="84" w:name="_Toc1038_WPSOffice_Level2"/>
      <w:bookmarkStart w:id="85" w:name="_Toc1296_WPSOffice_Level2"/>
      <w:bookmarkStart w:id="86" w:name="_Toc15941_WPSOffice_Level2"/>
      <w:bookmarkStart w:id="87" w:name="_Toc21528_WPSOffice_Level2"/>
      <w:bookmarkStart w:id="88" w:name="_Toc5669"/>
      <w:r>
        <w:rPr>
          <w:rFonts w:hint="eastAsia" w:ascii="华文仿宋" w:hAnsi="华文仿宋" w:eastAsia="华文仿宋" w:cs="华文仿宋"/>
          <w:sz w:val="24"/>
        </w:rPr>
        <w:t>您属于哪一类扶助对象？</w:t>
      </w:r>
      <w:bookmarkEnd w:id="84"/>
      <w:bookmarkEnd w:id="85"/>
      <w:bookmarkEnd w:id="86"/>
      <w:bookmarkEnd w:id="87"/>
      <w:bookmarkEnd w:id="88"/>
    </w:p>
    <w:p>
      <w:pPr>
        <w:spacing w:line="320" w:lineRule="exact"/>
        <w:rPr>
          <w:rFonts w:ascii="华文仿宋" w:hAnsi="华文仿宋" w:eastAsia="华文仿宋" w:cs="华文仿宋"/>
          <w:sz w:val="24"/>
        </w:rPr>
      </w:pPr>
      <w:bookmarkStart w:id="89" w:name="_Toc16779_WPSOffice_Level3"/>
      <w:bookmarkStart w:id="90" w:name="_Toc1433_WPSOffice_Level3"/>
      <w:bookmarkStart w:id="91" w:name="_Toc9092_WPSOffice_Level3"/>
      <w:bookmarkStart w:id="92" w:name="_Toc27933_WPSOffice_Level3"/>
      <w:r>
        <w:rPr>
          <w:rFonts w:hint="eastAsia" w:ascii="华文仿宋" w:hAnsi="华文仿宋" w:eastAsia="华文仿宋" w:cs="华文仿宋"/>
          <w:sz w:val="24"/>
        </w:rPr>
        <w:t>A、□独生子女伤残对象</w:t>
      </w:r>
      <w:r>
        <w:rPr>
          <w:rFonts w:hint="eastAsia" w:ascii="华文仿宋" w:hAnsi="华文仿宋" w:eastAsia="华文仿宋" w:cs="华文仿宋"/>
          <w:color w:val="C00000"/>
          <w:sz w:val="24"/>
        </w:rPr>
        <w:t xml:space="preserve"> 52% </w:t>
      </w:r>
      <w:r>
        <w:rPr>
          <w:rFonts w:hint="eastAsia" w:ascii="华文仿宋" w:hAnsi="华文仿宋" w:eastAsia="华文仿宋" w:cs="华文仿宋"/>
          <w:sz w:val="24"/>
        </w:rPr>
        <w:t xml:space="preserve">       B、□独生子女死亡对象</w:t>
      </w:r>
      <w:r>
        <w:rPr>
          <w:rFonts w:hint="eastAsia" w:ascii="华文仿宋" w:hAnsi="华文仿宋" w:eastAsia="华文仿宋" w:cs="华文仿宋"/>
          <w:color w:val="C00000"/>
          <w:sz w:val="24"/>
        </w:rPr>
        <w:t>48%</w:t>
      </w:r>
      <w:bookmarkEnd w:id="89"/>
      <w:bookmarkEnd w:id="90"/>
      <w:bookmarkEnd w:id="91"/>
      <w:bookmarkEnd w:id="92"/>
      <w:r>
        <w:rPr>
          <w:rFonts w:hint="eastAsia" w:ascii="华文仿宋" w:hAnsi="华文仿宋" w:eastAsia="华文仿宋" w:cs="华文仿宋"/>
          <w:sz w:val="24"/>
        </w:rPr>
        <w:t xml:space="preserve">        </w:t>
      </w:r>
    </w:p>
    <w:p>
      <w:pPr>
        <w:spacing w:line="320" w:lineRule="exact"/>
        <w:outlineLvl w:val="0"/>
        <w:rPr>
          <w:rFonts w:ascii="华文仿宋" w:hAnsi="华文仿宋" w:eastAsia="华文仿宋" w:cs="华文仿宋"/>
          <w:b/>
          <w:sz w:val="24"/>
        </w:rPr>
      </w:pPr>
      <w:bookmarkStart w:id="93" w:name="_Toc11835_WPSOffice_Level1"/>
      <w:bookmarkStart w:id="94" w:name="_Toc23573_WPSOffice_Level1"/>
      <w:bookmarkStart w:id="95" w:name="_Toc5760_WPSOffice_Level1"/>
      <w:bookmarkStart w:id="96" w:name="_Toc5012_WPSOffice_Level1"/>
      <w:bookmarkStart w:id="97" w:name="_Toc27935"/>
      <w:r>
        <w:rPr>
          <w:rFonts w:hint="eastAsia" w:ascii="华文仿宋" w:hAnsi="华文仿宋" w:eastAsia="华文仿宋" w:cs="华文仿宋"/>
          <w:b/>
          <w:sz w:val="24"/>
        </w:rPr>
        <w:t>二、项目情况</w:t>
      </w:r>
      <w:bookmarkEnd w:id="93"/>
      <w:bookmarkEnd w:id="94"/>
      <w:bookmarkEnd w:id="95"/>
      <w:bookmarkEnd w:id="96"/>
      <w:bookmarkEnd w:id="97"/>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您认为特别扶助资金的发放依据是否合理？</w:t>
      </w:r>
    </w:p>
    <w:p>
      <w:pPr>
        <w:spacing w:line="320" w:lineRule="exact"/>
        <w:rPr>
          <w:rFonts w:ascii="华文仿宋" w:hAnsi="华文仿宋" w:eastAsia="华文仿宋" w:cs="华文仿宋"/>
          <w:sz w:val="24"/>
        </w:rPr>
      </w:pPr>
      <w:bookmarkStart w:id="98" w:name="_Toc6893_WPSOffice_Level2"/>
      <w:bookmarkStart w:id="99" w:name="_Toc24559_WPSOffice_Level2"/>
      <w:bookmarkStart w:id="100" w:name="_Toc14390_WPSOffice_Level2"/>
      <w:bookmarkStart w:id="101" w:name="_Toc2313_WPSOffice_Level2"/>
      <w:r>
        <w:rPr>
          <w:rFonts w:hint="eastAsia" w:ascii="华文仿宋" w:hAnsi="华文仿宋" w:eastAsia="华文仿宋" w:cs="华文仿宋"/>
          <w:sz w:val="24"/>
        </w:rPr>
        <w:t>A、□合理</w:t>
      </w:r>
      <w:r>
        <w:rPr>
          <w:rFonts w:hint="eastAsia" w:ascii="华文仿宋" w:hAnsi="华文仿宋" w:eastAsia="华文仿宋" w:cs="华文仿宋"/>
          <w:color w:val="C00000"/>
          <w:sz w:val="24"/>
        </w:rPr>
        <w:t>92%</w:t>
      </w:r>
      <w:r>
        <w:rPr>
          <w:rFonts w:hint="eastAsia" w:ascii="华文仿宋" w:hAnsi="华文仿宋" w:eastAsia="华文仿宋" w:cs="华文仿宋"/>
          <w:sz w:val="24"/>
        </w:rPr>
        <w:t xml:space="preserve">           B、□一般</w:t>
      </w:r>
      <w:r>
        <w:rPr>
          <w:rFonts w:hint="eastAsia" w:ascii="华文仿宋" w:hAnsi="华文仿宋" w:eastAsia="华文仿宋" w:cs="华文仿宋"/>
          <w:color w:val="C00000"/>
          <w:sz w:val="24"/>
        </w:rPr>
        <w:t>8%</w:t>
      </w:r>
      <w:r>
        <w:rPr>
          <w:rFonts w:hint="eastAsia" w:ascii="华文仿宋" w:hAnsi="华文仿宋" w:eastAsia="华文仿宋" w:cs="华文仿宋"/>
          <w:sz w:val="24"/>
        </w:rPr>
        <w:t xml:space="preserve">                C、□不合理</w:t>
      </w:r>
      <w:bookmarkEnd w:id="98"/>
      <w:bookmarkEnd w:id="99"/>
      <w:bookmarkEnd w:id="100"/>
      <w:bookmarkEnd w:id="101"/>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您对特别扶助金的发放形式是否满意？</w:t>
      </w:r>
    </w:p>
    <w:p>
      <w:pPr>
        <w:spacing w:line="320" w:lineRule="exact"/>
        <w:rPr>
          <w:rFonts w:ascii="华文仿宋" w:hAnsi="华文仿宋" w:eastAsia="华文仿宋" w:cs="华文仿宋"/>
          <w:sz w:val="24"/>
        </w:rPr>
      </w:pPr>
      <w:bookmarkStart w:id="102" w:name="_Toc21925_WPSOffice_Level3"/>
      <w:bookmarkStart w:id="103" w:name="_Toc10851_WPSOffice_Level3"/>
      <w:bookmarkStart w:id="104" w:name="_Toc23352_WPSOffice_Level3"/>
      <w:bookmarkStart w:id="105" w:name="_Toc15444_WPSOffice_Level3"/>
      <w:r>
        <w:rPr>
          <w:rFonts w:hint="eastAsia" w:ascii="华文仿宋" w:hAnsi="华文仿宋" w:eastAsia="华文仿宋" w:cs="华文仿宋"/>
          <w:sz w:val="24"/>
        </w:rPr>
        <w:t>A、□满意</w:t>
      </w:r>
      <w:r>
        <w:rPr>
          <w:rFonts w:hint="eastAsia" w:ascii="华文仿宋" w:hAnsi="华文仿宋" w:eastAsia="华文仿宋" w:cs="华文仿宋"/>
          <w:color w:val="C00000"/>
          <w:sz w:val="24"/>
        </w:rPr>
        <w:t>92%</w:t>
      </w:r>
      <w:r>
        <w:rPr>
          <w:rFonts w:hint="eastAsia" w:ascii="华文仿宋" w:hAnsi="华文仿宋" w:eastAsia="华文仿宋" w:cs="华文仿宋"/>
          <w:sz w:val="24"/>
        </w:rPr>
        <w:t xml:space="preserve">           B、□有待改进</w:t>
      </w:r>
      <w:r>
        <w:rPr>
          <w:rFonts w:hint="eastAsia" w:ascii="华文仿宋" w:hAnsi="华文仿宋" w:eastAsia="华文仿宋" w:cs="华文仿宋"/>
          <w:color w:val="C00000"/>
          <w:sz w:val="24"/>
        </w:rPr>
        <w:t>8%</w:t>
      </w:r>
      <w:r>
        <w:rPr>
          <w:rFonts w:hint="eastAsia" w:ascii="华文仿宋" w:hAnsi="华文仿宋" w:eastAsia="华文仿宋" w:cs="华文仿宋"/>
          <w:sz w:val="24"/>
        </w:rPr>
        <w:t xml:space="preserve">            C、□不满意</w:t>
      </w:r>
      <w:bookmarkEnd w:id="102"/>
      <w:bookmarkEnd w:id="103"/>
      <w:bookmarkEnd w:id="104"/>
      <w:bookmarkEnd w:id="105"/>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您对特别扶助规定的金额标准是否满意？</w:t>
      </w:r>
    </w:p>
    <w:p>
      <w:pPr>
        <w:spacing w:line="320" w:lineRule="exact"/>
        <w:rPr>
          <w:rFonts w:ascii="华文仿宋" w:hAnsi="华文仿宋" w:eastAsia="华文仿宋" w:cs="华文仿宋"/>
          <w:sz w:val="24"/>
        </w:rPr>
      </w:pPr>
      <w:bookmarkStart w:id="106" w:name="_Toc7477_WPSOffice_Level3"/>
      <w:bookmarkStart w:id="107" w:name="_Toc2492_WPSOffice_Level3"/>
      <w:bookmarkStart w:id="108" w:name="_Toc20431_WPSOffice_Level3"/>
      <w:bookmarkStart w:id="109" w:name="_Toc17413_WPSOffice_Level3"/>
      <w:r>
        <w:rPr>
          <w:rFonts w:hint="eastAsia" w:ascii="华文仿宋" w:hAnsi="华文仿宋" w:eastAsia="华文仿宋" w:cs="华文仿宋"/>
          <w:sz w:val="24"/>
        </w:rPr>
        <w:t>A、□满意</w:t>
      </w:r>
      <w:r>
        <w:rPr>
          <w:rFonts w:hint="eastAsia" w:ascii="华文仿宋" w:hAnsi="华文仿宋" w:eastAsia="华文仿宋" w:cs="华文仿宋"/>
          <w:color w:val="C00000"/>
          <w:sz w:val="24"/>
        </w:rPr>
        <w:t>60%</w:t>
      </w:r>
      <w:r>
        <w:rPr>
          <w:rFonts w:hint="eastAsia" w:ascii="华文仿宋" w:hAnsi="华文仿宋" w:eastAsia="华文仿宋" w:cs="华文仿宋"/>
          <w:sz w:val="24"/>
        </w:rPr>
        <w:t xml:space="preserve">           B、□一般</w:t>
      </w:r>
      <w:r>
        <w:rPr>
          <w:rFonts w:hint="eastAsia" w:ascii="华文仿宋" w:hAnsi="华文仿宋" w:eastAsia="华文仿宋" w:cs="华文仿宋"/>
          <w:color w:val="C00000"/>
          <w:sz w:val="24"/>
        </w:rPr>
        <w:t>32%</w:t>
      </w:r>
      <w:r>
        <w:rPr>
          <w:rFonts w:hint="eastAsia" w:ascii="华文仿宋" w:hAnsi="华文仿宋" w:eastAsia="华文仿宋" w:cs="华文仿宋"/>
          <w:sz w:val="24"/>
        </w:rPr>
        <w:t xml:space="preserve">               C、□不满意</w:t>
      </w:r>
      <w:r>
        <w:rPr>
          <w:rFonts w:hint="eastAsia" w:ascii="华文仿宋" w:hAnsi="华文仿宋" w:eastAsia="华文仿宋" w:cs="华文仿宋"/>
          <w:color w:val="C00000"/>
          <w:sz w:val="24"/>
        </w:rPr>
        <w:t>4%</w:t>
      </w:r>
      <w:bookmarkEnd w:id="106"/>
      <w:bookmarkEnd w:id="107"/>
      <w:bookmarkEnd w:id="108"/>
      <w:bookmarkEnd w:id="109"/>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特别扶助资金每年度是否有按时发放？</w:t>
      </w:r>
    </w:p>
    <w:p>
      <w:pPr>
        <w:numPr>
          <w:ilvl w:val="0"/>
          <w:numId w:val="12"/>
        </w:numPr>
        <w:spacing w:line="320" w:lineRule="exact"/>
        <w:rPr>
          <w:rFonts w:ascii="华文仿宋" w:hAnsi="华文仿宋" w:eastAsia="华文仿宋" w:cs="华文仿宋"/>
          <w:sz w:val="24"/>
        </w:rPr>
      </w:pPr>
      <w:bookmarkStart w:id="110" w:name="_Toc3091_WPSOffice_Level3"/>
      <w:bookmarkStart w:id="111" w:name="_Toc14636_WPSOffice_Level3"/>
      <w:bookmarkStart w:id="112" w:name="_Toc22553_WPSOffice_Level3"/>
      <w:bookmarkStart w:id="113" w:name="_Toc27775_WPSOffice_Level3"/>
      <w:r>
        <w:rPr>
          <w:rFonts w:hint="eastAsia" w:ascii="华文仿宋" w:hAnsi="华文仿宋" w:eastAsia="华文仿宋" w:cs="华文仿宋"/>
          <w:sz w:val="24"/>
        </w:rPr>
        <w:t>□有按时发放</w:t>
      </w:r>
      <w:r>
        <w:rPr>
          <w:rFonts w:hint="eastAsia" w:ascii="华文仿宋" w:hAnsi="华文仿宋" w:eastAsia="华文仿宋" w:cs="华文仿宋"/>
          <w:color w:val="C00000"/>
          <w:sz w:val="24"/>
        </w:rPr>
        <w:t>92%</w:t>
      </w:r>
      <w:r>
        <w:rPr>
          <w:rFonts w:hint="eastAsia" w:ascii="华文仿宋" w:hAnsi="华文仿宋" w:eastAsia="华文仿宋" w:cs="华文仿宋"/>
          <w:sz w:val="24"/>
        </w:rPr>
        <w:t xml:space="preserve">     B、□不一定按时发放</w:t>
      </w:r>
      <w:r>
        <w:rPr>
          <w:rFonts w:hint="eastAsia" w:ascii="华文仿宋" w:hAnsi="华文仿宋" w:eastAsia="华文仿宋" w:cs="华文仿宋"/>
          <w:color w:val="C00000"/>
          <w:sz w:val="24"/>
        </w:rPr>
        <w:t>8%</w:t>
      </w:r>
      <w:r>
        <w:rPr>
          <w:rFonts w:hint="eastAsia" w:ascii="华文仿宋" w:hAnsi="华文仿宋" w:eastAsia="华文仿宋" w:cs="华文仿宋"/>
          <w:sz w:val="24"/>
        </w:rPr>
        <w:t xml:space="preserve">      C、□从未按时发放</w:t>
      </w:r>
      <w:bookmarkEnd w:id="110"/>
      <w:bookmarkEnd w:id="111"/>
      <w:bookmarkEnd w:id="112"/>
      <w:bookmarkEnd w:id="113"/>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对发放对象是否有异议？</w:t>
      </w:r>
    </w:p>
    <w:p>
      <w:pPr>
        <w:spacing w:line="320" w:lineRule="exact"/>
        <w:rPr>
          <w:rFonts w:ascii="华文仿宋" w:hAnsi="华文仿宋" w:eastAsia="华文仿宋" w:cs="华文仿宋"/>
          <w:sz w:val="24"/>
        </w:rPr>
      </w:pPr>
      <w:bookmarkStart w:id="114" w:name="_Toc11835_WPSOffice_Level3"/>
      <w:bookmarkStart w:id="115" w:name="_Toc5760_WPSOffice_Level3"/>
      <w:bookmarkStart w:id="116" w:name="_Toc12388_WPSOffice_Level3"/>
      <w:bookmarkStart w:id="117" w:name="_Toc23573_WPSOffice_Level3"/>
      <w:r>
        <w:rPr>
          <w:rFonts w:hint="eastAsia" w:ascii="华文仿宋" w:hAnsi="华文仿宋" w:eastAsia="华文仿宋" w:cs="华文仿宋"/>
          <w:sz w:val="24"/>
        </w:rPr>
        <w:t>A、□有              B、□没有</w:t>
      </w:r>
      <w:r>
        <w:rPr>
          <w:rFonts w:hint="eastAsia" w:ascii="华文仿宋" w:hAnsi="华文仿宋" w:eastAsia="华文仿宋" w:cs="华文仿宋"/>
          <w:color w:val="C00000"/>
          <w:sz w:val="24"/>
        </w:rPr>
        <w:t>96%</w:t>
      </w:r>
      <w:r>
        <w:rPr>
          <w:rFonts w:hint="eastAsia" w:ascii="华文仿宋" w:hAnsi="华文仿宋" w:eastAsia="华文仿宋" w:cs="华文仿宋"/>
          <w:sz w:val="24"/>
        </w:rPr>
        <w:t xml:space="preserve">                C、□不清楚</w:t>
      </w:r>
      <w:r>
        <w:rPr>
          <w:rFonts w:hint="eastAsia" w:ascii="华文仿宋" w:hAnsi="华文仿宋" w:eastAsia="华文仿宋" w:cs="华文仿宋"/>
          <w:color w:val="C00000"/>
          <w:sz w:val="24"/>
        </w:rPr>
        <w:t>4%</w:t>
      </w:r>
      <w:bookmarkEnd w:id="114"/>
      <w:bookmarkEnd w:id="115"/>
      <w:bookmarkEnd w:id="116"/>
      <w:bookmarkEnd w:id="117"/>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每次实际发放特别扶助金额与应发放金额是否一致？</w:t>
      </w:r>
    </w:p>
    <w:p>
      <w:pPr>
        <w:spacing w:line="320" w:lineRule="exact"/>
        <w:rPr>
          <w:rFonts w:ascii="华文仿宋" w:hAnsi="华文仿宋" w:eastAsia="华文仿宋" w:cs="华文仿宋"/>
          <w:sz w:val="24"/>
        </w:rPr>
      </w:pPr>
      <w:bookmarkStart w:id="118" w:name="_Toc5012_WPSOffice_Level3"/>
      <w:bookmarkStart w:id="119" w:name="_Toc25492_WPSOffice_Level3"/>
      <w:bookmarkStart w:id="120" w:name="_Toc5053_WPSOffice_Level3"/>
      <w:bookmarkStart w:id="121" w:name="_Toc14088_WPSOffice_Level3"/>
      <w:r>
        <w:rPr>
          <w:rFonts w:hint="eastAsia" w:ascii="华文仿宋" w:hAnsi="华文仿宋" w:eastAsia="华文仿宋" w:cs="华文仿宋"/>
          <w:sz w:val="24"/>
        </w:rPr>
        <w:t>A、□一致</w:t>
      </w:r>
      <w:r>
        <w:rPr>
          <w:rFonts w:hint="eastAsia" w:ascii="华文仿宋" w:hAnsi="华文仿宋" w:eastAsia="华文仿宋" w:cs="华文仿宋"/>
          <w:color w:val="C00000"/>
          <w:sz w:val="24"/>
        </w:rPr>
        <w:t>88%</w:t>
      </w:r>
      <w:r>
        <w:rPr>
          <w:rFonts w:hint="eastAsia" w:ascii="华文仿宋" w:hAnsi="华文仿宋" w:eastAsia="华文仿宋" w:cs="华文仿宋"/>
          <w:sz w:val="24"/>
        </w:rPr>
        <w:t xml:space="preserve">           B、□存在少量差异</w:t>
      </w:r>
      <w:r>
        <w:rPr>
          <w:rFonts w:hint="eastAsia" w:ascii="华文仿宋" w:hAnsi="华文仿宋" w:eastAsia="华文仿宋" w:cs="华文仿宋"/>
          <w:color w:val="C00000"/>
          <w:sz w:val="24"/>
        </w:rPr>
        <w:t>4%</w:t>
      </w:r>
      <w:r>
        <w:rPr>
          <w:rFonts w:hint="eastAsia" w:ascii="华文仿宋" w:hAnsi="华文仿宋" w:eastAsia="华文仿宋" w:cs="华文仿宋"/>
          <w:sz w:val="24"/>
        </w:rPr>
        <w:t xml:space="preserve">       C、□存在少量差异</w:t>
      </w:r>
      <w:r>
        <w:rPr>
          <w:rFonts w:hint="eastAsia" w:ascii="华文仿宋" w:hAnsi="华文仿宋" w:eastAsia="华文仿宋" w:cs="华文仿宋"/>
          <w:color w:val="C00000"/>
          <w:sz w:val="24"/>
        </w:rPr>
        <w:t>8%</w:t>
      </w:r>
      <w:bookmarkEnd w:id="118"/>
      <w:bookmarkEnd w:id="119"/>
      <w:bookmarkEnd w:id="120"/>
      <w:bookmarkEnd w:id="121"/>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您对获得特别扶助资金资格准入条件是否满意？</w:t>
      </w:r>
    </w:p>
    <w:p>
      <w:pPr>
        <w:spacing w:line="320" w:lineRule="exact"/>
        <w:rPr>
          <w:rFonts w:ascii="华文仿宋" w:hAnsi="华文仿宋" w:eastAsia="华文仿宋" w:cs="华文仿宋"/>
          <w:sz w:val="24"/>
        </w:rPr>
      </w:pPr>
      <w:bookmarkStart w:id="122" w:name="_Toc5437_WPSOffice_Level3"/>
      <w:bookmarkStart w:id="123" w:name="_Toc20735_WPSOffice_Level3"/>
      <w:bookmarkStart w:id="124" w:name="_Toc30995_WPSOffice_Level3"/>
      <w:bookmarkStart w:id="125" w:name="_Toc3703_WPSOffice_Level3"/>
      <w:r>
        <w:rPr>
          <w:rFonts w:hint="eastAsia" w:ascii="华文仿宋" w:hAnsi="华文仿宋" w:eastAsia="华文仿宋" w:cs="华文仿宋"/>
          <w:sz w:val="24"/>
        </w:rPr>
        <w:t>A、□满意</w:t>
      </w:r>
      <w:r>
        <w:rPr>
          <w:rFonts w:hint="eastAsia" w:ascii="华文仿宋" w:hAnsi="华文仿宋" w:eastAsia="华文仿宋" w:cs="华文仿宋"/>
          <w:color w:val="C00000"/>
          <w:sz w:val="24"/>
        </w:rPr>
        <w:t>88%</w:t>
      </w:r>
      <w:r>
        <w:rPr>
          <w:rFonts w:hint="eastAsia" w:ascii="华文仿宋" w:hAnsi="华文仿宋" w:eastAsia="华文仿宋" w:cs="华文仿宋"/>
          <w:sz w:val="24"/>
        </w:rPr>
        <w:t xml:space="preserve">            B、□一般</w:t>
      </w:r>
      <w:r>
        <w:rPr>
          <w:rFonts w:hint="eastAsia" w:ascii="华文仿宋" w:hAnsi="华文仿宋" w:eastAsia="华文仿宋" w:cs="华文仿宋"/>
          <w:color w:val="C00000"/>
          <w:sz w:val="24"/>
        </w:rPr>
        <w:t>8%</w:t>
      </w:r>
      <w:r>
        <w:rPr>
          <w:rFonts w:hint="eastAsia" w:ascii="华文仿宋" w:hAnsi="华文仿宋" w:eastAsia="华文仿宋" w:cs="华文仿宋"/>
          <w:sz w:val="24"/>
        </w:rPr>
        <w:t xml:space="preserve">                C、□不满意</w:t>
      </w:r>
      <w:r>
        <w:rPr>
          <w:rFonts w:hint="eastAsia" w:ascii="华文仿宋" w:hAnsi="华文仿宋" w:eastAsia="华文仿宋" w:cs="华文仿宋"/>
          <w:color w:val="C00000"/>
          <w:sz w:val="24"/>
        </w:rPr>
        <w:t>4%</w:t>
      </w:r>
      <w:bookmarkEnd w:id="122"/>
      <w:bookmarkEnd w:id="123"/>
      <w:bookmarkEnd w:id="124"/>
      <w:bookmarkEnd w:id="125"/>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您认为该项目资金发放的资格审核流程是否便利？</w:t>
      </w:r>
    </w:p>
    <w:p>
      <w:pPr>
        <w:spacing w:line="320" w:lineRule="exact"/>
        <w:rPr>
          <w:rFonts w:ascii="华文仿宋" w:hAnsi="华文仿宋" w:eastAsia="华文仿宋" w:cs="华文仿宋"/>
          <w:sz w:val="24"/>
        </w:rPr>
      </w:pPr>
      <w:bookmarkStart w:id="126" w:name="_Toc8311_WPSOffice_Level3"/>
      <w:bookmarkStart w:id="127" w:name="_Toc1795_WPSOffice_Level3"/>
      <w:bookmarkStart w:id="128" w:name="_Toc8759_WPSOffice_Level3"/>
      <w:bookmarkStart w:id="129" w:name="_Toc12021_WPSOffice_Level3"/>
      <w:r>
        <w:rPr>
          <w:rFonts w:hint="eastAsia" w:ascii="华文仿宋" w:hAnsi="华文仿宋" w:eastAsia="华文仿宋" w:cs="华文仿宋"/>
          <w:sz w:val="24"/>
        </w:rPr>
        <w:t>A、□便利</w:t>
      </w:r>
      <w:r>
        <w:rPr>
          <w:rFonts w:hint="eastAsia" w:ascii="华文仿宋" w:hAnsi="华文仿宋" w:eastAsia="华文仿宋" w:cs="华文仿宋"/>
          <w:color w:val="C00000"/>
          <w:sz w:val="24"/>
        </w:rPr>
        <w:t>88%</w:t>
      </w:r>
      <w:r>
        <w:rPr>
          <w:rFonts w:hint="eastAsia" w:ascii="华文仿宋" w:hAnsi="华文仿宋" w:eastAsia="华文仿宋" w:cs="华文仿宋"/>
          <w:sz w:val="24"/>
        </w:rPr>
        <w:t xml:space="preserve">            B、□一般</w:t>
      </w:r>
      <w:r>
        <w:rPr>
          <w:rFonts w:hint="eastAsia" w:ascii="华文仿宋" w:hAnsi="华文仿宋" w:eastAsia="华文仿宋" w:cs="华文仿宋"/>
          <w:color w:val="C00000"/>
          <w:sz w:val="24"/>
        </w:rPr>
        <w:t>8%</w:t>
      </w:r>
      <w:r>
        <w:rPr>
          <w:rFonts w:hint="eastAsia" w:ascii="华文仿宋" w:hAnsi="华文仿宋" w:eastAsia="华文仿宋" w:cs="华文仿宋"/>
          <w:sz w:val="24"/>
        </w:rPr>
        <w:t xml:space="preserve">                C、□不便利</w:t>
      </w:r>
      <w:r>
        <w:rPr>
          <w:rFonts w:hint="eastAsia" w:ascii="华文仿宋" w:hAnsi="华文仿宋" w:eastAsia="华文仿宋" w:cs="华文仿宋"/>
          <w:color w:val="C00000"/>
          <w:sz w:val="24"/>
        </w:rPr>
        <w:t>4%</w:t>
      </w:r>
      <w:bookmarkEnd w:id="126"/>
      <w:bookmarkEnd w:id="127"/>
      <w:bookmarkEnd w:id="128"/>
      <w:bookmarkEnd w:id="129"/>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您认为该资金的发放对您家庭生活水平比未发放该资金前是否有改善？</w:t>
      </w:r>
    </w:p>
    <w:p>
      <w:pPr>
        <w:spacing w:line="320" w:lineRule="exact"/>
        <w:rPr>
          <w:rFonts w:ascii="华文仿宋" w:hAnsi="华文仿宋" w:eastAsia="华文仿宋" w:cs="华文仿宋"/>
          <w:sz w:val="24"/>
        </w:rPr>
      </w:pPr>
      <w:bookmarkStart w:id="130" w:name="_Toc26916_WPSOffice_Level3"/>
      <w:bookmarkStart w:id="131" w:name="_Toc28462_WPSOffice_Level3"/>
      <w:bookmarkStart w:id="132" w:name="_Toc9259_WPSOffice_Level3"/>
      <w:bookmarkStart w:id="133" w:name="_Toc5844_WPSOffice_Level3"/>
      <w:r>
        <w:rPr>
          <w:rFonts w:hint="eastAsia" w:ascii="华文仿宋" w:hAnsi="华文仿宋" w:eastAsia="华文仿宋" w:cs="华文仿宋"/>
          <w:sz w:val="24"/>
        </w:rPr>
        <w:t>A、□明显改善</w:t>
      </w:r>
      <w:r>
        <w:rPr>
          <w:rFonts w:hint="eastAsia" w:ascii="华文仿宋" w:hAnsi="华文仿宋" w:eastAsia="华文仿宋" w:cs="华文仿宋"/>
          <w:color w:val="C00000"/>
          <w:sz w:val="24"/>
        </w:rPr>
        <w:t>8%</w:t>
      </w:r>
      <w:r>
        <w:rPr>
          <w:rFonts w:hint="eastAsia" w:ascii="华文仿宋" w:hAnsi="华文仿宋" w:eastAsia="华文仿宋" w:cs="华文仿宋"/>
          <w:sz w:val="24"/>
        </w:rPr>
        <w:t xml:space="preserve">        B、□有改善，但改善不大</w:t>
      </w:r>
      <w:r>
        <w:rPr>
          <w:rFonts w:hint="eastAsia" w:ascii="华文仿宋" w:hAnsi="华文仿宋" w:eastAsia="华文仿宋" w:cs="华文仿宋"/>
          <w:color w:val="C00000"/>
          <w:sz w:val="24"/>
        </w:rPr>
        <w:t>92%</w:t>
      </w:r>
      <w:r>
        <w:rPr>
          <w:rFonts w:hint="eastAsia" w:ascii="华文仿宋" w:hAnsi="华文仿宋" w:eastAsia="华文仿宋" w:cs="华文仿宋"/>
          <w:sz w:val="24"/>
        </w:rPr>
        <w:t xml:space="preserve">  C、□没改善</w:t>
      </w:r>
      <w:bookmarkEnd w:id="130"/>
      <w:bookmarkEnd w:id="131"/>
      <w:bookmarkEnd w:id="132"/>
      <w:bookmarkEnd w:id="133"/>
    </w:p>
    <w:p>
      <w:pPr>
        <w:pStyle w:val="28"/>
        <w:numPr>
          <w:ilvl w:val="0"/>
          <w:numId w:val="11"/>
        </w:numPr>
        <w:spacing w:line="360" w:lineRule="exact"/>
        <w:ind w:firstLine="0" w:firstLineChars="0"/>
        <w:rPr>
          <w:rFonts w:ascii="华文仿宋" w:hAnsi="华文仿宋" w:eastAsia="华文仿宋" w:cs="华文仿宋"/>
          <w:sz w:val="24"/>
        </w:rPr>
      </w:pPr>
      <w:r>
        <w:rPr>
          <w:rFonts w:hint="eastAsia" w:ascii="华文仿宋" w:hAnsi="华文仿宋" w:eastAsia="华文仿宋" w:cs="华文仿宋"/>
          <w:sz w:val="24"/>
        </w:rPr>
        <w:t>您对政府实施计划生育特别扶助项目是否满意？</w:t>
      </w:r>
    </w:p>
    <w:p>
      <w:pPr>
        <w:numPr>
          <w:ilvl w:val="0"/>
          <w:numId w:val="13"/>
        </w:numPr>
        <w:spacing w:line="320" w:lineRule="exact"/>
        <w:rPr>
          <w:rFonts w:ascii="华文仿宋" w:hAnsi="华文仿宋" w:eastAsia="华文仿宋" w:cs="华文仿宋"/>
          <w:sz w:val="24"/>
        </w:rPr>
      </w:pPr>
      <w:bookmarkStart w:id="134" w:name="_Toc26214_WPSOffice_Level3"/>
      <w:bookmarkStart w:id="135" w:name="_Toc31066_WPSOffice_Level3"/>
      <w:bookmarkStart w:id="136" w:name="_Toc19474_WPSOffice_Level3"/>
      <w:bookmarkStart w:id="137" w:name="_Toc12832_WPSOffice_Level3"/>
      <w:r>
        <w:rPr>
          <w:rFonts w:hint="eastAsia" w:ascii="华文仿宋" w:hAnsi="华文仿宋" w:eastAsia="华文仿宋" w:cs="华文仿宋"/>
          <w:sz w:val="24"/>
        </w:rPr>
        <w:t>□满意</w:t>
      </w:r>
      <w:r>
        <w:rPr>
          <w:rFonts w:hint="eastAsia" w:ascii="华文仿宋" w:hAnsi="华文仿宋" w:eastAsia="华文仿宋" w:cs="华文仿宋"/>
          <w:color w:val="C00000"/>
          <w:sz w:val="24"/>
        </w:rPr>
        <w:t xml:space="preserve">76% </w:t>
      </w:r>
      <w:r>
        <w:rPr>
          <w:rFonts w:hint="eastAsia" w:ascii="华文仿宋" w:hAnsi="华文仿宋" w:eastAsia="华文仿宋" w:cs="华文仿宋"/>
          <w:sz w:val="24"/>
        </w:rPr>
        <w:t xml:space="preserve">           B、□一般</w:t>
      </w:r>
      <w:r>
        <w:rPr>
          <w:rFonts w:hint="eastAsia" w:ascii="华文仿宋" w:hAnsi="华文仿宋" w:eastAsia="华文仿宋" w:cs="华文仿宋"/>
          <w:color w:val="C00000"/>
          <w:sz w:val="24"/>
        </w:rPr>
        <w:t>16%</w:t>
      </w:r>
      <w:r>
        <w:rPr>
          <w:rFonts w:hint="eastAsia" w:ascii="华文仿宋" w:hAnsi="华文仿宋" w:eastAsia="华文仿宋" w:cs="华文仿宋"/>
          <w:sz w:val="24"/>
        </w:rPr>
        <w:t xml:space="preserve">                C、□不满意</w:t>
      </w:r>
      <w:r>
        <w:rPr>
          <w:rFonts w:hint="eastAsia" w:ascii="华文仿宋" w:hAnsi="华文仿宋" w:eastAsia="华文仿宋" w:cs="华文仿宋"/>
          <w:color w:val="C00000"/>
          <w:sz w:val="24"/>
        </w:rPr>
        <w:t>8%</w:t>
      </w:r>
      <w:bookmarkEnd w:id="134"/>
      <w:bookmarkEnd w:id="135"/>
      <w:bookmarkEnd w:id="136"/>
      <w:bookmarkEnd w:id="137"/>
    </w:p>
    <w:p>
      <w:pPr>
        <w:spacing w:line="320" w:lineRule="exact"/>
        <w:rPr>
          <w:rFonts w:ascii="华文仿宋" w:hAnsi="华文仿宋" w:eastAsia="华文仿宋" w:cs="华文仿宋"/>
          <w:sz w:val="24"/>
        </w:rPr>
      </w:pPr>
      <w:r>
        <w:rPr>
          <w:rFonts w:hint="eastAsia" w:ascii="华文仿宋" w:hAnsi="华文仿宋" w:eastAsia="华文仿宋" w:cs="华文仿宋"/>
          <w:sz w:val="24"/>
        </w:rPr>
        <w:t>此外，您对该类项目在今后有什么意见或建议：</w:t>
      </w:r>
    </w:p>
    <w:p>
      <w:pPr>
        <w:spacing w:line="320" w:lineRule="exact"/>
        <w:rPr>
          <w:rFonts w:ascii="华文仿宋" w:hAnsi="华文仿宋" w:eastAsia="华文仿宋" w:cs="华文仿宋"/>
          <w:sz w:val="24"/>
        </w:rPr>
      </w:pPr>
    </w:p>
    <w:p>
      <w:pPr>
        <w:spacing w:line="320" w:lineRule="exact"/>
        <w:rPr>
          <w:rFonts w:ascii="华文仿宋" w:hAnsi="华文仿宋" w:eastAsia="华文仿宋" w:cs="华文仿宋"/>
          <w:sz w:val="24"/>
        </w:rPr>
      </w:pPr>
      <w:r>
        <w:rPr>
          <w:rFonts w:hint="eastAsia" w:ascii="华文仿宋" w:hAnsi="华文仿宋" w:eastAsia="华文仿宋" w:cs="华文仿宋"/>
          <w:sz w:val="24"/>
        </w:rPr>
        <w:t>谢谢您的合作！</w:t>
      </w:r>
    </w:p>
    <w:p>
      <w:pPr>
        <w:spacing w:line="320" w:lineRule="exact"/>
        <w:jc w:val="right"/>
        <w:rPr>
          <w:rFonts w:ascii="华文仿宋" w:hAnsi="华文仿宋" w:eastAsia="华文仿宋" w:cs="华文仿宋"/>
          <w:sz w:val="24"/>
        </w:rPr>
      </w:pPr>
      <w:r>
        <w:rPr>
          <w:rFonts w:hint="eastAsia" w:ascii="华文仿宋" w:hAnsi="华文仿宋" w:eastAsia="华文仿宋" w:cs="华文仿宋"/>
          <w:sz w:val="24"/>
        </w:rPr>
        <w:t>怀化市鹤城区专项资金绩效评价组</w:t>
      </w:r>
    </w:p>
    <w:p>
      <w:pPr>
        <w:spacing w:line="320" w:lineRule="exact"/>
        <w:ind w:right="720"/>
        <w:jc w:val="right"/>
        <w:rPr>
          <w:color w:val="000000" w:themeColor="text1"/>
          <w14:textFill>
            <w14:solidFill>
              <w14:schemeClr w14:val="tx1"/>
            </w14:solidFill>
          </w14:textFill>
        </w:rPr>
      </w:pPr>
      <w:r>
        <w:rPr>
          <w:rFonts w:hint="eastAsia" w:ascii="华文仿宋" w:hAnsi="华文仿宋" w:eastAsia="华文仿宋" w:cs="华文仿宋"/>
          <w:sz w:val="24"/>
        </w:rPr>
        <w:t>2019年9月</w:t>
      </w:r>
    </w:p>
    <w:sectPr>
      <w:pgSz w:w="11906" w:h="16838"/>
      <w:pgMar w:top="1440" w:right="1474" w:bottom="1440" w:left="158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文星仿宋">
    <w:altName w:val="宋体"/>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F86BF1"/>
    <w:multiLevelType w:val="singleLevel"/>
    <w:tmpl w:val="91F86BF1"/>
    <w:lvl w:ilvl="0" w:tentative="0">
      <w:start w:val="1"/>
      <w:numFmt w:val="decimal"/>
      <w:suff w:val="nothing"/>
      <w:lvlText w:val="%1、"/>
      <w:lvlJc w:val="left"/>
    </w:lvl>
  </w:abstractNum>
  <w:abstractNum w:abstractNumId="1">
    <w:nsid w:val="B366420A"/>
    <w:multiLevelType w:val="singleLevel"/>
    <w:tmpl w:val="B366420A"/>
    <w:lvl w:ilvl="0" w:tentative="0">
      <w:start w:val="1"/>
      <w:numFmt w:val="chineseCounting"/>
      <w:suff w:val="nothing"/>
      <w:lvlText w:val="（%1）"/>
      <w:lvlJc w:val="left"/>
      <w:rPr>
        <w:rFonts w:hint="eastAsia"/>
      </w:rPr>
    </w:lvl>
  </w:abstractNum>
  <w:abstractNum w:abstractNumId="2">
    <w:nsid w:val="B444323C"/>
    <w:multiLevelType w:val="singleLevel"/>
    <w:tmpl w:val="B444323C"/>
    <w:lvl w:ilvl="0" w:tentative="0">
      <w:start w:val="1"/>
      <w:numFmt w:val="upperLetter"/>
      <w:suff w:val="nothing"/>
      <w:lvlText w:val="%1、"/>
      <w:lvlJc w:val="left"/>
    </w:lvl>
  </w:abstractNum>
  <w:abstractNum w:abstractNumId="3">
    <w:nsid w:val="BBBF2115"/>
    <w:multiLevelType w:val="singleLevel"/>
    <w:tmpl w:val="BBBF2115"/>
    <w:lvl w:ilvl="0" w:tentative="0">
      <w:start w:val="1"/>
      <w:numFmt w:val="chineseCounting"/>
      <w:suff w:val="nothing"/>
      <w:lvlText w:val="%1、"/>
      <w:lvlJc w:val="left"/>
      <w:rPr>
        <w:rFonts w:hint="eastAsia"/>
      </w:rPr>
    </w:lvl>
  </w:abstractNum>
  <w:abstractNum w:abstractNumId="4">
    <w:nsid w:val="C8A2AAFB"/>
    <w:multiLevelType w:val="singleLevel"/>
    <w:tmpl w:val="C8A2AAFB"/>
    <w:lvl w:ilvl="0" w:tentative="0">
      <w:start w:val="1"/>
      <w:numFmt w:val="decimal"/>
      <w:lvlText w:val="%1."/>
      <w:lvlJc w:val="left"/>
      <w:pPr>
        <w:tabs>
          <w:tab w:val="left" w:pos="312"/>
        </w:tabs>
      </w:pPr>
    </w:lvl>
  </w:abstractNum>
  <w:abstractNum w:abstractNumId="5">
    <w:nsid w:val="DD1908F7"/>
    <w:multiLevelType w:val="singleLevel"/>
    <w:tmpl w:val="DD1908F7"/>
    <w:lvl w:ilvl="0" w:tentative="0">
      <w:start w:val="1"/>
      <w:numFmt w:val="decimal"/>
      <w:suff w:val="nothing"/>
      <w:lvlText w:val="（%1）"/>
      <w:lvlJc w:val="left"/>
    </w:lvl>
  </w:abstractNum>
  <w:abstractNum w:abstractNumId="6">
    <w:nsid w:val="ED24D58D"/>
    <w:multiLevelType w:val="singleLevel"/>
    <w:tmpl w:val="ED24D58D"/>
    <w:lvl w:ilvl="0" w:tentative="0">
      <w:start w:val="1"/>
      <w:numFmt w:val="chineseCounting"/>
      <w:suff w:val="nothing"/>
      <w:lvlText w:val="（%1）"/>
      <w:lvlJc w:val="left"/>
      <w:rPr>
        <w:rFonts w:hint="eastAsia"/>
      </w:rPr>
    </w:lvl>
  </w:abstractNum>
  <w:abstractNum w:abstractNumId="7">
    <w:nsid w:val="1ACBA50E"/>
    <w:multiLevelType w:val="singleLevel"/>
    <w:tmpl w:val="1ACBA50E"/>
    <w:lvl w:ilvl="0" w:tentative="0">
      <w:start w:val="1"/>
      <w:numFmt w:val="chineseCounting"/>
      <w:suff w:val="nothing"/>
      <w:lvlText w:val="（%1）"/>
      <w:lvlJc w:val="left"/>
      <w:rPr>
        <w:rFonts w:hint="eastAsia"/>
      </w:rPr>
    </w:lvl>
  </w:abstractNum>
  <w:abstractNum w:abstractNumId="8">
    <w:nsid w:val="2147BE08"/>
    <w:multiLevelType w:val="singleLevel"/>
    <w:tmpl w:val="2147BE08"/>
    <w:lvl w:ilvl="0" w:tentative="0">
      <w:start w:val="1"/>
      <w:numFmt w:val="decimal"/>
      <w:suff w:val="nothing"/>
      <w:lvlText w:val="（%1）"/>
      <w:lvlJc w:val="left"/>
    </w:lvl>
  </w:abstractNum>
  <w:abstractNum w:abstractNumId="9">
    <w:nsid w:val="296967D5"/>
    <w:multiLevelType w:val="multilevel"/>
    <w:tmpl w:val="296967D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21A746B"/>
    <w:multiLevelType w:val="singleLevel"/>
    <w:tmpl w:val="421A746B"/>
    <w:lvl w:ilvl="0" w:tentative="0">
      <w:start w:val="1"/>
      <w:numFmt w:val="decimal"/>
      <w:suff w:val="nothing"/>
      <w:lvlText w:val="（%1）"/>
      <w:lvlJc w:val="left"/>
    </w:lvl>
  </w:abstractNum>
  <w:abstractNum w:abstractNumId="11">
    <w:nsid w:val="72A5F015"/>
    <w:multiLevelType w:val="singleLevel"/>
    <w:tmpl w:val="72A5F015"/>
    <w:lvl w:ilvl="0" w:tentative="0">
      <w:start w:val="1"/>
      <w:numFmt w:val="upperLetter"/>
      <w:suff w:val="nothing"/>
      <w:lvlText w:val="%1、"/>
      <w:lvlJc w:val="left"/>
    </w:lvl>
  </w:abstractNum>
  <w:abstractNum w:abstractNumId="12">
    <w:nsid w:val="72B330D5"/>
    <w:multiLevelType w:val="singleLevel"/>
    <w:tmpl w:val="72B330D5"/>
    <w:lvl w:ilvl="0" w:tentative="0">
      <w:start w:val="1"/>
      <w:numFmt w:val="decimal"/>
      <w:suff w:val="nothing"/>
      <w:lvlText w:val="（%1）"/>
      <w:lvlJc w:val="left"/>
    </w:lvl>
  </w:abstractNum>
  <w:num w:numId="1">
    <w:abstractNumId w:val="3"/>
  </w:num>
  <w:num w:numId="2">
    <w:abstractNumId w:val="7"/>
  </w:num>
  <w:num w:numId="3">
    <w:abstractNumId w:val="6"/>
  </w:num>
  <w:num w:numId="4">
    <w:abstractNumId w:val="5"/>
  </w:num>
  <w:num w:numId="5">
    <w:abstractNumId w:val="4"/>
  </w:num>
  <w:num w:numId="6">
    <w:abstractNumId w:val="12"/>
  </w:num>
  <w:num w:numId="7">
    <w:abstractNumId w:val="10"/>
  </w:num>
  <w:num w:numId="8">
    <w:abstractNumId w:val="8"/>
  </w:num>
  <w:num w:numId="9">
    <w:abstractNumId w:val="1"/>
  </w:num>
  <w:num w:numId="10">
    <w:abstractNumId w:val="9"/>
  </w:num>
  <w:num w:numId="11">
    <w:abstractNumId w:val="0"/>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E30"/>
    <w:rsid w:val="00010819"/>
    <w:rsid w:val="000179A8"/>
    <w:rsid w:val="00026953"/>
    <w:rsid w:val="00044B67"/>
    <w:rsid w:val="00080DA3"/>
    <w:rsid w:val="000861CD"/>
    <w:rsid w:val="00091FB6"/>
    <w:rsid w:val="00093535"/>
    <w:rsid w:val="000965DF"/>
    <w:rsid w:val="0009764C"/>
    <w:rsid w:val="000F37AF"/>
    <w:rsid w:val="000F59D4"/>
    <w:rsid w:val="00105E25"/>
    <w:rsid w:val="0011130F"/>
    <w:rsid w:val="00113E14"/>
    <w:rsid w:val="001144B6"/>
    <w:rsid w:val="001165AB"/>
    <w:rsid w:val="00126E30"/>
    <w:rsid w:val="001327A3"/>
    <w:rsid w:val="00132FC4"/>
    <w:rsid w:val="00136C22"/>
    <w:rsid w:val="00142127"/>
    <w:rsid w:val="001578AF"/>
    <w:rsid w:val="00162DF6"/>
    <w:rsid w:val="00164658"/>
    <w:rsid w:val="001714C3"/>
    <w:rsid w:val="00194BD8"/>
    <w:rsid w:val="001A1123"/>
    <w:rsid w:val="001A7F53"/>
    <w:rsid w:val="001C5E9C"/>
    <w:rsid w:val="001D28A7"/>
    <w:rsid w:val="001D46E4"/>
    <w:rsid w:val="002003F7"/>
    <w:rsid w:val="00220EC5"/>
    <w:rsid w:val="00222C96"/>
    <w:rsid w:val="00233FEB"/>
    <w:rsid w:val="00234BA8"/>
    <w:rsid w:val="00236456"/>
    <w:rsid w:val="00244314"/>
    <w:rsid w:val="0025080B"/>
    <w:rsid w:val="00251460"/>
    <w:rsid w:val="00254525"/>
    <w:rsid w:val="002615FA"/>
    <w:rsid w:val="00261C18"/>
    <w:rsid w:val="0026596C"/>
    <w:rsid w:val="00271E10"/>
    <w:rsid w:val="00283266"/>
    <w:rsid w:val="00290149"/>
    <w:rsid w:val="00291345"/>
    <w:rsid w:val="002A3A57"/>
    <w:rsid w:val="002D0297"/>
    <w:rsid w:val="002F2A0B"/>
    <w:rsid w:val="00301AA5"/>
    <w:rsid w:val="00316CAE"/>
    <w:rsid w:val="0033400D"/>
    <w:rsid w:val="003378B3"/>
    <w:rsid w:val="00344098"/>
    <w:rsid w:val="00350B08"/>
    <w:rsid w:val="0035226E"/>
    <w:rsid w:val="00353FD9"/>
    <w:rsid w:val="00363D8F"/>
    <w:rsid w:val="00384E4F"/>
    <w:rsid w:val="00396062"/>
    <w:rsid w:val="0039701F"/>
    <w:rsid w:val="003C66E8"/>
    <w:rsid w:val="003D5A6E"/>
    <w:rsid w:val="003F22A5"/>
    <w:rsid w:val="003F4F9E"/>
    <w:rsid w:val="00400E34"/>
    <w:rsid w:val="0040337C"/>
    <w:rsid w:val="00404251"/>
    <w:rsid w:val="004058FB"/>
    <w:rsid w:val="00425ECE"/>
    <w:rsid w:val="00430ED9"/>
    <w:rsid w:val="004414F5"/>
    <w:rsid w:val="0044205A"/>
    <w:rsid w:val="00452582"/>
    <w:rsid w:val="004768F6"/>
    <w:rsid w:val="004816E8"/>
    <w:rsid w:val="00484E8E"/>
    <w:rsid w:val="00485A91"/>
    <w:rsid w:val="00491FF2"/>
    <w:rsid w:val="004A648B"/>
    <w:rsid w:val="004B30A8"/>
    <w:rsid w:val="004B3B4E"/>
    <w:rsid w:val="004C0D68"/>
    <w:rsid w:val="004C71A9"/>
    <w:rsid w:val="004D6B77"/>
    <w:rsid w:val="004E0801"/>
    <w:rsid w:val="004E3203"/>
    <w:rsid w:val="004E4CD0"/>
    <w:rsid w:val="004F0611"/>
    <w:rsid w:val="004F1653"/>
    <w:rsid w:val="004F6D82"/>
    <w:rsid w:val="005059CD"/>
    <w:rsid w:val="005125E2"/>
    <w:rsid w:val="0051459D"/>
    <w:rsid w:val="005267A7"/>
    <w:rsid w:val="005303EE"/>
    <w:rsid w:val="00531657"/>
    <w:rsid w:val="00552430"/>
    <w:rsid w:val="00554ED3"/>
    <w:rsid w:val="00565340"/>
    <w:rsid w:val="00565AA9"/>
    <w:rsid w:val="005676F5"/>
    <w:rsid w:val="005708EA"/>
    <w:rsid w:val="005716AC"/>
    <w:rsid w:val="00575D79"/>
    <w:rsid w:val="005762DA"/>
    <w:rsid w:val="00584BE6"/>
    <w:rsid w:val="00585E6E"/>
    <w:rsid w:val="0059082D"/>
    <w:rsid w:val="005A2BAA"/>
    <w:rsid w:val="005A310C"/>
    <w:rsid w:val="005A40C9"/>
    <w:rsid w:val="005A6F21"/>
    <w:rsid w:val="005B10A7"/>
    <w:rsid w:val="005B2E2D"/>
    <w:rsid w:val="005E4644"/>
    <w:rsid w:val="005E52FF"/>
    <w:rsid w:val="005E64FD"/>
    <w:rsid w:val="005E6E13"/>
    <w:rsid w:val="005F15B7"/>
    <w:rsid w:val="006136D6"/>
    <w:rsid w:val="00617F02"/>
    <w:rsid w:val="00626A9A"/>
    <w:rsid w:val="00635018"/>
    <w:rsid w:val="00652EC1"/>
    <w:rsid w:val="00653FF6"/>
    <w:rsid w:val="006620C6"/>
    <w:rsid w:val="00662160"/>
    <w:rsid w:val="00662B24"/>
    <w:rsid w:val="006658B3"/>
    <w:rsid w:val="0066621B"/>
    <w:rsid w:val="00671EAB"/>
    <w:rsid w:val="00672A7A"/>
    <w:rsid w:val="0067435F"/>
    <w:rsid w:val="00675942"/>
    <w:rsid w:val="0067773D"/>
    <w:rsid w:val="00690A1E"/>
    <w:rsid w:val="006A2482"/>
    <w:rsid w:val="006A28B4"/>
    <w:rsid w:val="006A5B63"/>
    <w:rsid w:val="006B20E7"/>
    <w:rsid w:val="006B6F10"/>
    <w:rsid w:val="006C2FF3"/>
    <w:rsid w:val="006C5A53"/>
    <w:rsid w:val="006E6994"/>
    <w:rsid w:val="006E6B56"/>
    <w:rsid w:val="006F17B8"/>
    <w:rsid w:val="007030DB"/>
    <w:rsid w:val="007031D7"/>
    <w:rsid w:val="00714904"/>
    <w:rsid w:val="007212B5"/>
    <w:rsid w:val="00723C2E"/>
    <w:rsid w:val="007375BC"/>
    <w:rsid w:val="00755526"/>
    <w:rsid w:val="00761DA1"/>
    <w:rsid w:val="0076489E"/>
    <w:rsid w:val="00782EA9"/>
    <w:rsid w:val="007847AA"/>
    <w:rsid w:val="007A1F34"/>
    <w:rsid w:val="007A56E9"/>
    <w:rsid w:val="007A6162"/>
    <w:rsid w:val="007E1B4B"/>
    <w:rsid w:val="007E6395"/>
    <w:rsid w:val="00812038"/>
    <w:rsid w:val="008154AD"/>
    <w:rsid w:val="008257B8"/>
    <w:rsid w:val="008350FA"/>
    <w:rsid w:val="0087243C"/>
    <w:rsid w:val="00883C4A"/>
    <w:rsid w:val="0088533C"/>
    <w:rsid w:val="008A2A7D"/>
    <w:rsid w:val="008B2861"/>
    <w:rsid w:val="008D2366"/>
    <w:rsid w:val="008D5B9A"/>
    <w:rsid w:val="008F6AA1"/>
    <w:rsid w:val="009027F4"/>
    <w:rsid w:val="00902C72"/>
    <w:rsid w:val="0090672F"/>
    <w:rsid w:val="0091697D"/>
    <w:rsid w:val="009232A6"/>
    <w:rsid w:val="00925CE2"/>
    <w:rsid w:val="00947605"/>
    <w:rsid w:val="00972C04"/>
    <w:rsid w:val="00975E2E"/>
    <w:rsid w:val="00980526"/>
    <w:rsid w:val="00991795"/>
    <w:rsid w:val="009A439C"/>
    <w:rsid w:val="009C4C38"/>
    <w:rsid w:val="009C55F2"/>
    <w:rsid w:val="009D0A40"/>
    <w:rsid w:val="009D3366"/>
    <w:rsid w:val="00A309EB"/>
    <w:rsid w:val="00A312C0"/>
    <w:rsid w:val="00A33872"/>
    <w:rsid w:val="00A83400"/>
    <w:rsid w:val="00A921E8"/>
    <w:rsid w:val="00A93596"/>
    <w:rsid w:val="00A94670"/>
    <w:rsid w:val="00AA133B"/>
    <w:rsid w:val="00AA2A71"/>
    <w:rsid w:val="00AB7711"/>
    <w:rsid w:val="00AD13BC"/>
    <w:rsid w:val="00AD37E1"/>
    <w:rsid w:val="00AE08C5"/>
    <w:rsid w:val="00B04F3B"/>
    <w:rsid w:val="00B146EC"/>
    <w:rsid w:val="00B174CD"/>
    <w:rsid w:val="00B3188D"/>
    <w:rsid w:val="00B323DF"/>
    <w:rsid w:val="00B3678B"/>
    <w:rsid w:val="00B37EF1"/>
    <w:rsid w:val="00B523EB"/>
    <w:rsid w:val="00B7206E"/>
    <w:rsid w:val="00B74561"/>
    <w:rsid w:val="00B768B6"/>
    <w:rsid w:val="00B8070D"/>
    <w:rsid w:val="00BA1BBD"/>
    <w:rsid w:val="00BA3E4D"/>
    <w:rsid w:val="00BA6308"/>
    <w:rsid w:val="00BC650D"/>
    <w:rsid w:val="00BD3E36"/>
    <w:rsid w:val="00BE1926"/>
    <w:rsid w:val="00C04592"/>
    <w:rsid w:val="00C07657"/>
    <w:rsid w:val="00C12E4B"/>
    <w:rsid w:val="00C14A96"/>
    <w:rsid w:val="00C22109"/>
    <w:rsid w:val="00C44240"/>
    <w:rsid w:val="00C6219F"/>
    <w:rsid w:val="00C63005"/>
    <w:rsid w:val="00C64240"/>
    <w:rsid w:val="00C75076"/>
    <w:rsid w:val="00C90954"/>
    <w:rsid w:val="00CA347C"/>
    <w:rsid w:val="00CB382F"/>
    <w:rsid w:val="00CC0E13"/>
    <w:rsid w:val="00CC19DB"/>
    <w:rsid w:val="00CD0B52"/>
    <w:rsid w:val="00CF44D1"/>
    <w:rsid w:val="00D421B4"/>
    <w:rsid w:val="00D513E9"/>
    <w:rsid w:val="00D560FF"/>
    <w:rsid w:val="00D75EE7"/>
    <w:rsid w:val="00D924DC"/>
    <w:rsid w:val="00D9354F"/>
    <w:rsid w:val="00DC046F"/>
    <w:rsid w:val="00DC3F9B"/>
    <w:rsid w:val="00DD72FD"/>
    <w:rsid w:val="00DE0D65"/>
    <w:rsid w:val="00E025BF"/>
    <w:rsid w:val="00E02C7E"/>
    <w:rsid w:val="00E03F3F"/>
    <w:rsid w:val="00E13AB1"/>
    <w:rsid w:val="00E17B59"/>
    <w:rsid w:val="00E23455"/>
    <w:rsid w:val="00E3122D"/>
    <w:rsid w:val="00E4630E"/>
    <w:rsid w:val="00E463E2"/>
    <w:rsid w:val="00E51F81"/>
    <w:rsid w:val="00E55CDF"/>
    <w:rsid w:val="00E56D4B"/>
    <w:rsid w:val="00E72BFB"/>
    <w:rsid w:val="00E73E60"/>
    <w:rsid w:val="00E801C8"/>
    <w:rsid w:val="00E824B1"/>
    <w:rsid w:val="00E97C4A"/>
    <w:rsid w:val="00EA1E51"/>
    <w:rsid w:val="00EB2D9A"/>
    <w:rsid w:val="00EB5011"/>
    <w:rsid w:val="00EB7A59"/>
    <w:rsid w:val="00ED39A4"/>
    <w:rsid w:val="00EE6847"/>
    <w:rsid w:val="00EF51ED"/>
    <w:rsid w:val="00F012AE"/>
    <w:rsid w:val="00F07726"/>
    <w:rsid w:val="00F0796C"/>
    <w:rsid w:val="00F11587"/>
    <w:rsid w:val="00F11FBE"/>
    <w:rsid w:val="00F1521F"/>
    <w:rsid w:val="00F16668"/>
    <w:rsid w:val="00F21B15"/>
    <w:rsid w:val="00F2323D"/>
    <w:rsid w:val="00F34276"/>
    <w:rsid w:val="00F3649C"/>
    <w:rsid w:val="00F36DB1"/>
    <w:rsid w:val="00F50445"/>
    <w:rsid w:val="00F53E3C"/>
    <w:rsid w:val="00F553F1"/>
    <w:rsid w:val="00F604F8"/>
    <w:rsid w:val="00F760FF"/>
    <w:rsid w:val="00F870FA"/>
    <w:rsid w:val="00F9026C"/>
    <w:rsid w:val="00F9302B"/>
    <w:rsid w:val="00FC2C0B"/>
    <w:rsid w:val="00FD19B6"/>
    <w:rsid w:val="00FD64CB"/>
    <w:rsid w:val="00FE0A75"/>
    <w:rsid w:val="00FF4707"/>
    <w:rsid w:val="04CD18D1"/>
    <w:rsid w:val="0A400A50"/>
    <w:rsid w:val="0ABD1919"/>
    <w:rsid w:val="0BF3379E"/>
    <w:rsid w:val="0DAE3C97"/>
    <w:rsid w:val="1454594A"/>
    <w:rsid w:val="154B7949"/>
    <w:rsid w:val="172F2567"/>
    <w:rsid w:val="19997199"/>
    <w:rsid w:val="1AE357C2"/>
    <w:rsid w:val="1B6D0938"/>
    <w:rsid w:val="1C953FDB"/>
    <w:rsid w:val="1FF47A66"/>
    <w:rsid w:val="205050AA"/>
    <w:rsid w:val="248B6A38"/>
    <w:rsid w:val="279545B2"/>
    <w:rsid w:val="27C25866"/>
    <w:rsid w:val="29F77744"/>
    <w:rsid w:val="2D704FE5"/>
    <w:rsid w:val="31A7027B"/>
    <w:rsid w:val="320400BA"/>
    <w:rsid w:val="32415171"/>
    <w:rsid w:val="32496F4B"/>
    <w:rsid w:val="35E442F2"/>
    <w:rsid w:val="365F585B"/>
    <w:rsid w:val="38A31AC0"/>
    <w:rsid w:val="38CE7188"/>
    <w:rsid w:val="392F5CE5"/>
    <w:rsid w:val="3978120C"/>
    <w:rsid w:val="39B43710"/>
    <w:rsid w:val="3AA618B1"/>
    <w:rsid w:val="3ADA1DBA"/>
    <w:rsid w:val="3D0F334F"/>
    <w:rsid w:val="3F5241AD"/>
    <w:rsid w:val="443151E4"/>
    <w:rsid w:val="45076D66"/>
    <w:rsid w:val="456B2199"/>
    <w:rsid w:val="4B1E0785"/>
    <w:rsid w:val="4DB964A4"/>
    <w:rsid w:val="4F6A16E5"/>
    <w:rsid w:val="50A33EFF"/>
    <w:rsid w:val="52DA79C7"/>
    <w:rsid w:val="55186083"/>
    <w:rsid w:val="55BA5E1D"/>
    <w:rsid w:val="565155E6"/>
    <w:rsid w:val="5BAE1B03"/>
    <w:rsid w:val="5EF875B1"/>
    <w:rsid w:val="62A24E3D"/>
    <w:rsid w:val="65A13D75"/>
    <w:rsid w:val="66D80F50"/>
    <w:rsid w:val="6B1F6164"/>
    <w:rsid w:val="6C366F09"/>
    <w:rsid w:val="72260E8C"/>
    <w:rsid w:val="727333FA"/>
    <w:rsid w:val="752F5E3E"/>
    <w:rsid w:val="78F932C5"/>
    <w:rsid w:val="7FEF4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after="120" w:line="360" w:lineRule="auto"/>
      <w:jc w:val="left"/>
      <w:outlineLvl w:val="0"/>
    </w:pPr>
    <w:rPr>
      <w:rFonts w:eastAsia="黑体"/>
      <w:bCs/>
      <w:kern w:val="44"/>
      <w:sz w:val="32"/>
      <w:szCs w:val="44"/>
    </w:rPr>
  </w:style>
  <w:style w:type="paragraph" w:styleId="3">
    <w:name w:val="heading 2"/>
    <w:basedOn w:val="1"/>
    <w:next w:val="1"/>
    <w:qFormat/>
    <w:uiPriority w:val="9"/>
    <w:pPr>
      <w:keepNext/>
      <w:keepLines/>
      <w:spacing w:before="260" w:after="260" w:line="413" w:lineRule="auto"/>
      <w:jc w:val="left"/>
      <w:outlineLvl w:val="1"/>
    </w:pPr>
    <w:rPr>
      <w:rFonts w:ascii="Arial" w:hAnsi="Arial" w:eastAsia="楷体"/>
      <w:b/>
      <w:sz w:val="32"/>
    </w:rPr>
  </w:style>
  <w:style w:type="paragraph" w:styleId="4">
    <w:name w:val="heading 3"/>
    <w:basedOn w:val="1"/>
    <w:next w:val="1"/>
    <w:qFormat/>
    <w:uiPriority w:val="9"/>
    <w:pPr>
      <w:keepNext/>
      <w:keepLines/>
      <w:spacing w:before="260" w:after="260" w:line="416" w:lineRule="auto"/>
      <w:outlineLvl w:val="2"/>
    </w:pPr>
    <w:rPr>
      <w:rFonts w:eastAsia="仿宋"/>
      <w:b/>
      <w:bCs/>
      <w:sz w:val="28"/>
      <w:szCs w:val="32"/>
    </w:rPr>
  </w:style>
  <w:style w:type="paragraph" w:styleId="5">
    <w:name w:val="heading 4"/>
    <w:basedOn w:val="1"/>
    <w:next w:val="1"/>
    <w:qFormat/>
    <w:uiPriority w:val="9"/>
    <w:pPr>
      <w:keepNext/>
      <w:keepLines/>
      <w:spacing w:before="280" w:after="290" w:line="372" w:lineRule="auto"/>
      <w:ind w:left="200" w:leftChars="200"/>
      <w:outlineLvl w:val="3"/>
    </w:pPr>
    <w:rPr>
      <w:rFonts w:ascii="Arial" w:hAnsi="Arial" w:eastAsia="仿宋"/>
      <w:b/>
      <w:sz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6">
    <w:name w:val="caption"/>
    <w:basedOn w:val="1"/>
    <w:next w:val="1"/>
    <w:semiHidden/>
    <w:unhideWhenUsed/>
    <w:qFormat/>
    <w:uiPriority w:val="35"/>
    <w:rPr>
      <w:rFonts w:ascii="Arial" w:hAnsi="Arial" w:eastAsia="黑体"/>
      <w:sz w:val="20"/>
    </w:r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27"/>
    <w:semiHidden/>
    <w:unhideWhenUsed/>
    <w:qFormat/>
    <w:uiPriority w:val="99"/>
    <w:rPr>
      <w:sz w:val="18"/>
      <w:szCs w:val="18"/>
    </w:rPr>
  </w:style>
  <w:style w:type="paragraph" w:styleId="9">
    <w:name w:val="footer"/>
    <w:basedOn w:val="1"/>
    <w:link w:val="2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2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7">
    <w:name w:val="Strong"/>
    <w:basedOn w:val="16"/>
    <w:qFormat/>
    <w:uiPriority w:val="22"/>
    <w:rPr>
      <w:b/>
    </w:rPr>
  </w:style>
  <w:style w:type="character" w:styleId="18">
    <w:name w:val="FollowedHyperlink"/>
    <w:basedOn w:val="16"/>
    <w:semiHidden/>
    <w:unhideWhenUsed/>
    <w:qFormat/>
    <w:uiPriority w:val="99"/>
    <w:rPr>
      <w:color w:val="333333"/>
      <w:u w:val="none"/>
    </w:rPr>
  </w:style>
  <w:style w:type="character" w:styleId="19">
    <w:name w:val="Emphasis"/>
    <w:basedOn w:val="16"/>
    <w:qFormat/>
    <w:uiPriority w:val="20"/>
  </w:style>
  <w:style w:type="character" w:styleId="20">
    <w:name w:val="HTML Definition"/>
    <w:basedOn w:val="16"/>
    <w:semiHidden/>
    <w:unhideWhenUsed/>
    <w:qFormat/>
    <w:uiPriority w:val="99"/>
  </w:style>
  <w:style w:type="character" w:styleId="21">
    <w:name w:val="HTML Variable"/>
    <w:basedOn w:val="16"/>
    <w:semiHidden/>
    <w:unhideWhenUsed/>
    <w:qFormat/>
    <w:uiPriority w:val="99"/>
  </w:style>
  <w:style w:type="character" w:styleId="22">
    <w:name w:val="Hyperlink"/>
    <w:basedOn w:val="16"/>
    <w:semiHidden/>
    <w:unhideWhenUsed/>
    <w:qFormat/>
    <w:uiPriority w:val="99"/>
    <w:rPr>
      <w:color w:val="333333"/>
      <w:u w:val="none"/>
    </w:rPr>
  </w:style>
  <w:style w:type="character" w:styleId="23">
    <w:name w:val="HTML Code"/>
    <w:basedOn w:val="16"/>
    <w:semiHidden/>
    <w:unhideWhenUsed/>
    <w:qFormat/>
    <w:uiPriority w:val="99"/>
    <w:rPr>
      <w:rFonts w:ascii="Courier New" w:hAnsi="Courier New"/>
      <w:sz w:val="20"/>
    </w:rPr>
  </w:style>
  <w:style w:type="character" w:styleId="24">
    <w:name w:val="HTML Cite"/>
    <w:basedOn w:val="16"/>
    <w:semiHidden/>
    <w:unhideWhenUsed/>
    <w:qFormat/>
    <w:uiPriority w:val="99"/>
  </w:style>
  <w:style w:type="character" w:customStyle="1" w:styleId="25">
    <w:name w:val="页眉 Char"/>
    <w:basedOn w:val="16"/>
    <w:link w:val="10"/>
    <w:qFormat/>
    <w:uiPriority w:val="99"/>
    <w:rPr>
      <w:sz w:val="18"/>
      <w:szCs w:val="18"/>
    </w:rPr>
  </w:style>
  <w:style w:type="character" w:customStyle="1" w:styleId="26">
    <w:name w:val="页脚 Char"/>
    <w:basedOn w:val="16"/>
    <w:link w:val="9"/>
    <w:qFormat/>
    <w:uiPriority w:val="99"/>
    <w:rPr>
      <w:sz w:val="18"/>
      <w:szCs w:val="18"/>
    </w:rPr>
  </w:style>
  <w:style w:type="character" w:customStyle="1" w:styleId="27">
    <w:name w:val="批注框文本 Char"/>
    <w:basedOn w:val="16"/>
    <w:link w:val="8"/>
    <w:semiHidden/>
    <w:qFormat/>
    <w:uiPriority w:val="99"/>
    <w:rPr>
      <w:rFonts w:ascii="Times New Roman" w:hAnsi="Times New Roman" w:eastAsia="宋体" w:cs="Times New Roman"/>
      <w:sz w:val="18"/>
      <w:szCs w:val="18"/>
    </w:rPr>
  </w:style>
  <w:style w:type="paragraph" w:styleId="28">
    <w:name w:val="List Paragraph"/>
    <w:basedOn w:val="1"/>
    <w:qFormat/>
    <w:uiPriority w:val="34"/>
    <w:pPr>
      <w:ind w:firstLine="420" w:firstLineChars="200"/>
    </w:p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32">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Cs w:val="0"/>
      <w:color w:val="376092" w:themeColor="accent1" w:themeShade="BF"/>
      <w:kern w:val="0"/>
      <w:szCs w:val="32"/>
    </w:rPr>
  </w:style>
  <w:style w:type="character" w:customStyle="1" w:styleId="33">
    <w:name w:val="name"/>
    <w:basedOn w:val="16"/>
    <w:qFormat/>
    <w:uiPriority w:val="0"/>
    <w:rPr>
      <w:b/>
      <w:color w:val="CC2A1E"/>
    </w:rPr>
  </w:style>
  <w:style w:type="character" w:customStyle="1" w:styleId="34">
    <w:name w:val="more"/>
    <w:basedOn w:val="16"/>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5F096C-C93E-4000-99D8-3FCAF111C286}">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19</Pages>
  <Words>1977</Words>
  <Characters>11275</Characters>
  <Lines>93</Lines>
  <Paragraphs>26</Paragraphs>
  <TotalTime>4</TotalTime>
  <ScaleCrop>false</ScaleCrop>
  <LinksUpToDate>false</LinksUpToDate>
  <CharactersWithSpaces>13226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2019-10-12T08:29:00Z</dcterms:created>
  <dc:creator>Windows User</dc:creator>
  <cp:lastModifiedBy>恰姆丶</cp:lastModifiedBy>
  <cp:lastPrinted>2019-10-29T03:01:00Z</cp:lastPrinted>
  <dcterms:modified xsi:type="dcterms:W3CDTF">2019-10-29T03:19:22Z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