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宋体" w:hAnsi="宋体" w:eastAsia="宋体" w:cs="宋体"/>
          <w:b/>
          <w:sz w:val="36"/>
        </w:rPr>
        <w:t>怀化市鹤城区人力资源和社会保障局2024年部门</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宋体" w:hAnsi="宋体" w:eastAsia="宋体" w:cs="宋体"/>
          <w:b/>
          <w:sz w:val="36"/>
        </w:rPr>
        <w:t>预算公开说明</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宋体" w:hAnsi="宋体" w:eastAsia="宋体" w:cs="宋体"/>
          <w:b/>
          <w:sz w:val="33"/>
        </w:rPr>
        <w:t>目录</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b/>
          <w:sz w:val="28"/>
        </w:rPr>
        <w:t>第一部分 2024年部门预算说明</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b/>
          <w:sz w:val="28"/>
        </w:rPr>
        <w:t>一、部门基本概况</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8"/>
        </w:rPr>
        <w:t>（一）职能职责</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8"/>
        </w:rPr>
        <w:t>（二）机构设置</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b/>
          <w:sz w:val="28"/>
        </w:rPr>
        <w:t>二、部门预算单位构成</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b/>
          <w:sz w:val="28"/>
        </w:rPr>
        <w:t>三、部门收支总体情况</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8"/>
        </w:rPr>
        <w:t>（一）收入预算</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8"/>
        </w:rPr>
        <w:t>（二）支出预算</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b/>
          <w:sz w:val="28"/>
        </w:rPr>
        <w:t>四、一般公共预算拨款支出</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8"/>
        </w:rPr>
        <w:t>（一）基本支出</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8"/>
        </w:rPr>
        <w:t>（二）项目支出</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b/>
          <w:sz w:val="28"/>
        </w:rPr>
        <w:t>五、政府性基金预算支出</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b/>
          <w:sz w:val="28"/>
        </w:rPr>
      </w:pPr>
      <w:r>
        <w:rPr>
          <w:rFonts w:ascii="宋体" w:hAnsi="宋体" w:eastAsia="宋体" w:cs="宋体"/>
          <w:b/>
          <w:sz w:val="28"/>
        </w:rPr>
        <w:t>六、其他重要事项的情况说明</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8"/>
        </w:rPr>
      </w:pPr>
      <w:r>
        <w:rPr>
          <w:rFonts w:ascii="宋体" w:hAnsi="宋体" w:eastAsia="宋体" w:cs="宋体"/>
          <w:sz w:val="28"/>
        </w:rPr>
        <w:t>（一）机关运行经费</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bookmarkStart w:id="0" w:name="_GoBack"/>
      <w:bookmarkEnd w:id="0"/>
      <w:r>
        <w:rPr>
          <w:rFonts w:ascii="宋体" w:hAnsi="宋体" w:eastAsia="宋体" w:cs="宋体"/>
          <w:sz w:val="28"/>
        </w:rPr>
        <w:t>（二）“三公”经费预算</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8"/>
        </w:rPr>
        <w:t>（三）一般性支出情况</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8"/>
        </w:rPr>
        <w:t>（四）政府采购情况</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8"/>
        </w:rPr>
        <w:t>（五）国有资产占用使用及新增资产配置情况</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8"/>
        </w:rPr>
        <w:t>（六）预算绩效目标说明</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b/>
          <w:sz w:val="28"/>
        </w:rPr>
        <w:t>七、名词解释</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b/>
          <w:sz w:val="28"/>
        </w:rPr>
        <w:t>第二部分 2024年部门预算表</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1、收支总表</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2、收入总表</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3、支出总表</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4、支出预算分类汇总表（按政府预算经济分类）</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5、支出预算分类明细表（按政府预算经济分类）</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6、支出预算分类汇总表（按部门预算经济分类）</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7、基本支出预算明细表（按部门预算经济分类）</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8、项目支出预算明细表（按部门预算经济分类）</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9、财政拨款收支总表</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10、一般公共预算支出表</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11、一般公共预算基本支出表--人员经费(工资福利支出)(按政府预算经济分类)</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12、一般公共预算基本支出表--人员经费(工资福利支出)(按部门预算经济分类)</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13、一般公共预算基本支出表--人员经费(对个人和家庭的补助)(按政府预算经济分类)</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14、一般公共预算基本支出表--人员经费(对个人和家庭的补助)（按部门预算经济分类）</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15 、一般公共预算基本支出表--公用经费(商品和服务支出)（按政府预算经济分类）</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16 、一般公共预算基本支出表--公用经费(商品和服务支出)(按部门预算经济分类)</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17、一般公共预算“三公”经费支出表</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18、政府性基金预算支出表</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19、政府性基金预算支出分类汇总表（按政府预算经济分类）</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20、政府性基金预算支出分类汇总表（按部门预算经济分类）</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21、国有资本经营预算表</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22、财政专户管理资金预算支出表</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23、项目支出表</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24、专项资金预算汇总表</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25、政府购买服务支出预算表</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26、政府采购预算表</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27、项目支出绩效目标表</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28、整体支出绩效目标表</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29、单位新增资产汇总表</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注：以上部门预算报表中，空表表示本部门无相关收支情况。</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宋体" w:hAnsi="宋体" w:eastAsia="宋体" w:cs="宋体"/>
          <w:b/>
          <w:sz w:val="28"/>
        </w:rPr>
        <w:t>第一部分 2024年部门预算说明</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b/>
          <w:sz w:val="28"/>
        </w:rPr>
        <w:t>一、部门基本概况</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b/>
          <w:sz w:val="28"/>
        </w:rPr>
        <w:t>（一）职能职责</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8"/>
        </w:rPr>
        <w:t>   贯彻执行国家、省、市人力资源和社会保障方针政策和法律法规，负责全区人力资源和社会保障事业发展规划、综合管理、监督指导、协调服务并组织实施。组织实施和执行上级部门的企业职工基本养老保险、机关事业单位养老保险、城乡居民养老保险、失业保险、工伤保险等社会的政策和标准，负责全区职业技能培训鉴定、劳务输出、劳动合同鉴证、劳动关系协调指导、劳动争议调解仲裁、劳动保障监察、高校毕业生就业、企业退休职工社会化管理等工作。</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b/>
          <w:sz w:val="28"/>
        </w:rPr>
        <w:t>（二）机构设置</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8"/>
        </w:rPr>
        <w:t>怀化市鹤城区人力资源和社会保障局内设机构包括：内设机构9个，分别为办公室、财务股、就业股、事业单位管理股、人教股、养老保险股、法规股、工资福利股、专业技术人员管理股。本部门共有编制人数45人，实有人数48人。</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b/>
          <w:sz w:val="28"/>
        </w:rPr>
        <w:t>二、部门预算单位构成</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8"/>
        </w:rPr>
        <w:t>怀化市鹤城区人力资源和社会保障局只有本级，没有二级预算单位，因此纳入2024年部门预算编制范围的只有怀化市鹤城区人力资源和社会保障局本级。</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b/>
          <w:sz w:val="28"/>
        </w:rPr>
        <w:t>三、部门收支总体情况</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b/>
          <w:sz w:val="28"/>
        </w:rPr>
        <w:t>（一）收入预算：</w:t>
      </w:r>
      <w:r>
        <w:rPr>
          <w:rFonts w:ascii="宋体" w:hAnsi="宋体" w:eastAsia="宋体" w:cs="宋体"/>
          <w:sz w:val="28"/>
        </w:rPr>
        <w:t>包括一般公共预算、政府性基金、国有资本经营预算等财政拨款收入，以及经营收入、事业收入等单位资金。2024年本部门收入预算783.07万元，其中，一般公共预算拨款783.07万元，政府性基金预算拨款0万元，国有资本经营预算拨款0万元，上年结转结余0万元。收入较去年增加_127.18_万元，主要原因是人员增加，对应的工资收入社保费收入工作经费收入全部增加。</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b/>
          <w:sz w:val="28"/>
        </w:rPr>
        <w:t>(二）支出预算：</w:t>
      </w:r>
      <w:r>
        <w:rPr>
          <w:rFonts w:ascii="宋体" w:hAnsi="宋体" w:eastAsia="宋体" w:cs="宋体"/>
          <w:sz w:val="28"/>
        </w:rPr>
        <w:t>2024年本部门支出预算783.07万元，其中：一般公共服务支出4.11万元，社会保障和就业支出713.30万元，卫生健康支出26.26万元，住房保障支出39.40万元，年终结转结余0万元；支出较去年增加_127.18_万元，主要原因是人员增加，对应的工资支出社保费支出工作经费支出全部增加。</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b/>
          <w:sz w:val="28"/>
        </w:rPr>
        <w:t>四、一般公共预算拨款支出</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8"/>
        </w:rPr>
        <w:t>2024年本部门一般公共预算拨款支出预算783.07万元，具体安排情况如下：</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b/>
          <w:sz w:val="28"/>
        </w:rPr>
        <w:t>（一）基本支出：</w:t>
      </w:r>
      <w:r>
        <w:rPr>
          <w:rFonts w:ascii="宋体" w:hAnsi="宋体" w:eastAsia="宋体" w:cs="宋体"/>
          <w:sz w:val="28"/>
        </w:rPr>
        <w:t>2024年本部门基本支出预算710.27万元，主要是为保障部门正常运转、完成日常工作任务而发生的各项支出，包括基本工资、津贴补贴等人员经费以及办公费、印刷费、水电费、办公设备购置等公用经费。</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b/>
          <w:sz w:val="28"/>
        </w:rPr>
        <w:t>（二）项目支出：</w:t>
      </w:r>
      <w:r>
        <w:rPr>
          <w:rFonts w:ascii="宋体" w:hAnsi="宋体" w:eastAsia="宋体" w:cs="宋体"/>
          <w:sz w:val="28"/>
        </w:rPr>
        <w:t>2024年本部门项目支出预算72.80万元，主要是部门为完成特定行政工作任务或事业发展目标而发生的支出，包括</w:t>
      </w:r>
      <w:r>
        <w:rPr>
          <w:rFonts w:ascii="宋体" w:hAnsi="宋体" w:eastAsia="宋体" w:cs="宋体"/>
          <w:color w:val="000000"/>
          <w:sz w:val="28"/>
        </w:rPr>
        <w:t>办公费、印刷费、水电费、办公设备购置等公用经费及</w:t>
      </w:r>
      <w:r>
        <w:rPr>
          <w:rFonts w:ascii="宋体" w:hAnsi="宋体" w:eastAsia="宋体" w:cs="宋体"/>
          <w:sz w:val="28"/>
        </w:rPr>
        <w:t>有关事业发展专项、专项业务费、基本建设支出等，其中：一般行政管理事务支出12.80万元，主要用于人社相关业务工作开展</w:t>
      </w:r>
      <w:r>
        <w:rPr>
          <w:rFonts w:hint="eastAsia" w:ascii="宋体" w:hAnsi="宋体" w:eastAsia="宋体" w:cs="宋体"/>
          <w:sz w:val="28"/>
          <w:lang w:eastAsia="zh-CN"/>
        </w:rPr>
        <w:t>。</w:t>
      </w:r>
      <w:r>
        <w:rPr>
          <w:rFonts w:ascii="宋体" w:hAnsi="宋体" w:eastAsia="宋体" w:cs="宋体"/>
          <w:sz w:val="28"/>
        </w:rPr>
        <w:t>其他就业补助支出60.00万元，主要是区本级配套的就业补助资金。</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b/>
          <w:sz w:val="28"/>
        </w:rPr>
        <w:t>五、政府性基金预算支出</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8"/>
        </w:rPr>
        <w:t>本部门无政府性基金安排的支出。</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b/>
          <w:sz w:val="28"/>
        </w:rPr>
        <w:t>六、其他重要事项的情况说明</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b/>
          <w:sz w:val="28"/>
        </w:rPr>
        <w:t>（一）机关运行经费：</w:t>
      </w:r>
      <w:r>
        <w:rPr>
          <w:rFonts w:ascii="宋体" w:hAnsi="宋体" w:eastAsia="宋体" w:cs="宋体"/>
          <w:sz w:val="28"/>
        </w:rPr>
        <w:t>2024年本部门机关运行经费51.36万元，比上年预算减少_12.58_万元，减少_19.67__%，主要是厉行节约，进一步压缩工作经费。</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b/>
          <w:sz w:val="28"/>
        </w:rPr>
        <w:t>（二）“三公”经费预算：</w:t>
      </w:r>
      <w:r>
        <w:rPr>
          <w:rFonts w:ascii="宋体" w:hAnsi="宋体" w:eastAsia="宋体" w:cs="宋体"/>
          <w:sz w:val="28"/>
        </w:rPr>
        <w:t>2024年本部门“三公”经费预算数为0万元，其中，公务接待费0万元，公务用车购置及运行费0万元（其中，公务用车购置费0万元，公务用车运行费0万元），因公出国（境）费0万元。2024年“三公”经费预算较2023年，减少__4.5_万元，主要是厉行节约，进一步压缩三公经费。</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b/>
          <w:sz w:val="28"/>
        </w:rPr>
        <w:t>（三）一般性支出情况：</w:t>
      </w:r>
      <w:r>
        <w:rPr>
          <w:rFonts w:ascii="宋体" w:hAnsi="宋体" w:eastAsia="宋体" w:cs="宋体"/>
          <w:sz w:val="28"/>
        </w:rPr>
        <w:t>2024年本部门无会议费支出；2024年本部门无培训费支出；未计划举办节庆、晚会、论坛、赛事活动，开支0万元。</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b/>
          <w:sz w:val="28"/>
        </w:rPr>
        <w:t>（四）政府采购情况：</w:t>
      </w:r>
      <w:r>
        <w:rPr>
          <w:rFonts w:ascii="宋体" w:hAnsi="宋体" w:eastAsia="宋体" w:cs="宋体"/>
          <w:sz w:val="28"/>
        </w:rPr>
        <w:t>2024年本部门政府采购预算总额8.00万元，其中，货物类采购预算8万元；工程类采购预算0万元；服务类采购预算0万元。</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b/>
          <w:sz w:val="28"/>
        </w:rPr>
        <w:t>（五）国有资产占用使用及新增资产配置情况：</w:t>
      </w:r>
      <w:r>
        <w:rPr>
          <w:rFonts w:ascii="宋体" w:hAnsi="宋体" w:eastAsia="宋体" w:cs="宋体"/>
          <w:sz w:val="28"/>
        </w:rPr>
        <w:t>截至2023年12月底，本部门共有公务用车0辆，其中，机要通信用车0辆，应急保障用车0辆，执法执勤用车0辆，特种专业技术用车0辆，其他按照规定配备的公务用车0辆；单位价值50万元以上通用设备0台，单位价值100万元以上专用设备0台。2024年拟新增配置公务用车0辆，其中，机要通信用车0辆，应急保障用车0辆，执法执勤用车0辆，特种专业技术用车0辆，其他按照规定配备的公务用车0辆；新增配备单位价值50万元以上通用设备0台，单位价值100万元以上专用设备0台。。</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b/>
          <w:sz w:val="28"/>
        </w:rPr>
        <w:t>（六）预算绩效目标说明：</w:t>
      </w:r>
      <w:r>
        <w:rPr>
          <w:rFonts w:ascii="宋体" w:hAnsi="宋体" w:eastAsia="宋体" w:cs="宋体"/>
          <w:sz w:val="28"/>
        </w:rPr>
        <w:t>本部门所有支出实行绩效目标管理，其中：纳入2024年部门整体支出绩效目标的金额为783.07万元，基本支出710.27万元，单位项目支出72.80万元。具体绩效目标详见报表。</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b/>
          <w:sz w:val="28"/>
        </w:rPr>
        <w:t>七、名词解释</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1047"/>
        <w:jc w:val="both"/>
        <w:rPr>
          <w:rFonts w:ascii="宋体" w:hAnsi="宋体" w:eastAsia="宋体" w:cs="宋体"/>
          <w:vanish w:val="0"/>
          <w:sz w:val="24"/>
        </w:rPr>
      </w:pPr>
      <w:r>
        <w:rPr>
          <w:rFonts w:ascii="宋体" w:hAnsi="宋体" w:eastAsia="宋体" w:cs="宋体"/>
          <w:sz w:val="28"/>
        </w:rPr>
        <w:t>1、“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支出。</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8"/>
        </w:rPr>
        <w:t>2、机关运行经费：机关运行经费指为保障行政单位（包括参照公务员法管理的事业单位）运行，用于购买货物和服务的各项资金。包括办公及印刷费、邮电费、差旅费、会议费、福利费、日常维修费、专用材料费及一般设备购置费、办公用房水电费、公务用车运行维护费及其他费用。</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宋体" w:hAnsi="宋体" w:eastAsia="宋体" w:cs="宋体"/>
          <w:b/>
          <w:sz w:val="28"/>
        </w:rPr>
        <w:t>第二部分 2024年部门预算表</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1047"/>
        <w:jc w:val="both"/>
        <w:rPr>
          <w:rFonts w:ascii="宋体" w:hAnsi="宋体" w:eastAsia="宋体" w:cs="宋体"/>
          <w:vanish w:val="0"/>
          <w:sz w:val="24"/>
        </w:rPr>
      </w:pPr>
      <w:r>
        <w:rPr>
          <w:rFonts w:ascii="宋体" w:hAnsi="宋体" w:eastAsia="宋体" w:cs="宋体"/>
          <w:sz w:val="28"/>
        </w:rPr>
        <w:t>附件：怀化市鹤城区人力资源和社会保障局部门预算公开表</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p>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5"/>
  </w:compat>
  <w:rsids>
    <w:rsidRoot w:val="00000000"/>
    <w:rsid w:val="4A772094"/>
    <w:rsid w:val="4AE6131F"/>
    <w:rsid w:val="6EBB37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2024-01-24T11:25:00Z</dcterms:created>
  <dc:creator>Administrator</dc:creator>
  <cp:lastModifiedBy>Administrator</cp:lastModifiedBy>
  <dcterms:modified xsi:type="dcterms:W3CDTF">2024-11-06T01:07:52Z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