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AB175">
      <w:pPr>
        <w:jc w:val="center"/>
        <w:rPr>
          <w:rFonts w:hint="eastAsia" w:ascii="隶书" w:hAnsi="华文中宋" w:eastAsia="隶书" w:cs="Courier New"/>
          <w:color w:val="auto"/>
          <w:sz w:val="84"/>
          <w:szCs w:val="84"/>
        </w:rPr>
      </w:pPr>
    </w:p>
    <w:p w14:paraId="47949690">
      <w:pPr>
        <w:jc w:val="center"/>
        <w:rPr>
          <w:rFonts w:hint="eastAsia" w:ascii="隶书" w:hAnsi="华文中宋" w:eastAsia="隶书" w:cs="Courier New"/>
          <w:color w:val="auto"/>
          <w:sz w:val="84"/>
          <w:szCs w:val="84"/>
        </w:rPr>
      </w:pPr>
    </w:p>
    <w:p w14:paraId="5DF88FB1">
      <w:pPr>
        <w:jc w:val="center"/>
        <w:rPr>
          <w:rFonts w:ascii="隶书" w:hAnsi="华文中宋" w:eastAsia="隶书" w:cs="Courier New"/>
          <w:bCs/>
          <w:color w:val="auto"/>
          <w:sz w:val="84"/>
          <w:szCs w:val="84"/>
        </w:rPr>
      </w:pPr>
      <w:r>
        <w:rPr>
          <w:rFonts w:hint="eastAsia" w:ascii="隶书" w:hAnsi="华文中宋" w:eastAsia="隶书" w:cs="Courier New"/>
          <w:color w:val="auto"/>
          <w:sz w:val="84"/>
          <w:szCs w:val="84"/>
        </w:rPr>
        <w:t>政府采购</w:t>
      </w:r>
    </w:p>
    <w:p w14:paraId="338A70B1">
      <w:pPr>
        <w:adjustRightInd w:val="0"/>
        <w:snapToGrid w:val="0"/>
        <w:spacing w:line="360" w:lineRule="auto"/>
        <w:jc w:val="center"/>
        <w:rPr>
          <w:rFonts w:ascii="隶书" w:hAnsi="华文中宋" w:eastAsia="隶书" w:cs="Courier New"/>
          <w:color w:val="auto"/>
          <w:sz w:val="84"/>
          <w:szCs w:val="84"/>
        </w:rPr>
      </w:pPr>
      <w:r>
        <w:rPr>
          <w:rFonts w:hint="eastAsia" w:ascii="隶书" w:hAnsi="华文中宋" w:eastAsia="隶书" w:cs="Courier New"/>
          <w:color w:val="auto"/>
          <w:sz w:val="84"/>
          <w:szCs w:val="84"/>
        </w:rPr>
        <w:t>竞争性谈判文件</w:t>
      </w:r>
    </w:p>
    <w:p w14:paraId="70185906">
      <w:pPr>
        <w:adjustRightInd w:val="0"/>
        <w:snapToGrid w:val="0"/>
        <w:spacing w:line="360" w:lineRule="auto"/>
        <w:ind w:left="2563" w:leftChars="554" w:hanging="1400" w:hangingChars="700"/>
        <w:rPr>
          <w:rFonts w:ascii="Tahoma" w:hAnsi="Tahoma" w:cs="Tahoma"/>
          <w:color w:val="auto"/>
          <w:sz w:val="20"/>
          <w:szCs w:val="20"/>
        </w:rPr>
      </w:pPr>
    </w:p>
    <w:p w14:paraId="542F7459">
      <w:pPr>
        <w:adjustRightInd w:val="0"/>
        <w:snapToGrid w:val="0"/>
        <w:spacing w:line="360" w:lineRule="auto"/>
        <w:ind w:left="2563" w:leftChars="554" w:hanging="1400" w:hangingChars="700"/>
        <w:rPr>
          <w:rFonts w:ascii="Tahoma" w:hAnsi="Tahoma" w:cs="Tahoma"/>
          <w:color w:val="auto"/>
          <w:sz w:val="20"/>
          <w:szCs w:val="20"/>
        </w:rPr>
      </w:pPr>
    </w:p>
    <w:p w14:paraId="29B737C4">
      <w:pPr>
        <w:adjustRightInd w:val="0"/>
        <w:snapToGrid w:val="0"/>
        <w:spacing w:line="360" w:lineRule="auto"/>
        <w:ind w:left="3365" w:leftChars="608" w:hanging="2088" w:hangingChars="650"/>
        <w:rPr>
          <w:rFonts w:hint="eastAsia" w:hAnsi="宋体"/>
          <w:b/>
          <w:color w:val="auto"/>
          <w:sz w:val="32"/>
          <w:szCs w:val="32"/>
          <w:u w:val="single"/>
          <w:lang w:val="en-US" w:eastAsia="zh-CN"/>
        </w:rPr>
      </w:pPr>
      <w:r>
        <w:rPr>
          <w:rFonts w:hint="eastAsia" w:hAnsi="宋体"/>
          <w:b/>
          <w:color w:val="auto"/>
          <w:sz w:val="32"/>
          <w:szCs w:val="32"/>
        </w:rPr>
        <w:t>采购项目名称：</w:t>
      </w:r>
      <w:r>
        <w:rPr>
          <w:rFonts w:hint="eastAsia" w:hAnsi="宋体"/>
          <w:b/>
          <w:color w:val="auto"/>
          <w:sz w:val="32"/>
          <w:szCs w:val="32"/>
          <w:u w:val="single"/>
          <w:lang w:val="en-US" w:eastAsia="zh-CN"/>
        </w:rPr>
        <w:t>鹤北新城城中村改造安置区项目（一期）桩基础检测（一期剩余工程量）</w:t>
      </w:r>
    </w:p>
    <w:p w14:paraId="132F43A0">
      <w:pPr>
        <w:adjustRightInd w:val="0"/>
        <w:snapToGrid w:val="0"/>
        <w:spacing w:line="360" w:lineRule="auto"/>
        <w:ind w:firstLine="1124" w:firstLineChars="350"/>
        <w:rPr>
          <w:rFonts w:hAnsi="宋体"/>
          <w:b/>
          <w:color w:val="auto"/>
          <w:sz w:val="32"/>
          <w:szCs w:val="32"/>
          <w:u w:val="single"/>
        </w:rPr>
      </w:pPr>
      <w:r>
        <w:rPr>
          <w:rFonts w:hint="eastAsia" w:hAnsi="宋体"/>
          <w:b/>
          <w:color w:val="auto"/>
          <w:sz w:val="32"/>
          <w:szCs w:val="32"/>
        </w:rPr>
        <w:t>委托代理编号：</w:t>
      </w:r>
      <w:r>
        <w:rPr>
          <w:rFonts w:hint="eastAsia" w:hAnsi="宋体" w:cs="Times New Roman"/>
          <w:b/>
          <w:color w:val="auto"/>
          <w:sz w:val="32"/>
          <w:szCs w:val="32"/>
          <w:u w:val="single"/>
          <w:lang w:val="en-US" w:eastAsia="zh-CN"/>
        </w:rPr>
        <w:t>2025-DLJ-014</w:t>
      </w:r>
    </w:p>
    <w:p w14:paraId="416AF7E9">
      <w:pPr>
        <w:adjustRightInd w:val="0"/>
        <w:snapToGrid w:val="0"/>
        <w:spacing w:line="360" w:lineRule="auto"/>
        <w:ind w:firstLine="1124" w:firstLineChars="350"/>
        <w:rPr>
          <w:rFonts w:hAnsi="宋体"/>
          <w:b/>
          <w:color w:val="auto"/>
          <w:sz w:val="32"/>
          <w:szCs w:val="32"/>
          <w:u w:val="single"/>
        </w:rPr>
      </w:pPr>
      <w:r>
        <w:rPr>
          <w:rFonts w:hint="eastAsia" w:hAnsi="宋体"/>
          <w:b/>
          <w:color w:val="auto"/>
          <w:sz w:val="32"/>
          <w:szCs w:val="32"/>
        </w:rPr>
        <w:t>采</w:t>
      </w:r>
      <w:r>
        <w:rPr>
          <w:rFonts w:hAnsi="宋体"/>
          <w:b/>
          <w:color w:val="auto"/>
          <w:sz w:val="32"/>
          <w:szCs w:val="32"/>
        </w:rPr>
        <w:t xml:space="preserve">   </w:t>
      </w:r>
      <w:r>
        <w:rPr>
          <w:rFonts w:hint="eastAsia" w:hAnsi="宋体"/>
          <w:b/>
          <w:color w:val="auto"/>
          <w:sz w:val="32"/>
          <w:szCs w:val="32"/>
        </w:rPr>
        <w:t>购</w:t>
      </w:r>
      <w:r>
        <w:rPr>
          <w:rFonts w:hAnsi="宋体"/>
          <w:b/>
          <w:color w:val="auto"/>
          <w:sz w:val="32"/>
          <w:szCs w:val="32"/>
        </w:rPr>
        <w:t xml:space="preserve">   </w:t>
      </w:r>
      <w:r>
        <w:rPr>
          <w:rFonts w:hint="eastAsia" w:hAnsi="宋体"/>
          <w:b/>
          <w:color w:val="auto"/>
          <w:sz w:val="32"/>
          <w:szCs w:val="32"/>
        </w:rPr>
        <w:t>人：</w:t>
      </w:r>
      <w:r>
        <w:rPr>
          <w:rFonts w:hint="eastAsia" w:hAnsi="宋体"/>
          <w:b/>
          <w:color w:val="auto"/>
          <w:sz w:val="32"/>
          <w:szCs w:val="32"/>
          <w:u w:val="single"/>
          <w:lang w:val="en-US" w:eastAsia="zh-CN"/>
        </w:rPr>
        <w:t>怀化市鹤城区城市建设投资有限公司</w:t>
      </w:r>
    </w:p>
    <w:p w14:paraId="2DF482EF">
      <w:pPr>
        <w:adjustRightInd w:val="0"/>
        <w:snapToGrid w:val="0"/>
        <w:spacing w:line="360" w:lineRule="auto"/>
        <w:ind w:firstLine="1124" w:firstLineChars="350"/>
        <w:rPr>
          <w:rFonts w:hAnsi="宋体"/>
          <w:color w:val="auto"/>
          <w:sz w:val="32"/>
          <w:szCs w:val="32"/>
        </w:rPr>
      </w:pPr>
      <w:r>
        <w:rPr>
          <w:rFonts w:hint="eastAsia" w:ascii="宋体"/>
          <w:b/>
          <w:color w:val="auto"/>
          <w:sz w:val="32"/>
          <w:szCs w:val="21"/>
        </w:rPr>
        <w:t>采购代理机构：</w:t>
      </w:r>
      <w:r>
        <w:rPr>
          <w:rFonts w:hint="eastAsia" w:hAnsi="宋体" w:cs="Times New Roman"/>
          <w:b/>
          <w:color w:val="auto"/>
          <w:sz w:val="32"/>
          <w:szCs w:val="32"/>
          <w:u w:val="single"/>
          <w:lang w:val="en-US" w:eastAsia="zh-CN"/>
        </w:rPr>
        <w:t>东联建建筑咨询有限公司</w:t>
      </w:r>
    </w:p>
    <w:p w14:paraId="269F8400">
      <w:pPr>
        <w:adjustRightInd w:val="0"/>
        <w:snapToGrid w:val="0"/>
        <w:spacing w:line="360" w:lineRule="auto"/>
        <w:ind w:left="645" w:leftChars="307"/>
        <w:jc w:val="center"/>
        <w:rPr>
          <w:rFonts w:ascii="宋体" w:hAnsi="Courier New" w:cs="Courier New"/>
          <w:b/>
          <w:color w:val="auto"/>
          <w:sz w:val="32"/>
          <w:szCs w:val="32"/>
        </w:rPr>
      </w:pPr>
    </w:p>
    <w:p w14:paraId="5D490923">
      <w:pPr>
        <w:adjustRightInd w:val="0"/>
        <w:snapToGrid w:val="0"/>
        <w:spacing w:line="360" w:lineRule="auto"/>
        <w:jc w:val="center"/>
        <w:rPr>
          <w:rFonts w:ascii="仿宋_GB2312" w:hAnsi="宋体" w:eastAsia="仿宋_GB2312" w:cs="Courier New"/>
          <w:b/>
          <w:color w:val="auto"/>
          <w:sz w:val="32"/>
          <w:szCs w:val="21"/>
        </w:rPr>
      </w:pPr>
    </w:p>
    <w:p w14:paraId="20D21CDC">
      <w:pPr>
        <w:adjustRightInd w:val="0"/>
        <w:snapToGrid w:val="0"/>
        <w:spacing w:line="360" w:lineRule="auto"/>
        <w:rPr>
          <w:rFonts w:ascii="仿宋_GB2312" w:hAnsi="宋体" w:eastAsia="仿宋_GB2312" w:cs="Courier New"/>
          <w:b/>
          <w:color w:val="auto"/>
          <w:sz w:val="32"/>
          <w:szCs w:val="21"/>
        </w:rPr>
      </w:pPr>
    </w:p>
    <w:p w14:paraId="4BB99990">
      <w:pPr>
        <w:adjustRightInd w:val="0"/>
        <w:snapToGrid w:val="0"/>
        <w:spacing w:line="360" w:lineRule="auto"/>
        <w:jc w:val="center"/>
        <w:rPr>
          <w:rFonts w:ascii="仿宋_GB2312" w:hAnsi="宋体" w:eastAsia="仿宋_GB2312" w:cs="Courier New"/>
          <w:b/>
          <w:color w:val="auto"/>
          <w:sz w:val="32"/>
          <w:szCs w:val="21"/>
        </w:rPr>
      </w:pPr>
    </w:p>
    <w:p w14:paraId="55C61C2B">
      <w:pPr>
        <w:adjustRightInd w:val="0"/>
        <w:snapToGrid w:val="0"/>
        <w:spacing w:line="360" w:lineRule="auto"/>
        <w:jc w:val="center"/>
        <w:rPr>
          <w:rFonts w:ascii="仿宋_GB2312" w:hAnsi="宋体" w:eastAsia="仿宋_GB2312" w:cs="Courier New"/>
          <w:b/>
          <w:color w:val="auto"/>
          <w:sz w:val="32"/>
          <w:szCs w:val="21"/>
        </w:rPr>
      </w:pPr>
    </w:p>
    <w:p w14:paraId="1918DDC5">
      <w:pPr>
        <w:adjustRightInd w:val="0"/>
        <w:snapToGrid w:val="0"/>
        <w:spacing w:line="360" w:lineRule="auto"/>
        <w:jc w:val="center"/>
        <w:rPr>
          <w:rFonts w:ascii="仿宋_GB2312" w:hAnsi="宋体" w:eastAsia="仿宋_GB2312" w:cs="Courier New"/>
          <w:b/>
          <w:color w:val="auto"/>
          <w:sz w:val="32"/>
          <w:szCs w:val="21"/>
        </w:rPr>
      </w:pPr>
    </w:p>
    <w:p w14:paraId="4813399F">
      <w:pPr>
        <w:adjustRightInd w:val="0"/>
        <w:snapToGrid w:val="0"/>
        <w:spacing w:line="360" w:lineRule="auto"/>
        <w:jc w:val="center"/>
        <w:rPr>
          <w:rFonts w:ascii="宋体" w:hAnsi="宋体" w:cs="Courier New"/>
          <w:b/>
          <w:color w:val="auto"/>
          <w:sz w:val="32"/>
          <w:szCs w:val="21"/>
        </w:rPr>
      </w:pPr>
      <w:r>
        <w:rPr>
          <w:rFonts w:hint="eastAsia" w:ascii="宋体" w:hAnsi="宋体" w:cs="Courier New"/>
          <w:b/>
          <w:color w:val="auto"/>
          <w:sz w:val="32"/>
          <w:szCs w:val="21"/>
          <w:lang w:val="en-US" w:eastAsia="zh-CN"/>
        </w:rPr>
        <w:t>2025</w:t>
      </w:r>
      <w:r>
        <w:rPr>
          <w:rFonts w:hint="eastAsia" w:ascii="宋体" w:hAnsi="宋体" w:cs="Courier New"/>
          <w:b/>
          <w:color w:val="auto"/>
          <w:sz w:val="32"/>
          <w:szCs w:val="21"/>
        </w:rPr>
        <w:t>年</w:t>
      </w:r>
      <w:r>
        <w:rPr>
          <w:rFonts w:hint="eastAsia" w:ascii="宋体" w:hAnsi="宋体" w:cs="Courier New"/>
          <w:b/>
          <w:color w:val="auto"/>
          <w:sz w:val="32"/>
          <w:szCs w:val="21"/>
          <w:lang w:val="en-US" w:eastAsia="zh-CN"/>
        </w:rPr>
        <w:t>07</w:t>
      </w:r>
      <w:bookmarkStart w:id="246" w:name="_GoBack"/>
      <w:bookmarkEnd w:id="246"/>
      <w:r>
        <w:rPr>
          <w:rFonts w:hint="eastAsia" w:ascii="宋体" w:hAnsi="宋体" w:cs="Courier New"/>
          <w:b/>
          <w:color w:val="auto"/>
          <w:sz w:val="32"/>
          <w:szCs w:val="21"/>
        </w:rPr>
        <w:t>月</w:t>
      </w:r>
    </w:p>
    <w:p w14:paraId="1D2BF3E1">
      <w:pPr>
        <w:adjustRightInd w:val="0"/>
        <w:snapToGrid w:val="0"/>
        <w:spacing w:line="360" w:lineRule="auto"/>
        <w:jc w:val="center"/>
        <w:rPr>
          <w:rFonts w:ascii="黑体" w:hAnsi="宋体" w:eastAsia="黑体" w:cs="Courier New"/>
          <w:b/>
          <w:color w:val="auto"/>
          <w:spacing w:val="160"/>
          <w:sz w:val="32"/>
          <w:szCs w:val="32"/>
        </w:rPr>
        <w:sectPr>
          <w:footerReference r:id="rId3" w:type="default"/>
          <w:pgSz w:w="11906" w:h="16838"/>
          <w:pgMar w:top="1474" w:right="1474" w:bottom="1474" w:left="1588" w:header="851" w:footer="992" w:gutter="0"/>
          <w:cols w:space="720" w:num="1"/>
          <w:docGrid w:type="lines" w:linePitch="312" w:charSpace="0"/>
        </w:sectPr>
      </w:pPr>
    </w:p>
    <w:p w14:paraId="3E25C09A">
      <w:pPr>
        <w:adjustRightInd w:val="0"/>
        <w:snapToGrid w:val="0"/>
        <w:spacing w:line="360" w:lineRule="auto"/>
        <w:jc w:val="center"/>
        <w:rPr>
          <w:rFonts w:ascii="黑体" w:hAnsi="宋体" w:eastAsia="黑体" w:cs="Courier New"/>
          <w:b/>
          <w:color w:val="auto"/>
          <w:spacing w:val="160"/>
          <w:sz w:val="32"/>
          <w:szCs w:val="32"/>
        </w:rPr>
      </w:pPr>
      <w:r>
        <w:rPr>
          <w:rFonts w:hint="eastAsia" w:ascii="黑体" w:hAnsi="宋体" w:eastAsia="黑体" w:cs="Courier New"/>
          <w:b/>
          <w:color w:val="auto"/>
          <w:spacing w:val="160"/>
          <w:sz w:val="32"/>
          <w:szCs w:val="32"/>
        </w:rPr>
        <w:t>目录</w:t>
      </w:r>
    </w:p>
    <w:p w14:paraId="1B545B7D">
      <w:pPr>
        <w:pStyle w:val="18"/>
        <w:tabs>
          <w:tab w:val="right" w:leader="dot" w:pos="8844"/>
        </w:tabs>
      </w:pPr>
      <w:r>
        <w:rPr>
          <w:rFonts w:hAnsi="宋体"/>
          <w:bCs/>
          <w:color w:val="auto"/>
          <w:sz w:val="28"/>
        </w:rPr>
        <w:fldChar w:fldCharType="begin"/>
      </w:r>
      <w:r>
        <w:rPr>
          <w:rFonts w:hAnsi="宋体"/>
          <w:bCs/>
          <w:color w:val="auto"/>
          <w:sz w:val="28"/>
        </w:rPr>
        <w:instrText xml:space="preserve"> TOC \o "1-3" \h \z \u </w:instrText>
      </w:r>
      <w:r>
        <w:rPr>
          <w:rFonts w:hAnsi="宋体"/>
          <w:bCs/>
          <w:color w:val="auto"/>
          <w:sz w:val="28"/>
        </w:rPr>
        <w:fldChar w:fldCharType="separate"/>
      </w:r>
      <w:r>
        <w:rPr>
          <w:rFonts w:hAnsi="宋体"/>
          <w:bCs/>
          <w:color w:val="auto"/>
        </w:rPr>
        <w:fldChar w:fldCharType="begin"/>
      </w:r>
      <w:r>
        <w:rPr>
          <w:rFonts w:hAnsi="宋体"/>
          <w:bCs/>
        </w:rPr>
        <w:instrText xml:space="preserve"> HYPERLINK \l _Toc7075 </w:instrText>
      </w:r>
      <w:r>
        <w:rPr>
          <w:rFonts w:hAnsi="宋体"/>
          <w:bCs/>
        </w:rPr>
        <w:fldChar w:fldCharType="separate"/>
      </w:r>
      <w:r>
        <w:rPr>
          <w:rFonts w:hint="eastAsia" w:ascii="黑体" w:hAnsi="黑体" w:eastAsia="黑体"/>
          <w:bCs/>
          <w:szCs w:val="32"/>
        </w:rPr>
        <w:t>第一章 谈判邀请</w:t>
      </w:r>
      <w:r>
        <w:rPr>
          <w:rFonts w:ascii="Times New Roman" w:hAnsi="Times New Roman" w:eastAsia="宋体" w:cs="Times New Roman"/>
          <w:b/>
          <w:bCs/>
          <w:kern w:val="2"/>
          <w:sz w:val="24"/>
          <w:szCs w:val="24"/>
          <w:lang w:val="en-US" w:eastAsia="zh-CN" w:bidi="ar-SA"/>
        </w:rPr>
        <w:tab/>
      </w:r>
      <w:r>
        <w:fldChar w:fldCharType="begin"/>
      </w:r>
      <w:r>
        <w:instrText xml:space="preserve"> PAGEREF _Toc7075 \h </w:instrText>
      </w:r>
      <w:r>
        <w:fldChar w:fldCharType="separate"/>
      </w:r>
      <w:r>
        <w:t>2</w:t>
      </w:r>
      <w:r>
        <w:fldChar w:fldCharType="end"/>
      </w:r>
      <w:r>
        <w:rPr>
          <w:rFonts w:hAnsi="宋体"/>
          <w:bCs/>
          <w:color w:val="auto"/>
        </w:rPr>
        <w:fldChar w:fldCharType="end"/>
      </w:r>
    </w:p>
    <w:p w14:paraId="6B4E9788">
      <w:pPr>
        <w:pStyle w:val="18"/>
        <w:tabs>
          <w:tab w:val="right" w:leader="dot" w:pos="8844"/>
        </w:tabs>
      </w:pPr>
      <w:r>
        <w:rPr>
          <w:color w:val="auto"/>
        </w:rPr>
        <w:fldChar w:fldCharType="begin"/>
      </w:r>
      <w:r>
        <w:instrText xml:space="preserve"> HYPERLINK \l _Toc15008 </w:instrText>
      </w:r>
      <w:r>
        <w:fldChar w:fldCharType="separate"/>
      </w:r>
      <w:r>
        <w:rPr>
          <w:rFonts w:hint="eastAsia" w:ascii="黑体" w:hAnsi="黑体" w:eastAsia="黑体"/>
          <w:bCs/>
          <w:szCs w:val="32"/>
        </w:rPr>
        <w:t>第二章 谈判须知</w:t>
      </w:r>
      <w:r>
        <w:rPr>
          <w:rFonts w:ascii="Times New Roman" w:hAnsi="Times New Roman" w:eastAsia="宋体" w:cs="Times New Roman"/>
          <w:b/>
          <w:bCs/>
          <w:kern w:val="2"/>
          <w:sz w:val="24"/>
          <w:szCs w:val="24"/>
          <w:lang w:val="en-US" w:eastAsia="zh-CN" w:bidi="ar-SA"/>
        </w:rPr>
        <w:tab/>
      </w:r>
      <w:r>
        <w:fldChar w:fldCharType="begin"/>
      </w:r>
      <w:r>
        <w:instrText xml:space="preserve"> PAGEREF _Toc15008 \h </w:instrText>
      </w:r>
      <w:r>
        <w:fldChar w:fldCharType="separate"/>
      </w:r>
      <w:r>
        <w:t>5</w:t>
      </w:r>
      <w:r>
        <w:fldChar w:fldCharType="end"/>
      </w:r>
      <w:r>
        <w:rPr>
          <w:color w:val="auto"/>
        </w:rPr>
        <w:fldChar w:fldCharType="end"/>
      </w:r>
    </w:p>
    <w:p w14:paraId="04A6BCC4">
      <w:pPr>
        <w:pStyle w:val="18"/>
        <w:tabs>
          <w:tab w:val="right" w:leader="dot" w:pos="8844"/>
        </w:tabs>
        <w:rPr>
          <w:rFonts w:hint="eastAsia" w:eastAsia="宋体"/>
          <w:lang w:val="en-US" w:eastAsia="zh-CN"/>
        </w:rPr>
      </w:pPr>
      <w:r>
        <w:rPr>
          <w:color w:val="auto"/>
        </w:rPr>
        <w:fldChar w:fldCharType="begin"/>
      </w:r>
      <w:r>
        <w:instrText xml:space="preserve"> HYPERLINK \l _Toc25776 </w:instrText>
      </w:r>
      <w:r>
        <w:fldChar w:fldCharType="separate"/>
      </w:r>
      <w:r>
        <w:rPr>
          <w:rFonts w:hint="eastAsia" w:ascii="黑体" w:hAnsi="黑体" w:eastAsia="黑体"/>
          <w:bCs/>
          <w:szCs w:val="32"/>
        </w:rPr>
        <w:t>第三章 采购需求</w:t>
      </w:r>
      <w:r>
        <w:rPr>
          <w:rFonts w:ascii="Times New Roman" w:hAnsi="Times New Roman" w:eastAsia="宋体" w:cs="Times New Roman"/>
          <w:b/>
          <w:kern w:val="2"/>
          <w:sz w:val="21"/>
          <w:szCs w:val="24"/>
          <w:lang w:val="en-US" w:eastAsia="zh-CN" w:bidi="ar-SA"/>
        </w:rPr>
        <w:tab/>
      </w:r>
      <w:r>
        <w:rPr>
          <w:rFonts w:hint="eastAsia"/>
          <w:lang w:val="en-US" w:eastAsia="zh-CN"/>
        </w:rPr>
        <w:t>2</w:t>
      </w:r>
      <w:r>
        <w:rPr>
          <w:color w:val="auto"/>
        </w:rPr>
        <w:fldChar w:fldCharType="end"/>
      </w:r>
      <w:r>
        <w:rPr>
          <w:rFonts w:hint="eastAsia"/>
          <w:color w:val="auto"/>
          <w:lang w:val="en-US" w:eastAsia="zh-CN"/>
        </w:rPr>
        <w:t>7</w:t>
      </w:r>
    </w:p>
    <w:p w14:paraId="330FEF43">
      <w:pPr>
        <w:pStyle w:val="18"/>
        <w:tabs>
          <w:tab w:val="right" w:leader="dot" w:pos="8844"/>
        </w:tabs>
      </w:pPr>
      <w:r>
        <w:rPr>
          <w:color w:val="auto"/>
        </w:rPr>
        <w:fldChar w:fldCharType="begin"/>
      </w:r>
      <w:r>
        <w:instrText xml:space="preserve"> HYPERLINK \l _Toc20807 </w:instrText>
      </w:r>
      <w:r>
        <w:fldChar w:fldCharType="separate"/>
      </w:r>
      <w:r>
        <w:rPr>
          <w:rFonts w:hint="eastAsia" w:ascii="黑体" w:hAnsi="黑体" w:eastAsia="黑体"/>
          <w:bCs/>
          <w:szCs w:val="32"/>
        </w:rPr>
        <w:t>第四章 合同草案条款</w:t>
      </w:r>
      <w:r>
        <w:rPr>
          <w:rFonts w:ascii="Times New Roman" w:hAnsi="Times New Roman" w:eastAsia="宋体" w:cs="Times New Roman"/>
          <w:b/>
          <w:bCs/>
          <w:kern w:val="2"/>
          <w:sz w:val="24"/>
          <w:szCs w:val="24"/>
          <w:lang w:val="en-US" w:eastAsia="zh-CN" w:bidi="ar-SA"/>
        </w:rPr>
        <w:tab/>
      </w:r>
      <w:r>
        <w:rPr>
          <w:rFonts w:hint="eastAsia"/>
          <w:lang w:val="en-US" w:eastAsia="zh-CN"/>
        </w:rPr>
        <w:t>3</w:t>
      </w:r>
      <w:r>
        <w:rPr>
          <w:color w:val="auto"/>
        </w:rPr>
        <w:fldChar w:fldCharType="end"/>
      </w:r>
      <w:r>
        <w:rPr>
          <w:rFonts w:hint="eastAsia"/>
          <w:color w:val="auto"/>
          <w:lang w:val="en-US" w:eastAsia="zh-CN"/>
        </w:rPr>
        <w:t>6</w:t>
      </w:r>
    </w:p>
    <w:p w14:paraId="4C6B1D29">
      <w:pPr>
        <w:pStyle w:val="18"/>
        <w:tabs>
          <w:tab w:val="right" w:leader="dot" w:pos="8844"/>
        </w:tabs>
      </w:pPr>
      <w:r>
        <w:rPr>
          <w:color w:val="auto"/>
        </w:rPr>
        <w:fldChar w:fldCharType="begin"/>
      </w:r>
      <w:r>
        <w:instrText xml:space="preserve"> HYPERLINK \l _Toc24739 </w:instrText>
      </w:r>
      <w:r>
        <w:fldChar w:fldCharType="separate"/>
      </w:r>
      <w:r>
        <w:rPr>
          <w:rFonts w:hint="eastAsia" w:ascii="黑体" w:hAnsi="黑体" w:eastAsia="黑体"/>
          <w:bCs/>
          <w:szCs w:val="32"/>
        </w:rPr>
        <w:t>第五章 响应文件组成</w:t>
      </w:r>
      <w:r>
        <w:rPr>
          <w:rFonts w:ascii="Times New Roman" w:hAnsi="Times New Roman" w:eastAsia="宋体" w:cs="Times New Roman"/>
          <w:b/>
          <w:bCs/>
          <w:kern w:val="2"/>
          <w:sz w:val="24"/>
          <w:szCs w:val="24"/>
          <w:lang w:val="en-US" w:eastAsia="zh-CN" w:bidi="ar-SA"/>
        </w:rPr>
        <w:tab/>
      </w:r>
      <w:r>
        <w:fldChar w:fldCharType="begin"/>
      </w:r>
      <w:r>
        <w:instrText xml:space="preserve"> PAGEREF _Toc24739 \h </w:instrText>
      </w:r>
      <w:r>
        <w:fldChar w:fldCharType="separate"/>
      </w:r>
      <w:r>
        <w:t>36</w:t>
      </w:r>
      <w:r>
        <w:fldChar w:fldCharType="end"/>
      </w:r>
      <w:r>
        <w:rPr>
          <w:color w:val="auto"/>
        </w:rPr>
        <w:fldChar w:fldCharType="end"/>
      </w:r>
    </w:p>
    <w:p w14:paraId="1608745C">
      <w:pPr>
        <w:pStyle w:val="19"/>
        <w:tabs>
          <w:tab w:val="right" w:leader="dot" w:pos="8844"/>
        </w:tabs>
      </w:pPr>
      <w:r>
        <w:rPr>
          <w:color w:val="auto"/>
        </w:rPr>
        <w:fldChar w:fldCharType="begin"/>
      </w:r>
      <w:r>
        <w:instrText xml:space="preserve"> HYPERLINK \l _Toc23879 </w:instrText>
      </w:r>
      <w:r>
        <w:fldChar w:fldCharType="separate"/>
      </w:r>
      <w:r>
        <w:rPr>
          <w:rFonts w:hint="eastAsia" w:ascii="黑体" w:hAnsi="黑体" w:eastAsia="黑体" w:cs="黑体"/>
          <w:bCs/>
          <w:szCs w:val="21"/>
        </w:rPr>
        <w:t>索引表 符合性审查索引表</w:t>
      </w:r>
      <w:r>
        <w:tab/>
      </w:r>
      <w:r>
        <w:fldChar w:fldCharType="begin"/>
      </w:r>
      <w:r>
        <w:instrText xml:space="preserve"> PAGEREF _Toc23879 \h </w:instrText>
      </w:r>
      <w:r>
        <w:fldChar w:fldCharType="separate"/>
      </w:r>
      <w:r>
        <w:t>38</w:t>
      </w:r>
      <w:r>
        <w:fldChar w:fldCharType="end"/>
      </w:r>
      <w:r>
        <w:rPr>
          <w:color w:val="auto"/>
        </w:rPr>
        <w:fldChar w:fldCharType="end"/>
      </w:r>
    </w:p>
    <w:p w14:paraId="6ADBB297">
      <w:pPr>
        <w:pStyle w:val="19"/>
        <w:tabs>
          <w:tab w:val="right" w:leader="dot" w:pos="8844"/>
        </w:tabs>
      </w:pPr>
      <w:r>
        <w:rPr>
          <w:color w:val="auto"/>
        </w:rPr>
        <w:fldChar w:fldCharType="begin"/>
      </w:r>
      <w:r>
        <w:instrText xml:space="preserve"> HYPERLINK \l _Toc1389 </w:instrText>
      </w:r>
      <w:r>
        <w:fldChar w:fldCharType="separate"/>
      </w:r>
      <w:r>
        <w:rPr>
          <w:rFonts w:hint="eastAsia" w:ascii="黑体" w:hAnsi="黑体" w:eastAsia="黑体"/>
          <w:bCs/>
          <w:szCs w:val="28"/>
        </w:rPr>
        <w:t>一、报价表及报价文件(格式)</w:t>
      </w:r>
      <w:r>
        <w:tab/>
      </w:r>
      <w:r>
        <w:fldChar w:fldCharType="begin"/>
      </w:r>
      <w:r>
        <w:instrText xml:space="preserve"> PAGEREF _Toc1389 \h </w:instrText>
      </w:r>
      <w:r>
        <w:fldChar w:fldCharType="separate"/>
      </w:r>
      <w:r>
        <w:t>39</w:t>
      </w:r>
      <w:r>
        <w:fldChar w:fldCharType="end"/>
      </w:r>
      <w:r>
        <w:rPr>
          <w:color w:val="auto"/>
        </w:rPr>
        <w:fldChar w:fldCharType="end"/>
      </w:r>
    </w:p>
    <w:p w14:paraId="297E8D3A">
      <w:pPr>
        <w:pStyle w:val="19"/>
        <w:tabs>
          <w:tab w:val="right" w:leader="dot" w:pos="8844"/>
        </w:tabs>
      </w:pPr>
      <w:r>
        <w:rPr>
          <w:color w:val="auto"/>
        </w:rPr>
        <w:fldChar w:fldCharType="begin"/>
      </w:r>
      <w:r>
        <w:instrText xml:space="preserve"> HYPERLINK \l _Toc20516 </w:instrText>
      </w:r>
      <w:r>
        <w:fldChar w:fldCharType="separate"/>
      </w:r>
      <w:r>
        <w:rPr>
          <w:rFonts w:hint="eastAsia" w:ascii="黑体" w:hAnsi="黑体" w:eastAsia="黑体"/>
          <w:bCs/>
          <w:szCs w:val="28"/>
        </w:rPr>
        <w:t>二、谈判响应声明(格式)</w:t>
      </w:r>
      <w:r>
        <w:tab/>
      </w:r>
      <w:r>
        <w:fldChar w:fldCharType="begin"/>
      </w:r>
      <w:r>
        <w:instrText xml:space="preserve"> PAGEREF _Toc20516 \h </w:instrText>
      </w:r>
      <w:r>
        <w:fldChar w:fldCharType="separate"/>
      </w:r>
      <w:r>
        <w:t>41</w:t>
      </w:r>
      <w:r>
        <w:fldChar w:fldCharType="end"/>
      </w:r>
      <w:r>
        <w:rPr>
          <w:color w:val="auto"/>
        </w:rPr>
        <w:fldChar w:fldCharType="end"/>
      </w:r>
    </w:p>
    <w:p w14:paraId="77BB0638">
      <w:pPr>
        <w:pStyle w:val="19"/>
        <w:tabs>
          <w:tab w:val="right" w:leader="dot" w:pos="8844"/>
        </w:tabs>
      </w:pPr>
      <w:r>
        <w:rPr>
          <w:color w:val="auto"/>
        </w:rPr>
        <w:fldChar w:fldCharType="begin"/>
      </w:r>
      <w:r>
        <w:instrText xml:space="preserve"> HYPERLINK \l _Toc21858 </w:instrText>
      </w:r>
      <w:r>
        <w:fldChar w:fldCharType="separate"/>
      </w:r>
      <w:r>
        <w:rPr>
          <w:rFonts w:hint="eastAsia" w:ascii="黑体" w:hAnsi="黑体" w:eastAsia="黑体"/>
          <w:bCs/>
          <w:szCs w:val="28"/>
        </w:rPr>
        <w:t>三、保证金</w:t>
      </w:r>
      <w:r>
        <w:tab/>
      </w:r>
      <w:r>
        <w:fldChar w:fldCharType="begin"/>
      </w:r>
      <w:r>
        <w:instrText xml:space="preserve"> PAGEREF _Toc21858 \h </w:instrText>
      </w:r>
      <w:r>
        <w:fldChar w:fldCharType="separate"/>
      </w:r>
      <w:r>
        <w:t>42</w:t>
      </w:r>
      <w:r>
        <w:fldChar w:fldCharType="end"/>
      </w:r>
      <w:r>
        <w:rPr>
          <w:color w:val="auto"/>
        </w:rPr>
        <w:fldChar w:fldCharType="end"/>
      </w:r>
    </w:p>
    <w:p w14:paraId="5EC7F90E">
      <w:pPr>
        <w:pStyle w:val="19"/>
        <w:tabs>
          <w:tab w:val="right" w:leader="dot" w:pos="8844"/>
        </w:tabs>
      </w:pPr>
      <w:r>
        <w:rPr>
          <w:color w:val="auto"/>
        </w:rPr>
        <w:fldChar w:fldCharType="begin"/>
      </w:r>
      <w:r>
        <w:instrText xml:space="preserve"> HYPERLINK \l _Toc30742 </w:instrText>
      </w:r>
      <w:r>
        <w:fldChar w:fldCharType="separate"/>
      </w:r>
      <w:r>
        <w:rPr>
          <w:rFonts w:hint="eastAsia" w:ascii="黑体" w:hAnsi="黑体" w:eastAsia="黑体"/>
          <w:bCs/>
          <w:szCs w:val="28"/>
        </w:rPr>
        <w:t>四、授权委托书(格式)</w:t>
      </w:r>
      <w:r>
        <w:tab/>
      </w:r>
      <w:r>
        <w:fldChar w:fldCharType="begin"/>
      </w:r>
      <w:r>
        <w:instrText xml:space="preserve"> PAGEREF _Toc30742 \h </w:instrText>
      </w:r>
      <w:r>
        <w:fldChar w:fldCharType="separate"/>
      </w:r>
      <w:r>
        <w:t>43</w:t>
      </w:r>
      <w:r>
        <w:fldChar w:fldCharType="end"/>
      </w:r>
      <w:r>
        <w:rPr>
          <w:color w:val="auto"/>
        </w:rPr>
        <w:fldChar w:fldCharType="end"/>
      </w:r>
    </w:p>
    <w:p w14:paraId="387F111E">
      <w:pPr>
        <w:pStyle w:val="19"/>
        <w:tabs>
          <w:tab w:val="right" w:leader="dot" w:pos="8844"/>
        </w:tabs>
      </w:pPr>
      <w:r>
        <w:rPr>
          <w:color w:val="auto"/>
        </w:rPr>
        <w:fldChar w:fldCharType="begin"/>
      </w:r>
      <w:r>
        <w:instrText xml:space="preserve"> HYPERLINK \l _Toc14438 </w:instrText>
      </w:r>
      <w:r>
        <w:fldChar w:fldCharType="separate"/>
      </w:r>
      <w:r>
        <w:rPr>
          <w:rFonts w:hint="eastAsia" w:ascii="黑体" w:hAnsi="黑体" w:eastAsia="黑体"/>
          <w:bCs/>
          <w:szCs w:val="28"/>
        </w:rPr>
        <w:t>五、供应商资格审查材料</w:t>
      </w:r>
      <w:r>
        <w:tab/>
      </w:r>
      <w:r>
        <w:fldChar w:fldCharType="begin"/>
      </w:r>
      <w:r>
        <w:instrText xml:space="preserve"> PAGEREF _Toc14438 \h </w:instrText>
      </w:r>
      <w:r>
        <w:fldChar w:fldCharType="separate"/>
      </w:r>
      <w:r>
        <w:t>45</w:t>
      </w:r>
      <w:r>
        <w:fldChar w:fldCharType="end"/>
      </w:r>
      <w:r>
        <w:rPr>
          <w:color w:val="auto"/>
        </w:rPr>
        <w:fldChar w:fldCharType="end"/>
      </w:r>
    </w:p>
    <w:p w14:paraId="7D5E2A92">
      <w:pPr>
        <w:pStyle w:val="19"/>
        <w:tabs>
          <w:tab w:val="right" w:leader="dot" w:pos="8844"/>
        </w:tabs>
      </w:pPr>
      <w:r>
        <w:rPr>
          <w:color w:val="auto"/>
        </w:rPr>
        <w:fldChar w:fldCharType="begin"/>
      </w:r>
      <w:r>
        <w:instrText xml:space="preserve"> HYPERLINK \l _Toc20754 </w:instrText>
      </w:r>
      <w:r>
        <w:fldChar w:fldCharType="separate"/>
      </w:r>
      <w:r>
        <w:rPr>
          <w:rFonts w:hint="eastAsia" w:ascii="黑体" w:hAnsi="黑体" w:eastAsia="黑体"/>
          <w:bCs/>
          <w:szCs w:val="28"/>
        </w:rPr>
        <w:t>六、采购需求的响应</w:t>
      </w:r>
      <w:r>
        <w:tab/>
      </w:r>
      <w:r>
        <w:fldChar w:fldCharType="begin"/>
      </w:r>
      <w:r>
        <w:instrText xml:space="preserve"> PAGEREF _Toc20754 \h </w:instrText>
      </w:r>
      <w:r>
        <w:fldChar w:fldCharType="separate"/>
      </w:r>
      <w:r>
        <w:t>46</w:t>
      </w:r>
      <w:r>
        <w:fldChar w:fldCharType="end"/>
      </w:r>
      <w:r>
        <w:rPr>
          <w:color w:val="auto"/>
        </w:rPr>
        <w:fldChar w:fldCharType="end"/>
      </w:r>
    </w:p>
    <w:p w14:paraId="56023E47">
      <w:pPr>
        <w:pStyle w:val="19"/>
        <w:tabs>
          <w:tab w:val="right" w:leader="dot" w:pos="8844"/>
        </w:tabs>
      </w:pPr>
      <w:r>
        <w:rPr>
          <w:color w:val="auto"/>
        </w:rPr>
        <w:fldChar w:fldCharType="begin"/>
      </w:r>
      <w:r>
        <w:instrText xml:space="preserve"> HYPERLINK \l _Toc30078 </w:instrText>
      </w:r>
      <w:r>
        <w:fldChar w:fldCharType="separate"/>
      </w:r>
      <w:r>
        <w:rPr>
          <w:rFonts w:hint="eastAsia" w:ascii="黑体" w:hAnsi="黑体" w:eastAsia="黑体"/>
          <w:bCs/>
          <w:szCs w:val="28"/>
        </w:rPr>
        <w:t>七、合同条款偏离表</w:t>
      </w:r>
      <w:r>
        <w:tab/>
      </w:r>
      <w:r>
        <w:fldChar w:fldCharType="begin"/>
      </w:r>
      <w:r>
        <w:instrText xml:space="preserve"> PAGEREF _Toc30078 \h </w:instrText>
      </w:r>
      <w:r>
        <w:fldChar w:fldCharType="separate"/>
      </w:r>
      <w:r>
        <w:t>47</w:t>
      </w:r>
      <w:r>
        <w:fldChar w:fldCharType="end"/>
      </w:r>
      <w:r>
        <w:rPr>
          <w:color w:val="auto"/>
        </w:rPr>
        <w:fldChar w:fldCharType="end"/>
      </w:r>
    </w:p>
    <w:p w14:paraId="7952264E">
      <w:pPr>
        <w:pStyle w:val="19"/>
        <w:tabs>
          <w:tab w:val="right" w:leader="dot" w:pos="8844"/>
        </w:tabs>
      </w:pPr>
      <w:r>
        <w:rPr>
          <w:color w:val="auto"/>
        </w:rPr>
        <w:fldChar w:fldCharType="begin"/>
      </w:r>
      <w:r>
        <w:instrText xml:space="preserve"> HYPERLINK \l _Toc1639 </w:instrText>
      </w:r>
      <w:r>
        <w:fldChar w:fldCharType="separate"/>
      </w:r>
      <w:r>
        <w:rPr>
          <w:rFonts w:hint="eastAsia" w:ascii="黑体" w:hAnsi="Arial" w:eastAsia="黑体"/>
          <w:bCs/>
          <w:szCs w:val="28"/>
        </w:rPr>
        <w:t>八、采购需求偏离表</w:t>
      </w:r>
      <w:r>
        <w:tab/>
      </w:r>
      <w:r>
        <w:fldChar w:fldCharType="begin"/>
      </w:r>
      <w:r>
        <w:instrText xml:space="preserve"> PAGEREF _Toc1639 \h </w:instrText>
      </w:r>
      <w:r>
        <w:fldChar w:fldCharType="separate"/>
      </w:r>
      <w:r>
        <w:t>48</w:t>
      </w:r>
      <w:r>
        <w:fldChar w:fldCharType="end"/>
      </w:r>
      <w:r>
        <w:rPr>
          <w:color w:val="auto"/>
        </w:rPr>
        <w:fldChar w:fldCharType="end"/>
      </w:r>
    </w:p>
    <w:p w14:paraId="5E96B967">
      <w:pPr>
        <w:pStyle w:val="19"/>
        <w:tabs>
          <w:tab w:val="right" w:leader="dot" w:pos="8844"/>
        </w:tabs>
      </w:pPr>
      <w:r>
        <w:rPr>
          <w:color w:val="auto"/>
        </w:rPr>
        <w:fldChar w:fldCharType="begin"/>
      </w:r>
      <w:r>
        <w:instrText xml:space="preserve"> HYPERLINK \l _Toc22239 </w:instrText>
      </w:r>
      <w:r>
        <w:fldChar w:fldCharType="separate"/>
      </w:r>
      <w:r>
        <w:rPr>
          <w:rFonts w:ascii="Arial" w:hAnsi="Arial"/>
          <w:bCs/>
          <w:szCs w:val="32"/>
        </w:rPr>
        <w:t>九</w:t>
      </w:r>
      <w:r>
        <w:rPr>
          <w:rFonts w:hint="eastAsia" w:ascii="黑体" w:hAnsi="黑体" w:eastAsia="黑体"/>
          <w:bCs/>
          <w:szCs w:val="28"/>
        </w:rPr>
        <w:t>、享受政府采购政策优惠的证明资料</w:t>
      </w:r>
      <w:r>
        <w:tab/>
      </w:r>
      <w:r>
        <w:fldChar w:fldCharType="begin"/>
      </w:r>
      <w:r>
        <w:instrText xml:space="preserve"> PAGEREF _Toc22239 \h </w:instrText>
      </w:r>
      <w:r>
        <w:fldChar w:fldCharType="separate"/>
      </w:r>
      <w:r>
        <w:t>49</w:t>
      </w:r>
      <w:r>
        <w:fldChar w:fldCharType="end"/>
      </w:r>
      <w:r>
        <w:rPr>
          <w:color w:val="auto"/>
        </w:rPr>
        <w:fldChar w:fldCharType="end"/>
      </w:r>
    </w:p>
    <w:p w14:paraId="5BAD1196">
      <w:pPr>
        <w:pStyle w:val="19"/>
        <w:tabs>
          <w:tab w:val="right" w:leader="dot" w:pos="8844"/>
        </w:tabs>
      </w:pPr>
      <w:r>
        <w:rPr>
          <w:color w:val="auto"/>
        </w:rPr>
        <w:fldChar w:fldCharType="begin"/>
      </w:r>
      <w:r>
        <w:instrText xml:space="preserve"> HYPERLINK \l _Toc15988 </w:instrText>
      </w:r>
      <w:r>
        <w:fldChar w:fldCharType="separate"/>
      </w:r>
      <w:r>
        <w:rPr>
          <w:rFonts w:hint="eastAsia" w:ascii="黑体" w:hAnsi="黑体" w:eastAsia="黑体"/>
          <w:bCs/>
          <w:szCs w:val="28"/>
        </w:rPr>
        <w:t>十、响应标的符合谈判文件规定的证明文件</w:t>
      </w:r>
      <w:r>
        <w:tab/>
      </w:r>
      <w:r>
        <w:fldChar w:fldCharType="begin"/>
      </w:r>
      <w:r>
        <w:instrText xml:space="preserve"> PAGEREF _Toc15988 \h </w:instrText>
      </w:r>
      <w:r>
        <w:fldChar w:fldCharType="separate"/>
      </w:r>
      <w:r>
        <w:t>54</w:t>
      </w:r>
      <w:r>
        <w:fldChar w:fldCharType="end"/>
      </w:r>
      <w:r>
        <w:rPr>
          <w:color w:val="auto"/>
        </w:rPr>
        <w:fldChar w:fldCharType="end"/>
      </w:r>
    </w:p>
    <w:p w14:paraId="207DB36E">
      <w:pPr>
        <w:pStyle w:val="19"/>
        <w:tabs>
          <w:tab w:val="right" w:leader="dot" w:pos="8844"/>
        </w:tabs>
      </w:pPr>
      <w:r>
        <w:rPr>
          <w:color w:val="auto"/>
        </w:rPr>
        <w:fldChar w:fldCharType="begin"/>
      </w:r>
      <w:r>
        <w:instrText xml:space="preserve"> HYPERLINK \l _Toc142 </w:instrText>
      </w:r>
      <w:r>
        <w:fldChar w:fldCharType="separate"/>
      </w:r>
      <w:r>
        <w:rPr>
          <w:rFonts w:hint="eastAsia" w:ascii="黑体" w:hAnsi="黑体" w:eastAsia="黑体"/>
          <w:bCs/>
          <w:szCs w:val="28"/>
        </w:rPr>
        <w:t>十一、供应商认为需提供的其他资料</w:t>
      </w:r>
      <w:r>
        <w:tab/>
      </w:r>
      <w:r>
        <w:fldChar w:fldCharType="begin"/>
      </w:r>
      <w:r>
        <w:instrText xml:space="preserve"> PAGEREF _Toc142 \h </w:instrText>
      </w:r>
      <w:r>
        <w:fldChar w:fldCharType="separate"/>
      </w:r>
      <w:r>
        <w:t>55</w:t>
      </w:r>
      <w:r>
        <w:fldChar w:fldCharType="end"/>
      </w:r>
      <w:r>
        <w:rPr>
          <w:color w:val="auto"/>
        </w:rPr>
        <w:fldChar w:fldCharType="end"/>
      </w:r>
    </w:p>
    <w:p w14:paraId="76D97D4B">
      <w:pPr>
        <w:pStyle w:val="19"/>
        <w:tabs>
          <w:tab w:val="right" w:leader="dot" w:pos="8844"/>
        </w:tabs>
      </w:pPr>
      <w:r>
        <w:rPr>
          <w:color w:val="auto"/>
        </w:rPr>
        <w:fldChar w:fldCharType="begin"/>
      </w:r>
      <w:r>
        <w:instrText xml:space="preserve"> HYPERLINK \l _Toc31140 </w:instrText>
      </w:r>
      <w:r>
        <w:fldChar w:fldCharType="separate"/>
      </w:r>
      <w:r>
        <w:rPr>
          <w:rFonts w:hint="eastAsia" w:ascii="黑体" w:hAnsi="黑体" w:eastAsia="黑体" w:cs="黑体"/>
          <w:bCs/>
          <w:szCs w:val="32"/>
        </w:rPr>
        <w:t>十二、最后报价</w:t>
      </w:r>
      <w:r>
        <w:tab/>
      </w:r>
      <w:r>
        <w:fldChar w:fldCharType="begin"/>
      </w:r>
      <w:r>
        <w:instrText xml:space="preserve"> PAGEREF _Toc31140 \h </w:instrText>
      </w:r>
      <w:r>
        <w:fldChar w:fldCharType="separate"/>
      </w:r>
      <w:r>
        <w:t>56</w:t>
      </w:r>
      <w:r>
        <w:fldChar w:fldCharType="end"/>
      </w:r>
      <w:r>
        <w:rPr>
          <w:color w:val="auto"/>
        </w:rPr>
        <w:fldChar w:fldCharType="end"/>
      </w:r>
    </w:p>
    <w:p w14:paraId="0B6935C9">
      <w:pPr>
        <w:pStyle w:val="11"/>
        <w:tabs>
          <w:tab w:val="right" w:leader="dot" w:pos="8844"/>
        </w:tabs>
      </w:pPr>
    </w:p>
    <w:p w14:paraId="25D80324">
      <w:pPr>
        <w:rPr>
          <w:color w:val="auto"/>
        </w:rPr>
      </w:pPr>
      <w:r>
        <w:rPr>
          <w:color w:val="auto"/>
        </w:rPr>
        <w:fldChar w:fldCharType="end"/>
      </w:r>
    </w:p>
    <w:p w14:paraId="4AEEC314">
      <w:pPr>
        <w:rPr>
          <w:color w:val="auto"/>
        </w:rPr>
        <w:sectPr>
          <w:footerReference r:id="rId4" w:type="default"/>
          <w:pgSz w:w="11906" w:h="16838"/>
          <w:pgMar w:top="1474" w:right="1474" w:bottom="1474" w:left="1588" w:header="851" w:footer="992" w:gutter="0"/>
          <w:pgNumType w:start="1"/>
          <w:cols w:space="720" w:num="1"/>
          <w:docGrid w:type="lines" w:linePitch="312" w:charSpace="0"/>
        </w:sectPr>
      </w:pPr>
    </w:p>
    <w:p w14:paraId="655A83F1">
      <w:pPr>
        <w:keepNext/>
        <w:adjustRightInd w:val="0"/>
        <w:snapToGrid w:val="0"/>
        <w:spacing w:before="156" w:beforeLines="50" w:line="360" w:lineRule="auto"/>
        <w:jc w:val="center"/>
        <w:outlineLvl w:val="0"/>
        <w:rPr>
          <w:rFonts w:hint="eastAsia" w:ascii="仿宋" w:hAnsi="仿宋" w:eastAsia="仿宋" w:cs="仿宋"/>
          <w:b/>
          <w:bCs/>
          <w:color w:val="auto"/>
          <w:sz w:val="32"/>
          <w:szCs w:val="32"/>
        </w:rPr>
      </w:pPr>
      <w:bookmarkStart w:id="0" w:name="_Toc7075"/>
      <w:r>
        <w:rPr>
          <w:rFonts w:hint="eastAsia" w:ascii="黑体" w:hAnsi="黑体" w:eastAsia="黑体"/>
          <w:b/>
          <w:bCs/>
          <w:color w:val="auto"/>
          <w:sz w:val="32"/>
          <w:szCs w:val="32"/>
        </w:rPr>
        <w:t>第一章 谈判邀请</w:t>
      </w:r>
      <w:bookmarkEnd w:id="0"/>
    </w:p>
    <w:p w14:paraId="6EE8C4E3">
      <w:pPr>
        <w:adjustRightInd w:val="0"/>
        <w:snapToGrid w:val="0"/>
        <w:spacing w:before="156" w:beforeLines="50" w:line="360" w:lineRule="auto"/>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(被邀请供应商名称)：</w:t>
      </w:r>
    </w:p>
    <w:p w14:paraId="45543691">
      <w:pPr>
        <w:adjustRightInd w:val="0"/>
        <w:snapToGrid w:val="0"/>
        <w:spacing w:before="156" w:beforeLines="50" w:line="360" w:lineRule="auto"/>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lang w:val="en-US" w:eastAsia="zh-CN"/>
        </w:rPr>
        <w:t>怀化市鹤城区城市建设投资有限公司</w:t>
      </w:r>
      <w:r>
        <w:rPr>
          <w:rFonts w:hint="eastAsia" w:ascii="仿宋" w:hAnsi="仿宋" w:eastAsia="仿宋" w:cs="仿宋"/>
          <w:color w:val="auto"/>
          <w:sz w:val="24"/>
          <w:szCs w:val="24"/>
        </w:rPr>
        <w:t>（采购人名称）的</w:t>
      </w:r>
      <w:r>
        <w:rPr>
          <w:rFonts w:hint="eastAsia" w:ascii="仿宋" w:hAnsi="仿宋" w:eastAsia="仿宋" w:cs="仿宋"/>
          <w:color w:val="auto"/>
          <w:sz w:val="24"/>
          <w:szCs w:val="24"/>
          <w:u w:val="single"/>
          <w:lang w:val="en-US" w:eastAsia="zh-CN"/>
        </w:rPr>
        <w:t>鹤北新城城中村改造安置区项目（一期）桩基础检测（一期剩余工程量）</w:t>
      </w:r>
      <w:r>
        <w:rPr>
          <w:rFonts w:hint="eastAsia" w:ascii="仿宋" w:hAnsi="仿宋" w:eastAsia="仿宋" w:cs="仿宋"/>
          <w:color w:val="auto"/>
          <w:sz w:val="24"/>
          <w:szCs w:val="24"/>
        </w:rPr>
        <w:t>(项目名称)进行竞争性谈判采购，邀请你单位参加谈判采购活动。</w:t>
      </w:r>
    </w:p>
    <w:p w14:paraId="1393274D">
      <w:pPr>
        <w:keepNext/>
        <w:keepLines/>
        <w:adjustRightInd w:val="0"/>
        <w:snapToGrid w:val="0"/>
        <w:spacing w:before="156" w:beforeLines="50" w:line="360" w:lineRule="auto"/>
        <w:jc w:val="left"/>
        <w:outlineLvl w:val="1"/>
        <w:rPr>
          <w:rFonts w:ascii="黑体" w:hAnsi="黑体" w:eastAsia="黑体"/>
          <w:b w:val="0"/>
          <w:bCs w:val="0"/>
          <w:color w:val="auto"/>
          <w:sz w:val="24"/>
          <w:szCs w:val="32"/>
        </w:rPr>
      </w:pPr>
      <w:bookmarkStart w:id="1" w:name="_Toc110606572"/>
      <w:bookmarkStart w:id="2" w:name="_Toc22657511"/>
      <w:bookmarkStart w:id="3" w:name="_Toc31599"/>
      <w:bookmarkStart w:id="4" w:name="_Toc16639"/>
      <w:r>
        <w:rPr>
          <w:rFonts w:hint="eastAsia" w:ascii="黑体" w:hAnsi="黑体" w:eastAsia="黑体"/>
          <w:b w:val="0"/>
          <w:bCs w:val="0"/>
          <w:color w:val="auto"/>
          <w:sz w:val="24"/>
          <w:szCs w:val="32"/>
        </w:rPr>
        <w:t>一、项目概况</w:t>
      </w:r>
      <w:bookmarkEnd w:id="1"/>
      <w:bookmarkEnd w:id="2"/>
      <w:bookmarkEnd w:id="3"/>
      <w:bookmarkEnd w:id="4"/>
    </w:p>
    <w:p w14:paraId="27893BEB">
      <w:pPr>
        <w:adjustRightInd w:val="0"/>
        <w:snapToGrid w:val="0"/>
        <w:spacing w:line="360" w:lineRule="auto"/>
        <w:ind w:firstLine="480" w:firstLineChars="200"/>
        <w:jc w:val="left"/>
        <w:rPr>
          <w:rFonts w:hint="eastAsia" w:ascii="仿宋" w:hAnsi="仿宋" w:eastAsia="仿宋" w:cs="仿宋"/>
          <w:color w:val="auto"/>
          <w:sz w:val="24"/>
          <w:szCs w:val="24"/>
          <w:u w:val="single"/>
          <w:lang w:val="en-US" w:eastAsia="zh-CN"/>
        </w:rPr>
      </w:pPr>
      <w:bookmarkStart w:id="5" w:name="_Toc22657512"/>
      <w:r>
        <w:rPr>
          <w:rFonts w:hint="eastAsia" w:ascii="仿宋" w:hAnsi="仿宋" w:eastAsia="仿宋" w:cs="仿宋"/>
          <w:color w:val="auto"/>
          <w:sz w:val="24"/>
          <w:szCs w:val="24"/>
        </w:rPr>
        <w:t>1、采购项目名称：</w:t>
      </w:r>
      <w:r>
        <w:rPr>
          <w:rFonts w:hint="eastAsia" w:ascii="仿宋" w:hAnsi="仿宋" w:eastAsia="仿宋" w:cs="仿宋"/>
          <w:color w:val="auto"/>
          <w:sz w:val="24"/>
          <w:szCs w:val="24"/>
          <w:u w:val="single"/>
          <w:lang w:val="en-US" w:eastAsia="zh-CN"/>
        </w:rPr>
        <w:t>鹤北新城城中村改造安置区项目（一期）桩基础检测（一期剩余工程量）</w:t>
      </w:r>
    </w:p>
    <w:p w14:paraId="0B9C4125">
      <w:pPr>
        <w:adjustRightInd w:val="0"/>
        <w:snapToGrid w:val="0"/>
        <w:spacing w:line="360" w:lineRule="auto"/>
        <w:ind w:firstLine="480" w:firstLineChars="200"/>
        <w:jc w:val="left"/>
        <w:rPr>
          <w:rFonts w:hint="default" w:ascii="仿宋" w:hAnsi="仿宋" w:eastAsia="仿宋" w:cs="仿宋"/>
          <w:color w:val="auto"/>
          <w:sz w:val="24"/>
          <w:szCs w:val="24"/>
          <w:lang w:val="en-US"/>
        </w:rPr>
      </w:pPr>
      <w:r>
        <w:rPr>
          <w:rFonts w:hint="eastAsia" w:ascii="仿宋" w:hAnsi="仿宋" w:eastAsia="仿宋" w:cs="仿宋"/>
          <w:color w:val="auto"/>
          <w:sz w:val="24"/>
          <w:szCs w:val="24"/>
        </w:rPr>
        <w:t>2、采购编号</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szCs w:val="24"/>
          <w:u w:val="single"/>
          <w:lang w:val="en-US" w:eastAsia="zh-CN"/>
        </w:rPr>
        <w:t>2025-03</w:t>
      </w:r>
    </w:p>
    <w:p w14:paraId="4B23A9B5">
      <w:pPr>
        <w:adjustRightInd w:val="0"/>
        <w:snapToGrid w:val="0"/>
        <w:spacing w:line="360" w:lineRule="auto"/>
        <w:ind w:firstLine="480" w:firstLineChars="200"/>
        <w:jc w:val="left"/>
        <w:rPr>
          <w:rFonts w:hint="eastAsia" w:ascii="仿宋" w:hAnsi="仿宋" w:eastAsia="仿宋" w:cs="仿宋"/>
          <w:i/>
          <w:color w:val="auto"/>
          <w:sz w:val="24"/>
          <w:szCs w:val="24"/>
        </w:rPr>
      </w:pPr>
      <w:r>
        <w:rPr>
          <w:rFonts w:hint="eastAsia" w:ascii="仿宋" w:hAnsi="仿宋" w:eastAsia="仿宋" w:cs="仿宋"/>
          <w:color w:val="auto"/>
          <w:sz w:val="24"/>
          <w:szCs w:val="24"/>
        </w:rPr>
        <w:t>3、委托代理编号：</w:t>
      </w:r>
      <w:r>
        <w:rPr>
          <w:rFonts w:hint="eastAsia" w:ascii="仿宋" w:hAnsi="仿宋" w:eastAsia="仿宋" w:cs="仿宋"/>
          <w:color w:val="auto"/>
          <w:sz w:val="24"/>
          <w:szCs w:val="24"/>
          <w:u w:val="single"/>
          <w:lang w:val="en-US" w:eastAsia="zh-CN"/>
        </w:rPr>
        <w:t>2025-DLJ-014</w:t>
      </w:r>
    </w:p>
    <w:p w14:paraId="6079F77F">
      <w:pPr>
        <w:adjustRightInd w:val="0"/>
        <w:snapToGrid w:val="0"/>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4、采购项目预算：</w:t>
      </w:r>
      <w:r>
        <w:rPr>
          <w:rFonts w:hint="eastAsia" w:ascii="仿宋" w:hAnsi="仿宋" w:eastAsia="仿宋" w:cs="仿宋"/>
          <w:bCs/>
          <w:color w:val="auto"/>
          <w:sz w:val="24"/>
          <w:szCs w:val="24"/>
          <w:u w:val="single"/>
          <w:lang w:val="en-US" w:eastAsia="zh-CN"/>
        </w:rPr>
        <w:t>298965元</w:t>
      </w:r>
    </w:p>
    <w:p w14:paraId="4DB1DB9C">
      <w:pPr>
        <w:adjustRightInd w:val="0"/>
        <w:snapToGrid w:val="0"/>
        <w:spacing w:line="360" w:lineRule="auto"/>
        <w:ind w:firstLine="720" w:firstLineChars="300"/>
        <w:jc w:val="left"/>
        <w:rPr>
          <w:rFonts w:hint="eastAsia" w:ascii="仿宋" w:hAnsi="仿宋" w:eastAsia="仿宋" w:cs="仿宋"/>
          <w:bCs/>
          <w:color w:val="auto"/>
          <w:sz w:val="24"/>
          <w:szCs w:val="24"/>
          <w:u w:val="single"/>
        </w:rPr>
      </w:pP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支持</w:t>
      </w:r>
      <w:r>
        <w:rPr>
          <w:rFonts w:hint="eastAsia" w:ascii="仿宋" w:hAnsi="仿宋" w:eastAsia="仿宋" w:cs="仿宋"/>
          <w:bCs/>
          <w:color w:val="auto"/>
          <w:sz w:val="24"/>
          <w:szCs w:val="24"/>
        </w:rPr>
        <w:t>预付款，预付比例：</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w:t>
      </w:r>
      <w:r>
        <w:rPr>
          <w:rFonts w:hint="eastAsia" w:ascii="仿宋" w:hAnsi="仿宋" w:eastAsia="仿宋" w:cs="仿宋"/>
          <w:bCs/>
          <w:color w:val="auto"/>
          <w:sz w:val="24"/>
          <w:szCs w:val="24"/>
          <w:u w:val="single"/>
        </w:rPr>
        <w:t xml:space="preserve">    </w:t>
      </w:r>
    </w:p>
    <w:p w14:paraId="429A753F">
      <w:pPr>
        <w:adjustRightInd w:val="0"/>
        <w:snapToGrid w:val="0"/>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5、本项目</w:t>
      </w:r>
      <w:r>
        <w:rPr>
          <w:rFonts w:hint="eastAsia" w:ascii="仿宋" w:hAnsi="仿宋" w:eastAsia="仿宋" w:cs="仿宋"/>
          <w:color w:val="auto"/>
          <w:sz w:val="24"/>
          <w:szCs w:val="24"/>
          <w:highlight w:val="none"/>
        </w:rPr>
        <w:t>对应的中小企业划分标准所属行业：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其他未列明行业</w:t>
      </w:r>
      <w:r>
        <w:rPr>
          <w:rFonts w:hint="eastAsia" w:ascii="仿宋" w:hAnsi="仿宋" w:eastAsia="仿宋" w:cs="仿宋"/>
          <w:color w:val="auto"/>
          <w:sz w:val="24"/>
          <w:szCs w:val="24"/>
          <w:highlight w:val="none"/>
          <w:u w:val="single"/>
        </w:rPr>
        <w:t xml:space="preserve"> </w:t>
      </w:r>
    </w:p>
    <w:p w14:paraId="37FC14A2">
      <w:pPr>
        <w:adjustRightInd w:val="0"/>
        <w:snapToGrid w:val="0"/>
        <w:spacing w:line="360" w:lineRule="auto"/>
        <w:ind w:firstLine="480" w:firstLineChars="200"/>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6、合同定价方式：</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固定总价 </w:t>
      </w:r>
      <w:r>
        <w:rPr>
          <w:rFonts w:hint="eastAsia" w:ascii="仿宋" w:hAnsi="仿宋" w:eastAsia="仿宋" w:cs="仿宋"/>
          <w:iCs/>
          <w:color w:val="auto"/>
          <w:sz w:val="24"/>
          <w:szCs w:val="24"/>
        </w:rPr>
        <w:sym w:font="Wingdings" w:char="00FE"/>
      </w:r>
      <w:r>
        <w:rPr>
          <w:rFonts w:hint="eastAsia" w:ascii="仿宋" w:hAnsi="仿宋" w:eastAsia="仿宋" w:cs="仿宋"/>
          <w:iCs/>
          <w:color w:val="auto"/>
          <w:sz w:val="24"/>
          <w:szCs w:val="24"/>
        </w:rPr>
        <w:t xml:space="preserve">固定单价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成本补偿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绩效激励</w:t>
      </w:r>
    </w:p>
    <w:p w14:paraId="76BE2DBE">
      <w:pPr>
        <w:adjustRightInd w:val="0"/>
        <w:snapToGrid w:val="0"/>
        <w:spacing w:line="360" w:lineRule="auto"/>
        <w:ind w:firstLine="480" w:firstLineChars="200"/>
        <w:jc w:val="left"/>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7、合同履行期限：</w:t>
      </w:r>
      <w:r>
        <w:rPr>
          <w:rFonts w:hint="eastAsia" w:ascii="仿宋" w:hAnsi="仿宋" w:eastAsia="仿宋" w:cs="仿宋"/>
          <w:bCs/>
          <w:kern w:val="2"/>
          <w:sz w:val="24"/>
          <w:szCs w:val="24"/>
          <w:u w:val="single"/>
          <w:lang w:val="en-US" w:eastAsia="zh-CN" w:bidi="ar"/>
        </w:rPr>
        <w:t>按合同约定</w:t>
      </w:r>
    </w:p>
    <w:p w14:paraId="69457BB4">
      <w:pPr>
        <w:pStyle w:val="34"/>
        <w:jc w:val="left"/>
        <w:rPr>
          <w:rFonts w:hint="eastAsia" w:ascii="仿宋" w:hAnsi="仿宋" w:eastAsia="仿宋" w:cs="仿宋"/>
          <w:color w:val="auto"/>
          <w:sz w:val="24"/>
          <w:szCs w:val="24"/>
        </w:rPr>
      </w:pPr>
      <w:r>
        <w:rPr>
          <w:rFonts w:hint="eastAsia" w:ascii="仿宋" w:hAnsi="仿宋" w:eastAsia="仿宋" w:cs="仿宋"/>
          <w:bCs/>
          <w:color w:val="auto"/>
          <w:sz w:val="24"/>
          <w:szCs w:val="24"/>
        </w:rPr>
        <w:t>8、</w:t>
      </w:r>
      <w:r>
        <w:rPr>
          <w:rFonts w:hint="eastAsia" w:ascii="仿宋" w:hAnsi="仿宋" w:eastAsia="仿宋" w:cs="仿宋"/>
          <w:color w:val="auto"/>
          <w:sz w:val="24"/>
          <w:szCs w:val="24"/>
        </w:rPr>
        <w:t>本项目分阶段要求供应商提供以下保证：</w:t>
      </w:r>
    </w:p>
    <w:p w14:paraId="3BF32C66">
      <w:pPr>
        <w:pStyle w:val="34"/>
        <w:spacing w:line="360" w:lineRule="auto"/>
        <w:jc w:val="left"/>
        <w:rPr>
          <w:rFonts w:hint="eastAsia" w:ascii="仿宋" w:hAnsi="仿宋" w:eastAsia="仿宋" w:cs="仿宋"/>
          <w:iCs/>
          <w:color w:val="auto"/>
          <w:sz w:val="24"/>
          <w:szCs w:val="24"/>
        </w:rPr>
      </w:pPr>
      <w:r>
        <w:rPr>
          <w:rFonts w:hint="eastAsia" w:ascii="仿宋" w:hAnsi="仿宋" w:eastAsia="仿宋" w:cs="仿宋"/>
          <w:iCs/>
          <w:color w:val="auto"/>
          <w:sz w:val="24"/>
          <w:szCs w:val="24"/>
        </w:rPr>
        <w:sym w:font="Wingdings" w:char="00A8"/>
      </w:r>
      <w:r>
        <w:rPr>
          <w:rFonts w:hint="eastAsia" w:ascii="仿宋" w:hAnsi="仿宋" w:eastAsia="仿宋" w:cs="仿宋"/>
          <w:color w:val="auto"/>
          <w:sz w:val="24"/>
          <w:szCs w:val="24"/>
        </w:rPr>
        <w:t>谈判保证金：</w:t>
      </w:r>
      <w:r>
        <w:rPr>
          <w:rFonts w:hint="eastAsia" w:ascii="仿宋" w:hAnsi="仿宋" w:eastAsia="仿宋" w:cs="仿宋"/>
          <w:iCs/>
          <w:color w:val="auto"/>
          <w:sz w:val="24"/>
          <w:szCs w:val="24"/>
        </w:rPr>
        <w:t>采购项目预算的</w:t>
      </w:r>
      <w:r>
        <w:rPr>
          <w:rFonts w:hint="eastAsia" w:ascii="仿宋" w:hAnsi="仿宋" w:eastAsia="仿宋" w:cs="仿宋"/>
          <w:iCs/>
          <w:color w:val="auto"/>
          <w:sz w:val="24"/>
          <w:szCs w:val="24"/>
          <w:u w:val="single"/>
        </w:rPr>
        <w:t xml:space="preserve"> </w:t>
      </w:r>
      <w:r>
        <w:rPr>
          <w:rFonts w:hint="eastAsia" w:ascii="仿宋" w:hAnsi="仿宋" w:eastAsia="仿宋" w:cs="仿宋"/>
          <w:iCs/>
          <w:color w:val="auto"/>
          <w:sz w:val="24"/>
          <w:szCs w:val="24"/>
          <w:u w:val="single"/>
          <w:lang w:val="en-US" w:eastAsia="zh-CN"/>
        </w:rPr>
        <w:t>/</w:t>
      </w:r>
      <w:r>
        <w:rPr>
          <w:rFonts w:hint="eastAsia" w:ascii="仿宋" w:hAnsi="仿宋" w:eastAsia="仿宋" w:cs="仿宋"/>
          <w:iCs/>
          <w:color w:val="auto"/>
          <w:sz w:val="24"/>
          <w:szCs w:val="24"/>
          <w:u w:val="single"/>
        </w:rPr>
        <w:t xml:space="preserve"> </w:t>
      </w:r>
      <w:r>
        <w:rPr>
          <w:rFonts w:hint="eastAsia" w:ascii="仿宋" w:hAnsi="仿宋" w:eastAsia="仿宋" w:cs="仿宋"/>
          <w:iCs/>
          <w:color w:val="auto"/>
          <w:sz w:val="24"/>
          <w:szCs w:val="24"/>
        </w:rPr>
        <w:t>%</w:t>
      </w:r>
      <w:r>
        <w:rPr>
          <w:rFonts w:hint="eastAsia" w:ascii="仿宋" w:hAnsi="仿宋" w:eastAsia="仿宋" w:cs="仿宋"/>
          <w:color w:val="auto"/>
          <w:sz w:val="24"/>
          <w:szCs w:val="24"/>
        </w:rPr>
        <w:t>；</w:t>
      </w:r>
    </w:p>
    <w:p w14:paraId="74FC0E10">
      <w:pPr>
        <w:pStyle w:val="34"/>
        <w:spacing w:line="360" w:lineRule="auto"/>
        <w:jc w:val="left"/>
        <w:rPr>
          <w:rFonts w:hint="eastAsia" w:ascii="仿宋" w:hAnsi="仿宋" w:eastAsia="仿宋" w:cs="仿宋"/>
          <w:iCs/>
          <w:color w:val="auto"/>
          <w:sz w:val="24"/>
          <w:szCs w:val="24"/>
        </w:rPr>
      </w:pPr>
      <w:r>
        <w:rPr>
          <w:rFonts w:hint="eastAsia" w:ascii="仿宋" w:hAnsi="仿宋" w:eastAsia="仿宋" w:cs="仿宋"/>
          <w:iCs/>
          <w:color w:val="auto"/>
          <w:sz w:val="24"/>
          <w:szCs w:val="24"/>
        </w:rPr>
        <w:sym w:font="Wingdings" w:char="00A8"/>
      </w:r>
      <w:r>
        <w:rPr>
          <w:rFonts w:hint="eastAsia" w:ascii="仿宋" w:hAnsi="仿宋" w:eastAsia="仿宋" w:cs="仿宋"/>
          <w:color w:val="auto"/>
          <w:sz w:val="24"/>
          <w:szCs w:val="24"/>
        </w:rPr>
        <w:t>履约保证金：</w:t>
      </w:r>
      <w:r>
        <w:rPr>
          <w:rFonts w:hint="eastAsia" w:ascii="仿宋" w:hAnsi="仿宋" w:eastAsia="仿宋" w:cs="仿宋"/>
          <w:iCs/>
          <w:color w:val="auto"/>
          <w:sz w:val="24"/>
          <w:szCs w:val="24"/>
        </w:rPr>
        <w:t>中标金额的</w:t>
      </w:r>
      <w:r>
        <w:rPr>
          <w:rFonts w:hint="eastAsia" w:ascii="仿宋" w:hAnsi="仿宋" w:eastAsia="仿宋" w:cs="仿宋"/>
          <w:iCs/>
          <w:color w:val="auto"/>
          <w:sz w:val="24"/>
          <w:szCs w:val="24"/>
          <w:u w:val="single"/>
        </w:rPr>
        <w:t xml:space="preserve"> </w:t>
      </w:r>
      <w:r>
        <w:rPr>
          <w:rFonts w:hint="eastAsia" w:ascii="仿宋" w:hAnsi="仿宋" w:eastAsia="仿宋" w:cs="仿宋"/>
          <w:iCs/>
          <w:color w:val="auto"/>
          <w:sz w:val="24"/>
          <w:szCs w:val="24"/>
          <w:u w:val="single"/>
          <w:lang w:val="en-US" w:eastAsia="zh-CN"/>
        </w:rPr>
        <w:t>/</w:t>
      </w:r>
      <w:r>
        <w:rPr>
          <w:rFonts w:hint="eastAsia" w:ascii="仿宋" w:hAnsi="仿宋" w:eastAsia="仿宋" w:cs="仿宋"/>
          <w:iCs/>
          <w:color w:val="auto"/>
          <w:sz w:val="24"/>
          <w:szCs w:val="24"/>
          <w:u w:val="single"/>
        </w:rPr>
        <w:t xml:space="preserve"> </w:t>
      </w:r>
      <w:r>
        <w:rPr>
          <w:rFonts w:hint="eastAsia" w:ascii="仿宋" w:hAnsi="仿宋" w:eastAsia="仿宋" w:cs="仿宋"/>
          <w:iCs/>
          <w:color w:val="auto"/>
          <w:sz w:val="24"/>
          <w:szCs w:val="24"/>
        </w:rPr>
        <w:t>%</w:t>
      </w:r>
      <w:r>
        <w:rPr>
          <w:rFonts w:hint="eastAsia" w:ascii="仿宋" w:hAnsi="仿宋" w:eastAsia="仿宋" w:cs="仿宋"/>
          <w:color w:val="auto"/>
          <w:sz w:val="24"/>
          <w:szCs w:val="24"/>
        </w:rPr>
        <w:t>；</w:t>
      </w:r>
    </w:p>
    <w:p w14:paraId="06822491">
      <w:pPr>
        <w:pStyle w:val="34"/>
        <w:spacing w:line="360" w:lineRule="auto"/>
        <w:jc w:val="left"/>
        <w:rPr>
          <w:rFonts w:hint="eastAsia" w:ascii="仿宋" w:hAnsi="仿宋" w:eastAsia="仿宋" w:cs="仿宋"/>
          <w:iCs/>
          <w:color w:val="auto"/>
          <w:sz w:val="24"/>
          <w:szCs w:val="24"/>
        </w:rPr>
      </w:pP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预付款保证金：预付款的</w:t>
      </w:r>
      <w:r>
        <w:rPr>
          <w:rFonts w:hint="eastAsia" w:ascii="仿宋" w:hAnsi="仿宋" w:eastAsia="仿宋" w:cs="仿宋"/>
          <w:iCs/>
          <w:color w:val="auto"/>
          <w:sz w:val="24"/>
          <w:szCs w:val="24"/>
          <w:u w:val="single"/>
        </w:rPr>
        <w:t xml:space="preserve"> </w:t>
      </w:r>
      <w:r>
        <w:rPr>
          <w:rFonts w:hint="eastAsia" w:ascii="仿宋" w:hAnsi="仿宋" w:eastAsia="仿宋" w:cs="仿宋"/>
          <w:iCs/>
          <w:color w:val="auto"/>
          <w:sz w:val="24"/>
          <w:szCs w:val="24"/>
          <w:u w:val="single"/>
          <w:lang w:val="en-US" w:eastAsia="zh-CN"/>
        </w:rPr>
        <w:t>/</w:t>
      </w:r>
      <w:r>
        <w:rPr>
          <w:rFonts w:hint="eastAsia" w:ascii="仿宋" w:hAnsi="仿宋" w:eastAsia="仿宋" w:cs="仿宋"/>
          <w:iCs/>
          <w:color w:val="auto"/>
          <w:sz w:val="24"/>
          <w:szCs w:val="24"/>
          <w:u w:val="single"/>
        </w:rPr>
        <w:t xml:space="preserve"> </w:t>
      </w:r>
      <w:r>
        <w:rPr>
          <w:rFonts w:hint="eastAsia" w:ascii="仿宋" w:hAnsi="仿宋" w:eastAsia="仿宋" w:cs="仿宋"/>
          <w:iCs/>
          <w:color w:val="auto"/>
          <w:sz w:val="24"/>
          <w:szCs w:val="24"/>
        </w:rPr>
        <w:t>%；</w:t>
      </w:r>
    </w:p>
    <w:p w14:paraId="5AF2A523">
      <w:pPr>
        <w:pStyle w:val="34"/>
        <w:spacing w:line="360" w:lineRule="auto"/>
        <w:jc w:val="left"/>
        <w:rPr>
          <w:rFonts w:hint="eastAsia" w:ascii="仿宋" w:hAnsi="仿宋" w:eastAsia="仿宋" w:cs="仿宋"/>
          <w:iCs/>
          <w:color w:val="auto"/>
          <w:sz w:val="24"/>
          <w:szCs w:val="24"/>
        </w:rPr>
      </w:pP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质量保证金：合同金额的</w:t>
      </w:r>
      <w:r>
        <w:rPr>
          <w:rFonts w:hint="eastAsia" w:ascii="仿宋" w:hAnsi="仿宋" w:eastAsia="仿宋" w:cs="仿宋"/>
          <w:iCs/>
          <w:color w:val="auto"/>
          <w:sz w:val="24"/>
          <w:szCs w:val="24"/>
          <w:u w:val="single"/>
        </w:rPr>
        <w:t xml:space="preserve"> </w:t>
      </w:r>
      <w:r>
        <w:rPr>
          <w:rFonts w:hint="eastAsia" w:ascii="仿宋" w:hAnsi="仿宋" w:eastAsia="仿宋" w:cs="仿宋"/>
          <w:iCs/>
          <w:color w:val="auto"/>
          <w:sz w:val="24"/>
          <w:szCs w:val="24"/>
          <w:u w:val="single"/>
          <w:lang w:val="en-US" w:eastAsia="zh-CN"/>
        </w:rPr>
        <w:t>/</w:t>
      </w:r>
      <w:r>
        <w:rPr>
          <w:rFonts w:hint="eastAsia" w:ascii="仿宋" w:hAnsi="仿宋" w:eastAsia="仿宋" w:cs="仿宋"/>
          <w:iCs/>
          <w:color w:val="auto"/>
          <w:sz w:val="24"/>
          <w:szCs w:val="24"/>
          <w:u w:val="single"/>
        </w:rPr>
        <w:t xml:space="preserve"> </w:t>
      </w:r>
      <w:r>
        <w:rPr>
          <w:rFonts w:hint="eastAsia" w:ascii="仿宋" w:hAnsi="仿宋" w:eastAsia="仿宋" w:cs="仿宋"/>
          <w:iCs/>
          <w:color w:val="auto"/>
          <w:sz w:val="24"/>
          <w:szCs w:val="24"/>
        </w:rPr>
        <w:t>%。</w:t>
      </w:r>
    </w:p>
    <w:p w14:paraId="1F35CFDD">
      <w:pPr>
        <w:keepNext/>
        <w:keepLines/>
        <w:adjustRightInd w:val="0"/>
        <w:snapToGrid w:val="0"/>
        <w:spacing w:before="156" w:beforeLines="50" w:line="240" w:lineRule="auto"/>
        <w:jc w:val="left"/>
        <w:outlineLvl w:val="1"/>
        <w:rPr>
          <w:rFonts w:ascii="黑体" w:hAnsi="黑体" w:eastAsia="黑体"/>
          <w:b w:val="0"/>
          <w:bCs w:val="0"/>
          <w:color w:val="auto"/>
          <w:sz w:val="24"/>
          <w:szCs w:val="32"/>
        </w:rPr>
      </w:pPr>
      <w:bookmarkStart w:id="6" w:name="_Toc110606573"/>
      <w:bookmarkStart w:id="7" w:name="_Toc6769"/>
      <w:bookmarkStart w:id="8" w:name="_Toc29234"/>
      <w:r>
        <w:rPr>
          <w:rFonts w:hint="eastAsia" w:ascii="黑体" w:hAnsi="黑体" w:eastAsia="黑体"/>
          <w:b w:val="0"/>
          <w:bCs w:val="0"/>
          <w:color w:val="auto"/>
          <w:sz w:val="24"/>
          <w:szCs w:val="32"/>
        </w:rPr>
        <w:t>二、采购需求</w:t>
      </w:r>
      <w:bookmarkEnd w:id="5"/>
      <w:bookmarkEnd w:id="6"/>
      <w:bookmarkEnd w:id="7"/>
      <w:bookmarkEnd w:id="8"/>
    </w:p>
    <w:tbl>
      <w:tblPr>
        <w:tblStyle w:val="25"/>
        <w:tblpPr w:leftFromText="180" w:rightFromText="180" w:vertAnchor="text" w:horzAnchor="page" w:tblpX="1268" w:tblpY="463"/>
        <w:tblOverlap w:val="never"/>
        <w:tblW w:w="95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4"/>
        <w:gridCol w:w="2855"/>
        <w:gridCol w:w="1160"/>
        <w:gridCol w:w="641"/>
        <w:gridCol w:w="1336"/>
        <w:gridCol w:w="1354"/>
        <w:gridCol w:w="772"/>
        <w:gridCol w:w="755"/>
      </w:tblGrid>
      <w:tr w14:paraId="70033C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704" w:type="dxa"/>
            <w:tcBorders>
              <w:bottom w:val="single" w:color="auto" w:sz="6" w:space="0"/>
              <w:right w:val="single" w:color="auto" w:sz="6" w:space="0"/>
            </w:tcBorders>
            <w:vAlign w:val="center"/>
          </w:tcPr>
          <w:p w14:paraId="02BA4081">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
              </w:rPr>
              <w:t>包号</w:t>
            </w:r>
          </w:p>
        </w:tc>
        <w:tc>
          <w:tcPr>
            <w:tcW w:w="2855" w:type="dxa"/>
            <w:tcBorders>
              <w:left w:val="single" w:color="auto" w:sz="6" w:space="0"/>
              <w:bottom w:val="single" w:color="auto" w:sz="6" w:space="0"/>
              <w:right w:val="single" w:color="auto" w:sz="6" w:space="0"/>
            </w:tcBorders>
            <w:vAlign w:val="center"/>
          </w:tcPr>
          <w:p w14:paraId="373FA084">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标的名称</w:t>
            </w:r>
          </w:p>
        </w:tc>
        <w:tc>
          <w:tcPr>
            <w:tcW w:w="1160" w:type="dxa"/>
            <w:tcBorders>
              <w:left w:val="single" w:color="auto" w:sz="4" w:space="0"/>
              <w:bottom w:val="single" w:color="auto" w:sz="6" w:space="0"/>
              <w:right w:val="single" w:color="auto" w:sz="6" w:space="0"/>
            </w:tcBorders>
            <w:vAlign w:val="center"/>
          </w:tcPr>
          <w:p w14:paraId="62E9E5C9">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简要技术要求</w:t>
            </w:r>
          </w:p>
        </w:tc>
        <w:tc>
          <w:tcPr>
            <w:tcW w:w="641" w:type="dxa"/>
            <w:tcBorders>
              <w:left w:val="single" w:color="auto" w:sz="4" w:space="0"/>
              <w:bottom w:val="single" w:color="auto" w:sz="6" w:space="0"/>
              <w:right w:val="single" w:color="auto" w:sz="6" w:space="0"/>
            </w:tcBorders>
            <w:vAlign w:val="center"/>
          </w:tcPr>
          <w:p w14:paraId="6567F0C1">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数量</w:t>
            </w:r>
          </w:p>
        </w:tc>
        <w:tc>
          <w:tcPr>
            <w:tcW w:w="1336" w:type="dxa"/>
            <w:tcBorders>
              <w:left w:val="single" w:color="auto" w:sz="6" w:space="0"/>
              <w:bottom w:val="single" w:color="auto" w:sz="6" w:space="0"/>
              <w:right w:val="single" w:color="auto" w:sz="6" w:space="0"/>
            </w:tcBorders>
            <w:vAlign w:val="center"/>
          </w:tcPr>
          <w:p w14:paraId="67EF7870">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标的预算</w:t>
            </w:r>
          </w:p>
        </w:tc>
        <w:tc>
          <w:tcPr>
            <w:tcW w:w="1354" w:type="dxa"/>
            <w:tcBorders>
              <w:left w:val="single" w:color="auto" w:sz="6" w:space="0"/>
              <w:bottom w:val="single" w:color="auto" w:sz="6" w:space="0"/>
              <w:right w:val="single" w:color="auto" w:sz="6" w:space="0"/>
            </w:tcBorders>
            <w:vAlign w:val="center"/>
          </w:tcPr>
          <w:p w14:paraId="03AE0D8C">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最高限价</w:t>
            </w:r>
          </w:p>
        </w:tc>
        <w:tc>
          <w:tcPr>
            <w:tcW w:w="772" w:type="dxa"/>
            <w:tcBorders>
              <w:left w:val="single" w:color="auto" w:sz="6" w:space="0"/>
              <w:bottom w:val="single" w:color="auto" w:sz="6" w:space="0"/>
              <w:right w:val="single" w:color="auto" w:sz="6" w:space="0"/>
            </w:tcBorders>
            <w:vAlign w:val="center"/>
          </w:tcPr>
          <w:p w14:paraId="22351E0A">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节能产品</w:t>
            </w:r>
          </w:p>
        </w:tc>
        <w:tc>
          <w:tcPr>
            <w:tcW w:w="755" w:type="dxa"/>
            <w:tcBorders>
              <w:left w:val="single" w:color="auto" w:sz="6" w:space="0"/>
              <w:bottom w:val="single" w:color="auto" w:sz="6" w:space="0"/>
            </w:tcBorders>
            <w:vAlign w:val="center"/>
          </w:tcPr>
          <w:p w14:paraId="442BC814">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进口产品</w:t>
            </w:r>
          </w:p>
        </w:tc>
      </w:tr>
      <w:tr w14:paraId="32E111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2" w:hRule="atLeast"/>
        </w:trPr>
        <w:tc>
          <w:tcPr>
            <w:tcW w:w="704" w:type="dxa"/>
            <w:tcBorders>
              <w:top w:val="single" w:color="auto" w:sz="6" w:space="0"/>
              <w:right w:val="single" w:color="auto" w:sz="6" w:space="0"/>
            </w:tcBorders>
            <w:vAlign w:val="center"/>
          </w:tcPr>
          <w:p w14:paraId="06766175">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01</w:t>
            </w:r>
          </w:p>
        </w:tc>
        <w:tc>
          <w:tcPr>
            <w:tcW w:w="2855" w:type="dxa"/>
            <w:tcBorders>
              <w:top w:val="single" w:color="auto" w:sz="6" w:space="0"/>
              <w:left w:val="single" w:color="auto" w:sz="6" w:space="0"/>
              <w:right w:val="single" w:color="auto" w:sz="6" w:space="0"/>
            </w:tcBorders>
            <w:vAlign w:val="center"/>
          </w:tcPr>
          <w:p w14:paraId="7FCAAE8B">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240" w:lineRule="auto"/>
              <w:ind w:right="0"/>
              <w:jc w:val="center"/>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鹤北新城城中村改造安置区项目（一期）桩基础检测（一期剩余工程量）</w:t>
            </w:r>
          </w:p>
        </w:tc>
        <w:tc>
          <w:tcPr>
            <w:tcW w:w="1160" w:type="dxa"/>
            <w:tcBorders>
              <w:top w:val="single" w:color="auto" w:sz="6" w:space="0"/>
              <w:left w:val="single" w:color="auto" w:sz="4" w:space="0"/>
              <w:right w:val="single" w:color="auto" w:sz="6" w:space="0"/>
            </w:tcBorders>
            <w:vAlign w:val="center"/>
          </w:tcPr>
          <w:p w14:paraId="0FFB5943">
            <w:pPr>
              <w:pStyle w:val="12"/>
              <w:adjustRightInd w:val="0"/>
              <w:snapToGrid w:val="0"/>
              <w:spacing w:before="50" w:line="360" w:lineRule="auto"/>
              <w:jc w:val="center"/>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见采购需求</w:t>
            </w:r>
          </w:p>
        </w:tc>
        <w:tc>
          <w:tcPr>
            <w:tcW w:w="641" w:type="dxa"/>
            <w:tcBorders>
              <w:top w:val="single" w:color="auto" w:sz="6" w:space="0"/>
              <w:left w:val="single" w:color="auto" w:sz="4" w:space="0"/>
              <w:right w:val="single" w:color="auto" w:sz="6" w:space="0"/>
            </w:tcBorders>
            <w:vAlign w:val="center"/>
          </w:tcPr>
          <w:p w14:paraId="0DF023F9">
            <w:pPr>
              <w:pStyle w:val="12"/>
              <w:adjustRightInd w:val="0"/>
              <w:snapToGrid w:val="0"/>
              <w:spacing w:before="50" w:line="360" w:lineRule="auto"/>
              <w:jc w:val="center"/>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1批</w:t>
            </w:r>
          </w:p>
        </w:tc>
        <w:tc>
          <w:tcPr>
            <w:tcW w:w="1336" w:type="dxa"/>
            <w:tcBorders>
              <w:top w:val="single" w:color="auto" w:sz="6" w:space="0"/>
              <w:left w:val="single" w:color="auto" w:sz="6" w:space="0"/>
              <w:right w:val="single" w:color="auto" w:sz="6" w:space="0"/>
            </w:tcBorders>
            <w:vAlign w:val="center"/>
          </w:tcPr>
          <w:p w14:paraId="6F5FB9E3">
            <w:pPr>
              <w:pStyle w:val="12"/>
              <w:adjustRightInd w:val="0"/>
              <w:snapToGrid w:val="0"/>
              <w:spacing w:before="50" w:line="360" w:lineRule="auto"/>
              <w:jc w:val="center"/>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298965元</w:t>
            </w:r>
          </w:p>
        </w:tc>
        <w:tc>
          <w:tcPr>
            <w:tcW w:w="1354" w:type="dxa"/>
            <w:tcBorders>
              <w:top w:val="single" w:color="auto" w:sz="6" w:space="0"/>
              <w:left w:val="single" w:color="auto" w:sz="6" w:space="0"/>
              <w:right w:val="single" w:color="auto" w:sz="6" w:space="0"/>
            </w:tcBorders>
            <w:vAlign w:val="center"/>
          </w:tcPr>
          <w:p w14:paraId="3DC34943">
            <w:pPr>
              <w:pStyle w:val="12"/>
              <w:adjustRightInd w:val="0"/>
              <w:snapToGrid w:val="0"/>
              <w:spacing w:before="50" w:line="360" w:lineRule="auto"/>
              <w:jc w:val="center"/>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298965元</w:t>
            </w:r>
          </w:p>
        </w:tc>
        <w:tc>
          <w:tcPr>
            <w:tcW w:w="772" w:type="dxa"/>
            <w:tcBorders>
              <w:top w:val="single" w:color="auto" w:sz="6" w:space="0"/>
              <w:left w:val="single" w:color="auto" w:sz="6" w:space="0"/>
              <w:right w:val="single" w:color="auto" w:sz="6" w:space="0"/>
            </w:tcBorders>
            <w:vAlign w:val="center"/>
          </w:tcPr>
          <w:p w14:paraId="38F30346">
            <w:pPr>
              <w:pStyle w:val="12"/>
              <w:adjustRightInd w:val="0"/>
              <w:snapToGrid w:val="0"/>
              <w:spacing w:before="50" w:line="360" w:lineRule="auto"/>
              <w:jc w:val="center"/>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sym w:font="Wingdings" w:char="00A8"/>
            </w:r>
          </w:p>
        </w:tc>
        <w:tc>
          <w:tcPr>
            <w:tcW w:w="755" w:type="dxa"/>
            <w:tcBorders>
              <w:top w:val="single" w:color="auto" w:sz="6" w:space="0"/>
              <w:left w:val="single" w:color="auto" w:sz="6" w:space="0"/>
            </w:tcBorders>
            <w:vAlign w:val="center"/>
          </w:tcPr>
          <w:p w14:paraId="1103492D">
            <w:pPr>
              <w:pStyle w:val="12"/>
              <w:adjustRightInd w:val="0"/>
              <w:snapToGrid w:val="0"/>
              <w:spacing w:before="50" w:line="360" w:lineRule="auto"/>
              <w:jc w:val="center"/>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sym w:font="Wingdings" w:char="00A8"/>
            </w:r>
          </w:p>
        </w:tc>
      </w:tr>
    </w:tbl>
    <w:p w14:paraId="63200178">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说明：</w:t>
      </w:r>
    </w:p>
    <w:p w14:paraId="45259B4C">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1.节能产品实行强制采购的，需提供国家认证机构出具的、处于有效期内的节能产品证书。</w:t>
      </w:r>
    </w:p>
    <w:p w14:paraId="35D9E426">
      <w:pPr>
        <w:adjustRightInd w:val="0"/>
        <w:snapToGrid w:val="0"/>
        <w:spacing w:line="360" w:lineRule="auto"/>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2.同意购买进口产品的，不限制满足采购需求的国内产品参与谈判。</w:t>
      </w:r>
    </w:p>
    <w:p w14:paraId="262C329A">
      <w:pPr>
        <w:keepNext/>
        <w:keepLines/>
        <w:adjustRightInd w:val="0"/>
        <w:snapToGrid w:val="0"/>
        <w:spacing w:before="156" w:beforeLines="50" w:line="360" w:lineRule="auto"/>
        <w:jc w:val="left"/>
        <w:outlineLvl w:val="1"/>
        <w:rPr>
          <w:rFonts w:ascii="黑体" w:hAnsi="黑体" w:eastAsia="黑体"/>
          <w:b w:val="0"/>
          <w:bCs w:val="0"/>
          <w:color w:val="auto"/>
          <w:sz w:val="24"/>
          <w:szCs w:val="32"/>
        </w:rPr>
      </w:pPr>
      <w:bookmarkStart w:id="9" w:name="_Toc110606574"/>
      <w:bookmarkStart w:id="10" w:name="_Toc6786"/>
      <w:bookmarkStart w:id="11" w:name="_Toc107997940"/>
      <w:bookmarkStart w:id="12" w:name="_Toc1004"/>
      <w:bookmarkStart w:id="13" w:name="_Toc22657513"/>
      <w:r>
        <w:rPr>
          <w:rFonts w:hint="eastAsia" w:ascii="黑体" w:hAnsi="黑体" w:eastAsia="黑体"/>
          <w:b w:val="0"/>
          <w:bCs w:val="0"/>
          <w:color w:val="auto"/>
          <w:sz w:val="24"/>
          <w:szCs w:val="32"/>
        </w:rPr>
        <w:t>三、采购项目需落实的政府采购政策</w:t>
      </w:r>
      <w:bookmarkEnd w:id="9"/>
      <w:bookmarkEnd w:id="10"/>
      <w:bookmarkEnd w:id="11"/>
      <w:bookmarkEnd w:id="12"/>
    </w:p>
    <w:bookmarkEnd w:id="13"/>
    <w:p w14:paraId="73C45E53">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1、优先采购：节能产品、环境标志产品、两型产品享受加分或价格折扣。</w:t>
      </w:r>
    </w:p>
    <w:p w14:paraId="7146122E">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2、支持中小企业：中小企业享受预留采购份额或价格折扣。</w:t>
      </w:r>
    </w:p>
    <w:p w14:paraId="2FA9E224">
      <w:pPr>
        <w:keepNext/>
        <w:keepLines/>
        <w:adjustRightInd w:val="0"/>
        <w:snapToGrid w:val="0"/>
        <w:spacing w:line="360" w:lineRule="auto"/>
        <w:jc w:val="left"/>
        <w:outlineLvl w:val="1"/>
        <w:rPr>
          <w:rFonts w:ascii="黑体" w:hAnsi="黑体" w:eastAsia="黑体"/>
          <w:b w:val="0"/>
          <w:bCs w:val="0"/>
          <w:color w:val="auto"/>
          <w:sz w:val="24"/>
          <w:szCs w:val="32"/>
        </w:rPr>
      </w:pPr>
      <w:bookmarkStart w:id="14" w:name="_Toc10165"/>
      <w:bookmarkStart w:id="15" w:name="_Toc110606575"/>
      <w:bookmarkStart w:id="16" w:name="_Toc7738"/>
      <w:r>
        <w:rPr>
          <w:rFonts w:hint="eastAsia" w:ascii="黑体" w:hAnsi="黑体" w:eastAsia="黑体"/>
          <w:b w:val="0"/>
          <w:bCs w:val="0"/>
          <w:color w:val="auto"/>
          <w:sz w:val="24"/>
          <w:szCs w:val="32"/>
        </w:rPr>
        <w:t>四、供应商的资格要求</w:t>
      </w:r>
      <w:bookmarkEnd w:id="14"/>
      <w:bookmarkEnd w:id="15"/>
      <w:bookmarkEnd w:id="16"/>
    </w:p>
    <w:p w14:paraId="2A245A8C">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6DA8840B">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w:t>
      </w:r>
    </w:p>
    <w:p w14:paraId="6EF56812">
      <w:pPr>
        <w:adjustRightInd w:val="0"/>
        <w:snapToGrid w:val="0"/>
        <w:spacing w:line="360" w:lineRule="auto"/>
        <w:ind w:firstLine="720" w:firstLineChars="300"/>
        <w:jc w:val="left"/>
        <w:rPr>
          <w:rFonts w:hint="eastAsia" w:ascii="仿宋" w:hAnsi="仿宋" w:eastAsia="仿宋" w:cs="仿宋"/>
          <w:color w:val="auto"/>
          <w:sz w:val="24"/>
          <w:szCs w:val="24"/>
        </w:rPr>
      </w:pP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专门面向</w:t>
      </w:r>
      <w:r>
        <w:rPr>
          <w:rFonts w:hint="eastAsia" w:ascii="仿宋" w:hAnsi="仿宋" w:eastAsia="仿宋" w:cs="仿宋"/>
          <w:bCs/>
          <w:color w:val="auto"/>
          <w:sz w:val="24"/>
          <w:szCs w:val="24"/>
        </w:rPr>
        <w:t>：</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中小企业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小微企业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监狱企业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福利性单位。</w:t>
      </w:r>
    </w:p>
    <w:p w14:paraId="74C625AE">
      <w:pPr>
        <w:adjustRightInd w:val="0"/>
        <w:snapToGrid w:val="0"/>
        <w:spacing w:line="360" w:lineRule="auto"/>
        <w:ind w:firstLine="720" w:firstLineChars="300"/>
        <w:jc w:val="left"/>
        <w:rPr>
          <w:rFonts w:hint="eastAsia" w:ascii="仿宋" w:hAnsi="仿宋" w:eastAsia="仿宋" w:cs="仿宋"/>
          <w:bCs/>
          <w:color w:val="auto"/>
          <w:sz w:val="24"/>
          <w:szCs w:val="24"/>
        </w:rPr>
      </w:pP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强制</w:t>
      </w:r>
      <w:r>
        <w:rPr>
          <w:rFonts w:hint="eastAsia" w:ascii="仿宋" w:hAnsi="仿宋" w:eastAsia="仿宋" w:cs="仿宋"/>
          <w:bCs/>
          <w:color w:val="auto"/>
          <w:sz w:val="24"/>
          <w:szCs w:val="24"/>
        </w:rPr>
        <w:t>分包：大型企业应将采购份额的</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%分包给中小企业。</w:t>
      </w:r>
    </w:p>
    <w:p w14:paraId="2FC84A31">
      <w:pPr>
        <w:adjustRightInd w:val="0"/>
        <w:snapToGrid w:val="0"/>
        <w:spacing w:line="360" w:lineRule="auto"/>
        <w:ind w:firstLine="480" w:firstLineChars="200"/>
        <w:jc w:val="left"/>
        <w:rPr>
          <w:rFonts w:hint="eastAsia" w:ascii="仿宋" w:hAnsi="仿宋" w:eastAsia="仿宋" w:cs="仿宋"/>
          <w:i/>
          <w:color w:val="auto"/>
          <w:sz w:val="24"/>
          <w:szCs w:val="24"/>
          <w:highlight w:val="none"/>
          <w:lang w:val="en-US" w:eastAsia="zh-CN"/>
        </w:rPr>
      </w:pPr>
      <w:r>
        <w:rPr>
          <w:rFonts w:hint="eastAsia" w:ascii="仿宋" w:hAnsi="仿宋" w:eastAsia="仿宋" w:cs="仿宋"/>
          <w:color w:val="auto"/>
          <w:sz w:val="24"/>
          <w:szCs w:val="24"/>
        </w:rPr>
        <w:t>3、本项目的特定资格要求：</w:t>
      </w:r>
      <w:r>
        <w:rPr>
          <w:rFonts w:hint="eastAsia" w:ascii="仿宋" w:hAnsi="仿宋" w:eastAsia="仿宋" w:cs="仿宋"/>
          <w:color w:val="auto"/>
          <w:sz w:val="24"/>
          <w:szCs w:val="24"/>
          <w:lang w:val="en-US" w:eastAsia="zh-CN"/>
        </w:rPr>
        <w:t>供应商具备建设行政主管部门颁发的《建设工程质量检测机构资质证书》综合资质或专项资质(含地基基础)，资质证书处于有效期内。若检测资质证书尚未下发，则须提供建设行政主管部门官网发布的检测机构资质核准名单截图(以官网截图核准公告为准)，若检测资质证书已下发，则以检测资质证书为准。</w:t>
      </w:r>
    </w:p>
    <w:p w14:paraId="3CF86CCF">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4、单位负责人为同一人或者存在直接控股、管理关系的不同供应商，不得参加同一合同项下的政府采购活动。</w:t>
      </w:r>
    </w:p>
    <w:p w14:paraId="3F711E03">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5、为本采购项目提供整体设计、规范编制或者项目管理、监理、检测等服务的，不得再参加此项目的其他采购活动。</w:t>
      </w:r>
    </w:p>
    <w:p w14:paraId="1AF52382">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6、列入失信被执行人、重大税收违法失信主体名单、政府采购严重违法失信行为记录名单的，拒绝其参与政府采购活动。</w:t>
      </w:r>
    </w:p>
    <w:p w14:paraId="66379A8C">
      <w:pPr>
        <w:adjustRightInd w:val="0"/>
        <w:snapToGrid w:val="0"/>
        <w:spacing w:before="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7、联合体响应。本次采购</w:t>
      </w:r>
      <w:r>
        <w:rPr>
          <w:rFonts w:hint="eastAsia" w:ascii="仿宋" w:hAnsi="仿宋" w:eastAsia="仿宋" w:cs="仿宋"/>
          <w:color w:val="auto"/>
          <w:sz w:val="24"/>
          <w:szCs w:val="24"/>
          <w:u w:val="single"/>
          <w:lang w:val="en-US" w:eastAsia="zh-CN"/>
        </w:rPr>
        <w:t>不接受</w:t>
      </w:r>
      <w:r>
        <w:rPr>
          <w:rFonts w:hint="eastAsia" w:ascii="仿宋" w:hAnsi="仿宋" w:eastAsia="仿宋" w:cs="仿宋"/>
          <w:color w:val="auto"/>
          <w:sz w:val="24"/>
          <w:szCs w:val="24"/>
        </w:rPr>
        <w:t>(接受或不接受)联合体响应。</w:t>
      </w:r>
    </w:p>
    <w:p w14:paraId="4C9FEE3D">
      <w:pPr>
        <w:keepNext/>
        <w:keepLines/>
        <w:adjustRightInd w:val="0"/>
        <w:snapToGrid w:val="0"/>
        <w:spacing w:before="156" w:beforeLines="50" w:line="360" w:lineRule="auto"/>
        <w:outlineLvl w:val="1"/>
        <w:rPr>
          <w:rFonts w:ascii="黑体" w:hAnsi="黑体" w:eastAsia="黑体"/>
          <w:b w:val="0"/>
          <w:bCs w:val="0"/>
          <w:color w:val="auto"/>
          <w:sz w:val="24"/>
          <w:szCs w:val="32"/>
        </w:rPr>
      </w:pPr>
      <w:bookmarkStart w:id="17" w:name="_Toc30916"/>
      <w:bookmarkStart w:id="18" w:name="_Toc22201058"/>
      <w:r>
        <w:rPr>
          <w:rFonts w:hint="eastAsia" w:ascii="黑体" w:hAnsi="黑体" w:eastAsia="黑体"/>
          <w:b w:val="0"/>
          <w:bCs w:val="0"/>
          <w:color w:val="auto"/>
          <w:sz w:val="24"/>
          <w:szCs w:val="32"/>
        </w:rPr>
        <w:t>五、获取谈判文件的时间、地点及方式</w:t>
      </w:r>
      <w:bookmarkEnd w:id="17"/>
      <w:bookmarkEnd w:id="18"/>
    </w:p>
    <w:p w14:paraId="770A56B6">
      <w:pPr>
        <w:adjustRightInd w:val="0"/>
        <w:snapToGrid w:val="0"/>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lang w:val="en-US"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7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16 </w:t>
      </w:r>
      <w:r>
        <w:rPr>
          <w:rFonts w:hint="eastAsia" w:ascii="仿宋" w:hAnsi="仿宋" w:eastAsia="仿宋" w:cs="仿宋"/>
          <w:color w:val="auto"/>
          <w:sz w:val="24"/>
          <w:szCs w:val="24"/>
        </w:rPr>
        <w:t>日至</w:t>
      </w:r>
      <w:r>
        <w:rPr>
          <w:rFonts w:hint="eastAsia" w:ascii="仿宋" w:hAnsi="仿宋" w:eastAsia="仿宋" w:cs="仿宋"/>
          <w:color w:val="auto"/>
          <w:sz w:val="24"/>
          <w:szCs w:val="24"/>
          <w:u w:val="single"/>
          <w:lang w:val="en-US"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7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21 </w:t>
      </w:r>
      <w:r>
        <w:rPr>
          <w:rFonts w:hint="eastAsia" w:ascii="仿宋" w:hAnsi="仿宋" w:eastAsia="仿宋" w:cs="仿宋"/>
          <w:color w:val="auto"/>
          <w:sz w:val="24"/>
          <w:szCs w:val="24"/>
        </w:rPr>
        <w:t>日，每天上午</w:t>
      </w:r>
      <w:r>
        <w:rPr>
          <w:rFonts w:hint="eastAsia" w:ascii="仿宋" w:hAnsi="仿宋" w:eastAsia="仿宋" w:cs="仿宋"/>
          <w:color w:val="auto"/>
          <w:sz w:val="24"/>
          <w:szCs w:val="24"/>
          <w:lang w:val="en-US" w:eastAsia="zh-CN"/>
        </w:rPr>
        <w:t>9:00</w:t>
      </w:r>
      <w:r>
        <w:rPr>
          <w:rFonts w:hint="eastAsia" w:ascii="仿宋" w:hAnsi="仿宋" w:eastAsia="仿宋" w:cs="仿宋"/>
          <w:color w:val="auto"/>
          <w:sz w:val="24"/>
          <w:szCs w:val="24"/>
        </w:rPr>
        <w:t>至</w:t>
      </w:r>
      <w:r>
        <w:rPr>
          <w:rFonts w:hint="eastAsia" w:ascii="仿宋" w:hAnsi="仿宋" w:eastAsia="仿宋" w:cs="仿宋"/>
          <w:color w:val="auto"/>
          <w:sz w:val="24"/>
          <w:szCs w:val="24"/>
          <w:lang w:val="en-US" w:eastAsia="zh-CN"/>
        </w:rPr>
        <w:t>12:00</w:t>
      </w:r>
      <w:r>
        <w:rPr>
          <w:rFonts w:hint="eastAsia" w:ascii="仿宋" w:hAnsi="仿宋" w:eastAsia="仿宋" w:cs="仿宋"/>
          <w:color w:val="auto"/>
          <w:sz w:val="24"/>
          <w:szCs w:val="24"/>
        </w:rPr>
        <w:t>，下午</w:t>
      </w:r>
      <w:r>
        <w:rPr>
          <w:rFonts w:hint="eastAsia" w:ascii="仿宋" w:hAnsi="仿宋" w:eastAsia="仿宋" w:cs="仿宋"/>
          <w:color w:val="auto"/>
          <w:sz w:val="24"/>
          <w:szCs w:val="24"/>
          <w:lang w:val="en-US" w:eastAsia="zh-CN"/>
        </w:rPr>
        <w:t>14:30</w:t>
      </w:r>
      <w:r>
        <w:rPr>
          <w:rFonts w:hint="eastAsia" w:ascii="仿宋" w:hAnsi="仿宋" w:eastAsia="仿宋" w:cs="仿宋"/>
          <w:color w:val="auto"/>
          <w:sz w:val="24"/>
          <w:szCs w:val="24"/>
        </w:rPr>
        <w:t>至</w:t>
      </w:r>
      <w:r>
        <w:rPr>
          <w:rFonts w:hint="eastAsia" w:ascii="仿宋" w:hAnsi="仿宋" w:eastAsia="仿宋" w:cs="仿宋"/>
          <w:color w:val="auto"/>
          <w:sz w:val="24"/>
          <w:szCs w:val="24"/>
          <w:lang w:val="en-US" w:eastAsia="zh-CN"/>
        </w:rPr>
        <w:t>17:00</w:t>
      </w:r>
      <w:r>
        <w:rPr>
          <w:rFonts w:hint="eastAsia" w:ascii="仿宋" w:hAnsi="仿宋" w:eastAsia="仿宋" w:cs="仿宋"/>
          <w:color w:val="auto"/>
          <w:sz w:val="24"/>
          <w:szCs w:val="24"/>
        </w:rPr>
        <w:t>（北京时间，法定节假日除外）</w:t>
      </w:r>
    </w:p>
    <w:p w14:paraId="1720D7F7">
      <w:pPr>
        <w:adjustRightInd w:val="0"/>
        <w:snapToGrid w:val="0"/>
        <w:spacing w:line="24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lang w:eastAsia="zh-CN"/>
        </w:rPr>
        <w:t>东联建建筑咨询有限公司（怀化市河西武陵山跨境电商产业园B7栋二楼）</w:t>
      </w:r>
    </w:p>
    <w:p w14:paraId="78AC4026">
      <w:pPr>
        <w:adjustRightInd w:val="0"/>
        <w:snapToGrid w:val="0"/>
        <w:spacing w:line="24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方式：</w:t>
      </w:r>
      <w:r>
        <w:rPr>
          <w:rFonts w:hint="eastAsia" w:ascii="仿宋" w:hAnsi="仿宋" w:eastAsia="仿宋" w:cs="仿宋"/>
          <w:color w:val="auto"/>
          <w:sz w:val="24"/>
          <w:szCs w:val="24"/>
          <w:u w:val="single"/>
          <w:lang w:val="en-US" w:eastAsia="zh-CN"/>
        </w:rPr>
        <w:t>持本采购邀请免费领取谈判文件</w:t>
      </w:r>
    </w:p>
    <w:p w14:paraId="53268BCF">
      <w:pPr>
        <w:keepNext/>
        <w:keepLines/>
        <w:adjustRightInd w:val="0"/>
        <w:snapToGrid w:val="0"/>
        <w:spacing w:before="156" w:beforeLines="50" w:line="360" w:lineRule="auto"/>
        <w:outlineLvl w:val="1"/>
        <w:rPr>
          <w:rFonts w:hint="eastAsia" w:ascii="黑体" w:hAnsi="黑体" w:eastAsia="黑体" w:cs="Times New Roman"/>
          <w:b w:val="0"/>
          <w:bCs w:val="0"/>
          <w:color w:val="auto"/>
          <w:sz w:val="24"/>
          <w:szCs w:val="32"/>
          <w:lang w:val="en-US" w:eastAsia="zh-CN"/>
        </w:rPr>
      </w:pPr>
      <w:r>
        <w:rPr>
          <w:rFonts w:hint="eastAsia" w:ascii="黑体" w:hAnsi="黑体" w:eastAsia="黑体" w:cs="Times New Roman"/>
          <w:b w:val="0"/>
          <w:bCs w:val="0"/>
          <w:color w:val="auto"/>
          <w:sz w:val="24"/>
          <w:szCs w:val="32"/>
          <w:lang w:val="en-US" w:eastAsia="zh-CN"/>
        </w:rPr>
        <w:t>六、确认</w:t>
      </w:r>
    </w:p>
    <w:p w14:paraId="6C04FBC4">
      <w:pPr>
        <w:pStyle w:val="34"/>
      </w:pPr>
      <w:r>
        <w:rPr>
          <w:rFonts w:hint="eastAsia" w:ascii="仿宋" w:hAnsi="仿宋" w:eastAsia="仿宋" w:cs="仿宋"/>
          <w:sz w:val="24"/>
          <w:szCs w:val="24"/>
          <w:highlight w:val="none"/>
        </w:rPr>
        <w:t>你单位请于</w:t>
      </w:r>
      <w:r>
        <w:rPr>
          <w:rFonts w:hint="eastAsia" w:ascii="仿宋" w:hAnsi="仿宋" w:eastAsia="仿宋" w:cs="仿宋"/>
          <w:color w:val="auto"/>
          <w:sz w:val="24"/>
          <w:szCs w:val="24"/>
          <w:u w:val="single"/>
          <w:lang w:val="en-US"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7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lang w:val="en-US" w:eastAsia="zh-CN"/>
        </w:rPr>
        <w:t xml:space="preserve"> 21 </w:t>
      </w:r>
      <w:r>
        <w:rPr>
          <w:rFonts w:hint="eastAsia" w:ascii="仿宋" w:hAnsi="仿宋" w:eastAsia="仿宋" w:cs="仿宋"/>
          <w:sz w:val="24"/>
          <w:szCs w:val="24"/>
          <w:highlight w:val="none"/>
        </w:rPr>
        <w:t>日</w:t>
      </w:r>
      <w:r>
        <w:rPr>
          <w:rFonts w:hint="eastAsia" w:ascii="仿宋" w:hAnsi="仿宋" w:eastAsia="仿宋" w:cs="仿宋"/>
          <w:sz w:val="24"/>
          <w:szCs w:val="24"/>
          <w:highlight w:val="none"/>
          <w:u w:val="single"/>
          <w:lang w:val="en-US" w:eastAsia="zh-CN"/>
        </w:rPr>
        <w:t>17:00</w:t>
      </w:r>
      <w:r>
        <w:rPr>
          <w:rFonts w:hint="eastAsia" w:ascii="仿宋" w:hAnsi="仿宋" w:eastAsia="仿宋" w:cs="仿宋"/>
          <w:sz w:val="24"/>
          <w:szCs w:val="24"/>
          <w:highlight w:val="none"/>
        </w:rPr>
        <w:t>时前，</w:t>
      </w:r>
      <w:r>
        <w:rPr>
          <w:rFonts w:hint="eastAsia" w:ascii="仿宋" w:hAnsi="仿宋" w:eastAsia="仿宋" w:cs="仿宋"/>
          <w:sz w:val="24"/>
          <w:szCs w:val="24"/>
        </w:rPr>
        <w:t>以书面形式确认是否参加谈判采购，如未提供视为主动放弃本次谈判采购；</w:t>
      </w:r>
    </w:p>
    <w:p w14:paraId="63DA7D2D">
      <w:pPr>
        <w:keepNext/>
        <w:keepLines/>
        <w:adjustRightInd w:val="0"/>
        <w:snapToGrid w:val="0"/>
        <w:spacing w:before="156" w:beforeLines="50" w:line="360" w:lineRule="auto"/>
        <w:outlineLvl w:val="1"/>
        <w:rPr>
          <w:rFonts w:ascii="黑体" w:hAnsi="黑体" w:eastAsia="黑体"/>
          <w:b w:val="0"/>
          <w:bCs w:val="0"/>
          <w:color w:val="auto"/>
          <w:sz w:val="24"/>
          <w:szCs w:val="32"/>
        </w:rPr>
      </w:pPr>
      <w:bookmarkStart w:id="19" w:name="_Toc4257"/>
      <w:bookmarkStart w:id="20" w:name="_Toc22201059"/>
      <w:r>
        <w:rPr>
          <w:rFonts w:hint="eastAsia" w:ascii="黑体" w:hAnsi="黑体" w:eastAsia="黑体"/>
          <w:b w:val="0"/>
          <w:bCs w:val="0"/>
          <w:color w:val="auto"/>
          <w:sz w:val="24"/>
          <w:szCs w:val="32"/>
          <w:lang w:val="en-US" w:eastAsia="zh-CN"/>
        </w:rPr>
        <w:t>七</w:t>
      </w:r>
      <w:r>
        <w:rPr>
          <w:rFonts w:hint="eastAsia" w:ascii="黑体" w:hAnsi="黑体" w:eastAsia="黑体"/>
          <w:b w:val="0"/>
          <w:bCs w:val="0"/>
          <w:color w:val="auto"/>
          <w:sz w:val="24"/>
          <w:szCs w:val="32"/>
        </w:rPr>
        <w:t>、提交首次响应文件的截止时间、谈判时间及地点</w:t>
      </w:r>
      <w:bookmarkEnd w:id="19"/>
      <w:bookmarkEnd w:id="20"/>
    </w:p>
    <w:p w14:paraId="41AD006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提交首次响应文件的截止时间：</w:t>
      </w:r>
      <w:r>
        <w:rPr>
          <w:rFonts w:hint="eastAsia" w:ascii="仿宋" w:hAnsi="仿宋" w:eastAsia="仿宋" w:cs="仿宋"/>
          <w:color w:val="auto"/>
          <w:sz w:val="24"/>
          <w:szCs w:val="24"/>
          <w:u w:val="single"/>
          <w:lang w:val="en-US" w:eastAsia="zh-CN"/>
        </w:rPr>
        <w:t>2025年7月 22 日10时00分</w:t>
      </w:r>
      <w:r>
        <w:rPr>
          <w:rFonts w:hint="eastAsia" w:ascii="仿宋" w:hAnsi="仿宋" w:eastAsia="仿宋" w:cs="仿宋"/>
          <w:color w:val="auto"/>
          <w:sz w:val="24"/>
          <w:szCs w:val="24"/>
        </w:rPr>
        <w:t>（北京时间）</w:t>
      </w:r>
    </w:p>
    <w:p w14:paraId="3F377AE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提交首次响应文件的地点：</w:t>
      </w:r>
      <w:r>
        <w:rPr>
          <w:rFonts w:hint="eastAsia" w:ascii="仿宋" w:hAnsi="仿宋" w:eastAsia="仿宋" w:cs="仿宋"/>
          <w:color w:val="auto"/>
          <w:sz w:val="24"/>
          <w:szCs w:val="24"/>
          <w:u w:val="single"/>
          <w:lang w:eastAsia="zh-CN"/>
        </w:rPr>
        <w:t>东联建建筑咨询有限公司（怀化市河西武陵山跨境电商产业园B7栋二楼）</w:t>
      </w:r>
    </w:p>
    <w:p w14:paraId="37F1A2C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首次响应文件开启时间：</w:t>
      </w:r>
      <w:r>
        <w:rPr>
          <w:rFonts w:hint="eastAsia" w:ascii="仿宋" w:hAnsi="仿宋" w:eastAsia="仿宋" w:cs="仿宋"/>
          <w:color w:val="auto"/>
          <w:sz w:val="24"/>
          <w:szCs w:val="24"/>
          <w:u w:val="single"/>
          <w:lang w:val="en-US" w:eastAsia="zh-CN"/>
        </w:rPr>
        <w:t>2025年7月 22 日10时00分</w:t>
      </w:r>
      <w:r>
        <w:rPr>
          <w:rFonts w:hint="eastAsia" w:ascii="仿宋" w:hAnsi="仿宋" w:eastAsia="仿宋" w:cs="仿宋"/>
          <w:color w:val="auto"/>
          <w:sz w:val="24"/>
          <w:szCs w:val="24"/>
        </w:rPr>
        <w:t>（北京时间）</w:t>
      </w:r>
    </w:p>
    <w:p w14:paraId="3B3D79FF">
      <w:pPr>
        <w:adjustRightInd w:val="0"/>
        <w:snapToGrid w:val="0"/>
        <w:spacing w:line="360" w:lineRule="auto"/>
        <w:ind w:firstLine="480" w:firstLineChars="200"/>
        <w:rPr>
          <w:rFonts w:hint="eastAsia" w:ascii="仿宋" w:hAnsi="仿宋" w:eastAsia="仿宋" w:cs="仿宋"/>
          <w:bCs/>
          <w:color w:val="auto"/>
          <w:sz w:val="24"/>
          <w:szCs w:val="24"/>
          <w:u w:val="single"/>
        </w:rPr>
      </w:pPr>
      <w:r>
        <w:rPr>
          <w:rFonts w:hint="eastAsia" w:ascii="仿宋" w:hAnsi="仿宋" w:eastAsia="仿宋" w:cs="仿宋"/>
          <w:color w:val="auto"/>
          <w:sz w:val="24"/>
          <w:szCs w:val="24"/>
        </w:rPr>
        <w:t>首次响应文件开启地点：</w:t>
      </w:r>
      <w:r>
        <w:rPr>
          <w:rFonts w:hint="eastAsia" w:ascii="仿宋" w:hAnsi="仿宋" w:eastAsia="仿宋" w:cs="仿宋"/>
          <w:color w:val="auto"/>
          <w:sz w:val="24"/>
          <w:szCs w:val="24"/>
          <w:u w:val="single"/>
          <w:lang w:eastAsia="zh-CN"/>
        </w:rPr>
        <w:t>东联建建筑咨询有限公司（怀化市河西武陵山跨境电商产业园B7栋二楼）</w:t>
      </w:r>
    </w:p>
    <w:p w14:paraId="3B56A939">
      <w:pPr>
        <w:keepNext/>
        <w:keepLines/>
        <w:adjustRightInd w:val="0"/>
        <w:snapToGrid w:val="0"/>
        <w:spacing w:before="156" w:beforeLines="50" w:line="240" w:lineRule="auto"/>
        <w:outlineLvl w:val="1"/>
        <w:rPr>
          <w:rFonts w:ascii="黑体" w:hAnsi="黑体" w:eastAsia="黑体"/>
          <w:b w:val="0"/>
          <w:bCs w:val="0"/>
          <w:color w:val="auto"/>
          <w:sz w:val="24"/>
          <w:szCs w:val="32"/>
        </w:rPr>
      </w:pPr>
      <w:bookmarkStart w:id="21" w:name="_Toc3247"/>
      <w:bookmarkStart w:id="22" w:name="_Toc22201061"/>
      <w:bookmarkStart w:id="23" w:name="_Toc35393635"/>
      <w:bookmarkStart w:id="24" w:name="_Toc110606582"/>
      <w:bookmarkStart w:id="25" w:name="_Toc62225410"/>
      <w:bookmarkStart w:id="26" w:name="_Toc35393804"/>
      <w:bookmarkStart w:id="27" w:name="_Toc107997945"/>
      <w:bookmarkStart w:id="28" w:name="_Toc3326"/>
      <w:bookmarkStart w:id="29" w:name="_Toc10787"/>
      <w:r>
        <w:rPr>
          <w:rFonts w:hint="eastAsia" w:ascii="黑体" w:hAnsi="黑体" w:eastAsia="黑体"/>
          <w:b w:val="0"/>
          <w:bCs w:val="0"/>
          <w:color w:val="auto"/>
          <w:sz w:val="24"/>
          <w:szCs w:val="32"/>
          <w:lang w:val="en-US" w:eastAsia="zh-CN"/>
        </w:rPr>
        <w:t>八</w:t>
      </w:r>
      <w:r>
        <w:rPr>
          <w:rFonts w:hint="eastAsia" w:ascii="黑体" w:hAnsi="黑体" w:eastAsia="黑体"/>
          <w:b w:val="0"/>
          <w:bCs w:val="0"/>
          <w:color w:val="auto"/>
          <w:sz w:val="24"/>
          <w:szCs w:val="32"/>
        </w:rPr>
        <w:t>、询问及质疑</w:t>
      </w:r>
      <w:bookmarkEnd w:id="21"/>
      <w:bookmarkEnd w:id="22"/>
    </w:p>
    <w:p w14:paraId="265591FD">
      <w:pPr>
        <w:adjustRightInd w:val="0"/>
        <w:snapToGrid w:val="0"/>
        <w:spacing w:before="156" w:beforeLines="50"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1、供应商对政府采购活动事项如有疑问的，可以向采购人、采购代理机构提出询问。采购人、采购代理机构将在3个工作日内作出答复。</w:t>
      </w:r>
    </w:p>
    <w:p w14:paraId="1C3289FC">
      <w:pPr>
        <w:adjustRightInd w:val="0"/>
        <w:snapToGrid w:val="0"/>
        <w:spacing w:before="156" w:beforeLines="50"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认为谈判文件使自己的合法权益受到损害的，可以在收到谈判文件之日起7个工作日内，按《湖南省财政厅关于印发＜政府采购质疑答复和投诉处理操作规程＞的通知》(湘财购〔2019〕20号)规定，以纸质书面形式向采购人、采购代理机构提出质疑。</w:t>
      </w:r>
    </w:p>
    <w:p w14:paraId="2AD99A95">
      <w:pPr>
        <w:keepNext/>
        <w:keepLines/>
        <w:adjustRightInd w:val="0"/>
        <w:snapToGrid w:val="0"/>
        <w:spacing w:line="360" w:lineRule="auto"/>
        <w:outlineLvl w:val="1"/>
        <w:rPr>
          <w:rFonts w:hint="eastAsia" w:ascii="黑体" w:hAnsi="黑体" w:eastAsia="黑体"/>
          <w:b w:val="0"/>
          <w:bCs w:val="0"/>
          <w:color w:val="auto"/>
          <w:sz w:val="24"/>
          <w:szCs w:val="32"/>
          <w:lang w:eastAsia="zh-CN"/>
        </w:rPr>
      </w:pPr>
      <w:bookmarkStart w:id="30" w:name="_Toc13958"/>
      <w:r>
        <w:rPr>
          <w:rFonts w:hint="eastAsia" w:ascii="黑体" w:hAnsi="黑体" w:eastAsia="黑体"/>
          <w:b w:val="0"/>
          <w:bCs w:val="0"/>
          <w:color w:val="auto"/>
          <w:sz w:val="24"/>
          <w:szCs w:val="32"/>
          <w:lang w:val="en-US" w:eastAsia="zh-CN"/>
        </w:rPr>
        <w:t>九</w:t>
      </w:r>
      <w:r>
        <w:rPr>
          <w:rFonts w:hint="eastAsia" w:ascii="黑体" w:hAnsi="黑体" w:eastAsia="黑体"/>
          <w:b w:val="0"/>
          <w:bCs w:val="0"/>
          <w:color w:val="auto"/>
          <w:sz w:val="24"/>
          <w:szCs w:val="32"/>
        </w:rPr>
        <w:t>、谈判</w:t>
      </w:r>
      <w:r>
        <w:rPr>
          <w:rFonts w:hint="eastAsia" w:ascii="黑体" w:hAnsi="黑体" w:eastAsia="黑体"/>
          <w:b w:val="0"/>
          <w:bCs w:val="0"/>
          <w:color w:val="auto"/>
          <w:sz w:val="24"/>
          <w:szCs w:val="32"/>
          <w:lang w:val="en-US" w:eastAsia="zh-CN"/>
        </w:rPr>
        <w:t>说明</w:t>
      </w:r>
      <w:bookmarkEnd w:id="30"/>
    </w:p>
    <w:p w14:paraId="6C5DF576">
      <w:pPr>
        <w:tabs>
          <w:tab w:val="left" w:pos="4700"/>
          <w:tab w:val="left" w:pos="6000"/>
          <w:tab w:val="left" w:pos="7160"/>
          <w:tab w:val="left" w:pos="8520"/>
        </w:tabs>
        <w:autoSpaceDE w:val="0"/>
        <w:autoSpaceDN w:val="0"/>
        <w:adjustRightInd w:val="0"/>
        <w:snapToGrid w:val="0"/>
        <w:spacing w:line="360" w:lineRule="auto"/>
        <w:ind w:right="-23"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1、谈判邀请选项：</w:t>
      </w: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表示选择，</w:t>
      </w: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表示未选择。</w:t>
      </w:r>
    </w:p>
    <w:bookmarkEnd w:id="23"/>
    <w:bookmarkEnd w:id="24"/>
    <w:bookmarkEnd w:id="25"/>
    <w:bookmarkEnd w:id="26"/>
    <w:bookmarkEnd w:id="27"/>
    <w:bookmarkEnd w:id="28"/>
    <w:bookmarkEnd w:id="29"/>
    <w:p w14:paraId="44906605">
      <w:pPr>
        <w:keepNext/>
        <w:keepLines/>
        <w:adjustRightInd w:val="0"/>
        <w:snapToGrid w:val="0"/>
        <w:spacing w:line="360" w:lineRule="auto"/>
        <w:jc w:val="left"/>
        <w:outlineLvl w:val="1"/>
        <w:rPr>
          <w:rFonts w:ascii="黑体" w:hAnsi="黑体" w:eastAsia="黑体"/>
          <w:b w:val="0"/>
          <w:bCs w:val="0"/>
          <w:color w:val="auto"/>
          <w:sz w:val="24"/>
          <w:szCs w:val="32"/>
        </w:rPr>
      </w:pPr>
      <w:bookmarkStart w:id="31" w:name="_Toc35393805"/>
      <w:bookmarkStart w:id="32" w:name="_Toc35393636"/>
      <w:bookmarkStart w:id="33" w:name="_Toc62225411"/>
      <w:bookmarkStart w:id="34" w:name="_Toc28359018"/>
      <w:bookmarkStart w:id="35" w:name="_Toc28359095"/>
      <w:bookmarkStart w:id="36" w:name="_Toc110606583"/>
      <w:bookmarkStart w:id="37" w:name="_Toc9967"/>
      <w:bookmarkStart w:id="38" w:name="_Toc28725"/>
      <w:bookmarkStart w:id="39" w:name="_Toc107997947"/>
      <w:r>
        <w:rPr>
          <w:rFonts w:hint="eastAsia" w:ascii="黑体" w:hAnsi="黑体" w:eastAsia="黑体"/>
          <w:b w:val="0"/>
          <w:bCs w:val="0"/>
          <w:color w:val="auto"/>
          <w:sz w:val="24"/>
          <w:szCs w:val="32"/>
        </w:rPr>
        <w:t>十、</w:t>
      </w:r>
      <w:bookmarkEnd w:id="31"/>
      <w:bookmarkEnd w:id="32"/>
      <w:bookmarkEnd w:id="33"/>
      <w:bookmarkEnd w:id="34"/>
      <w:bookmarkEnd w:id="35"/>
      <w:r>
        <w:rPr>
          <w:rFonts w:hint="eastAsia" w:ascii="黑体" w:hAnsi="黑体" w:eastAsia="黑体"/>
          <w:b w:val="0"/>
          <w:bCs w:val="0"/>
          <w:color w:val="auto"/>
          <w:sz w:val="24"/>
          <w:szCs w:val="21"/>
        </w:rPr>
        <w:t>采购项目联系人姓名和电话</w:t>
      </w:r>
      <w:bookmarkEnd w:id="36"/>
      <w:bookmarkEnd w:id="37"/>
      <w:bookmarkEnd w:id="38"/>
      <w:bookmarkEnd w:id="39"/>
    </w:p>
    <w:p w14:paraId="07134569">
      <w:pPr>
        <w:adjustRightInd w:val="0"/>
        <w:snapToGrid w:val="0"/>
        <w:spacing w:line="360" w:lineRule="auto"/>
        <w:ind w:firstLine="480" w:firstLineChars="20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rPr>
        <w:t>1、联系人姓名：</w:t>
      </w:r>
      <w:r>
        <w:rPr>
          <w:rFonts w:hint="eastAsia" w:ascii="仿宋" w:hAnsi="仿宋" w:eastAsia="仿宋" w:cs="仿宋"/>
          <w:color w:val="auto"/>
          <w:sz w:val="24"/>
          <w:szCs w:val="24"/>
          <w:u w:val="single"/>
          <w:lang w:val="en-US" w:eastAsia="zh-CN"/>
        </w:rPr>
        <w:t>杨先生</w:t>
      </w:r>
    </w:p>
    <w:p w14:paraId="186D3ABC">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2、电话：</w:t>
      </w:r>
      <w:r>
        <w:rPr>
          <w:rFonts w:hint="eastAsia" w:ascii="仿宋" w:hAnsi="仿宋" w:eastAsia="仿宋" w:cs="仿宋"/>
          <w:color w:val="auto"/>
          <w:sz w:val="24"/>
          <w:szCs w:val="24"/>
          <w:u w:val="single"/>
          <w:lang w:val="en-US" w:eastAsia="zh-CN"/>
        </w:rPr>
        <w:t>19310189586</w:t>
      </w:r>
    </w:p>
    <w:p w14:paraId="0C3F55E0">
      <w:pPr>
        <w:keepNext/>
        <w:keepLines/>
        <w:adjustRightInd w:val="0"/>
        <w:snapToGrid w:val="0"/>
        <w:spacing w:line="360" w:lineRule="auto"/>
        <w:jc w:val="left"/>
        <w:outlineLvl w:val="1"/>
        <w:rPr>
          <w:rFonts w:ascii="黑体" w:hAnsi="黑体" w:eastAsia="黑体"/>
          <w:b w:val="0"/>
          <w:bCs w:val="0"/>
          <w:color w:val="auto"/>
          <w:sz w:val="24"/>
          <w:szCs w:val="32"/>
        </w:rPr>
      </w:pPr>
      <w:bookmarkStart w:id="40" w:name="_Toc25269"/>
      <w:bookmarkStart w:id="41" w:name="_Toc110606584"/>
      <w:bookmarkStart w:id="42" w:name="_Toc3881"/>
      <w:bookmarkStart w:id="43" w:name="_Toc107997948"/>
      <w:r>
        <w:rPr>
          <w:rFonts w:hint="eastAsia" w:ascii="黑体" w:hAnsi="黑体" w:eastAsia="黑体"/>
          <w:b w:val="0"/>
          <w:bCs w:val="0"/>
          <w:color w:val="auto"/>
          <w:sz w:val="24"/>
          <w:szCs w:val="32"/>
        </w:rPr>
        <w:t>十</w:t>
      </w:r>
      <w:r>
        <w:rPr>
          <w:rFonts w:hint="eastAsia" w:ascii="黑体" w:hAnsi="黑体" w:eastAsia="黑体"/>
          <w:b w:val="0"/>
          <w:bCs w:val="0"/>
          <w:color w:val="auto"/>
          <w:sz w:val="24"/>
          <w:szCs w:val="32"/>
          <w:lang w:val="en-US" w:eastAsia="zh-CN"/>
        </w:rPr>
        <w:t>一</w:t>
      </w:r>
      <w:r>
        <w:rPr>
          <w:rFonts w:hint="eastAsia" w:ascii="黑体" w:hAnsi="黑体" w:eastAsia="黑体"/>
          <w:b w:val="0"/>
          <w:bCs w:val="0"/>
          <w:color w:val="auto"/>
          <w:sz w:val="24"/>
          <w:szCs w:val="32"/>
        </w:rPr>
        <w:t>、采购人、采购代理机构的名称、地址和联系方法</w:t>
      </w:r>
      <w:bookmarkEnd w:id="40"/>
      <w:bookmarkEnd w:id="41"/>
      <w:bookmarkEnd w:id="42"/>
      <w:bookmarkEnd w:id="43"/>
    </w:p>
    <w:p w14:paraId="7F46BEAA">
      <w:pPr>
        <w:adjustRightInd w:val="0"/>
        <w:snapToGrid w:val="0"/>
        <w:spacing w:line="360" w:lineRule="auto"/>
        <w:ind w:firstLine="470" w:firstLineChars="196"/>
        <w:jc w:val="left"/>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1、采购人信息</w:t>
      </w:r>
    </w:p>
    <w:p w14:paraId="640BC2FB">
      <w:pPr>
        <w:adjustRightInd w:val="0"/>
        <w:snapToGrid w:val="0"/>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sz w:val="24"/>
          <w:szCs w:val="24"/>
        </w:rPr>
        <w:t>名  称：</w:t>
      </w:r>
      <w:r>
        <w:rPr>
          <w:rFonts w:hint="eastAsia" w:ascii="仿宋" w:hAnsi="仿宋" w:eastAsia="仿宋" w:cs="仿宋"/>
          <w:color w:val="auto"/>
          <w:sz w:val="24"/>
          <w:szCs w:val="24"/>
          <w:u w:val="single"/>
          <w:lang w:val="en-US" w:eastAsia="zh-CN"/>
        </w:rPr>
        <w:t>怀化市鹤城区城市建设投资有限公司</w:t>
      </w:r>
    </w:p>
    <w:p w14:paraId="78766816">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（2）地  址：</w:t>
      </w:r>
      <w:r>
        <w:rPr>
          <w:rFonts w:hint="eastAsia" w:ascii="仿宋" w:hAnsi="仿宋" w:eastAsia="仿宋" w:cs="仿宋"/>
          <w:color w:val="auto"/>
          <w:sz w:val="24"/>
          <w:szCs w:val="24"/>
          <w:u w:val="single"/>
          <w:lang w:val="en-US" w:eastAsia="zh-CN"/>
        </w:rPr>
        <w:t>怀化市鹤城区金海路</w:t>
      </w:r>
    </w:p>
    <w:p w14:paraId="18FFCEEB">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（3）联系人：</w:t>
      </w:r>
      <w:r>
        <w:rPr>
          <w:rFonts w:hint="eastAsia" w:ascii="仿宋" w:hAnsi="仿宋" w:eastAsia="仿宋" w:cs="仿宋"/>
          <w:color w:val="auto"/>
          <w:sz w:val="24"/>
          <w:szCs w:val="24"/>
          <w:u w:val="single"/>
          <w:lang w:val="en-US" w:eastAsia="zh-CN"/>
        </w:rPr>
        <w:t>卢女士</w:t>
      </w:r>
    </w:p>
    <w:p w14:paraId="32DE916E">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（4）电  话：</w:t>
      </w:r>
      <w:r>
        <w:rPr>
          <w:rFonts w:hint="eastAsia" w:ascii="仿宋" w:hAnsi="仿宋" w:eastAsia="仿宋" w:cs="仿宋"/>
          <w:color w:val="auto"/>
          <w:sz w:val="24"/>
          <w:szCs w:val="24"/>
          <w:u w:val="single"/>
          <w:lang w:val="en-US" w:eastAsia="zh-CN"/>
        </w:rPr>
        <w:t>0745-2557950</w:t>
      </w:r>
    </w:p>
    <w:p w14:paraId="081F731C">
      <w:pPr>
        <w:adjustRightInd w:val="0"/>
        <w:snapToGrid w:val="0"/>
        <w:spacing w:line="360" w:lineRule="auto"/>
        <w:ind w:firstLine="470" w:firstLineChars="196"/>
        <w:jc w:val="left"/>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2、采购代理机构信息</w:t>
      </w:r>
    </w:p>
    <w:p w14:paraId="55215518">
      <w:pPr>
        <w:adjustRightInd w:val="0"/>
        <w:snapToGrid w:val="0"/>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sz w:val="24"/>
          <w:szCs w:val="24"/>
        </w:rPr>
        <w:t>名  称：</w:t>
      </w:r>
      <w:r>
        <w:rPr>
          <w:rFonts w:hint="eastAsia" w:ascii="仿宋" w:hAnsi="仿宋" w:eastAsia="仿宋" w:cs="仿宋"/>
          <w:color w:val="auto"/>
          <w:sz w:val="24"/>
          <w:szCs w:val="24"/>
          <w:u w:val="single"/>
          <w:lang w:eastAsia="zh-CN"/>
        </w:rPr>
        <w:t>东联建建筑咨询有限公司</w:t>
      </w:r>
    </w:p>
    <w:p w14:paraId="2C57A458">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（2）地  址：</w:t>
      </w:r>
      <w:r>
        <w:rPr>
          <w:rFonts w:hint="eastAsia" w:ascii="仿宋" w:hAnsi="仿宋" w:eastAsia="仿宋" w:cs="仿宋"/>
          <w:color w:val="auto"/>
          <w:sz w:val="24"/>
          <w:szCs w:val="24"/>
          <w:u w:val="single"/>
          <w:lang w:eastAsia="zh-CN"/>
        </w:rPr>
        <w:t>怀化市河西武陵山跨境电商产业园B7栋二楼</w:t>
      </w:r>
    </w:p>
    <w:p w14:paraId="5A7E07C0">
      <w:pPr>
        <w:adjustRightInd w:val="0"/>
        <w:snapToGrid w:val="0"/>
        <w:spacing w:line="360" w:lineRule="auto"/>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（3）联系人：</w:t>
      </w:r>
      <w:r>
        <w:rPr>
          <w:rFonts w:hint="eastAsia" w:ascii="仿宋" w:hAnsi="仿宋" w:eastAsia="仿宋" w:cs="仿宋"/>
          <w:color w:val="auto"/>
          <w:sz w:val="24"/>
          <w:szCs w:val="24"/>
          <w:u w:val="single"/>
          <w:lang w:val="en-US" w:eastAsia="zh-CN"/>
        </w:rPr>
        <w:t>杨先生</w:t>
      </w:r>
    </w:p>
    <w:p w14:paraId="21F5BE71">
      <w:pPr>
        <w:adjustRightInd w:val="0"/>
        <w:snapToGrid w:val="0"/>
        <w:spacing w:line="360" w:lineRule="auto"/>
        <w:ind w:firstLine="480" w:firstLineChars="200"/>
        <w:jc w:val="left"/>
        <w:rPr>
          <w:rFonts w:hint="eastAsia" w:ascii="仿宋" w:hAnsi="仿宋" w:eastAsia="仿宋" w:cs="仿宋"/>
          <w:color w:val="auto"/>
          <w:sz w:val="24"/>
          <w:szCs w:val="24"/>
          <w:u w:val="single"/>
          <w:lang w:val="en-US" w:eastAsia="zh-CN"/>
        </w:rPr>
        <w:sectPr>
          <w:footerReference r:id="rId5" w:type="default"/>
          <w:pgSz w:w="11906" w:h="16838"/>
          <w:pgMar w:top="1418" w:right="1418" w:bottom="1134" w:left="1418" w:header="851" w:footer="992" w:gutter="0"/>
          <w:cols w:space="720" w:num="1"/>
          <w:docGrid w:type="linesAndChars" w:linePitch="312" w:charSpace="0"/>
        </w:sectPr>
      </w:pPr>
      <w:r>
        <w:rPr>
          <w:rFonts w:hint="eastAsia" w:ascii="仿宋" w:hAnsi="仿宋" w:eastAsia="仿宋" w:cs="仿宋"/>
          <w:color w:val="auto"/>
          <w:sz w:val="24"/>
          <w:szCs w:val="24"/>
        </w:rPr>
        <w:t>（4）电  话：</w:t>
      </w:r>
      <w:r>
        <w:rPr>
          <w:rFonts w:hint="eastAsia" w:ascii="仿宋" w:hAnsi="仿宋" w:eastAsia="仿宋" w:cs="仿宋"/>
          <w:color w:val="auto"/>
          <w:sz w:val="24"/>
          <w:szCs w:val="24"/>
          <w:u w:val="single"/>
          <w:lang w:val="en-US" w:eastAsia="zh-CN"/>
        </w:rPr>
        <w:t>19310189586</w:t>
      </w:r>
    </w:p>
    <w:p w14:paraId="58AFAE6A">
      <w:pPr>
        <w:pStyle w:val="6"/>
        <w:adjustRightInd w:val="0"/>
        <w:snapToGrid w:val="0"/>
        <w:spacing w:before="0" w:after="0" w:line="360" w:lineRule="auto"/>
        <w:rPr>
          <w:rFonts w:asci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附件：</w:t>
      </w:r>
      <w:r>
        <w:rPr>
          <w:rFonts w:hint="eastAsia" w:ascii="宋体" w:hAnsi="宋体" w:cs="宋体"/>
          <w:color w:val="000000" w:themeColor="text1"/>
          <w:spacing w:val="-3"/>
          <w:sz w:val="21"/>
          <w:szCs w:val="21"/>
          <w14:textFill>
            <w14:solidFill>
              <w14:schemeClr w14:val="tx1"/>
            </w14:solidFill>
          </w14:textFill>
        </w:rPr>
        <w:t>确</w:t>
      </w:r>
      <w:r>
        <w:rPr>
          <w:rFonts w:hint="eastAsia" w:ascii="宋体" w:hAnsi="宋体" w:cs="宋体"/>
          <w:color w:val="000000" w:themeColor="text1"/>
          <w:sz w:val="21"/>
          <w:szCs w:val="21"/>
          <w14:textFill>
            <w14:solidFill>
              <w14:schemeClr w14:val="tx1"/>
            </w14:solidFill>
          </w14:textFill>
        </w:rPr>
        <w:t>认通知</w:t>
      </w:r>
    </w:p>
    <w:p w14:paraId="45425BC4">
      <w:pPr>
        <w:autoSpaceDE w:val="0"/>
        <w:autoSpaceDN w:val="0"/>
        <w:adjustRightInd w:val="0"/>
        <w:snapToGrid w:val="0"/>
        <w:spacing w:beforeLines="50" w:line="360" w:lineRule="auto"/>
        <w:ind w:right="3816"/>
        <w:jc w:val="center"/>
        <w:rPr>
          <w:rFonts w:ascii="黑体" w:hAnsi="黑体" w:eastAsia="黑体"/>
          <w:b/>
          <w:bCs/>
          <w:color w:val="000000" w:themeColor="text1"/>
          <w:kern w:val="0"/>
          <w:sz w:val="28"/>
          <w:szCs w:val="28"/>
          <w14:textFill>
            <w14:solidFill>
              <w14:schemeClr w14:val="tx1"/>
            </w14:solidFill>
          </w14:textFill>
        </w:rPr>
      </w:pPr>
      <w:r>
        <w:rPr>
          <w:rFonts w:ascii="黑体" w:hAnsi="黑体" w:eastAsia="黑体" w:cs="黑体"/>
          <w:color w:val="000000" w:themeColor="text1"/>
          <w:kern w:val="0"/>
          <w:position w:val="-3"/>
          <w:sz w:val="28"/>
          <w:szCs w:val="28"/>
          <w14:textFill>
            <w14:solidFill>
              <w14:schemeClr w14:val="tx1"/>
            </w14:solidFill>
          </w14:textFill>
        </w:rPr>
        <w:t xml:space="preserve">                      </w:t>
      </w:r>
      <w:r>
        <w:rPr>
          <w:rFonts w:ascii="黑体" w:hAnsi="黑体" w:eastAsia="黑体" w:cs="黑体"/>
          <w:b/>
          <w:bCs/>
          <w:color w:val="000000" w:themeColor="text1"/>
          <w:kern w:val="0"/>
          <w:position w:val="-3"/>
          <w:sz w:val="28"/>
          <w:szCs w:val="28"/>
          <w14:textFill>
            <w14:solidFill>
              <w14:schemeClr w14:val="tx1"/>
            </w14:solidFill>
          </w14:textFill>
        </w:rPr>
        <w:t xml:space="preserve"> </w:t>
      </w:r>
      <w:r>
        <w:rPr>
          <w:rFonts w:hint="eastAsia" w:ascii="黑体" w:hAnsi="黑体" w:eastAsia="黑体" w:cs="黑体"/>
          <w:b/>
          <w:bCs/>
          <w:color w:val="000000" w:themeColor="text1"/>
          <w:kern w:val="0"/>
          <w:position w:val="-3"/>
          <w:sz w:val="28"/>
          <w:szCs w:val="28"/>
          <w14:textFill>
            <w14:solidFill>
              <w14:schemeClr w14:val="tx1"/>
            </w14:solidFill>
          </w14:textFill>
        </w:rPr>
        <w:t>确认通知</w:t>
      </w:r>
    </w:p>
    <w:p w14:paraId="04C39375">
      <w:pPr>
        <w:tabs>
          <w:tab w:val="left" w:pos="1980"/>
        </w:tabs>
        <w:autoSpaceDE w:val="0"/>
        <w:autoSpaceDN w:val="0"/>
        <w:adjustRightInd w:val="0"/>
        <w:snapToGrid w:val="0"/>
        <w:spacing w:beforeLines="50" w:line="360" w:lineRule="auto"/>
        <w:ind w:right="-20"/>
        <w:jc w:val="left"/>
        <w:rPr>
          <w:rFonts w:hint="eastAsia" w:ascii="仿宋" w:hAnsi="仿宋" w:eastAsia="仿宋" w:cs="仿宋"/>
          <w:color w:val="000000" w:themeColor="text1"/>
          <w:spacing w:val="-108"/>
          <w:kern w:val="0"/>
          <w:position w:val="-2"/>
          <w:sz w:val="24"/>
          <w:szCs w:val="24"/>
          <w14:textFill>
            <w14:solidFill>
              <w14:schemeClr w14:val="tx1"/>
            </w14:solidFill>
          </w14:textFill>
        </w:rPr>
      </w:pP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kern w:val="0"/>
          <w:position w:val="-2"/>
          <w:sz w:val="24"/>
          <w:szCs w:val="24"/>
          <w14:textFill>
            <w14:solidFill>
              <w14:schemeClr w14:val="tx1"/>
            </w14:solidFill>
          </w14:textFill>
        </w:rPr>
        <w:t>（采购人、采购代理机构</w:t>
      </w:r>
      <w:r>
        <w:rPr>
          <w:rFonts w:hint="eastAsia" w:ascii="仿宋" w:hAnsi="仿宋" w:eastAsia="仿宋" w:cs="仿宋"/>
          <w:color w:val="000000" w:themeColor="text1"/>
          <w:spacing w:val="-2"/>
          <w:kern w:val="0"/>
          <w:sz w:val="24"/>
          <w:szCs w:val="24"/>
          <w14:textFill>
            <w14:solidFill>
              <w14:schemeClr w14:val="tx1"/>
            </w14:solidFill>
          </w14:textFill>
        </w:rPr>
        <w:t>）：</w:t>
      </w:r>
    </w:p>
    <w:p w14:paraId="31DB9144">
      <w:pPr>
        <w:tabs>
          <w:tab w:val="left" w:pos="1980"/>
        </w:tabs>
        <w:autoSpaceDE w:val="0"/>
        <w:autoSpaceDN w:val="0"/>
        <w:adjustRightInd w:val="0"/>
        <w:snapToGrid w:val="0"/>
        <w:spacing w:beforeLines="50" w:line="360" w:lineRule="auto"/>
        <w:ind w:right="-23" w:firstLine="480" w:firstLineChars="2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position w:val="-2"/>
          <w:sz w:val="24"/>
          <w:szCs w:val="24"/>
          <w14:textFill>
            <w14:solidFill>
              <w14:schemeClr w14:val="tx1"/>
            </w14:solidFill>
          </w14:textFill>
        </w:rPr>
        <w:t>我单位</w:t>
      </w:r>
      <w:r>
        <w:rPr>
          <w:rFonts w:hint="eastAsia" w:ascii="仿宋" w:hAnsi="仿宋" w:eastAsia="仿宋" w:cs="仿宋"/>
          <w:color w:val="000000" w:themeColor="text1"/>
          <w:spacing w:val="-2"/>
          <w:kern w:val="0"/>
          <w:position w:val="-2"/>
          <w:sz w:val="24"/>
          <w:szCs w:val="24"/>
          <w14:textFill>
            <w14:solidFill>
              <w14:schemeClr w14:val="tx1"/>
            </w14:solidFill>
          </w14:textFill>
        </w:rPr>
        <w:t>已</w:t>
      </w:r>
      <w:r>
        <w:rPr>
          <w:rFonts w:hint="eastAsia" w:ascii="仿宋" w:hAnsi="仿宋" w:eastAsia="仿宋" w:cs="仿宋"/>
          <w:color w:val="000000" w:themeColor="text1"/>
          <w:kern w:val="0"/>
          <w:position w:val="-2"/>
          <w:sz w:val="24"/>
          <w:szCs w:val="24"/>
          <w14:textFill>
            <w14:solidFill>
              <w14:schemeClr w14:val="tx1"/>
            </w14:solidFill>
          </w14:textFill>
        </w:rPr>
        <w:t>于</w:t>
      </w: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spacing w:val="1"/>
          <w:kern w:val="0"/>
          <w:position w:val="-2"/>
          <w:sz w:val="24"/>
          <w:szCs w:val="24"/>
          <w14:textFill>
            <w14:solidFill>
              <w14:schemeClr w14:val="tx1"/>
            </w14:solidFill>
          </w14:textFill>
        </w:rPr>
        <w:t>年</w:t>
      </w: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kern w:val="0"/>
          <w:position w:val="-2"/>
          <w:sz w:val="24"/>
          <w:szCs w:val="24"/>
          <w14:textFill>
            <w14:solidFill>
              <w14:schemeClr w14:val="tx1"/>
            </w14:solidFill>
          </w14:textFill>
        </w:rPr>
        <w:t>月</w:t>
      </w: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spacing w:val="-2"/>
          <w:kern w:val="0"/>
          <w:position w:val="-2"/>
          <w:sz w:val="24"/>
          <w:szCs w:val="24"/>
          <w14:textFill>
            <w14:solidFill>
              <w14:schemeClr w14:val="tx1"/>
            </w14:solidFill>
          </w14:textFill>
        </w:rPr>
        <w:t>日</w:t>
      </w:r>
      <w:r>
        <w:rPr>
          <w:rFonts w:hint="eastAsia" w:ascii="仿宋" w:hAnsi="仿宋" w:eastAsia="仿宋" w:cs="仿宋"/>
          <w:color w:val="000000" w:themeColor="text1"/>
          <w:kern w:val="0"/>
          <w:position w:val="-2"/>
          <w:sz w:val="24"/>
          <w:szCs w:val="24"/>
          <w14:textFill>
            <w14:solidFill>
              <w14:schemeClr w14:val="tx1"/>
            </w14:solidFill>
          </w14:textFill>
        </w:rPr>
        <w:t>收</w:t>
      </w:r>
      <w:r>
        <w:rPr>
          <w:rFonts w:hint="eastAsia" w:ascii="仿宋" w:hAnsi="仿宋" w:eastAsia="仿宋" w:cs="仿宋"/>
          <w:color w:val="000000" w:themeColor="text1"/>
          <w:spacing w:val="-2"/>
          <w:kern w:val="0"/>
          <w:position w:val="-2"/>
          <w:sz w:val="24"/>
          <w:szCs w:val="24"/>
          <w14:textFill>
            <w14:solidFill>
              <w14:schemeClr w14:val="tx1"/>
            </w14:solidFill>
          </w14:textFill>
        </w:rPr>
        <w:t>到</w:t>
      </w:r>
      <w:r>
        <w:rPr>
          <w:rFonts w:hint="eastAsia" w:ascii="仿宋" w:hAnsi="仿宋" w:eastAsia="仿宋" w:cs="仿宋"/>
          <w:color w:val="000000" w:themeColor="text1"/>
          <w:kern w:val="0"/>
          <w:position w:val="-2"/>
          <w:sz w:val="24"/>
          <w:szCs w:val="24"/>
          <w14:textFill>
            <w14:solidFill>
              <w14:schemeClr w14:val="tx1"/>
            </w14:solidFill>
          </w14:textFill>
        </w:rPr>
        <w:t>你单位</w:t>
      </w: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kern w:val="0"/>
          <w:position w:val="-2"/>
          <w:sz w:val="24"/>
          <w:szCs w:val="24"/>
          <w14:textFill>
            <w14:solidFill>
              <w14:schemeClr w14:val="tx1"/>
            </w14:solidFill>
          </w14:textFill>
        </w:rPr>
        <w:t>年</w:t>
      </w: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spacing w:val="1"/>
          <w:kern w:val="0"/>
          <w:position w:val="-2"/>
          <w:sz w:val="24"/>
          <w:szCs w:val="24"/>
          <w14:textFill>
            <w14:solidFill>
              <w14:schemeClr w14:val="tx1"/>
            </w14:solidFill>
          </w14:textFill>
        </w:rPr>
        <w:t>月</w:t>
      </w: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kern w:val="0"/>
          <w:position w:val="-2"/>
          <w:sz w:val="24"/>
          <w:szCs w:val="24"/>
          <w14:textFill>
            <w14:solidFill>
              <w14:schemeClr w14:val="tx1"/>
            </w14:solidFill>
          </w14:textFill>
        </w:rPr>
        <w:t>日发</w:t>
      </w:r>
      <w:r>
        <w:rPr>
          <w:rFonts w:hint="eastAsia" w:ascii="仿宋" w:hAnsi="仿宋" w:eastAsia="仿宋" w:cs="仿宋"/>
          <w:color w:val="000000" w:themeColor="text1"/>
          <w:spacing w:val="-2"/>
          <w:kern w:val="0"/>
          <w:position w:val="-2"/>
          <w:sz w:val="24"/>
          <w:szCs w:val="24"/>
          <w14:textFill>
            <w14:solidFill>
              <w14:schemeClr w14:val="tx1"/>
            </w14:solidFill>
          </w14:textFill>
        </w:rPr>
        <w:t>出</w:t>
      </w:r>
      <w:r>
        <w:rPr>
          <w:rFonts w:hint="eastAsia" w:ascii="仿宋" w:hAnsi="仿宋" w:eastAsia="仿宋" w:cs="仿宋"/>
          <w:color w:val="000000" w:themeColor="text1"/>
          <w:kern w:val="0"/>
          <w:position w:val="-2"/>
          <w:sz w:val="24"/>
          <w:szCs w:val="24"/>
          <w14:textFill>
            <w14:solidFill>
              <w14:schemeClr w14:val="tx1"/>
            </w14:solidFill>
          </w14:textFill>
        </w:rPr>
        <w:t>的</w:t>
      </w:r>
      <w:r>
        <w:rPr>
          <w:rFonts w:hint="eastAsia" w:ascii="仿宋" w:hAnsi="仿宋" w:eastAsia="仿宋" w:cs="仿宋"/>
          <w:color w:val="000000" w:themeColor="text1"/>
          <w:spacing w:val="43"/>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spacing w:val="-2"/>
          <w:kern w:val="0"/>
          <w:position w:val="-2"/>
          <w:sz w:val="24"/>
          <w:szCs w:val="24"/>
          <w14:textFill>
            <w14:solidFill>
              <w14:schemeClr w14:val="tx1"/>
            </w14:solidFill>
          </w14:textFill>
        </w:rPr>
        <w:t>（</w:t>
      </w:r>
      <w:r>
        <w:rPr>
          <w:rFonts w:hint="eastAsia" w:ascii="仿宋" w:hAnsi="仿宋" w:eastAsia="仿宋" w:cs="仿宋"/>
          <w:color w:val="000000" w:themeColor="text1"/>
          <w:kern w:val="0"/>
          <w:position w:val="-2"/>
          <w:sz w:val="24"/>
          <w:szCs w:val="24"/>
          <w14:textFill>
            <w14:solidFill>
              <w14:schemeClr w14:val="tx1"/>
            </w14:solidFill>
          </w14:textFill>
        </w:rPr>
        <w:t>项</w:t>
      </w:r>
      <w:r>
        <w:rPr>
          <w:rFonts w:hint="eastAsia" w:ascii="仿宋" w:hAnsi="仿宋" w:eastAsia="仿宋" w:cs="仿宋"/>
          <w:color w:val="000000" w:themeColor="text1"/>
          <w:spacing w:val="-2"/>
          <w:kern w:val="0"/>
          <w:position w:val="-2"/>
          <w:sz w:val="24"/>
          <w:szCs w:val="24"/>
          <w14:textFill>
            <w14:solidFill>
              <w14:schemeClr w14:val="tx1"/>
            </w14:solidFill>
          </w14:textFill>
        </w:rPr>
        <w:t>目</w:t>
      </w:r>
      <w:r>
        <w:rPr>
          <w:rFonts w:hint="eastAsia" w:ascii="仿宋" w:hAnsi="仿宋" w:eastAsia="仿宋" w:cs="仿宋"/>
          <w:color w:val="000000" w:themeColor="text1"/>
          <w:kern w:val="0"/>
          <w:position w:val="-2"/>
          <w:sz w:val="24"/>
          <w:szCs w:val="24"/>
          <w14:textFill>
            <w14:solidFill>
              <w14:schemeClr w14:val="tx1"/>
            </w14:solidFill>
          </w14:textFill>
        </w:rPr>
        <w:t>名称</w:t>
      </w:r>
      <w:r>
        <w:rPr>
          <w:rFonts w:hint="eastAsia" w:ascii="仿宋" w:hAnsi="仿宋" w:eastAsia="仿宋" w:cs="仿宋"/>
          <w:color w:val="000000" w:themeColor="text1"/>
          <w:spacing w:val="-22"/>
          <w:kern w:val="0"/>
          <w:position w:val="-2"/>
          <w:sz w:val="24"/>
          <w:szCs w:val="24"/>
          <w14:textFill>
            <w14:solidFill>
              <w14:schemeClr w14:val="tx1"/>
            </w14:solidFill>
          </w14:textFill>
        </w:rPr>
        <w:t>）</w:t>
      </w:r>
      <w:r>
        <w:rPr>
          <w:rFonts w:hint="eastAsia" w:ascii="仿宋" w:hAnsi="仿宋" w:eastAsia="仿宋" w:cs="仿宋"/>
          <w:color w:val="000000" w:themeColor="text1"/>
          <w:kern w:val="0"/>
          <w:position w:val="-2"/>
          <w:sz w:val="24"/>
          <w:szCs w:val="24"/>
          <w14:textFill>
            <w14:solidFill>
              <w14:schemeClr w14:val="tx1"/>
            </w14:solidFill>
          </w14:textFill>
        </w:rPr>
        <w:t>谈判邀</w:t>
      </w:r>
      <w:r>
        <w:rPr>
          <w:rFonts w:hint="eastAsia" w:ascii="仿宋" w:hAnsi="仿宋" w:eastAsia="仿宋" w:cs="仿宋"/>
          <w:color w:val="000000" w:themeColor="text1"/>
          <w:spacing w:val="-2"/>
          <w:kern w:val="0"/>
          <w:position w:val="-2"/>
          <w:sz w:val="24"/>
          <w:szCs w:val="24"/>
          <w14:textFill>
            <w14:solidFill>
              <w14:schemeClr w14:val="tx1"/>
            </w14:solidFill>
          </w14:textFill>
        </w:rPr>
        <w:t>请</w:t>
      </w:r>
      <w:r>
        <w:rPr>
          <w:rFonts w:hint="eastAsia" w:ascii="仿宋" w:hAnsi="仿宋" w:eastAsia="仿宋" w:cs="仿宋"/>
          <w:color w:val="000000" w:themeColor="text1"/>
          <w:spacing w:val="-22"/>
          <w:kern w:val="0"/>
          <w:position w:val="-2"/>
          <w:sz w:val="24"/>
          <w:szCs w:val="24"/>
          <w14:textFill>
            <w14:solidFill>
              <w14:schemeClr w14:val="tx1"/>
            </w14:solidFill>
          </w14:textFill>
        </w:rPr>
        <w:t>，</w:t>
      </w:r>
      <w:r>
        <w:rPr>
          <w:rFonts w:hint="eastAsia" w:ascii="仿宋" w:hAnsi="仿宋" w:eastAsia="仿宋" w:cs="仿宋"/>
          <w:color w:val="000000" w:themeColor="text1"/>
          <w:spacing w:val="-2"/>
          <w:kern w:val="0"/>
          <w:position w:val="-2"/>
          <w:sz w:val="24"/>
          <w:szCs w:val="24"/>
          <w14:textFill>
            <w14:solidFill>
              <w14:schemeClr w14:val="tx1"/>
            </w14:solidFill>
          </w14:textFill>
        </w:rPr>
        <w:t>确</w:t>
      </w:r>
      <w:r>
        <w:rPr>
          <w:rFonts w:hint="eastAsia" w:ascii="仿宋" w:hAnsi="仿宋" w:eastAsia="仿宋" w:cs="仿宋"/>
          <w:color w:val="000000" w:themeColor="text1"/>
          <w:kern w:val="0"/>
          <w:position w:val="-2"/>
          <w:sz w:val="24"/>
          <w:szCs w:val="24"/>
          <w14:textFill>
            <w14:solidFill>
              <w14:schemeClr w14:val="tx1"/>
            </w14:solidFill>
          </w14:textFill>
        </w:rPr>
        <w:t>认</w:t>
      </w:r>
      <w:r>
        <w:rPr>
          <w:rFonts w:hint="eastAsia" w:ascii="仿宋" w:hAnsi="仿宋" w:eastAsia="仿宋" w:cs="仿宋"/>
          <w:color w:val="000000" w:themeColor="text1"/>
          <w:spacing w:val="43"/>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spacing w:val="-2"/>
          <w:kern w:val="0"/>
          <w:position w:val="-2"/>
          <w:sz w:val="24"/>
          <w:szCs w:val="24"/>
          <w14:textFill>
            <w14:solidFill>
              <w14:schemeClr w14:val="tx1"/>
            </w14:solidFill>
          </w14:textFill>
        </w:rPr>
        <w:t>（参</w:t>
      </w:r>
      <w:r>
        <w:rPr>
          <w:rFonts w:hint="eastAsia" w:ascii="仿宋" w:hAnsi="仿宋" w:eastAsia="仿宋" w:cs="仿宋"/>
          <w:color w:val="000000" w:themeColor="text1"/>
          <w:kern w:val="0"/>
          <w:sz w:val="24"/>
          <w:szCs w:val="24"/>
          <w14:textFill>
            <w14:solidFill>
              <w14:schemeClr w14:val="tx1"/>
            </w14:solidFill>
          </w14:textFill>
        </w:rPr>
        <w:t>加</w:t>
      </w:r>
      <w:r>
        <w:rPr>
          <w:rFonts w:hint="eastAsia" w:ascii="仿宋" w:hAnsi="仿宋" w:eastAsia="仿宋" w:cs="仿宋"/>
          <w:color w:val="000000" w:themeColor="text1"/>
          <w:spacing w:val="-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不</w:t>
      </w:r>
      <w:r>
        <w:rPr>
          <w:rFonts w:hint="eastAsia" w:ascii="仿宋" w:hAnsi="仿宋" w:eastAsia="仿宋" w:cs="仿宋"/>
          <w:color w:val="000000" w:themeColor="text1"/>
          <w:spacing w:val="-2"/>
          <w:kern w:val="0"/>
          <w:sz w:val="24"/>
          <w:szCs w:val="24"/>
          <w14:textFill>
            <w14:solidFill>
              <w14:schemeClr w14:val="tx1"/>
            </w14:solidFill>
          </w14:textFill>
        </w:rPr>
        <w:t>参</w:t>
      </w:r>
      <w:r>
        <w:rPr>
          <w:rFonts w:hint="eastAsia" w:ascii="仿宋" w:hAnsi="仿宋" w:eastAsia="仿宋" w:cs="仿宋"/>
          <w:color w:val="000000" w:themeColor="text1"/>
          <w:kern w:val="0"/>
          <w:sz w:val="24"/>
          <w:szCs w:val="24"/>
          <w14:textFill>
            <w14:solidFill>
              <w14:schemeClr w14:val="tx1"/>
            </w14:solidFill>
          </w14:textFill>
        </w:rPr>
        <w:t>加</w:t>
      </w:r>
      <w:r>
        <w:rPr>
          <w:rFonts w:hint="eastAsia" w:ascii="仿宋" w:hAnsi="仿宋" w:eastAsia="仿宋" w:cs="仿宋"/>
          <w:color w:val="000000" w:themeColor="text1"/>
          <w:spacing w:val="-2"/>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谈判采购。</w:t>
      </w:r>
    </w:p>
    <w:p w14:paraId="31EE91EF">
      <w:pPr>
        <w:autoSpaceDE w:val="0"/>
        <w:autoSpaceDN w:val="0"/>
        <w:adjustRightInd w:val="0"/>
        <w:snapToGrid w:val="0"/>
        <w:spacing w:beforeLines="50" w:line="360" w:lineRule="auto"/>
        <w:ind w:left="487" w:right="723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position w:val="-4"/>
          <w:sz w:val="24"/>
          <w:szCs w:val="24"/>
          <w14:textFill>
            <w14:solidFill>
              <w14:schemeClr w14:val="tx1"/>
            </w14:solidFill>
          </w14:textFill>
        </w:rPr>
        <w:t>特</w:t>
      </w:r>
      <w:r>
        <w:rPr>
          <w:rFonts w:hint="eastAsia" w:ascii="仿宋" w:hAnsi="仿宋" w:eastAsia="仿宋" w:cs="仿宋"/>
          <w:color w:val="000000" w:themeColor="text1"/>
          <w:kern w:val="0"/>
          <w:position w:val="-4"/>
          <w:sz w:val="24"/>
          <w:szCs w:val="24"/>
          <w14:textFill>
            <w14:solidFill>
              <w14:schemeClr w14:val="tx1"/>
            </w14:solidFill>
          </w14:textFill>
        </w:rPr>
        <w:t>此</w:t>
      </w:r>
      <w:r>
        <w:rPr>
          <w:rFonts w:hint="eastAsia" w:ascii="仿宋" w:hAnsi="仿宋" w:eastAsia="仿宋" w:cs="仿宋"/>
          <w:color w:val="000000" w:themeColor="text1"/>
          <w:spacing w:val="-2"/>
          <w:kern w:val="0"/>
          <w:position w:val="-4"/>
          <w:sz w:val="24"/>
          <w:szCs w:val="24"/>
          <w14:textFill>
            <w14:solidFill>
              <w14:schemeClr w14:val="tx1"/>
            </w14:solidFill>
          </w14:textFill>
        </w:rPr>
        <w:t>确</w:t>
      </w:r>
      <w:r>
        <w:rPr>
          <w:rFonts w:hint="eastAsia" w:ascii="仿宋" w:hAnsi="仿宋" w:eastAsia="仿宋" w:cs="仿宋"/>
          <w:color w:val="000000" w:themeColor="text1"/>
          <w:kern w:val="0"/>
          <w:position w:val="-4"/>
          <w:sz w:val="24"/>
          <w:szCs w:val="24"/>
          <w14:textFill>
            <w14:solidFill>
              <w14:schemeClr w14:val="tx1"/>
            </w14:solidFill>
          </w14:textFill>
        </w:rPr>
        <w:t>认。</w:t>
      </w:r>
    </w:p>
    <w:p w14:paraId="6F16E028">
      <w:pPr>
        <w:autoSpaceDE w:val="0"/>
        <w:autoSpaceDN w:val="0"/>
        <w:adjustRightInd w:val="0"/>
        <w:snapToGrid w:val="0"/>
        <w:spacing w:beforeLines="50" w:line="360" w:lineRule="auto"/>
        <w:jc w:val="left"/>
        <w:rPr>
          <w:rFonts w:hint="eastAsia" w:ascii="仿宋" w:hAnsi="仿宋" w:eastAsia="仿宋" w:cs="仿宋"/>
          <w:color w:val="000000" w:themeColor="text1"/>
          <w:kern w:val="0"/>
          <w:sz w:val="24"/>
          <w:szCs w:val="24"/>
          <w14:textFill>
            <w14:solidFill>
              <w14:schemeClr w14:val="tx1"/>
            </w14:solidFill>
          </w14:textFill>
        </w:rPr>
      </w:pPr>
    </w:p>
    <w:p w14:paraId="63257D3D">
      <w:pPr>
        <w:tabs>
          <w:tab w:val="left" w:pos="7220"/>
        </w:tabs>
        <w:autoSpaceDE w:val="0"/>
        <w:autoSpaceDN w:val="0"/>
        <w:adjustRightInd w:val="0"/>
        <w:snapToGrid w:val="0"/>
        <w:spacing w:beforeLines="50" w:line="360" w:lineRule="auto"/>
        <w:ind w:left="3041" w:right="-2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position w:val="-2"/>
          <w:sz w:val="24"/>
          <w:szCs w:val="24"/>
          <w14:textFill>
            <w14:solidFill>
              <w14:schemeClr w14:val="tx1"/>
            </w14:solidFill>
          </w14:textFill>
        </w:rPr>
        <w:t>单</w:t>
      </w:r>
      <w:r>
        <w:rPr>
          <w:rFonts w:hint="eastAsia" w:ascii="仿宋" w:hAnsi="仿宋" w:eastAsia="仿宋" w:cs="仿宋"/>
          <w:color w:val="000000" w:themeColor="text1"/>
          <w:spacing w:val="-2"/>
          <w:kern w:val="0"/>
          <w:position w:val="-2"/>
          <w:sz w:val="24"/>
          <w:szCs w:val="24"/>
          <w14:textFill>
            <w14:solidFill>
              <w14:schemeClr w14:val="tx1"/>
            </w14:solidFill>
          </w14:textFill>
        </w:rPr>
        <w:t>位</w:t>
      </w:r>
      <w:r>
        <w:rPr>
          <w:rFonts w:hint="eastAsia" w:ascii="仿宋" w:hAnsi="仿宋" w:eastAsia="仿宋" w:cs="仿宋"/>
          <w:color w:val="000000" w:themeColor="text1"/>
          <w:kern w:val="0"/>
          <w:position w:val="-2"/>
          <w:sz w:val="24"/>
          <w:szCs w:val="24"/>
          <w14:textFill>
            <w14:solidFill>
              <w14:schemeClr w14:val="tx1"/>
            </w14:solidFill>
          </w14:textFill>
        </w:rPr>
        <w:t>名</w:t>
      </w:r>
      <w:r>
        <w:rPr>
          <w:rFonts w:hint="eastAsia" w:ascii="仿宋" w:hAnsi="仿宋" w:eastAsia="仿宋" w:cs="仿宋"/>
          <w:color w:val="000000" w:themeColor="text1"/>
          <w:spacing w:val="-2"/>
          <w:kern w:val="0"/>
          <w:position w:val="-2"/>
          <w:sz w:val="24"/>
          <w:szCs w:val="24"/>
          <w14:textFill>
            <w14:solidFill>
              <w14:schemeClr w14:val="tx1"/>
            </w14:solidFill>
          </w14:textFill>
        </w:rPr>
        <w:t>称（盖单位公章）</w:t>
      </w:r>
      <w:r>
        <w:rPr>
          <w:rFonts w:hint="eastAsia" w:ascii="仿宋" w:hAnsi="仿宋" w:eastAsia="仿宋" w:cs="仿宋"/>
          <w:color w:val="000000" w:themeColor="text1"/>
          <w:kern w:val="0"/>
          <w:position w:val="-2"/>
          <w:sz w:val="24"/>
          <w:szCs w:val="24"/>
          <w14:textFill>
            <w14:solidFill>
              <w14:schemeClr w14:val="tx1"/>
            </w14:solidFill>
          </w14:textFill>
        </w:rPr>
        <w:t>：</w:t>
      </w:r>
      <w:r>
        <w:rPr>
          <w:rFonts w:hint="eastAsia" w:ascii="仿宋" w:hAnsi="仿宋" w:eastAsia="仿宋" w:cs="仿宋"/>
          <w:color w:val="000000" w:themeColor="text1"/>
          <w:spacing w:val="43"/>
          <w:kern w:val="0"/>
          <w:position w:val="-2"/>
          <w:sz w:val="24"/>
          <w:szCs w:val="24"/>
          <w:u w:val="single"/>
          <w14:textFill>
            <w14:solidFill>
              <w14:schemeClr w14:val="tx1"/>
            </w14:solidFill>
          </w14:textFill>
        </w:rPr>
        <w:t xml:space="preserve">            </w:t>
      </w:r>
    </w:p>
    <w:p w14:paraId="4C20D7A6">
      <w:pPr>
        <w:tabs>
          <w:tab w:val="left" w:pos="7760"/>
        </w:tabs>
        <w:autoSpaceDE w:val="0"/>
        <w:autoSpaceDN w:val="0"/>
        <w:adjustRightInd w:val="0"/>
        <w:snapToGrid w:val="0"/>
        <w:spacing w:beforeLines="50" w:line="360" w:lineRule="auto"/>
        <w:ind w:left="3041" w:right="-2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position w:val="-2"/>
          <w:sz w:val="24"/>
          <w:szCs w:val="24"/>
          <w14:textFill>
            <w14:solidFill>
              <w14:schemeClr w14:val="tx1"/>
            </w14:solidFill>
          </w14:textFill>
        </w:rPr>
        <w:t>法定</w:t>
      </w:r>
      <w:r>
        <w:rPr>
          <w:rFonts w:hint="eastAsia" w:ascii="仿宋" w:hAnsi="仿宋" w:eastAsia="仿宋" w:cs="仿宋"/>
          <w:color w:val="000000" w:themeColor="text1"/>
          <w:spacing w:val="-2"/>
          <w:kern w:val="0"/>
          <w:position w:val="-2"/>
          <w:sz w:val="24"/>
          <w:szCs w:val="24"/>
          <w14:textFill>
            <w14:solidFill>
              <w14:schemeClr w14:val="tx1"/>
            </w14:solidFill>
          </w14:textFill>
        </w:rPr>
        <w:t>代</w:t>
      </w:r>
      <w:r>
        <w:rPr>
          <w:rFonts w:hint="eastAsia" w:ascii="仿宋" w:hAnsi="仿宋" w:eastAsia="仿宋" w:cs="仿宋"/>
          <w:color w:val="000000" w:themeColor="text1"/>
          <w:kern w:val="0"/>
          <w:position w:val="-2"/>
          <w:sz w:val="24"/>
          <w:szCs w:val="24"/>
          <w14:textFill>
            <w14:solidFill>
              <w14:schemeClr w14:val="tx1"/>
            </w14:solidFill>
          </w14:textFill>
        </w:rPr>
        <w:t>表</w:t>
      </w:r>
      <w:r>
        <w:rPr>
          <w:rFonts w:hint="eastAsia" w:ascii="仿宋" w:hAnsi="仿宋" w:eastAsia="仿宋" w:cs="仿宋"/>
          <w:color w:val="000000" w:themeColor="text1"/>
          <w:spacing w:val="-2"/>
          <w:kern w:val="0"/>
          <w:position w:val="-2"/>
          <w:sz w:val="24"/>
          <w:szCs w:val="24"/>
          <w14:textFill>
            <w14:solidFill>
              <w14:schemeClr w14:val="tx1"/>
            </w14:solidFill>
          </w14:textFill>
        </w:rPr>
        <w:t>人</w:t>
      </w:r>
      <w:r>
        <w:rPr>
          <w:rFonts w:hint="eastAsia" w:ascii="仿宋" w:hAnsi="仿宋" w:eastAsia="仿宋" w:cs="仿宋"/>
          <w:color w:val="000000" w:themeColor="text1"/>
          <w:kern w:val="0"/>
          <w:position w:val="-2"/>
          <w:sz w:val="24"/>
          <w:szCs w:val="24"/>
          <w14:textFill>
            <w14:solidFill>
              <w14:schemeClr w14:val="tx1"/>
            </w14:solidFill>
          </w14:textFill>
        </w:rPr>
        <w:t>（或</w:t>
      </w:r>
      <w:r>
        <w:rPr>
          <w:rFonts w:hint="eastAsia" w:ascii="仿宋" w:hAnsi="仿宋" w:eastAsia="仿宋" w:cs="仿宋"/>
          <w:color w:val="000000" w:themeColor="text1"/>
          <w:spacing w:val="-2"/>
          <w:kern w:val="0"/>
          <w:position w:val="-2"/>
          <w:sz w:val="24"/>
          <w:szCs w:val="24"/>
          <w14:textFill>
            <w14:solidFill>
              <w14:schemeClr w14:val="tx1"/>
            </w14:solidFill>
          </w14:textFill>
        </w:rPr>
        <w:t>授权代表人）</w:t>
      </w:r>
      <w:r>
        <w:rPr>
          <w:rFonts w:hint="eastAsia" w:ascii="仿宋" w:hAnsi="仿宋" w:eastAsia="仿宋" w:cs="仿宋"/>
          <w:color w:val="000000" w:themeColor="text1"/>
          <w:sz w:val="24"/>
          <w:szCs w:val="24"/>
          <w14:textFill>
            <w14:solidFill>
              <w14:schemeClr w14:val="tx1"/>
            </w14:solidFill>
          </w14:textFill>
        </w:rPr>
        <w:t>（签字或印章）：</w:t>
      </w:r>
      <w:r>
        <w:rPr>
          <w:rFonts w:hint="eastAsia" w:ascii="仿宋" w:hAnsi="仿宋" w:eastAsia="仿宋" w:cs="仿宋"/>
          <w:color w:val="000000" w:themeColor="text1"/>
          <w:spacing w:val="43"/>
          <w:kern w:val="0"/>
          <w:position w:val="-2"/>
          <w:sz w:val="24"/>
          <w:szCs w:val="24"/>
          <w:u w:val="single"/>
          <w14:textFill>
            <w14:solidFill>
              <w14:schemeClr w14:val="tx1"/>
            </w14:solidFill>
          </w14:textFill>
        </w:rPr>
        <w:t xml:space="preserve">        </w:t>
      </w:r>
    </w:p>
    <w:p w14:paraId="52F471D1">
      <w:pPr>
        <w:rPr>
          <w:rFonts w:hint="eastAsia" w:ascii="仿宋" w:hAnsi="仿宋" w:eastAsia="仿宋" w:cs="仿宋"/>
          <w:color w:val="000000" w:themeColor="text1"/>
          <w:w w:val="169"/>
          <w:kern w:val="0"/>
          <w:sz w:val="24"/>
          <w:szCs w:val="24"/>
          <w:u w:val="single"/>
          <w14:textFill>
            <w14:solidFill>
              <w14:schemeClr w14:val="tx1"/>
            </w14:solidFill>
          </w14:textFill>
        </w:rPr>
      </w:pPr>
    </w:p>
    <w:p w14:paraId="1932EE4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80" w:firstLineChars="1600"/>
        <w:jc w:val="both"/>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w w:val="169"/>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 xml:space="preserve">年 </w:t>
      </w:r>
      <w:r>
        <w:rPr>
          <w:rFonts w:hint="eastAsia" w:ascii="仿宋" w:hAnsi="仿宋" w:eastAsia="仿宋" w:cs="仿宋"/>
          <w:color w:val="000000" w:themeColor="text1"/>
          <w:spacing w:val="43"/>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2"/>
          <w:kern w:val="0"/>
          <w:sz w:val="24"/>
          <w:szCs w:val="24"/>
          <w14:textFill>
            <w14:solidFill>
              <w14:schemeClr w14:val="tx1"/>
            </w14:solidFill>
          </w14:textFill>
        </w:rPr>
        <w:t>月</w:t>
      </w:r>
      <w:r>
        <w:rPr>
          <w:rFonts w:hint="eastAsia" w:ascii="仿宋" w:hAnsi="仿宋" w:eastAsia="仿宋" w:cs="仿宋"/>
          <w:color w:val="000000" w:themeColor="text1"/>
          <w:spacing w:val="43"/>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日</w:t>
      </w:r>
    </w:p>
    <w:p w14:paraId="02CA325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480" w:firstLineChars="1600"/>
        <w:jc w:val="both"/>
        <w:textAlignment w:val="auto"/>
        <w:rPr>
          <w:rFonts w:hint="eastAsia" w:ascii="黑体" w:eastAsia="黑体"/>
          <w:color w:val="000000" w:themeColor="text1"/>
          <w:sz w:val="28"/>
          <w:szCs w:val="28"/>
          <w:u w:val="single"/>
          <w14:textFill>
            <w14:solidFill>
              <w14:schemeClr w14:val="tx1"/>
            </w14:solidFill>
          </w14:textFill>
        </w:rPr>
      </w:pPr>
    </w:p>
    <w:p w14:paraId="378E617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黑体" w:eastAsia="黑体"/>
          <w:color w:val="000000" w:themeColor="text1"/>
          <w:sz w:val="28"/>
          <w:szCs w:val="28"/>
          <w:u w:val="single"/>
          <w14:textFill>
            <w14:solidFill>
              <w14:schemeClr w14:val="tx1"/>
            </w14:solidFill>
          </w14:textFill>
        </w:rPr>
      </w:pPr>
    </w:p>
    <w:p w14:paraId="4211EEA9">
      <w:pPr>
        <w:adjustRightInd w:val="0"/>
        <w:snapToGrid w:val="0"/>
        <w:spacing w:line="360" w:lineRule="auto"/>
        <w:ind w:firstLine="560" w:firstLineChars="200"/>
        <w:jc w:val="left"/>
        <w:rPr>
          <w:rFonts w:hint="eastAsia" w:ascii="仿宋" w:hAnsi="仿宋" w:eastAsia="仿宋" w:cs="仿宋"/>
          <w:color w:val="auto"/>
          <w:sz w:val="24"/>
          <w:szCs w:val="24"/>
          <w:u w:val="single"/>
          <w:lang w:val="en-US" w:eastAsia="zh-CN"/>
        </w:rPr>
        <w:sectPr>
          <w:pgSz w:w="11906" w:h="16838"/>
          <w:pgMar w:top="1418" w:right="1418" w:bottom="1134" w:left="1418" w:header="851" w:footer="992" w:gutter="0"/>
          <w:cols w:space="720" w:num="1"/>
          <w:docGrid w:type="linesAndChars" w:linePitch="312" w:charSpace="0"/>
        </w:sectPr>
      </w:pPr>
      <w:r>
        <w:rPr>
          <w:rFonts w:hint="eastAsia" w:ascii="黑体" w:eastAsia="黑体"/>
          <w:color w:val="000000" w:themeColor="text1"/>
          <w:sz w:val="28"/>
          <w:szCs w:val="28"/>
          <w:u w:val="single"/>
          <w14:textFill>
            <w14:solidFill>
              <w14:schemeClr w14:val="tx1"/>
            </w14:solidFill>
          </w14:textFill>
        </w:rPr>
        <w:t>注：此确认通知需按谈判邀请规定的时间单独递交，不得装订在响应文件中。</w:t>
      </w:r>
      <w:r>
        <w:rPr>
          <w:rFonts w:hint="eastAsia" w:ascii="宋体" w:hAnsi="宋体" w:eastAsia="宋体" w:cs="宋体"/>
          <w:i w:val="0"/>
          <w:caps w:val="0"/>
          <w:color w:val="000000" w:themeColor="text1"/>
          <w:spacing w:val="0"/>
          <w:sz w:val="21"/>
          <w:szCs w:val="21"/>
          <w14:textFill>
            <w14:solidFill>
              <w14:schemeClr w14:val="tx1"/>
            </w14:solidFill>
          </w14:textFill>
        </w:rPr>
        <w:br w:type="page"/>
      </w:r>
    </w:p>
    <w:p w14:paraId="2CDE7307">
      <w:pPr>
        <w:keepNext/>
        <w:adjustRightInd w:val="0"/>
        <w:snapToGrid w:val="0"/>
        <w:spacing w:before="156" w:beforeLines="50" w:line="240" w:lineRule="auto"/>
        <w:jc w:val="center"/>
        <w:outlineLvl w:val="0"/>
        <w:rPr>
          <w:rFonts w:ascii="黑体" w:hAnsi="黑体" w:eastAsia="黑体"/>
          <w:b/>
          <w:bCs/>
          <w:color w:val="auto"/>
          <w:sz w:val="32"/>
          <w:szCs w:val="32"/>
        </w:rPr>
      </w:pPr>
      <w:bookmarkStart w:id="44" w:name="_Toc15008"/>
      <w:r>
        <w:rPr>
          <w:rFonts w:hint="eastAsia" w:ascii="黑体" w:hAnsi="黑体" w:eastAsia="黑体"/>
          <w:b/>
          <w:bCs/>
          <w:color w:val="auto"/>
          <w:sz w:val="32"/>
          <w:szCs w:val="32"/>
        </w:rPr>
        <w:t>第二章 谈判须知</w:t>
      </w:r>
      <w:bookmarkEnd w:id="44"/>
    </w:p>
    <w:p w14:paraId="2BAD5119">
      <w:pPr>
        <w:keepNext/>
        <w:keepLines/>
        <w:adjustRightInd w:val="0"/>
        <w:snapToGrid w:val="0"/>
        <w:spacing w:before="156" w:beforeLines="50" w:line="240" w:lineRule="auto"/>
        <w:jc w:val="center"/>
        <w:outlineLvl w:val="1"/>
        <w:rPr>
          <w:rFonts w:ascii="黑体" w:hAnsi="黑体" w:eastAsia="黑体"/>
          <w:b/>
          <w:bCs/>
          <w:color w:val="auto"/>
          <w:sz w:val="28"/>
          <w:szCs w:val="28"/>
        </w:rPr>
      </w:pPr>
      <w:bookmarkStart w:id="45" w:name="_Toc30326"/>
      <w:r>
        <w:rPr>
          <w:rFonts w:hint="eastAsia" w:ascii="黑体" w:hAnsi="黑体" w:eastAsia="黑体"/>
          <w:b/>
          <w:bCs/>
          <w:color w:val="auto"/>
          <w:sz w:val="28"/>
          <w:szCs w:val="28"/>
        </w:rPr>
        <w:t>第一节 谈判须知前附表</w:t>
      </w:r>
      <w:bookmarkEnd w:id="45"/>
    </w:p>
    <w:tbl>
      <w:tblPr>
        <w:tblStyle w:val="25"/>
        <w:tblW w:w="925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12"/>
        <w:gridCol w:w="2039"/>
        <w:gridCol w:w="5901"/>
      </w:tblGrid>
      <w:tr w14:paraId="21D8D7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32" w:hRule="atLeast"/>
          <w:tblHeader/>
          <w:jc w:val="center"/>
        </w:trPr>
        <w:tc>
          <w:tcPr>
            <w:tcW w:w="1312" w:type="dxa"/>
            <w:vAlign w:val="center"/>
          </w:tcPr>
          <w:p w14:paraId="7D5D957C">
            <w:pPr>
              <w:adjustRightInd w:val="0"/>
              <w:snapToGrid w:val="0"/>
              <w:spacing w:before="156" w:beforeLines="50"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条款号</w:t>
            </w:r>
          </w:p>
        </w:tc>
        <w:tc>
          <w:tcPr>
            <w:tcW w:w="2039" w:type="dxa"/>
            <w:vAlign w:val="center"/>
          </w:tcPr>
          <w:p w14:paraId="682A728E">
            <w:pPr>
              <w:adjustRightInd w:val="0"/>
              <w:snapToGrid w:val="0"/>
              <w:spacing w:before="156" w:beforeLines="50"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条款名称</w:t>
            </w:r>
          </w:p>
        </w:tc>
        <w:tc>
          <w:tcPr>
            <w:tcW w:w="5901" w:type="dxa"/>
            <w:vAlign w:val="center"/>
          </w:tcPr>
          <w:p w14:paraId="6339E6DA">
            <w:pPr>
              <w:adjustRightInd w:val="0"/>
              <w:snapToGrid w:val="0"/>
              <w:spacing w:before="156" w:beforeLines="50"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编列内容规定</w:t>
            </w:r>
          </w:p>
        </w:tc>
      </w:tr>
      <w:tr w14:paraId="2CCAD1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252" w:type="dxa"/>
            <w:gridSpan w:val="3"/>
            <w:vAlign w:val="center"/>
          </w:tcPr>
          <w:p w14:paraId="336990D0">
            <w:pPr>
              <w:adjustRightInd w:val="0"/>
              <w:snapToGrid w:val="0"/>
              <w:spacing w:before="50" w:line="240" w:lineRule="auto"/>
              <w:rPr>
                <w:rFonts w:hint="eastAsia" w:ascii="仿宋" w:hAnsi="仿宋" w:eastAsia="仿宋" w:cs="仿宋"/>
                <w:color w:val="auto"/>
                <w:sz w:val="24"/>
                <w:szCs w:val="24"/>
              </w:rPr>
            </w:pPr>
            <w:r>
              <w:rPr>
                <w:rFonts w:hint="eastAsia" w:ascii="仿宋" w:hAnsi="仿宋" w:eastAsia="仿宋" w:cs="仿宋"/>
                <w:b/>
                <w:color w:val="auto"/>
                <w:sz w:val="24"/>
                <w:szCs w:val="24"/>
              </w:rPr>
              <w:t>一、说明</w:t>
            </w:r>
          </w:p>
        </w:tc>
      </w:tr>
      <w:tr w14:paraId="1896DB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12" w:type="dxa"/>
            <w:vAlign w:val="center"/>
          </w:tcPr>
          <w:p w14:paraId="79A196A6">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第1.1款</w:t>
            </w:r>
          </w:p>
        </w:tc>
        <w:tc>
          <w:tcPr>
            <w:tcW w:w="2039" w:type="dxa"/>
            <w:vAlign w:val="center"/>
          </w:tcPr>
          <w:p w14:paraId="731A87E5">
            <w:pPr>
              <w:adjustRightInd w:val="0"/>
              <w:snapToGrid w:val="0"/>
              <w:spacing w:before="5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采购项目</w:t>
            </w:r>
          </w:p>
        </w:tc>
        <w:tc>
          <w:tcPr>
            <w:tcW w:w="5901" w:type="dxa"/>
            <w:vAlign w:val="center"/>
          </w:tcPr>
          <w:p w14:paraId="6F48D89D">
            <w:pPr>
              <w:adjustRightInd w:val="0"/>
              <w:snapToGrid w:val="0"/>
              <w:spacing w:before="50"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鹤北新城城中村改造安置区项目（一期）桩基础检测（一期剩余工程量）</w:t>
            </w:r>
          </w:p>
        </w:tc>
      </w:tr>
      <w:tr w14:paraId="691C3E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17" w:hRule="atLeast"/>
          <w:jc w:val="center"/>
        </w:trPr>
        <w:tc>
          <w:tcPr>
            <w:tcW w:w="1312" w:type="dxa"/>
            <w:vAlign w:val="center"/>
          </w:tcPr>
          <w:p w14:paraId="22D2CB1E">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第1.2款</w:t>
            </w:r>
          </w:p>
        </w:tc>
        <w:tc>
          <w:tcPr>
            <w:tcW w:w="2039" w:type="dxa"/>
            <w:vAlign w:val="center"/>
          </w:tcPr>
          <w:p w14:paraId="4998C027">
            <w:pPr>
              <w:adjustRightInd w:val="0"/>
              <w:snapToGrid w:val="0"/>
              <w:spacing w:before="5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是否预留采购份额</w:t>
            </w:r>
          </w:p>
        </w:tc>
        <w:tc>
          <w:tcPr>
            <w:tcW w:w="5901" w:type="dxa"/>
            <w:vAlign w:val="center"/>
          </w:tcPr>
          <w:p w14:paraId="2C1FB34F">
            <w:pPr>
              <w:adjustRightInd w:val="0"/>
              <w:snapToGrid w:val="0"/>
              <w:spacing w:before="50" w:line="24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r>
      <w:tr w14:paraId="4E571A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5" w:hRule="atLeast"/>
          <w:jc w:val="center"/>
        </w:trPr>
        <w:tc>
          <w:tcPr>
            <w:tcW w:w="1312" w:type="dxa"/>
            <w:vAlign w:val="center"/>
          </w:tcPr>
          <w:p w14:paraId="054B1BCB">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第2.1款</w:t>
            </w:r>
          </w:p>
        </w:tc>
        <w:tc>
          <w:tcPr>
            <w:tcW w:w="2039" w:type="dxa"/>
            <w:vAlign w:val="center"/>
          </w:tcPr>
          <w:p w14:paraId="2D72888A">
            <w:pPr>
              <w:adjustRightInd w:val="0"/>
              <w:snapToGrid w:val="0"/>
              <w:spacing w:before="5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采购项目联系人姓名和电话</w:t>
            </w:r>
          </w:p>
        </w:tc>
        <w:tc>
          <w:tcPr>
            <w:tcW w:w="5901" w:type="dxa"/>
            <w:vAlign w:val="center"/>
          </w:tcPr>
          <w:p w14:paraId="61D560EA">
            <w:pPr>
              <w:adjustRightInd w:val="0"/>
              <w:snapToGrid w:val="0"/>
              <w:spacing w:before="5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联系人姓名：</w:t>
            </w:r>
            <w:r>
              <w:rPr>
                <w:rFonts w:hint="eastAsia" w:ascii="仿宋" w:hAnsi="仿宋" w:eastAsia="仿宋" w:cs="仿宋"/>
                <w:color w:val="auto"/>
                <w:sz w:val="24"/>
                <w:szCs w:val="24"/>
                <w:lang w:val="en-US" w:eastAsia="zh-CN"/>
              </w:rPr>
              <w:t>杨先生</w:t>
            </w:r>
            <w:r>
              <w:rPr>
                <w:rFonts w:hint="eastAsia" w:ascii="仿宋" w:hAnsi="仿宋" w:eastAsia="仿宋" w:cs="仿宋"/>
                <w:color w:val="auto"/>
                <w:sz w:val="24"/>
                <w:szCs w:val="24"/>
              </w:rPr>
              <w:t xml:space="preserve"> </w:t>
            </w:r>
          </w:p>
          <w:p w14:paraId="06249FF8">
            <w:pPr>
              <w:adjustRightInd w:val="0"/>
              <w:snapToGrid w:val="0"/>
              <w:spacing w:before="5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电话：</w:t>
            </w:r>
            <w:r>
              <w:rPr>
                <w:rFonts w:hint="eastAsia" w:ascii="仿宋" w:hAnsi="仿宋" w:eastAsia="仿宋" w:cs="仿宋"/>
                <w:color w:val="auto"/>
                <w:sz w:val="24"/>
                <w:szCs w:val="24"/>
                <w:lang w:val="en-US" w:eastAsia="zh-CN"/>
              </w:rPr>
              <w:t>19310189586</w:t>
            </w:r>
            <w:r>
              <w:rPr>
                <w:rFonts w:hint="eastAsia" w:ascii="仿宋" w:hAnsi="仿宋" w:eastAsia="仿宋" w:cs="仿宋"/>
                <w:color w:val="auto"/>
                <w:sz w:val="24"/>
                <w:szCs w:val="24"/>
              </w:rPr>
              <w:t xml:space="preserve"> </w:t>
            </w:r>
          </w:p>
        </w:tc>
      </w:tr>
      <w:tr w14:paraId="4388EF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312" w:type="dxa"/>
            <w:vAlign w:val="center"/>
          </w:tcPr>
          <w:p w14:paraId="5EAC89CF">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第2.2款</w:t>
            </w:r>
          </w:p>
        </w:tc>
        <w:tc>
          <w:tcPr>
            <w:tcW w:w="2039" w:type="dxa"/>
            <w:vAlign w:val="center"/>
          </w:tcPr>
          <w:p w14:paraId="398F7611">
            <w:pPr>
              <w:adjustRightInd w:val="0"/>
              <w:snapToGrid w:val="0"/>
              <w:spacing w:before="50"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采购人名称、地址、电话、联系人</w:t>
            </w:r>
          </w:p>
        </w:tc>
        <w:tc>
          <w:tcPr>
            <w:tcW w:w="5901" w:type="dxa"/>
            <w:vAlign w:val="center"/>
          </w:tcPr>
          <w:p w14:paraId="0A706312">
            <w:pPr>
              <w:adjustRightInd w:val="0"/>
              <w:snapToGrid w:val="0"/>
              <w:spacing w:before="5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val="en-US" w:eastAsia="zh-CN"/>
              </w:rPr>
              <w:t>怀化市鹤城区城市建设投资有限公司</w:t>
            </w:r>
            <w:r>
              <w:rPr>
                <w:rFonts w:hint="eastAsia" w:ascii="仿宋" w:hAnsi="仿宋" w:eastAsia="仿宋" w:cs="仿宋"/>
                <w:color w:val="auto"/>
                <w:sz w:val="24"/>
                <w:szCs w:val="24"/>
              </w:rPr>
              <w:t xml:space="preserve"> </w:t>
            </w:r>
          </w:p>
          <w:p w14:paraId="7BBF48FD">
            <w:pPr>
              <w:adjustRightInd w:val="0"/>
              <w:snapToGrid w:val="0"/>
              <w:spacing w:before="50"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val="en-US" w:eastAsia="zh-CN"/>
              </w:rPr>
              <w:t xml:space="preserve">怀化市鹤城区金海路 </w:t>
            </w:r>
          </w:p>
          <w:p w14:paraId="60EEF6BC">
            <w:pPr>
              <w:adjustRightInd w:val="0"/>
              <w:snapToGrid w:val="0"/>
              <w:spacing w:before="5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val="en-US" w:eastAsia="zh-CN"/>
              </w:rPr>
              <w:t>卢女士</w:t>
            </w:r>
            <w:r>
              <w:rPr>
                <w:rFonts w:hint="eastAsia" w:ascii="仿宋" w:hAnsi="仿宋" w:eastAsia="仿宋" w:cs="仿宋"/>
                <w:color w:val="auto"/>
                <w:sz w:val="24"/>
                <w:szCs w:val="24"/>
              </w:rPr>
              <w:t xml:space="preserve"> </w:t>
            </w:r>
          </w:p>
          <w:p w14:paraId="16C6C611">
            <w:pPr>
              <w:adjustRightInd w:val="0"/>
              <w:snapToGrid w:val="0"/>
              <w:spacing w:before="5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电  话：</w:t>
            </w:r>
            <w:r>
              <w:rPr>
                <w:rFonts w:hint="eastAsia" w:ascii="仿宋" w:hAnsi="仿宋" w:eastAsia="仿宋" w:cs="仿宋"/>
                <w:color w:val="auto"/>
                <w:sz w:val="24"/>
                <w:szCs w:val="24"/>
                <w:lang w:val="en-US" w:eastAsia="zh-CN"/>
              </w:rPr>
              <w:t>0745-2557950</w:t>
            </w:r>
            <w:r>
              <w:rPr>
                <w:rFonts w:hint="eastAsia" w:ascii="仿宋" w:hAnsi="仿宋" w:eastAsia="仿宋" w:cs="仿宋"/>
                <w:color w:val="auto"/>
                <w:sz w:val="24"/>
                <w:szCs w:val="24"/>
              </w:rPr>
              <w:t xml:space="preserve"> </w:t>
            </w:r>
          </w:p>
        </w:tc>
      </w:tr>
      <w:tr w14:paraId="4C04D9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12" w:type="dxa"/>
            <w:vAlign w:val="center"/>
          </w:tcPr>
          <w:p w14:paraId="3F698D2A">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第2.3款</w:t>
            </w:r>
          </w:p>
        </w:tc>
        <w:tc>
          <w:tcPr>
            <w:tcW w:w="2039" w:type="dxa"/>
            <w:vAlign w:val="center"/>
          </w:tcPr>
          <w:p w14:paraId="0477723D">
            <w:pPr>
              <w:adjustRightInd w:val="0"/>
              <w:snapToGrid w:val="0"/>
              <w:spacing w:before="50"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采购代理机构名称、地址、电话、联系人</w:t>
            </w:r>
          </w:p>
        </w:tc>
        <w:tc>
          <w:tcPr>
            <w:tcW w:w="5901" w:type="dxa"/>
            <w:vAlign w:val="center"/>
          </w:tcPr>
          <w:p w14:paraId="183DEAF2">
            <w:pPr>
              <w:adjustRightInd w:val="0"/>
              <w:snapToGrid w:val="0"/>
              <w:spacing w:before="5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val="en-US" w:eastAsia="zh-CN"/>
              </w:rPr>
              <w:t xml:space="preserve">东联建建筑咨询有限公司 </w:t>
            </w:r>
          </w:p>
          <w:p w14:paraId="2560D94B">
            <w:pPr>
              <w:adjustRightInd w:val="0"/>
              <w:snapToGrid w:val="0"/>
              <w:spacing w:before="5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val="en-US" w:eastAsia="zh-CN"/>
              </w:rPr>
              <w:t xml:space="preserve">怀化市河西武陵山跨境电商产业园B7栋二楼 </w:t>
            </w:r>
          </w:p>
          <w:p w14:paraId="540C776E">
            <w:pPr>
              <w:adjustRightInd w:val="0"/>
              <w:snapToGrid w:val="0"/>
              <w:spacing w:before="5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val="en-US" w:eastAsia="zh-CN"/>
              </w:rPr>
              <w:t>杨先生</w:t>
            </w:r>
          </w:p>
          <w:p w14:paraId="170DD599">
            <w:pPr>
              <w:adjustRightInd w:val="0"/>
              <w:snapToGrid w:val="0"/>
              <w:spacing w:before="5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电  话：</w:t>
            </w:r>
            <w:r>
              <w:rPr>
                <w:rFonts w:hint="eastAsia" w:ascii="仿宋" w:hAnsi="仿宋" w:eastAsia="仿宋" w:cs="仿宋"/>
                <w:color w:val="auto"/>
                <w:sz w:val="24"/>
                <w:szCs w:val="24"/>
                <w:lang w:val="en-US" w:eastAsia="zh-CN"/>
              </w:rPr>
              <w:t>19310189586</w:t>
            </w:r>
            <w:r>
              <w:rPr>
                <w:rFonts w:hint="eastAsia" w:ascii="仿宋" w:hAnsi="仿宋" w:eastAsia="仿宋" w:cs="仿宋"/>
                <w:color w:val="auto"/>
                <w:sz w:val="24"/>
                <w:szCs w:val="24"/>
              </w:rPr>
              <w:t xml:space="preserve">  </w:t>
            </w:r>
          </w:p>
        </w:tc>
      </w:tr>
      <w:tr w14:paraId="3756FA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822" w:hRule="atLeast"/>
          <w:jc w:val="center"/>
        </w:trPr>
        <w:tc>
          <w:tcPr>
            <w:tcW w:w="1312" w:type="dxa"/>
            <w:tcBorders>
              <w:bottom w:val="single" w:color="auto" w:sz="4" w:space="0"/>
            </w:tcBorders>
            <w:vAlign w:val="center"/>
          </w:tcPr>
          <w:p w14:paraId="671277BB">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第3.1款</w:t>
            </w:r>
          </w:p>
        </w:tc>
        <w:tc>
          <w:tcPr>
            <w:tcW w:w="2039" w:type="dxa"/>
            <w:vAlign w:val="center"/>
          </w:tcPr>
          <w:p w14:paraId="623B506E">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bCs/>
                <w:color w:val="auto"/>
                <w:sz w:val="24"/>
                <w:szCs w:val="24"/>
              </w:rPr>
              <w:t>供应商</w:t>
            </w:r>
            <w:r>
              <w:rPr>
                <w:rFonts w:hint="eastAsia" w:ascii="仿宋" w:hAnsi="仿宋" w:eastAsia="仿宋" w:cs="仿宋"/>
                <w:color w:val="auto"/>
                <w:sz w:val="24"/>
                <w:szCs w:val="24"/>
              </w:rPr>
              <w:t>资格条件</w:t>
            </w:r>
          </w:p>
        </w:tc>
        <w:tc>
          <w:tcPr>
            <w:tcW w:w="5901" w:type="dxa"/>
            <w:vAlign w:val="center"/>
          </w:tcPr>
          <w:p w14:paraId="718E3A7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1、供应商的基本资格条件：供应商必须是在中华人民共和国境内注册登记的法人、其他组织或者自然人，且应当符合《政府采购法》第二十二条第一款的规定，即： </w:t>
            </w:r>
          </w:p>
          <w:p w14:paraId="50BEF8F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（1）具有独立承担民事责任的能力；</w:t>
            </w:r>
          </w:p>
          <w:p w14:paraId="5171485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（2）具有良好的商业信誉和健全的财务会计制度；</w:t>
            </w:r>
          </w:p>
          <w:p w14:paraId="760601E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（3）具有履行合同所必需的设备和专业技术能力；</w:t>
            </w:r>
          </w:p>
          <w:p w14:paraId="62AF266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（4）具有依法缴纳税收和社会保障资金的良好记录；</w:t>
            </w:r>
          </w:p>
          <w:p w14:paraId="30B9B69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（5）参加政府采购活动前三年内，在经营活动中没有重大违法记录；</w:t>
            </w:r>
          </w:p>
          <w:p w14:paraId="5972B18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（6）法律、行政法规规定的其他条件。</w:t>
            </w:r>
          </w:p>
          <w:p w14:paraId="5931D11B">
            <w:pPr>
              <w:pageBreakBefore w:val="0"/>
              <w:kinsoku/>
              <w:wordWrap/>
              <w:overflowPunct/>
              <w:topLinePunct w:val="0"/>
              <w:autoSpaceDE/>
              <w:autoSpaceDN/>
              <w:bidi w:val="0"/>
              <w:spacing w:line="24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highlight w:val="none"/>
                <w:lang w:val="en-US" w:eastAsia="zh-CN"/>
              </w:rPr>
              <w:t>2、采购项目的特定资格</w:t>
            </w:r>
            <w:r>
              <w:rPr>
                <w:rFonts w:hint="eastAsia" w:ascii="仿宋" w:hAnsi="仿宋" w:eastAsia="仿宋" w:cs="仿宋"/>
                <w:sz w:val="24"/>
                <w:szCs w:val="24"/>
                <w:lang w:val="en-US" w:eastAsia="zh-CN"/>
              </w:rPr>
              <w:t>条件：供应商具备建设行政主管部门颁发的《建设工程质量检测机构资质证书》综合资质或专项资质(含地基基础)，资质证书处于有效期内。若检测资质证书尚未下发，则须提供建设行政主管部门官网发布的检测机构资质核准名单截图(以官网截图核准公告为准)，若检测资质证书已下发，则以检测资质证书为准。</w:t>
            </w:r>
          </w:p>
          <w:p w14:paraId="7558477A">
            <w:pPr>
              <w:rPr>
                <w:rFonts w:hint="eastAsia" w:ascii="仿宋" w:hAnsi="仿宋" w:eastAsia="仿宋" w:cs="仿宋"/>
                <w:sz w:val="24"/>
                <w:szCs w:val="24"/>
              </w:rPr>
            </w:pPr>
            <w:r>
              <w:rPr>
                <w:rFonts w:hint="eastAsia" w:ascii="仿宋" w:hAnsi="仿宋" w:eastAsia="仿宋" w:cs="仿宋"/>
                <w:sz w:val="24"/>
                <w:szCs w:val="24"/>
              </w:rPr>
              <w:t>3、单位负责人为同一人或者存在直接控股、管理关系的不同投标人，不得参加同一合同项下的政府采购活动。</w:t>
            </w:r>
          </w:p>
          <w:p w14:paraId="2DEF2E9E">
            <w:pPr>
              <w:rPr>
                <w:rFonts w:hint="eastAsia" w:ascii="仿宋" w:hAnsi="仿宋" w:eastAsia="仿宋" w:cs="仿宋"/>
                <w:sz w:val="24"/>
                <w:szCs w:val="24"/>
              </w:rPr>
            </w:pPr>
            <w:r>
              <w:rPr>
                <w:rFonts w:hint="eastAsia" w:ascii="仿宋" w:hAnsi="仿宋" w:eastAsia="仿宋" w:cs="仿宋"/>
                <w:sz w:val="24"/>
                <w:szCs w:val="24"/>
              </w:rPr>
              <w:t>4、为本采购项目提供整体设计、规范编制或者项目管理、监理、检测等服务的，不得再参加此项目的其他政府采购采购活动。</w:t>
            </w:r>
          </w:p>
          <w:p w14:paraId="0C7B3B0E">
            <w:pPr>
              <w:rPr>
                <w:rFonts w:hint="eastAsia" w:ascii="仿宋" w:hAnsi="仿宋" w:eastAsia="仿宋" w:cs="仿宋"/>
                <w:color w:val="auto"/>
                <w:sz w:val="24"/>
                <w:szCs w:val="24"/>
              </w:rPr>
            </w:pPr>
            <w:r>
              <w:rPr>
                <w:rFonts w:hint="eastAsia" w:ascii="仿宋" w:hAnsi="仿宋" w:eastAsia="仿宋" w:cs="仿宋"/>
                <w:sz w:val="24"/>
                <w:szCs w:val="24"/>
              </w:rPr>
              <w:t>5、列入失信被执行人、重大税收违法案件当事人名单，列入政府采购严重违法失信行为记录名单的，拒绝其参与政府采购活动。</w:t>
            </w:r>
          </w:p>
        </w:tc>
      </w:tr>
      <w:tr w14:paraId="512121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1312" w:type="dxa"/>
            <w:tcBorders>
              <w:bottom w:val="single" w:color="auto" w:sz="4" w:space="0"/>
            </w:tcBorders>
            <w:vAlign w:val="center"/>
          </w:tcPr>
          <w:p w14:paraId="65E94D60">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第3.2款</w:t>
            </w:r>
          </w:p>
        </w:tc>
        <w:tc>
          <w:tcPr>
            <w:tcW w:w="2039" w:type="dxa"/>
            <w:vAlign w:val="center"/>
          </w:tcPr>
          <w:p w14:paraId="2E4F3A5C">
            <w:pPr>
              <w:adjustRightInd w:val="0"/>
              <w:snapToGrid w:val="0"/>
              <w:spacing w:before="5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是否接受联合体形式</w:t>
            </w:r>
          </w:p>
        </w:tc>
        <w:tc>
          <w:tcPr>
            <w:tcW w:w="5901" w:type="dxa"/>
            <w:vAlign w:val="center"/>
          </w:tcPr>
          <w:p w14:paraId="685A148F">
            <w:pPr>
              <w:adjustRightInd w:val="0"/>
              <w:snapToGrid w:val="0"/>
              <w:spacing w:before="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不接受</w:t>
            </w:r>
          </w:p>
        </w:tc>
      </w:tr>
      <w:tr w14:paraId="6CC673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312" w:type="dxa"/>
            <w:vAlign w:val="center"/>
          </w:tcPr>
          <w:p w14:paraId="2ECBB646">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第5.1款</w:t>
            </w:r>
          </w:p>
        </w:tc>
        <w:tc>
          <w:tcPr>
            <w:tcW w:w="2039" w:type="dxa"/>
            <w:vAlign w:val="center"/>
          </w:tcPr>
          <w:p w14:paraId="090E10EC">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现场勘察</w:t>
            </w:r>
          </w:p>
        </w:tc>
        <w:tc>
          <w:tcPr>
            <w:tcW w:w="5901" w:type="dxa"/>
            <w:vAlign w:val="center"/>
          </w:tcPr>
          <w:p w14:paraId="7C35D7D8">
            <w:pPr>
              <w:adjustRightInd w:val="0"/>
              <w:snapToGrid w:val="0"/>
              <w:spacing w:before="50"/>
              <w:rPr>
                <w:rFonts w:hint="eastAsia" w:ascii="仿宋" w:hAnsi="仿宋" w:eastAsia="仿宋" w:cs="仿宋"/>
                <w:color w:val="auto"/>
                <w:sz w:val="24"/>
                <w:szCs w:val="24"/>
              </w:rPr>
            </w:pPr>
            <w:r>
              <w:rPr>
                <w:rFonts w:hint="eastAsia" w:ascii="仿宋" w:hAnsi="仿宋" w:eastAsia="仿宋" w:cs="仿宋"/>
                <w:color w:val="000000"/>
                <w:sz w:val="24"/>
                <w:szCs w:val="24"/>
                <w:lang w:val="en-US" w:eastAsia="zh-CN"/>
              </w:rPr>
              <w:t>采购人不组织现场勘察，勘察现场的费用由供应商自己承担，勘察期间所发生的人身伤害及财产损失由供应商自己负责。</w:t>
            </w:r>
          </w:p>
        </w:tc>
      </w:tr>
      <w:tr w14:paraId="592E33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252" w:type="dxa"/>
            <w:gridSpan w:val="3"/>
            <w:vAlign w:val="center"/>
          </w:tcPr>
          <w:p w14:paraId="5F44C395">
            <w:pPr>
              <w:adjustRightInd w:val="0"/>
              <w:snapToGrid w:val="0"/>
              <w:spacing w:before="50"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二、谈判文件</w:t>
            </w:r>
          </w:p>
        </w:tc>
      </w:tr>
      <w:tr w14:paraId="2C56E1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18" w:hRule="atLeast"/>
          <w:jc w:val="center"/>
        </w:trPr>
        <w:tc>
          <w:tcPr>
            <w:tcW w:w="1312" w:type="dxa"/>
            <w:vAlign w:val="center"/>
          </w:tcPr>
          <w:p w14:paraId="13EC34C1">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第6.3款</w:t>
            </w:r>
          </w:p>
        </w:tc>
        <w:tc>
          <w:tcPr>
            <w:tcW w:w="2039" w:type="dxa"/>
            <w:vAlign w:val="center"/>
          </w:tcPr>
          <w:p w14:paraId="4F40437F">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bCs/>
                <w:color w:val="auto"/>
                <w:sz w:val="24"/>
                <w:szCs w:val="24"/>
              </w:rPr>
              <w:t>谈判文件的实质性变动内容</w:t>
            </w:r>
          </w:p>
        </w:tc>
        <w:tc>
          <w:tcPr>
            <w:tcW w:w="5901" w:type="dxa"/>
            <w:vAlign w:val="center"/>
          </w:tcPr>
          <w:p w14:paraId="027AF637">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sz w:val="24"/>
                <w:szCs w:val="24"/>
              </w:rPr>
              <w:t>技术、服务及合同条款</w:t>
            </w:r>
          </w:p>
        </w:tc>
      </w:tr>
      <w:tr w14:paraId="616EB5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5" w:hRule="atLeast"/>
          <w:jc w:val="center"/>
        </w:trPr>
        <w:tc>
          <w:tcPr>
            <w:tcW w:w="1312" w:type="dxa"/>
            <w:vAlign w:val="center"/>
          </w:tcPr>
          <w:p w14:paraId="39FAB5D6">
            <w:pPr>
              <w:adjustRightInd w:val="0"/>
              <w:snapToGrid w:val="0"/>
              <w:spacing w:before="50" w:line="360" w:lineRule="auto"/>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第8.4款</w:t>
            </w:r>
          </w:p>
        </w:tc>
        <w:tc>
          <w:tcPr>
            <w:tcW w:w="2039" w:type="dxa"/>
            <w:vAlign w:val="center"/>
          </w:tcPr>
          <w:p w14:paraId="69E8A7C6">
            <w:pPr>
              <w:adjustRightInd w:val="0"/>
              <w:snapToGrid w:val="0"/>
              <w:spacing w:before="5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非实质性偏离的范围和幅度</w:t>
            </w:r>
          </w:p>
        </w:tc>
        <w:tc>
          <w:tcPr>
            <w:tcW w:w="5901" w:type="dxa"/>
            <w:vAlign w:val="center"/>
          </w:tcPr>
          <w:p w14:paraId="5FABDD03">
            <w:pPr>
              <w:adjustRightInd w:val="0"/>
              <w:snapToGrid w:val="0"/>
              <w:spacing w:before="5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不允许偏离</w:t>
            </w:r>
          </w:p>
        </w:tc>
      </w:tr>
      <w:tr w14:paraId="7C3CA4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9252" w:type="dxa"/>
            <w:gridSpan w:val="3"/>
            <w:vAlign w:val="center"/>
          </w:tcPr>
          <w:p w14:paraId="6AE7B1BC">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三、响应文件的编写</w:t>
            </w:r>
          </w:p>
        </w:tc>
      </w:tr>
      <w:tr w14:paraId="53C0B2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312" w:type="dxa"/>
            <w:vAlign w:val="center"/>
          </w:tcPr>
          <w:p w14:paraId="7566B9E5">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第11.3款</w:t>
            </w:r>
          </w:p>
        </w:tc>
        <w:tc>
          <w:tcPr>
            <w:tcW w:w="2039" w:type="dxa"/>
            <w:vAlign w:val="center"/>
          </w:tcPr>
          <w:p w14:paraId="7E4B7A2A">
            <w:pPr>
              <w:adjustRightInd w:val="0"/>
              <w:snapToGrid w:val="0"/>
              <w:spacing w:before="50"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采购项目预算</w:t>
            </w:r>
          </w:p>
        </w:tc>
        <w:tc>
          <w:tcPr>
            <w:tcW w:w="5901" w:type="dxa"/>
            <w:vAlign w:val="center"/>
          </w:tcPr>
          <w:p w14:paraId="011CBBFC">
            <w:pPr>
              <w:adjustRightInd w:val="0"/>
              <w:snapToGrid w:val="0"/>
              <w:spacing w:before="50"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298965元（单价总价双控）</w:t>
            </w:r>
          </w:p>
        </w:tc>
      </w:tr>
      <w:tr w14:paraId="4D133D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44" w:hRule="atLeast"/>
          <w:jc w:val="center"/>
        </w:trPr>
        <w:tc>
          <w:tcPr>
            <w:tcW w:w="1312" w:type="dxa"/>
            <w:vAlign w:val="center"/>
          </w:tcPr>
          <w:p w14:paraId="09FDA633">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第11.6款</w:t>
            </w:r>
          </w:p>
        </w:tc>
        <w:tc>
          <w:tcPr>
            <w:tcW w:w="2039" w:type="dxa"/>
            <w:vAlign w:val="center"/>
          </w:tcPr>
          <w:p w14:paraId="7DCFF904">
            <w:pPr>
              <w:adjustRightInd w:val="0"/>
              <w:snapToGrid w:val="0"/>
              <w:spacing w:before="50"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报价的其他要求</w:t>
            </w:r>
          </w:p>
        </w:tc>
        <w:tc>
          <w:tcPr>
            <w:tcW w:w="5901" w:type="dxa"/>
            <w:vAlign w:val="center"/>
          </w:tcPr>
          <w:p w14:paraId="5FFC04D2">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000000"/>
                <w:sz w:val="24"/>
                <w:szCs w:val="24"/>
                <w:highlight w:val="none"/>
                <w:lang w:val="en-US" w:eastAsia="zh-CN"/>
              </w:rPr>
              <w:t>1、首轮报价不得高于采购预算价。</w:t>
            </w:r>
          </w:p>
        </w:tc>
      </w:tr>
      <w:tr w14:paraId="2582CC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3" w:hRule="atLeast"/>
          <w:jc w:val="center"/>
        </w:trPr>
        <w:tc>
          <w:tcPr>
            <w:tcW w:w="1312" w:type="dxa"/>
            <w:vAlign w:val="center"/>
          </w:tcPr>
          <w:p w14:paraId="0396BF8E">
            <w:pPr>
              <w:adjustRightInd w:val="0"/>
              <w:snapToGrid w:val="0"/>
              <w:spacing w:before="156" w:beforeLines="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第12.1款</w:t>
            </w:r>
          </w:p>
        </w:tc>
        <w:tc>
          <w:tcPr>
            <w:tcW w:w="2039" w:type="dxa"/>
            <w:vAlign w:val="center"/>
          </w:tcPr>
          <w:p w14:paraId="242AA0E9">
            <w:pPr>
              <w:adjustRightInd w:val="0"/>
              <w:snapToGrid w:val="0"/>
              <w:spacing w:before="156" w:beforeLines="50" w:line="360" w:lineRule="auto"/>
              <w:ind w:left="-533" w:leftChars="-254" w:firstLine="609" w:firstLineChars="254"/>
              <w:rPr>
                <w:rFonts w:hint="eastAsia" w:ascii="仿宋" w:hAnsi="仿宋" w:eastAsia="仿宋" w:cs="仿宋"/>
                <w:color w:val="auto"/>
                <w:sz w:val="24"/>
                <w:szCs w:val="24"/>
              </w:rPr>
            </w:pPr>
            <w:r>
              <w:rPr>
                <w:rFonts w:hint="eastAsia" w:ascii="仿宋" w:hAnsi="仿宋" w:eastAsia="仿宋" w:cs="仿宋"/>
                <w:color w:val="auto"/>
                <w:sz w:val="24"/>
                <w:szCs w:val="24"/>
              </w:rPr>
              <w:t>保证金</w:t>
            </w:r>
          </w:p>
        </w:tc>
        <w:tc>
          <w:tcPr>
            <w:tcW w:w="5901" w:type="dxa"/>
            <w:vAlign w:val="center"/>
          </w:tcPr>
          <w:p w14:paraId="149EED3F">
            <w:pPr>
              <w:adjustRightInd w:val="0"/>
              <w:snapToGrid w:val="0"/>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不要求提供</w:t>
            </w:r>
          </w:p>
          <w:p w14:paraId="70CD356E">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要求提供</w:t>
            </w:r>
            <w:r>
              <w:rPr>
                <w:rFonts w:hint="eastAsia" w:ascii="仿宋" w:hAnsi="仿宋" w:eastAsia="仿宋" w:cs="仿宋"/>
                <w:sz w:val="24"/>
                <w:szCs w:val="24"/>
                <w:highlight w:val="none"/>
                <w:lang w:eastAsia="zh-CN"/>
              </w:rPr>
              <w:t>：投标保证金的形式：银行转账、银行电汇或网银转账</w:t>
            </w:r>
          </w:p>
        </w:tc>
      </w:tr>
      <w:tr w14:paraId="4B5A01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312" w:type="dxa"/>
            <w:vAlign w:val="center"/>
          </w:tcPr>
          <w:p w14:paraId="7AE2F496">
            <w:pPr>
              <w:adjustRightInd w:val="0"/>
              <w:snapToGrid w:val="0"/>
              <w:spacing w:before="156" w:beforeLines="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第13.1款</w:t>
            </w:r>
          </w:p>
        </w:tc>
        <w:tc>
          <w:tcPr>
            <w:tcW w:w="2039" w:type="dxa"/>
            <w:vAlign w:val="center"/>
          </w:tcPr>
          <w:p w14:paraId="2FE7AD3B">
            <w:pPr>
              <w:adjustRightInd w:val="0"/>
              <w:snapToGrid w:val="0"/>
              <w:spacing w:before="156" w:beforeLines="5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响应文件有效期</w:t>
            </w:r>
          </w:p>
        </w:tc>
        <w:tc>
          <w:tcPr>
            <w:tcW w:w="5901" w:type="dxa"/>
            <w:vAlign w:val="center"/>
          </w:tcPr>
          <w:p w14:paraId="25D97296">
            <w:pPr>
              <w:adjustRightInd w:val="0"/>
              <w:snapToGrid w:val="0"/>
              <w:spacing w:before="50" w:line="360" w:lineRule="auto"/>
              <w:rPr>
                <w:rFonts w:hint="eastAsia" w:ascii="仿宋" w:hAnsi="仿宋" w:eastAsia="仿宋" w:cs="仿宋"/>
                <w:bCs/>
                <w:color w:val="auto"/>
                <w:sz w:val="24"/>
                <w:szCs w:val="24"/>
              </w:rPr>
            </w:pPr>
            <w:r>
              <w:rPr>
                <w:rFonts w:hint="eastAsia" w:ascii="仿宋" w:hAnsi="仿宋" w:eastAsia="仿宋" w:cs="仿宋"/>
                <w:b/>
                <w:bCs/>
                <w:color w:val="auto"/>
                <w:sz w:val="24"/>
                <w:szCs w:val="24"/>
                <w:highlight w:val="none"/>
                <w:u w:val="single"/>
                <w:lang w:val="en-US" w:eastAsia="zh-CN"/>
              </w:rPr>
              <w:t>90</w:t>
            </w:r>
            <w:r>
              <w:rPr>
                <w:rFonts w:hint="eastAsia" w:ascii="仿宋" w:hAnsi="仿宋" w:eastAsia="仿宋" w:cs="仿宋"/>
                <w:color w:val="auto"/>
                <w:sz w:val="24"/>
                <w:szCs w:val="24"/>
                <w:highlight w:val="none"/>
              </w:rPr>
              <w:t>日（日历日）</w:t>
            </w:r>
          </w:p>
        </w:tc>
      </w:tr>
      <w:tr w14:paraId="446234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24" w:hRule="atLeast"/>
          <w:jc w:val="center"/>
        </w:trPr>
        <w:tc>
          <w:tcPr>
            <w:tcW w:w="1312" w:type="dxa"/>
            <w:vAlign w:val="center"/>
          </w:tcPr>
          <w:p w14:paraId="705EB8EA">
            <w:pPr>
              <w:adjustRightInd w:val="0"/>
              <w:snapToGrid w:val="0"/>
              <w:spacing w:before="156" w:beforeLines="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第14.1款</w:t>
            </w:r>
          </w:p>
        </w:tc>
        <w:tc>
          <w:tcPr>
            <w:tcW w:w="2039" w:type="dxa"/>
            <w:vAlign w:val="center"/>
          </w:tcPr>
          <w:p w14:paraId="2C877FF4">
            <w:pPr>
              <w:adjustRightInd w:val="0"/>
              <w:snapToGrid w:val="0"/>
              <w:spacing w:before="156" w:beforeLines="5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分包</w:t>
            </w:r>
          </w:p>
        </w:tc>
        <w:tc>
          <w:tcPr>
            <w:tcW w:w="5901" w:type="dxa"/>
            <w:vAlign w:val="center"/>
          </w:tcPr>
          <w:p w14:paraId="09CD3BB6">
            <w:pPr>
              <w:adjustRightInd w:val="0"/>
              <w:snapToGrid w:val="0"/>
              <w:spacing w:before="50" w:line="360" w:lineRule="auto"/>
              <w:rPr>
                <w:rFonts w:hint="eastAsia" w:ascii="仿宋" w:hAnsi="仿宋" w:eastAsia="仿宋" w:cs="仿宋"/>
                <w:bCs/>
                <w:color w:val="auto"/>
                <w:sz w:val="24"/>
                <w:szCs w:val="24"/>
              </w:rPr>
            </w:pPr>
            <w:r>
              <w:rPr>
                <w:rFonts w:hint="eastAsia" w:ascii="仿宋" w:hAnsi="仿宋" w:eastAsia="仿宋" w:cs="仿宋"/>
                <w:bCs/>
                <w:sz w:val="24"/>
                <w:szCs w:val="24"/>
                <w:lang w:val="en-US" w:eastAsia="zh-CN"/>
              </w:rPr>
              <w:t>不允许</w:t>
            </w:r>
          </w:p>
        </w:tc>
      </w:tr>
      <w:tr w14:paraId="3822E6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12" w:type="dxa"/>
            <w:vAlign w:val="center"/>
          </w:tcPr>
          <w:p w14:paraId="1B9E649F">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第15.2款</w:t>
            </w:r>
          </w:p>
        </w:tc>
        <w:tc>
          <w:tcPr>
            <w:tcW w:w="2039" w:type="dxa"/>
            <w:vAlign w:val="center"/>
          </w:tcPr>
          <w:p w14:paraId="228D29F1">
            <w:pPr>
              <w:adjustRightInd w:val="0"/>
              <w:snapToGrid w:val="0"/>
              <w:spacing w:before="5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响应</w:t>
            </w:r>
            <w:r>
              <w:rPr>
                <w:rFonts w:hint="eastAsia" w:ascii="仿宋" w:hAnsi="仿宋" w:eastAsia="仿宋" w:cs="仿宋"/>
                <w:color w:val="auto"/>
                <w:sz w:val="24"/>
                <w:szCs w:val="24"/>
              </w:rPr>
              <w:t>文件副本份数</w:t>
            </w:r>
          </w:p>
        </w:tc>
        <w:tc>
          <w:tcPr>
            <w:tcW w:w="5901" w:type="dxa"/>
            <w:vAlign w:val="center"/>
          </w:tcPr>
          <w:p w14:paraId="0BE4CD4A">
            <w:pPr>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正本1份，副本3份，并提供响应文件盖章扫描件（PDF格式）电子档U盘一份，并能正常读取随纸质文件一并密封递交。</w:t>
            </w:r>
          </w:p>
          <w:p w14:paraId="40D46C79">
            <w:pPr>
              <w:adjustRightInd w:val="0"/>
              <w:snapToGrid w:val="0"/>
              <w:spacing w:before="50" w:line="360" w:lineRule="auto"/>
              <w:rPr>
                <w:rFonts w:hint="eastAsia" w:ascii="仿宋" w:hAnsi="仿宋" w:eastAsia="仿宋" w:cs="仿宋"/>
                <w:color w:val="auto"/>
                <w:sz w:val="24"/>
                <w:szCs w:val="24"/>
                <w:u w:val="single"/>
              </w:rPr>
            </w:pPr>
            <w:r>
              <w:rPr>
                <w:rFonts w:hint="eastAsia" w:ascii="仿宋" w:hAnsi="仿宋" w:eastAsia="仿宋" w:cs="仿宋"/>
                <w:sz w:val="24"/>
                <w:szCs w:val="24"/>
              </w:rPr>
              <w:t>采用</w:t>
            </w:r>
            <w:r>
              <w:rPr>
                <w:rFonts w:hint="eastAsia" w:ascii="仿宋" w:hAnsi="仿宋" w:eastAsia="仿宋" w:cs="仿宋"/>
                <w:b/>
                <w:sz w:val="24"/>
                <w:szCs w:val="24"/>
                <w:u w:val="single"/>
              </w:rPr>
              <w:t>胶装</w:t>
            </w:r>
            <w:r>
              <w:rPr>
                <w:rFonts w:hint="eastAsia" w:ascii="仿宋" w:hAnsi="仿宋" w:eastAsia="仿宋" w:cs="仿宋"/>
                <w:sz w:val="24"/>
                <w:szCs w:val="24"/>
              </w:rPr>
              <w:t>方式装订，装订应牢固、不易拆散和换页，不得采用活页装订，提倡双面打印。响应文件的正本与副本请编制目录和页码。</w:t>
            </w:r>
          </w:p>
        </w:tc>
      </w:tr>
      <w:tr w14:paraId="1A1046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9252" w:type="dxa"/>
            <w:gridSpan w:val="3"/>
            <w:vAlign w:val="center"/>
          </w:tcPr>
          <w:p w14:paraId="7B6C2215">
            <w:pPr>
              <w:adjustRightInd w:val="0"/>
              <w:snapToGrid w:val="0"/>
              <w:spacing w:before="50" w:line="360" w:lineRule="auto"/>
              <w:rPr>
                <w:rFonts w:hint="eastAsia" w:ascii="仿宋" w:hAnsi="仿宋" w:eastAsia="仿宋" w:cs="仿宋"/>
                <w:b/>
                <w:bCs/>
                <w:color w:val="auto"/>
                <w:sz w:val="24"/>
                <w:szCs w:val="24"/>
              </w:rPr>
            </w:pPr>
            <w:r>
              <w:rPr>
                <w:rFonts w:hint="eastAsia" w:ascii="仿宋" w:hAnsi="仿宋" w:eastAsia="仿宋" w:cs="仿宋"/>
                <w:b/>
                <w:color w:val="auto"/>
                <w:sz w:val="24"/>
                <w:szCs w:val="24"/>
              </w:rPr>
              <w:t>四、响应文件的递交</w:t>
            </w:r>
          </w:p>
        </w:tc>
      </w:tr>
      <w:tr w14:paraId="2070E7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259" w:hRule="atLeast"/>
          <w:jc w:val="center"/>
        </w:trPr>
        <w:tc>
          <w:tcPr>
            <w:tcW w:w="1312" w:type="dxa"/>
            <w:vAlign w:val="center"/>
          </w:tcPr>
          <w:p w14:paraId="1D052771">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第16.2款</w:t>
            </w:r>
          </w:p>
        </w:tc>
        <w:tc>
          <w:tcPr>
            <w:tcW w:w="2039" w:type="dxa"/>
            <w:vAlign w:val="center"/>
          </w:tcPr>
          <w:p w14:paraId="0355B800">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封套上应载明的信息</w:t>
            </w:r>
          </w:p>
        </w:tc>
        <w:tc>
          <w:tcPr>
            <w:tcW w:w="5901" w:type="dxa"/>
            <w:vAlign w:val="center"/>
          </w:tcPr>
          <w:p w14:paraId="41E64DB5">
            <w:pPr>
              <w:pageBreakBefore w:val="0"/>
              <w:kinsoku/>
              <w:overflowPunct/>
              <w:bidi w:val="0"/>
              <w:adjustRightInd w:val="0"/>
              <w:snapToGrid w:val="0"/>
              <w:spacing w:before="156" w:beforeLines="50" w:line="240" w:lineRule="auto"/>
              <w:rPr>
                <w:rFonts w:hint="eastAsia" w:ascii="仿宋" w:hAnsi="仿宋" w:eastAsia="仿宋" w:cs="仿宋"/>
                <w:color w:val="auto"/>
                <w:sz w:val="24"/>
                <w:szCs w:val="24"/>
                <w:u w:val="single"/>
                <w:lang w:val="en-US" w:eastAsia="zh-CN"/>
              </w:rPr>
            </w:pPr>
            <w:r>
              <w:rPr>
                <w:rFonts w:hint="eastAsia" w:ascii="仿宋" w:hAnsi="仿宋" w:eastAsia="仿宋" w:cs="仿宋"/>
                <w:sz w:val="24"/>
                <w:szCs w:val="24"/>
              </w:rPr>
              <w:t>采购项目名称</w:t>
            </w:r>
            <w:r>
              <w:rPr>
                <w:rFonts w:hint="eastAsia" w:ascii="仿宋" w:hAnsi="仿宋" w:eastAsia="仿宋" w:cs="仿宋"/>
                <w:sz w:val="24"/>
                <w:szCs w:val="24"/>
                <w:lang w:eastAsia="zh-CN"/>
              </w:rPr>
              <w:t>：</w:t>
            </w:r>
          </w:p>
          <w:p w14:paraId="1E5BCE60">
            <w:pPr>
              <w:pageBreakBefore w:val="0"/>
              <w:kinsoku/>
              <w:overflowPunct/>
              <w:bidi w:val="0"/>
              <w:adjustRightInd w:val="0"/>
              <w:snapToGrid w:val="0"/>
              <w:spacing w:before="156" w:beforeLines="50" w:line="240" w:lineRule="auto"/>
              <w:rPr>
                <w:rFonts w:hint="eastAsia" w:ascii="仿宋" w:hAnsi="仿宋" w:eastAsia="仿宋" w:cs="仿宋"/>
                <w:kern w:val="0"/>
                <w:sz w:val="24"/>
                <w:szCs w:val="24"/>
                <w:highlight w:val="red"/>
                <w:u w:val="single"/>
                <w:lang w:val="en-US" w:eastAsia="zh-CN"/>
              </w:rPr>
            </w:pPr>
            <w:r>
              <w:rPr>
                <w:rFonts w:hint="eastAsia" w:ascii="仿宋" w:hAnsi="仿宋" w:eastAsia="仿宋" w:cs="仿宋"/>
                <w:sz w:val="24"/>
                <w:szCs w:val="24"/>
                <w:lang w:eastAsia="zh-CN"/>
              </w:rPr>
              <w:t>采购编号</w:t>
            </w:r>
            <w:r>
              <w:rPr>
                <w:rFonts w:hint="eastAsia" w:ascii="仿宋" w:hAnsi="仿宋" w:eastAsia="仿宋" w:cs="仿宋"/>
                <w:sz w:val="24"/>
                <w:szCs w:val="24"/>
              </w:rPr>
              <w:t>：</w:t>
            </w:r>
          </w:p>
          <w:p w14:paraId="00E80D80">
            <w:pPr>
              <w:pageBreakBefore w:val="0"/>
              <w:kinsoku/>
              <w:overflowPunct/>
              <w:bidi w:val="0"/>
              <w:adjustRightInd w:val="0"/>
              <w:snapToGrid w:val="0"/>
              <w:spacing w:before="156" w:beforeLines="50" w:line="240" w:lineRule="auto"/>
              <w:rPr>
                <w:rFonts w:hint="eastAsia" w:ascii="仿宋" w:hAnsi="仿宋" w:eastAsia="仿宋" w:cs="仿宋"/>
                <w:sz w:val="24"/>
                <w:szCs w:val="24"/>
                <w:lang w:eastAsia="zh-CN"/>
              </w:rPr>
            </w:pPr>
            <w:r>
              <w:rPr>
                <w:rFonts w:hint="eastAsia" w:ascii="仿宋" w:hAnsi="仿宋" w:eastAsia="仿宋" w:cs="仿宋"/>
                <w:sz w:val="24"/>
                <w:szCs w:val="24"/>
              </w:rPr>
              <w:t>委托代理编号：</w:t>
            </w:r>
          </w:p>
          <w:p w14:paraId="7AB2C5E6">
            <w:pPr>
              <w:pageBreakBefore w:val="0"/>
              <w:kinsoku/>
              <w:overflowPunct/>
              <w:bidi w:val="0"/>
              <w:adjustRightInd w:val="0"/>
              <w:snapToGrid w:val="0"/>
              <w:spacing w:before="156" w:beforeLines="50" w:line="240" w:lineRule="auto"/>
              <w:rPr>
                <w:rFonts w:hint="eastAsia" w:ascii="仿宋" w:hAnsi="仿宋" w:eastAsia="仿宋" w:cs="仿宋"/>
                <w:sz w:val="24"/>
                <w:szCs w:val="24"/>
              </w:rPr>
            </w:pPr>
            <w:r>
              <w:rPr>
                <w:rFonts w:hint="eastAsia" w:ascii="仿宋" w:hAnsi="仿宋" w:eastAsia="仿宋" w:cs="仿宋"/>
                <w:sz w:val="24"/>
                <w:szCs w:val="24"/>
              </w:rPr>
              <w:t>在</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时</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分</w:t>
            </w:r>
            <w:r>
              <w:rPr>
                <w:rFonts w:hint="eastAsia" w:ascii="仿宋" w:hAnsi="仿宋" w:eastAsia="仿宋" w:cs="仿宋"/>
                <w:sz w:val="24"/>
                <w:szCs w:val="24"/>
              </w:rPr>
              <w:t>之前不得启封</w:t>
            </w:r>
          </w:p>
          <w:p w14:paraId="37AC64BE">
            <w:pPr>
              <w:adjustRightInd w:val="0"/>
              <w:snapToGrid w:val="0"/>
              <w:spacing w:before="156" w:beforeLines="50" w:line="240" w:lineRule="auto"/>
              <w:rPr>
                <w:rFonts w:hint="eastAsia" w:ascii="仿宋" w:hAnsi="仿宋" w:eastAsia="仿宋" w:cs="仿宋"/>
                <w:color w:val="auto"/>
                <w:sz w:val="24"/>
                <w:szCs w:val="24"/>
              </w:rPr>
            </w:pPr>
            <w:r>
              <w:rPr>
                <w:rFonts w:hint="eastAsia" w:ascii="仿宋" w:hAnsi="仿宋" w:eastAsia="仿宋" w:cs="仿宋"/>
                <w:sz w:val="24"/>
                <w:szCs w:val="24"/>
              </w:rPr>
              <w:t>供应商名称：</w:t>
            </w:r>
          </w:p>
        </w:tc>
      </w:tr>
      <w:tr w14:paraId="4259A0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1" w:hRule="atLeast"/>
          <w:jc w:val="center"/>
        </w:trPr>
        <w:tc>
          <w:tcPr>
            <w:tcW w:w="3351" w:type="dxa"/>
            <w:gridSpan w:val="2"/>
            <w:vAlign w:val="center"/>
          </w:tcPr>
          <w:p w14:paraId="178B7B44">
            <w:pPr>
              <w:adjustRightInd w:val="0"/>
              <w:snapToGrid w:val="0"/>
              <w:spacing w:line="400" w:lineRule="exact"/>
              <w:ind w:firstLine="1200" w:firstLineChars="5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签字盖章要求</w:t>
            </w:r>
          </w:p>
        </w:tc>
        <w:tc>
          <w:tcPr>
            <w:tcW w:w="5901" w:type="dxa"/>
            <w:vAlign w:val="center"/>
          </w:tcPr>
          <w:p w14:paraId="450EB00F">
            <w:pPr>
              <w:numPr>
                <w:ilvl w:val="0"/>
                <w:numId w:val="0"/>
              </w:numPr>
              <w:tabs>
                <w:tab w:val="left" w:pos="381"/>
              </w:tabs>
              <w:ind w:left="0" w:leftChars="0" w:firstLine="0" w:firstLineChars="0"/>
              <w:rPr>
                <w:rFonts w:hint="eastAsia" w:ascii="仿宋" w:hAnsi="仿宋" w:eastAsia="仿宋" w:cs="仿宋"/>
                <w:sz w:val="24"/>
                <w:szCs w:val="24"/>
              </w:rPr>
            </w:pPr>
            <w:r>
              <w:rPr>
                <w:rFonts w:hint="eastAsia" w:ascii="仿宋" w:hAnsi="仿宋" w:eastAsia="仿宋" w:cs="仿宋"/>
                <w:color w:val="auto"/>
                <w:sz w:val="24"/>
                <w:szCs w:val="24"/>
                <w:lang w:eastAsia="zh-CN"/>
              </w:rPr>
              <w:t>详见</w:t>
            </w:r>
            <w:r>
              <w:rPr>
                <w:rFonts w:hint="eastAsia" w:ascii="仿宋" w:hAnsi="仿宋" w:eastAsia="仿宋" w:cs="仿宋"/>
                <w:color w:val="auto"/>
                <w:sz w:val="24"/>
                <w:szCs w:val="24"/>
                <w:lang w:val="en-US" w:eastAsia="zh-CN"/>
              </w:rPr>
              <w:t>谈判</w:t>
            </w:r>
            <w:r>
              <w:rPr>
                <w:rFonts w:hint="eastAsia" w:ascii="仿宋" w:hAnsi="仿宋" w:eastAsia="仿宋" w:cs="仿宋"/>
                <w:color w:val="auto"/>
                <w:sz w:val="24"/>
                <w:szCs w:val="24"/>
                <w:lang w:eastAsia="zh-CN"/>
              </w:rPr>
              <w:t>须知正文</w:t>
            </w:r>
          </w:p>
        </w:tc>
      </w:tr>
      <w:tr w14:paraId="6E280B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312" w:type="dxa"/>
            <w:vAlign w:val="center"/>
          </w:tcPr>
          <w:p w14:paraId="6AFFBA33">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第18.1款</w:t>
            </w:r>
          </w:p>
        </w:tc>
        <w:tc>
          <w:tcPr>
            <w:tcW w:w="2039" w:type="dxa"/>
            <w:vAlign w:val="center"/>
          </w:tcPr>
          <w:p w14:paraId="23F5AEC8">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响应文件的递交</w:t>
            </w:r>
            <w:r>
              <w:rPr>
                <w:rFonts w:hint="eastAsia" w:ascii="仿宋" w:hAnsi="仿宋" w:eastAsia="仿宋" w:cs="仿宋"/>
                <w:bCs/>
                <w:color w:val="auto"/>
                <w:sz w:val="24"/>
                <w:szCs w:val="24"/>
              </w:rPr>
              <w:t>时间和</w:t>
            </w:r>
            <w:r>
              <w:rPr>
                <w:rFonts w:hint="eastAsia" w:ascii="仿宋" w:hAnsi="仿宋" w:eastAsia="仿宋" w:cs="仿宋"/>
                <w:color w:val="auto"/>
                <w:sz w:val="24"/>
                <w:szCs w:val="24"/>
              </w:rPr>
              <w:t>地点</w:t>
            </w:r>
          </w:p>
        </w:tc>
        <w:tc>
          <w:tcPr>
            <w:tcW w:w="5901" w:type="dxa"/>
            <w:vAlign w:val="center"/>
          </w:tcPr>
          <w:p w14:paraId="7F950F64">
            <w:pPr>
              <w:adjustRightInd w:val="0"/>
              <w:snapToGrid w:val="0"/>
              <w:spacing w:before="50" w:line="360" w:lineRule="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时间：</w:t>
            </w:r>
            <w:r>
              <w:rPr>
                <w:rFonts w:hint="eastAsia" w:ascii="仿宋" w:hAnsi="仿宋" w:eastAsia="仿宋" w:cs="仿宋"/>
                <w:color w:val="auto"/>
                <w:sz w:val="24"/>
                <w:szCs w:val="24"/>
                <w:u w:val="single"/>
                <w:lang w:val="en-US" w:eastAsia="zh-CN"/>
              </w:rPr>
              <w:t>2025年7月 22 日10时00分</w:t>
            </w:r>
            <w:r>
              <w:rPr>
                <w:rFonts w:hint="eastAsia" w:ascii="仿宋" w:hAnsi="仿宋" w:eastAsia="仿宋" w:cs="仿宋"/>
                <w:color w:val="auto"/>
                <w:sz w:val="24"/>
                <w:szCs w:val="24"/>
                <w:highlight w:val="none"/>
              </w:rPr>
              <w:t>（北京时间）</w:t>
            </w:r>
          </w:p>
          <w:p w14:paraId="6415B880">
            <w:pPr>
              <w:adjustRightInd w:val="0"/>
              <w:snapToGrid w:val="0"/>
              <w:spacing w:before="50" w:line="360" w:lineRule="auto"/>
              <w:rPr>
                <w:rFonts w:hint="eastAsia" w:ascii="仿宋" w:hAnsi="仿宋" w:eastAsia="仿宋" w:cs="仿宋"/>
                <w:b/>
                <w:bCs/>
                <w:color w:val="auto"/>
                <w:sz w:val="24"/>
                <w:szCs w:val="24"/>
              </w:rPr>
            </w:pPr>
            <w:r>
              <w:rPr>
                <w:rFonts w:hint="eastAsia" w:ascii="仿宋" w:hAnsi="仿宋" w:eastAsia="仿宋" w:cs="仿宋"/>
                <w:sz w:val="24"/>
                <w:szCs w:val="24"/>
                <w:highlight w:val="none"/>
                <w:u w:val="none"/>
                <w:lang w:val="en-US" w:eastAsia="zh-CN"/>
              </w:rPr>
              <w:t>地点：</w:t>
            </w:r>
            <w:r>
              <w:rPr>
                <w:rFonts w:hint="eastAsia" w:ascii="仿宋" w:hAnsi="仿宋" w:eastAsia="仿宋" w:cs="仿宋"/>
                <w:sz w:val="24"/>
                <w:szCs w:val="24"/>
                <w:highlight w:val="none"/>
                <w:u w:val="single"/>
                <w:lang w:eastAsia="zh-CN"/>
              </w:rPr>
              <w:t>东联建建筑咨询有限公司</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怀化市河西武陵山跨境电商产业园B7栋二楼</w:t>
            </w:r>
            <w:r>
              <w:rPr>
                <w:rFonts w:hint="eastAsia" w:ascii="仿宋" w:hAnsi="仿宋" w:eastAsia="仿宋" w:cs="仿宋"/>
                <w:sz w:val="24"/>
                <w:szCs w:val="24"/>
                <w:highlight w:val="none"/>
                <w:u w:val="single"/>
              </w:rPr>
              <w:t>）</w:t>
            </w:r>
          </w:p>
        </w:tc>
      </w:tr>
      <w:tr w14:paraId="0E4F1A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9252" w:type="dxa"/>
            <w:gridSpan w:val="3"/>
            <w:vAlign w:val="center"/>
          </w:tcPr>
          <w:p w14:paraId="05B1F120">
            <w:pPr>
              <w:adjustRightInd w:val="0"/>
              <w:snapToGrid w:val="0"/>
              <w:spacing w:before="50"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五、响应文件的评审与谈判</w:t>
            </w:r>
          </w:p>
        </w:tc>
      </w:tr>
      <w:tr w14:paraId="428EFA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85" w:hRule="atLeast"/>
          <w:jc w:val="center"/>
        </w:trPr>
        <w:tc>
          <w:tcPr>
            <w:tcW w:w="1312" w:type="dxa"/>
            <w:vAlign w:val="center"/>
          </w:tcPr>
          <w:p w14:paraId="58DB9C41">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第22.4款</w:t>
            </w:r>
          </w:p>
        </w:tc>
        <w:tc>
          <w:tcPr>
            <w:tcW w:w="2039" w:type="dxa"/>
            <w:vAlign w:val="center"/>
          </w:tcPr>
          <w:p w14:paraId="2FF5BAA1">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谈判文件规定的实质性要求和条件</w:t>
            </w:r>
          </w:p>
        </w:tc>
        <w:tc>
          <w:tcPr>
            <w:tcW w:w="5901" w:type="dxa"/>
            <w:vAlign w:val="center"/>
          </w:tcPr>
          <w:p w14:paraId="4B50F4A6">
            <w:pPr>
              <w:adjustRightInd w:val="0"/>
              <w:snapToGrid w:val="0"/>
              <w:spacing w:before="50"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第三章采购需求，不允许偏离。</w:t>
            </w:r>
          </w:p>
        </w:tc>
      </w:tr>
      <w:tr w14:paraId="6AB95B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312" w:type="dxa"/>
            <w:vAlign w:val="center"/>
          </w:tcPr>
          <w:p w14:paraId="53B3E76A">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第28.3款</w:t>
            </w:r>
          </w:p>
        </w:tc>
        <w:tc>
          <w:tcPr>
            <w:tcW w:w="2039" w:type="dxa"/>
            <w:vAlign w:val="center"/>
          </w:tcPr>
          <w:p w14:paraId="685A7BAC">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bCs/>
                <w:color w:val="auto"/>
                <w:sz w:val="24"/>
                <w:szCs w:val="24"/>
              </w:rPr>
              <w:t>最后报价的算术修正</w:t>
            </w:r>
          </w:p>
        </w:tc>
        <w:tc>
          <w:tcPr>
            <w:tcW w:w="5901" w:type="dxa"/>
            <w:vAlign w:val="center"/>
          </w:tcPr>
          <w:p w14:paraId="1502872F">
            <w:pPr>
              <w:spacing w:line="240" w:lineRule="auto"/>
              <w:rPr>
                <w:rFonts w:hint="eastAsia" w:ascii="仿宋" w:hAnsi="仿宋" w:eastAsia="仿宋" w:cs="仿宋"/>
                <w:color w:val="auto"/>
                <w:sz w:val="24"/>
                <w:szCs w:val="24"/>
              </w:rPr>
            </w:pPr>
            <w:r>
              <w:rPr>
                <w:rFonts w:hint="eastAsia" w:ascii="仿宋" w:hAnsi="仿宋" w:eastAsia="仿宋" w:cs="仿宋"/>
                <w:bCs/>
                <w:color w:val="auto"/>
                <w:kern w:val="0"/>
                <w:sz w:val="24"/>
                <w:szCs w:val="24"/>
                <w:lang w:val="en-US" w:eastAsia="zh-CN"/>
              </w:rPr>
              <w:t>1、</w:t>
            </w:r>
            <w:r>
              <w:rPr>
                <w:rFonts w:hint="eastAsia" w:ascii="仿宋" w:hAnsi="仿宋" w:eastAsia="仿宋" w:cs="仿宋"/>
                <w:bCs/>
                <w:color w:val="auto"/>
                <w:kern w:val="0"/>
                <w:sz w:val="24"/>
                <w:szCs w:val="24"/>
              </w:rPr>
              <w:t>政府采购支持中小企业发展</w:t>
            </w:r>
            <w:r>
              <w:rPr>
                <w:rFonts w:hint="eastAsia" w:ascii="仿宋" w:hAnsi="仿宋" w:eastAsia="仿宋" w:cs="仿宋"/>
                <w:color w:val="auto"/>
                <w:sz w:val="24"/>
                <w:szCs w:val="24"/>
              </w:rPr>
              <w:t>（货物类供应商和产品制造商应同时满足中小微企业的条件）</w:t>
            </w:r>
            <w:r>
              <w:rPr>
                <w:rFonts w:hint="eastAsia" w:ascii="仿宋" w:hAnsi="仿宋" w:eastAsia="仿宋" w:cs="仿宋"/>
                <w:bCs/>
                <w:color w:val="auto"/>
                <w:kern w:val="0"/>
                <w:sz w:val="24"/>
                <w:szCs w:val="24"/>
              </w:rPr>
              <w:t>：</w:t>
            </w:r>
            <w:r>
              <w:rPr>
                <w:rFonts w:hint="eastAsia" w:ascii="仿宋" w:hAnsi="仿宋" w:eastAsia="仿宋" w:cs="仿宋"/>
                <w:color w:val="auto"/>
                <w:sz w:val="24"/>
                <w:szCs w:val="24"/>
              </w:rPr>
              <w:t>小型或微型企业，</w:t>
            </w:r>
            <w:r>
              <w:rPr>
                <w:rFonts w:hint="eastAsia" w:ascii="仿宋" w:hAnsi="仿宋" w:eastAsia="仿宋" w:cs="仿宋"/>
                <w:color w:val="auto"/>
                <w:kern w:val="0"/>
                <w:sz w:val="24"/>
                <w:szCs w:val="24"/>
              </w:rPr>
              <w:t>最后报价</w:t>
            </w:r>
            <w:r>
              <w:rPr>
                <w:rFonts w:hint="eastAsia" w:ascii="仿宋" w:hAnsi="仿宋" w:eastAsia="仿宋" w:cs="仿宋"/>
                <w:color w:val="auto"/>
                <w:sz w:val="24"/>
                <w:szCs w:val="24"/>
              </w:rPr>
              <w:t>扣除比例为</w:t>
            </w:r>
            <w:r>
              <w:rPr>
                <w:rFonts w:hint="eastAsia" w:ascii="仿宋" w:hAnsi="仿宋" w:eastAsia="仿宋" w:cs="仿宋"/>
                <w:color w:val="auto"/>
                <w:sz w:val="24"/>
                <w:szCs w:val="24"/>
                <w:u w:val="single"/>
                <w:lang w:val="en-US" w:eastAsia="zh-CN"/>
              </w:rPr>
              <w:t>10</w:t>
            </w:r>
            <w:r>
              <w:rPr>
                <w:rFonts w:hint="eastAsia" w:ascii="仿宋" w:hAnsi="仿宋" w:eastAsia="仿宋" w:cs="仿宋"/>
                <w:color w:val="auto"/>
                <w:sz w:val="24"/>
                <w:szCs w:val="24"/>
              </w:rPr>
              <w:t>％。</w:t>
            </w:r>
          </w:p>
          <w:p w14:paraId="437D1DDE">
            <w:pPr>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2、总价金额与按单价汇总金额不一致的，以单价金额计算结果为准。</w:t>
            </w:r>
          </w:p>
          <w:p w14:paraId="6DAF7A74">
            <w:pPr>
              <w:adjustRightInd w:val="0"/>
              <w:snapToGrid w:val="0"/>
              <w:spacing w:before="50" w:line="240" w:lineRule="auto"/>
              <w:rPr>
                <w:rFonts w:hint="eastAsia" w:ascii="仿宋" w:hAnsi="仿宋" w:eastAsia="仿宋" w:cs="仿宋"/>
                <w:b/>
                <w:bCs/>
                <w:color w:val="auto"/>
                <w:sz w:val="24"/>
                <w:szCs w:val="24"/>
              </w:rPr>
            </w:pPr>
            <w:r>
              <w:rPr>
                <w:rFonts w:hint="eastAsia" w:ascii="仿宋" w:hAnsi="仿宋" w:eastAsia="仿宋" w:cs="仿宋"/>
                <w:color w:val="000000"/>
                <w:sz w:val="24"/>
                <w:szCs w:val="24"/>
                <w:lang w:val="en-US" w:eastAsia="zh-CN"/>
              </w:rPr>
              <w:t>修正后的报价由供应商代表签字或者加盖单位公章确认后产生约束力，不确认的，其报价无效。</w:t>
            </w:r>
          </w:p>
        </w:tc>
      </w:tr>
      <w:tr w14:paraId="3D7A4E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8" w:hRule="atLeast"/>
          <w:jc w:val="center"/>
        </w:trPr>
        <w:tc>
          <w:tcPr>
            <w:tcW w:w="9252" w:type="dxa"/>
            <w:gridSpan w:val="3"/>
            <w:vAlign w:val="center"/>
          </w:tcPr>
          <w:p w14:paraId="6462D615">
            <w:pPr>
              <w:adjustRightInd w:val="0"/>
              <w:snapToGrid w:val="0"/>
              <w:spacing w:before="50" w:line="240" w:lineRule="auto"/>
              <w:rPr>
                <w:rFonts w:hint="eastAsia" w:ascii="仿宋" w:hAnsi="仿宋" w:eastAsia="仿宋" w:cs="仿宋"/>
                <w:color w:val="auto"/>
                <w:sz w:val="24"/>
                <w:szCs w:val="24"/>
              </w:rPr>
            </w:pPr>
            <w:r>
              <w:rPr>
                <w:rFonts w:hint="eastAsia" w:ascii="仿宋" w:hAnsi="仿宋" w:eastAsia="仿宋" w:cs="仿宋"/>
                <w:b/>
                <w:color w:val="auto"/>
                <w:sz w:val="24"/>
                <w:szCs w:val="24"/>
              </w:rPr>
              <w:t>六、成交结果信息公布与授予合同</w:t>
            </w:r>
          </w:p>
        </w:tc>
      </w:tr>
      <w:tr w14:paraId="4BA814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25" w:hRule="atLeast"/>
          <w:jc w:val="center"/>
        </w:trPr>
        <w:tc>
          <w:tcPr>
            <w:tcW w:w="1312" w:type="dxa"/>
            <w:vAlign w:val="center"/>
          </w:tcPr>
          <w:p w14:paraId="3988904B">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第34.1款</w:t>
            </w:r>
          </w:p>
        </w:tc>
        <w:tc>
          <w:tcPr>
            <w:tcW w:w="2039" w:type="dxa"/>
            <w:vAlign w:val="center"/>
          </w:tcPr>
          <w:p w14:paraId="71CB3239">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发布的</w:t>
            </w:r>
            <w:r>
              <w:rPr>
                <w:rFonts w:hint="eastAsia" w:ascii="仿宋" w:hAnsi="仿宋" w:eastAsia="仿宋" w:cs="仿宋"/>
                <w:color w:val="auto"/>
                <w:sz w:val="24"/>
                <w:szCs w:val="24"/>
              </w:rPr>
              <w:t>媒体</w:t>
            </w:r>
          </w:p>
        </w:tc>
        <w:tc>
          <w:tcPr>
            <w:tcW w:w="5901" w:type="dxa"/>
            <w:vAlign w:val="center"/>
          </w:tcPr>
          <w:p w14:paraId="369E18EA">
            <w:pPr>
              <w:adjustRightInd w:val="0"/>
              <w:snapToGrid w:val="0"/>
              <w:spacing w:before="50" w:line="24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鹤城区人民政府门户网站-首页  http://www.hechengqu.gov.cn/</w:t>
            </w:r>
          </w:p>
        </w:tc>
      </w:tr>
      <w:tr w14:paraId="0F9361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312" w:type="dxa"/>
            <w:vAlign w:val="center"/>
          </w:tcPr>
          <w:p w14:paraId="6D0098F4">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第35.3</w:t>
            </w:r>
            <w:r>
              <w:rPr>
                <w:rFonts w:hint="eastAsia" w:ascii="仿宋" w:hAnsi="仿宋" w:eastAsia="仿宋" w:cs="仿宋"/>
                <w:color w:val="auto"/>
                <w:kern w:val="0"/>
                <w:sz w:val="24"/>
                <w:szCs w:val="24"/>
                <w:lang w:val="zh-CN"/>
              </w:rPr>
              <w:t>款</w:t>
            </w:r>
          </w:p>
        </w:tc>
        <w:tc>
          <w:tcPr>
            <w:tcW w:w="2039" w:type="dxa"/>
            <w:vAlign w:val="center"/>
          </w:tcPr>
          <w:p w14:paraId="184FC82A">
            <w:pPr>
              <w:adjustRightInd w:val="0"/>
              <w:snapToGrid w:val="0"/>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接收</w:t>
            </w:r>
            <w:r>
              <w:rPr>
                <w:rFonts w:hint="eastAsia" w:ascii="仿宋" w:hAnsi="仿宋" w:eastAsia="仿宋" w:cs="仿宋"/>
                <w:color w:val="auto"/>
                <w:sz w:val="24"/>
                <w:szCs w:val="24"/>
                <w:lang w:val="en-US" w:eastAsia="zh-CN"/>
              </w:rPr>
              <w:t>投诉质疑渠道</w:t>
            </w:r>
          </w:p>
        </w:tc>
        <w:tc>
          <w:tcPr>
            <w:tcW w:w="5901" w:type="dxa"/>
            <w:vAlign w:val="center"/>
          </w:tcPr>
          <w:p w14:paraId="15F2BFDA">
            <w:pPr>
              <w:adjustRightInd w:val="0"/>
              <w:snapToGrid w:val="0"/>
              <w:spacing w:before="50"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怀化市鹤城区城市建设投资有限公司纪检监察室</w:t>
            </w:r>
          </w:p>
          <w:p w14:paraId="290D64FA">
            <w:pPr>
              <w:adjustRightInd w:val="0"/>
              <w:snapToGrid w:val="0"/>
              <w:spacing w:before="5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联系人：周先生</w:t>
            </w:r>
          </w:p>
          <w:p w14:paraId="204E3DD9">
            <w:pPr>
              <w:adjustRightInd w:val="0"/>
              <w:snapToGrid w:val="0"/>
              <w:spacing w:before="50" w:line="24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电话：0745-2557817</w:t>
            </w:r>
          </w:p>
        </w:tc>
      </w:tr>
      <w:tr w14:paraId="188C94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88" w:hRule="atLeast"/>
          <w:jc w:val="center"/>
        </w:trPr>
        <w:tc>
          <w:tcPr>
            <w:tcW w:w="1312" w:type="dxa"/>
            <w:vAlign w:val="center"/>
          </w:tcPr>
          <w:p w14:paraId="7FC10172">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第36.1款</w:t>
            </w:r>
          </w:p>
        </w:tc>
        <w:tc>
          <w:tcPr>
            <w:tcW w:w="2039" w:type="dxa"/>
            <w:vAlign w:val="center"/>
          </w:tcPr>
          <w:p w14:paraId="4A5B65B0">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履约担保</w:t>
            </w:r>
          </w:p>
        </w:tc>
        <w:tc>
          <w:tcPr>
            <w:tcW w:w="5901" w:type="dxa"/>
            <w:vAlign w:val="center"/>
          </w:tcPr>
          <w:p w14:paraId="38F81DE2">
            <w:pPr>
              <w:adjustRightInd w:val="0"/>
              <w:snapToGrid w:val="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ar"/>
              </w:rPr>
              <w:t>不要求提供</w:t>
            </w:r>
          </w:p>
          <w:p w14:paraId="13C2ED06">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ar"/>
              </w:rPr>
              <w:t>要求提供,</w:t>
            </w:r>
            <w:r>
              <w:rPr>
                <w:rFonts w:hint="eastAsia" w:ascii="仿宋" w:hAnsi="仿宋" w:eastAsia="仿宋" w:cs="仿宋"/>
                <w:color w:val="auto"/>
                <w:sz w:val="24"/>
                <w:szCs w:val="24"/>
              </w:rPr>
              <w:t>履约担保的金额为：</w:t>
            </w:r>
            <w:r>
              <w:rPr>
                <w:rFonts w:hint="eastAsia" w:ascii="仿宋" w:hAnsi="仿宋" w:eastAsia="仿宋" w:cs="仿宋"/>
                <w:color w:val="auto"/>
                <w:sz w:val="24"/>
                <w:szCs w:val="24"/>
                <w:highlight w:val="none"/>
                <w:u w:val="single"/>
                <w:lang w:val="en-US" w:eastAsia="zh-CN"/>
              </w:rPr>
              <w:t xml:space="preserve">          </w:t>
            </w:r>
          </w:p>
        </w:tc>
      </w:tr>
      <w:tr w14:paraId="68A22D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9252" w:type="dxa"/>
            <w:gridSpan w:val="3"/>
            <w:vAlign w:val="center"/>
          </w:tcPr>
          <w:p w14:paraId="425CC7F8">
            <w:pPr>
              <w:adjustRightInd w:val="0"/>
              <w:snapToGrid w:val="0"/>
              <w:spacing w:before="50"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七、政府采购政策</w:t>
            </w:r>
          </w:p>
        </w:tc>
      </w:tr>
      <w:tr w14:paraId="7D35D2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65" w:hRule="atLeast"/>
          <w:jc w:val="center"/>
        </w:trPr>
        <w:tc>
          <w:tcPr>
            <w:tcW w:w="1312" w:type="dxa"/>
            <w:vMerge w:val="restart"/>
            <w:vAlign w:val="center"/>
          </w:tcPr>
          <w:p w14:paraId="30127F2D">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第40.1款</w:t>
            </w:r>
          </w:p>
        </w:tc>
        <w:tc>
          <w:tcPr>
            <w:tcW w:w="2039" w:type="dxa"/>
            <w:vMerge w:val="restart"/>
            <w:vAlign w:val="center"/>
          </w:tcPr>
          <w:p w14:paraId="24277D6B">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节能产品、</w:t>
            </w:r>
            <w:r>
              <w:rPr>
                <w:rFonts w:hint="eastAsia" w:ascii="仿宋" w:hAnsi="仿宋" w:eastAsia="仿宋" w:cs="仿宋"/>
                <w:color w:val="auto"/>
                <w:sz w:val="24"/>
                <w:szCs w:val="24"/>
              </w:rPr>
              <w:t>环境标志产品的价格折扣比例</w:t>
            </w:r>
          </w:p>
        </w:tc>
        <w:tc>
          <w:tcPr>
            <w:tcW w:w="5901" w:type="dxa"/>
            <w:vAlign w:val="center"/>
          </w:tcPr>
          <w:p w14:paraId="67731358">
            <w:pPr>
              <w:adjustRightInd w:val="0"/>
              <w:snapToGrid w:val="0"/>
              <w:spacing w:before="50" w:line="360" w:lineRule="auto"/>
              <w:jc w:val="left"/>
              <w:rPr>
                <w:rFonts w:hint="eastAsia" w:ascii="仿宋" w:hAnsi="仿宋" w:eastAsia="仿宋" w:cs="仿宋"/>
                <w:color w:val="auto"/>
                <w:sz w:val="24"/>
                <w:szCs w:val="24"/>
              </w:rPr>
            </w:pPr>
            <w:r>
              <w:rPr>
                <w:rFonts w:hint="eastAsia" w:ascii="仿宋" w:hAnsi="仿宋" w:eastAsia="仿宋" w:cs="仿宋"/>
                <w:sz w:val="24"/>
                <w:szCs w:val="24"/>
                <w:highlight w:val="none"/>
              </w:rPr>
              <w:t>采购产品为《节能产品政府采购品目清单》最新一期内非标记★符号的，应给予5%-10%的价格扣除，本项目具体扣除比例为</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w:t>
            </w:r>
          </w:p>
        </w:tc>
      </w:tr>
      <w:tr w14:paraId="51F287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85" w:hRule="atLeast"/>
          <w:jc w:val="center"/>
        </w:trPr>
        <w:tc>
          <w:tcPr>
            <w:tcW w:w="1312" w:type="dxa"/>
            <w:vMerge w:val="continue"/>
            <w:vAlign w:val="center"/>
          </w:tcPr>
          <w:p w14:paraId="0D35096C">
            <w:pPr>
              <w:adjustRightInd w:val="0"/>
              <w:snapToGrid w:val="0"/>
              <w:spacing w:before="50" w:line="360" w:lineRule="auto"/>
              <w:rPr>
                <w:rFonts w:hint="eastAsia" w:ascii="仿宋" w:hAnsi="仿宋" w:eastAsia="仿宋" w:cs="仿宋"/>
                <w:sz w:val="24"/>
                <w:szCs w:val="24"/>
              </w:rPr>
            </w:pPr>
          </w:p>
        </w:tc>
        <w:tc>
          <w:tcPr>
            <w:tcW w:w="2039" w:type="dxa"/>
            <w:vMerge w:val="continue"/>
            <w:vAlign w:val="top"/>
          </w:tcPr>
          <w:p w14:paraId="443ADFD2">
            <w:pPr>
              <w:adjustRightInd w:val="0"/>
              <w:snapToGrid w:val="0"/>
              <w:spacing w:before="50" w:line="360" w:lineRule="auto"/>
              <w:rPr>
                <w:rFonts w:hint="eastAsia" w:ascii="仿宋" w:hAnsi="仿宋" w:eastAsia="仿宋" w:cs="仿宋"/>
                <w:sz w:val="24"/>
                <w:szCs w:val="24"/>
              </w:rPr>
            </w:pPr>
          </w:p>
        </w:tc>
        <w:tc>
          <w:tcPr>
            <w:tcW w:w="5901" w:type="dxa"/>
            <w:vAlign w:val="center"/>
          </w:tcPr>
          <w:p w14:paraId="65325154">
            <w:pPr>
              <w:adjustRightInd w:val="0"/>
              <w:snapToGrid w:val="0"/>
              <w:spacing w:before="50" w:line="360" w:lineRule="auto"/>
              <w:jc w:val="left"/>
              <w:rPr>
                <w:rFonts w:hint="eastAsia" w:ascii="仿宋" w:hAnsi="仿宋" w:eastAsia="仿宋" w:cs="仿宋"/>
                <w:color w:val="auto"/>
                <w:sz w:val="24"/>
                <w:szCs w:val="24"/>
              </w:rPr>
            </w:pPr>
            <w:r>
              <w:rPr>
                <w:rFonts w:hint="eastAsia" w:ascii="仿宋" w:hAnsi="仿宋" w:eastAsia="仿宋" w:cs="仿宋"/>
                <w:sz w:val="24"/>
                <w:szCs w:val="24"/>
                <w:highlight w:val="none"/>
              </w:rPr>
              <w:t>采购产品为《环境标志产品政府采购品目清单》最新一期内的，应给予5%-10%的价格扣除，本项目具体扣除比例为</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w:t>
            </w:r>
          </w:p>
        </w:tc>
      </w:tr>
      <w:tr w14:paraId="77E5F8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312" w:type="dxa"/>
            <w:vAlign w:val="center"/>
          </w:tcPr>
          <w:p w14:paraId="6444556B">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第40.2款</w:t>
            </w:r>
          </w:p>
        </w:tc>
        <w:tc>
          <w:tcPr>
            <w:tcW w:w="2039" w:type="dxa"/>
            <w:vAlign w:val="center"/>
          </w:tcPr>
          <w:p w14:paraId="1D7A2BDA">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两型产品的价格折扣比例</w:t>
            </w:r>
          </w:p>
        </w:tc>
        <w:tc>
          <w:tcPr>
            <w:tcW w:w="5901" w:type="dxa"/>
            <w:vAlign w:val="center"/>
          </w:tcPr>
          <w:p w14:paraId="69890622">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sz w:val="24"/>
                <w:szCs w:val="24"/>
                <w:highlight w:val="none"/>
              </w:rPr>
              <w:t>采购产品为《湖南省政府采购两型产品目录》(最新一期)内的，应给予5%-10%的价格扣除，本项目具体扣除比例为</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w:t>
            </w:r>
          </w:p>
        </w:tc>
      </w:tr>
      <w:tr w14:paraId="00581D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312" w:type="dxa"/>
            <w:vAlign w:val="center"/>
          </w:tcPr>
          <w:p w14:paraId="4B58DE7B">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第41.2（1）项</w:t>
            </w:r>
          </w:p>
        </w:tc>
        <w:tc>
          <w:tcPr>
            <w:tcW w:w="2039" w:type="dxa"/>
            <w:vAlign w:val="center"/>
          </w:tcPr>
          <w:p w14:paraId="3A958C55">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小型、微型企业的价格折扣比例</w:t>
            </w:r>
          </w:p>
        </w:tc>
        <w:tc>
          <w:tcPr>
            <w:tcW w:w="5901" w:type="dxa"/>
            <w:vAlign w:val="center"/>
          </w:tcPr>
          <w:p w14:paraId="4D1ABCC5">
            <w:pPr>
              <w:adjustRightInd w:val="0"/>
              <w:snapToGrid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非</w:t>
            </w:r>
            <w:r>
              <w:rPr>
                <w:rFonts w:hint="eastAsia" w:ascii="仿宋" w:hAnsi="仿宋" w:eastAsia="仿宋" w:cs="仿宋"/>
                <w:color w:val="auto"/>
                <w:sz w:val="24"/>
                <w:szCs w:val="24"/>
                <w:lang w:eastAsia="zh-CN"/>
              </w:rPr>
              <w:t>专门面向中小企业采购，且符合政府采购促进中小企业发展相关规定的：</w:t>
            </w:r>
          </w:p>
          <w:p w14:paraId="06A04D3B">
            <w:pPr>
              <w:adjustRightInd w:val="0"/>
              <w:snapToGrid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（1）给予小型和微型企业产品的价格给予</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工程类</w:t>
            </w:r>
            <w:r>
              <w:rPr>
                <w:rFonts w:hint="eastAsia" w:ascii="仿宋" w:hAnsi="仿宋" w:eastAsia="仿宋" w:cs="仿宋"/>
                <w:color w:val="auto"/>
                <w:sz w:val="24"/>
                <w:szCs w:val="24"/>
                <w:lang w:eastAsia="zh-CN"/>
              </w:rPr>
              <w:t>）的扣除，用扣除后的价格参与评审，本项目具体扣除比例为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10 </w:t>
            </w:r>
            <w:r>
              <w:rPr>
                <w:rFonts w:hint="eastAsia" w:ascii="仿宋" w:hAnsi="仿宋" w:eastAsia="仿宋" w:cs="仿宋"/>
                <w:color w:val="auto"/>
                <w:sz w:val="24"/>
                <w:szCs w:val="24"/>
                <w:lang w:eastAsia="zh-CN"/>
              </w:rPr>
              <w:t>％。</w:t>
            </w:r>
          </w:p>
          <w:p w14:paraId="0C56F6F5">
            <w:pPr>
              <w:adjustRightInd w:val="0"/>
              <w:snapToGrid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（2）给予联合体2%-3%的价格扣除，用扣除后的价格参与评审，本项目具体扣除比例为</w:t>
            </w:r>
            <w:r>
              <w:rPr>
                <w:rFonts w:hint="eastAsia" w:ascii="仿宋" w:hAnsi="仿宋" w:eastAsia="仿宋" w:cs="仿宋"/>
                <w:color w:val="auto"/>
                <w:sz w:val="24"/>
                <w:szCs w:val="24"/>
                <w:u w:val="single"/>
                <w:lang w:eastAsia="zh-CN"/>
              </w:rPr>
              <w:t xml:space="preserve"> / </w:t>
            </w:r>
            <w:r>
              <w:rPr>
                <w:rFonts w:hint="eastAsia" w:ascii="仿宋" w:hAnsi="仿宋" w:eastAsia="仿宋" w:cs="仿宋"/>
                <w:color w:val="auto"/>
                <w:sz w:val="24"/>
                <w:szCs w:val="24"/>
                <w:lang w:eastAsia="zh-CN"/>
              </w:rPr>
              <w:t>％。</w:t>
            </w:r>
          </w:p>
          <w:p w14:paraId="672CDB95">
            <w:pPr>
              <w:adjustRightInd w:val="0"/>
              <w:snapToGrid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（3）监狱企业、残疾人福利性单位视同小型、微型企业，享受评审中价格扣除等促进中小企业发展的政府采购政策。</w:t>
            </w:r>
          </w:p>
        </w:tc>
      </w:tr>
      <w:tr w14:paraId="3E6A47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959" w:hRule="atLeast"/>
          <w:jc w:val="center"/>
        </w:trPr>
        <w:tc>
          <w:tcPr>
            <w:tcW w:w="1312" w:type="dxa"/>
            <w:vAlign w:val="center"/>
          </w:tcPr>
          <w:p w14:paraId="7190A1DB">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第41.2（2）项</w:t>
            </w:r>
          </w:p>
        </w:tc>
        <w:tc>
          <w:tcPr>
            <w:tcW w:w="2039" w:type="dxa"/>
            <w:vAlign w:val="center"/>
          </w:tcPr>
          <w:p w14:paraId="142E8C3F">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小型、微型企业组成联合体或者大中型企业向小微企业分包的价格折扣比例</w:t>
            </w:r>
          </w:p>
        </w:tc>
        <w:tc>
          <w:tcPr>
            <w:tcW w:w="5901" w:type="dxa"/>
            <w:vAlign w:val="center"/>
          </w:tcPr>
          <w:p w14:paraId="23B63D36">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sz w:val="24"/>
                <w:szCs w:val="24"/>
              </w:rPr>
              <w:t>本项目不接受联合体投标。</w:t>
            </w:r>
          </w:p>
        </w:tc>
      </w:tr>
      <w:tr w14:paraId="094D35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1312" w:type="dxa"/>
            <w:vAlign w:val="center"/>
          </w:tcPr>
          <w:p w14:paraId="20E22E72">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第44.1款</w:t>
            </w:r>
          </w:p>
        </w:tc>
        <w:tc>
          <w:tcPr>
            <w:tcW w:w="2039" w:type="dxa"/>
            <w:vAlign w:val="center"/>
          </w:tcPr>
          <w:p w14:paraId="44958761">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采购进口产品</w:t>
            </w:r>
          </w:p>
        </w:tc>
        <w:tc>
          <w:tcPr>
            <w:tcW w:w="5901" w:type="dxa"/>
            <w:vAlign w:val="center"/>
          </w:tcPr>
          <w:p w14:paraId="2D0B13BF">
            <w:pPr>
              <w:adjustRightInd w:val="0"/>
              <w:snapToGrid w:val="0"/>
              <w:spacing w:before="50" w:line="360" w:lineRule="auto"/>
              <w:rPr>
                <w:rFonts w:hint="eastAsia" w:ascii="仿宋" w:hAnsi="仿宋" w:eastAsia="仿宋" w:cs="仿宋"/>
                <w:sz w:val="24"/>
                <w:szCs w:val="24"/>
              </w:rPr>
            </w:pPr>
            <w:r>
              <w:rPr>
                <w:rFonts w:hint="eastAsia" w:ascii="仿宋" w:hAnsi="仿宋" w:eastAsia="仿宋" w:cs="仿宋"/>
                <w:sz w:val="24"/>
                <w:szCs w:val="24"/>
              </w:rPr>
              <w:t>■本采购项目拒绝进口产品参加投标</w:t>
            </w:r>
          </w:p>
          <w:p w14:paraId="4219648E">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本采购项目已经财政部门审核同意购买进口产品</w:t>
            </w:r>
          </w:p>
        </w:tc>
      </w:tr>
      <w:tr w14:paraId="6E6F02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9252" w:type="dxa"/>
            <w:gridSpan w:val="3"/>
            <w:vAlign w:val="center"/>
          </w:tcPr>
          <w:p w14:paraId="4965C944">
            <w:pPr>
              <w:adjustRightInd w:val="0"/>
              <w:snapToGrid w:val="0"/>
              <w:spacing w:before="50"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八、其他规定</w:t>
            </w:r>
          </w:p>
        </w:tc>
      </w:tr>
      <w:tr w14:paraId="222B76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60" w:hRule="atLeast"/>
          <w:jc w:val="center"/>
        </w:trPr>
        <w:tc>
          <w:tcPr>
            <w:tcW w:w="1312" w:type="dxa"/>
            <w:vAlign w:val="center"/>
          </w:tcPr>
          <w:p w14:paraId="6E59F264">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第46.1</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zh-CN"/>
              </w:rPr>
              <w:t>）</w:t>
            </w:r>
            <w:r>
              <w:rPr>
                <w:rFonts w:hint="eastAsia" w:ascii="仿宋" w:hAnsi="仿宋" w:eastAsia="仿宋" w:cs="仿宋"/>
                <w:color w:val="auto"/>
                <w:sz w:val="24"/>
                <w:szCs w:val="24"/>
              </w:rPr>
              <w:t>项</w:t>
            </w:r>
          </w:p>
        </w:tc>
        <w:tc>
          <w:tcPr>
            <w:tcW w:w="2039" w:type="dxa"/>
            <w:vAlign w:val="center"/>
          </w:tcPr>
          <w:p w14:paraId="3642588A">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合同预付款的支付比例和支付条件</w:t>
            </w:r>
          </w:p>
        </w:tc>
        <w:tc>
          <w:tcPr>
            <w:tcW w:w="5901" w:type="dxa"/>
            <w:vAlign w:val="center"/>
          </w:tcPr>
          <w:p w14:paraId="7209AF5F">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r>
      <w:tr w14:paraId="35B52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312" w:type="dxa"/>
            <w:vAlign w:val="center"/>
          </w:tcPr>
          <w:p w14:paraId="2F27D53A">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第46.1</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zh-CN"/>
              </w:rPr>
              <w:t>）</w:t>
            </w:r>
            <w:r>
              <w:rPr>
                <w:rFonts w:hint="eastAsia" w:ascii="仿宋" w:hAnsi="仿宋" w:eastAsia="仿宋" w:cs="仿宋"/>
                <w:color w:val="auto"/>
                <w:sz w:val="24"/>
                <w:szCs w:val="24"/>
              </w:rPr>
              <w:t>项</w:t>
            </w:r>
          </w:p>
        </w:tc>
        <w:tc>
          <w:tcPr>
            <w:tcW w:w="2039" w:type="dxa"/>
            <w:vAlign w:val="center"/>
          </w:tcPr>
          <w:p w14:paraId="6C2C41A6">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质量保证金</w:t>
            </w:r>
          </w:p>
        </w:tc>
        <w:tc>
          <w:tcPr>
            <w:tcW w:w="5901" w:type="dxa"/>
            <w:vAlign w:val="center"/>
          </w:tcPr>
          <w:p w14:paraId="74F62F34">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r>
      <w:tr w14:paraId="729B83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1312" w:type="dxa"/>
            <w:vAlign w:val="center"/>
          </w:tcPr>
          <w:p w14:paraId="33C32276">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第46.1</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rPr>
              <w:t>）</w:t>
            </w:r>
            <w:r>
              <w:rPr>
                <w:rFonts w:hint="eastAsia" w:ascii="仿宋" w:hAnsi="仿宋" w:eastAsia="仿宋" w:cs="仿宋"/>
                <w:color w:val="auto"/>
                <w:sz w:val="24"/>
                <w:szCs w:val="24"/>
              </w:rPr>
              <w:t>项</w:t>
            </w:r>
          </w:p>
        </w:tc>
        <w:tc>
          <w:tcPr>
            <w:tcW w:w="2039" w:type="dxa"/>
            <w:vAlign w:val="center"/>
          </w:tcPr>
          <w:p w14:paraId="04AAF50F">
            <w:pPr>
              <w:adjustRightInd w:val="0"/>
              <w:snapToGrid w:val="0"/>
              <w:spacing w:before="50"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代理服务费</w:t>
            </w:r>
          </w:p>
        </w:tc>
        <w:tc>
          <w:tcPr>
            <w:tcW w:w="5901" w:type="dxa"/>
            <w:vAlign w:val="center"/>
          </w:tcPr>
          <w:p w14:paraId="5AF5B48E">
            <w:pPr>
              <w:adjustRightInd w:val="0"/>
              <w:snapToGrid w:val="0"/>
              <w:spacing w:before="50" w:line="360" w:lineRule="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按代理协议约定向中标人一次性收取。</w:t>
            </w:r>
          </w:p>
        </w:tc>
      </w:tr>
      <w:tr w14:paraId="5491F9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312" w:type="dxa"/>
            <w:vAlign w:val="center"/>
          </w:tcPr>
          <w:p w14:paraId="1C2A65CB">
            <w:pPr>
              <w:adjustRightInd w:val="0"/>
              <w:snapToGrid w:val="0"/>
              <w:spacing w:before="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第46.2款</w:t>
            </w:r>
          </w:p>
        </w:tc>
        <w:tc>
          <w:tcPr>
            <w:tcW w:w="2039" w:type="dxa"/>
            <w:vAlign w:val="center"/>
          </w:tcPr>
          <w:p w14:paraId="6B0D2870">
            <w:pPr>
              <w:adjustRightInd w:val="0"/>
              <w:snapToGrid w:val="0"/>
              <w:spacing w:before="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其他规定</w:t>
            </w:r>
          </w:p>
        </w:tc>
        <w:tc>
          <w:tcPr>
            <w:tcW w:w="5901" w:type="dxa"/>
            <w:vAlign w:val="center"/>
          </w:tcPr>
          <w:p w14:paraId="1D1CA1FF">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1、对列入失信被执行人、重大税收违法案件当事人名单、政府采购严重违法失信行为记录名单及其他不符合《中华人民共和国政府采购法》第二十二条规定条件的供应商，将拒绝其参与政府采购活动。</w:t>
            </w:r>
          </w:p>
          <w:p w14:paraId="38C21394">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546DEE0">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（1）信用信息查询的查询渠道：“信用中国”网站（www.creditchina.gov.cn）、中国政府采购网（www.ccgp.gov.cn）。</w:t>
            </w:r>
          </w:p>
          <w:p w14:paraId="09FDB4BE">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（2）信用信息查询的截止时点：至本项目递交首次响应文件截止时间止。</w:t>
            </w:r>
          </w:p>
          <w:p w14:paraId="07DF9B72">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（3）信用信息查询记录的具体方式：由采购人或采购代理机构在规定的查询渠道进行查询。</w:t>
            </w:r>
          </w:p>
          <w:p w14:paraId="6430A239">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（4）信用信息查询记录证据留存的具体方式：查询记录的网上截图或打印件。</w:t>
            </w:r>
          </w:p>
          <w:p w14:paraId="0748597F">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（5）信用信息的使用规则：留存备查。</w:t>
            </w:r>
          </w:p>
          <w:p w14:paraId="2DAFE021">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谈判须准备的身份验证资料：法人提交法定代表人身份证明原件或者被授权人提交法定代表人授权委托书原件并附法定代表人身份证明原件（格式见响应文件），自然人提交身份证复印件（请携带本人身份证原件）。</w:t>
            </w:r>
          </w:p>
        </w:tc>
      </w:tr>
    </w:tbl>
    <w:p w14:paraId="099595B6">
      <w:pPr>
        <w:adjustRightInd w:val="0"/>
        <w:snapToGrid w:val="0"/>
        <w:spacing w:before="156" w:beforeLines="50" w:line="360" w:lineRule="auto"/>
        <w:jc w:val="center"/>
        <w:outlineLvl w:val="1"/>
        <w:rPr>
          <w:rFonts w:ascii="黑体" w:hAnsi="黑体" w:eastAsia="黑体"/>
          <w:b/>
          <w:bCs/>
          <w:color w:val="auto"/>
          <w:sz w:val="32"/>
          <w:szCs w:val="32"/>
        </w:rPr>
      </w:pPr>
      <w:r>
        <w:rPr>
          <w:rFonts w:ascii="Arial" w:hAnsi="Arial"/>
          <w:b/>
          <w:bCs/>
          <w:color w:val="auto"/>
          <w:sz w:val="24"/>
          <w:szCs w:val="32"/>
        </w:rPr>
        <w:br w:type="page"/>
      </w:r>
      <w:bookmarkStart w:id="46" w:name="_Toc32339"/>
      <w:r>
        <w:rPr>
          <w:rFonts w:hint="eastAsia" w:ascii="黑体" w:hAnsi="黑体" w:eastAsia="黑体"/>
          <w:b/>
          <w:bCs/>
          <w:color w:val="auto"/>
          <w:sz w:val="32"/>
          <w:szCs w:val="32"/>
        </w:rPr>
        <w:t>第二节 谈判须知正文</w:t>
      </w:r>
      <w:bookmarkEnd w:id="46"/>
    </w:p>
    <w:p w14:paraId="54555840">
      <w:pPr>
        <w:adjustRightInd w:val="0"/>
        <w:snapToGrid w:val="0"/>
        <w:spacing w:before="156" w:beforeLines="50" w:line="360" w:lineRule="auto"/>
        <w:jc w:val="center"/>
        <w:outlineLvl w:val="2"/>
        <w:rPr>
          <w:rFonts w:ascii="黑体" w:hAnsi="黑体" w:eastAsia="黑体"/>
          <w:b/>
          <w:bCs/>
          <w:color w:val="auto"/>
          <w:sz w:val="28"/>
          <w:szCs w:val="28"/>
        </w:rPr>
      </w:pPr>
      <w:bookmarkStart w:id="47" w:name="_Toc2065"/>
      <w:r>
        <w:rPr>
          <w:rFonts w:hint="eastAsia" w:ascii="黑体" w:hAnsi="黑体" w:eastAsia="黑体"/>
          <w:b/>
          <w:bCs/>
          <w:color w:val="auto"/>
          <w:sz w:val="28"/>
          <w:szCs w:val="28"/>
        </w:rPr>
        <w:t>一、说明</w:t>
      </w:r>
      <w:bookmarkEnd w:id="47"/>
    </w:p>
    <w:p w14:paraId="1CCEB751">
      <w:pPr>
        <w:spacing w:line="360" w:lineRule="auto"/>
        <w:outlineLvl w:val="3"/>
        <w:rPr>
          <w:rFonts w:ascii="黑体" w:hAnsi="黑体" w:eastAsia="黑体"/>
          <w:b/>
          <w:bCs/>
          <w:color w:val="auto"/>
          <w:sz w:val="24"/>
        </w:rPr>
      </w:pPr>
      <w:bookmarkStart w:id="48" w:name="_Toc107997962"/>
      <w:bookmarkStart w:id="49" w:name="_Toc107997835"/>
      <w:r>
        <w:rPr>
          <w:rFonts w:hint="eastAsia" w:ascii="黑体" w:hAnsi="黑体" w:eastAsia="黑体"/>
          <w:b/>
          <w:bCs/>
          <w:color w:val="auto"/>
          <w:sz w:val="24"/>
        </w:rPr>
        <w:t>1.适用范围</w:t>
      </w:r>
      <w:bookmarkEnd w:id="48"/>
      <w:bookmarkEnd w:id="49"/>
    </w:p>
    <w:p w14:paraId="1EAFE66F">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1.1本竞争性谈判文件仅适用于本章第一节“谈判须知前附表”（以下简称</w:t>
      </w:r>
      <w:r>
        <w:rPr>
          <w:rFonts w:hint="eastAsia" w:ascii="宋体" w:hAnsi="宋体"/>
          <w:b/>
          <w:color w:val="auto"/>
          <w:szCs w:val="21"/>
        </w:rPr>
        <w:t>【谈判须知前附表】</w:t>
      </w:r>
      <w:r>
        <w:rPr>
          <w:rFonts w:hint="eastAsia" w:ascii="宋体" w:hAnsi="宋体"/>
          <w:color w:val="auto"/>
          <w:szCs w:val="21"/>
        </w:rPr>
        <w:t>）中所叙述的采购项目。</w:t>
      </w:r>
    </w:p>
    <w:p w14:paraId="0D199E1F">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1.2</w:t>
      </w:r>
      <w:r>
        <w:rPr>
          <w:rFonts w:hint="eastAsia" w:ascii="宋体" w:hAnsi="宋体"/>
          <w:b/>
          <w:color w:val="auto"/>
          <w:szCs w:val="21"/>
        </w:rPr>
        <w:t>【谈判须知前附表】</w:t>
      </w:r>
      <w:r>
        <w:rPr>
          <w:rFonts w:hint="eastAsia" w:ascii="宋体" w:hAnsi="宋体"/>
          <w:color w:val="auto"/>
          <w:szCs w:val="21"/>
        </w:rPr>
        <w:t>规定采购项目或者采购包属于“预留采购份额”的，供应商应当符合本章第3</w:t>
      </w:r>
      <w:r>
        <w:rPr>
          <w:rFonts w:ascii="宋体" w:hAnsi="宋体"/>
          <w:color w:val="auto"/>
          <w:szCs w:val="21"/>
        </w:rPr>
        <w:t>8</w:t>
      </w:r>
      <w:r>
        <w:rPr>
          <w:rFonts w:hint="eastAsia" w:ascii="宋体" w:hAnsi="宋体"/>
          <w:color w:val="auto"/>
          <w:szCs w:val="21"/>
        </w:rPr>
        <w:t>.1款规定，否则</w:t>
      </w:r>
      <w:r>
        <w:rPr>
          <w:rFonts w:hint="eastAsia" w:ascii="宋体" w:hAnsi="宋体"/>
          <w:color w:val="auto"/>
          <w:szCs w:val="21"/>
          <w:lang w:eastAsia="zh-CN"/>
        </w:rPr>
        <w:t>，</w:t>
      </w:r>
      <w:r>
        <w:rPr>
          <w:rFonts w:hint="eastAsia" w:ascii="宋体" w:hAnsi="宋体"/>
          <w:b/>
          <w:bCs/>
          <w:color w:val="auto"/>
          <w:kern w:val="0"/>
          <w:szCs w:val="21"/>
        </w:rPr>
        <w:t>其响应无效</w:t>
      </w:r>
      <w:r>
        <w:rPr>
          <w:rFonts w:hint="eastAsia" w:ascii="宋体" w:hAnsi="宋体"/>
          <w:color w:val="auto"/>
          <w:szCs w:val="21"/>
        </w:rPr>
        <w:t>。</w:t>
      </w:r>
    </w:p>
    <w:p w14:paraId="0DCF117F">
      <w:pPr>
        <w:spacing w:line="360" w:lineRule="auto"/>
        <w:outlineLvl w:val="3"/>
        <w:rPr>
          <w:rFonts w:ascii="黑体" w:hAnsi="黑体" w:eastAsia="黑体"/>
          <w:b/>
          <w:bCs/>
          <w:color w:val="auto"/>
          <w:sz w:val="24"/>
        </w:rPr>
      </w:pPr>
      <w:bookmarkStart w:id="50" w:name="_Toc107997836"/>
      <w:bookmarkStart w:id="51" w:name="_Toc107997963"/>
      <w:r>
        <w:rPr>
          <w:rFonts w:hint="eastAsia" w:ascii="黑体" w:hAnsi="黑体" w:eastAsia="黑体"/>
          <w:b/>
          <w:bCs/>
          <w:color w:val="auto"/>
          <w:sz w:val="24"/>
        </w:rPr>
        <w:t>2.定义</w:t>
      </w:r>
      <w:bookmarkEnd w:id="50"/>
      <w:bookmarkEnd w:id="51"/>
    </w:p>
    <w:p w14:paraId="66E2D8F2">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2.1采购项目联系人姓名和电话见</w:t>
      </w:r>
      <w:r>
        <w:rPr>
          <w:rFonts w:hint="eastAsia" w:ascii="宋体" w:hAnsi="宋体"/>
          <w:b/>
          <w:color w:val="auto"/>
          <w:szCs w:val="21"/>
        </w:rPr>
        <w:t>【谈判须知前附表】</w:t>
      </w:r>
      <w:r>
        <w:rPr>
          <w:rFonts w:hint="eastAsia" w:ascii="宋体" w:hAnsi="宋体"/>
          <w:color w:val="auto"/>
          <w:szCs w:val="21"/>
        </w:rPr>
        <w:t>。</w:t>
      </w:r>
    </w:p>
    <w:p w14:paraId="74C1F722">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2.2采购人名称、地址、电话、联系人见</w:t>
      </w:r>
      <w:r>
        <w:rPr>
          <w:rFonts w:hint="eastAsia" w:ascii="宋体" w:hAnsi="宋体"/>
          <w:b/>
          <w:color w:val="auto"/>
          <w:szCs w:val="21"/>
        </w:rPr>
        <w:t>【谈判须知前附表】</w:t>
      </w:r>
      <w:r>
        <w:rPr>
          <w:rFonts w:hint="eastAsia" w:ascii="宋体" w:hAnsi="宋体"/>
          <w:color w:val="auto"/>
          <w:szCs w:val="21"/>
        </w:rPr>
        <w:t>。</w:t>
      </w:r>
    </w:p>
    <w:p w14:paraId="05F9F357">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2.3采购代理机构名称、地址、电话、联系人见【谈判须知前附表】。</w:t>
      </w:r>
    </w:p>
    <w:p w14:paraId="761F52CD">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2.4供应商是指响应谈判文件要求、参加竞争性谈判采购的法人、其他组织或者自然人。</w:t>
      </w:r>
      <w:bookmarkStart w:id="52" w:name="_Toc107997837"/>
      <w:bookmarkStart w:id="53" w:name="_Toc107997964"/>
    </w:p>
    <w:p w14:paraId="1491E8EA">
      <w:pPr>
        <w:spacing w:line="360" w:lineRule="auto"/>
        <w:outlineLvl w:val="3"/>
        <w:rPr>
          <w:rFonts w:hint="eastAsia" w:ascii="黑体" w:hAnsi="黑体" w:eastAsia="黑体"/>
          <w:b/>
          <w:bCs/>
          <w:color w:val="auto"/>
          <w:sz w:val="24"/>
        </w:rPr>
      </w:pPr>
      <w:r>
        <w:rPr>
          <w:rFonts w:hint="eastAsia" w:ascii="黑体" w:hAnsi="黑体" w:eastAsia="黑体"/>
          <w:b/>
          <w:bCs/>
          <w:color w:val="auto"/>
          <w:sz w:val="24"/>
        </w:rPr>
        <w:t>3.供应商的资格要求</w:t>
      </w:r>
      <w:bookmarkEnd w:id="52"/>
      <w:bookmarkEnd w:id="53"/>
    </w:p>
    <w:p w14:paraId="16542636">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3.1供应商应当符合</w:t>
      </w:r>
      <w:r>
        <w:rPr>
          <w:rFonts w:hint="eastAsia" w:ascii="宋体" w:hAnsi="宋体"/>
          <w:b/>
          <w:color w:val="auto"/>
          <w:szCs w:val="21"/>
        </w:rPr>
        <w:t>【谈判须知前附表】</w:t>
      </w:r>
      <w:r>
        <w:rPr>
          <w:rFonts w:hint="eastAsia" w:ascii="宋体" w:hAnsi="宋体"/>
          <w:color w:val="auto"/>
          <w:szCs w:val="21"/>
        </w:rPr>
        <w:t>规定的供应商资格条件。</w:t>
      </w:r>
    </w:p>
    <w:p w14:paraId="21544683">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3.2</w:t>
      </w:r>
      <w:r>
        <w:rPr>
          <w:rFonts w:hint="eastAsia" w:ascii="宋体" w:hAnsi="宋体"/>
          <w:b/>
          <w:color w:val="auto"/>
          <w:szCs w:val="21"/>
        </w:rPr>
        <w:t>【谈判须知前附表】</w:t>
      </w:r>
      <w:r>
        <w:rPr>
          <w:rFonts w:hint="eastAsia" w:ascii="宋体" w:hAnsi="宋体"/>
          <w:color w:val="auto"/>
          <w:szCs w:val="21"/>
        </w:rPr>
        <w:t>规定接受联合体形式的，供应商除应符合本章第3.1</w:t>
      </w:r>
      <w:r>
        <w:rPr>
          <w:rFonts w:hint="eastAsia" w:ascii="宋体" w:hAnsi="宋体" w:cs="宋体"/>
          <w:color w:val="auto"/>
          <w:kern w:val="0"/>
          <w:szCs w:val="21"/>
          <w:lang w:val="zh-CN"/>
        </w:rPr>
        <w:t>款</w:t>
      </w:r>
      <w:r>
        <w:rPr>
          <w:rFonts w:hint="eastAsia" w:ascii="宋体" w:hAnsi="宋体"/>
          <w:color w:val="auto"/>
          <w:szCs w:val="21"/>
        </w:rPr>
        <w:t xml:space="preserve">规定外，还应遵守以下规定： </w:t>
      </w:r>
    </w:p>
    <w:p w14:paraId="1C9EA8DE">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（l）联合体中有同类资质的供应商按照联合体分工承担相同工作的，应当按照资质等级较低的供应商确定资质等级。</w:t>
      </w:r>
    </w:p>
    <w:p w14:paraId="6EDC101B">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（2）联合体各方应按谈判文件提供的格式签订联合体协议书，明确联合体牵头人和各方的权利义务、合同工作量比例；</w:t>
      </w:r>
    </w:p>
    <w:p w14:paraId="3A376444">
      <w:pPr>
        <w:adjustRightInd w:val="0"/>
        <w:snapToGrid w:val="0"/>
        <w:spacing w:line="360" w:lineRule="auto"/>
        <w:ind w:firstLine="420" w:firstLineChars="200"/>
        <w:jc w:val="left"/>
        <w:rPr>
          <w:rFonts w:ascii="宋体" w:hAnsi="宋体" w:cs="宋体"/>
          <w:color w:val="auto"/>
          <w:kern w:val="0"/>
          <w:szCs w:val="21"/>
          <w:lang w:val="zh-CN"/>
        </w:rPr>
      </w:pPr>
      <w:r>
        <w:rPr>
          <w:rFonts w:hint="eastAsia" w:ascii="宋体" w:hAnsi="宋体"/>
          <w:color w:val="auto"/>
          <w:szCs w:val="21"/>
        </w:rPr>
        <w:t>（3）联合体各方签订联合体协议书后，</w:t>
      </w:r>
      <w:r>
        <w:rPr>
          <w:rFonts w:hint="eastAsia" w:ascii="宋体" w:hAnsi="宋体" w:cs="宋体"/>
          <w:color w:val="auto"/>
          <w:kern w:val="0"/>
          <w:szCs w:val="21"/>
          <w:lang w:val="zh-CN"/>
        </w:rPr>
        <w:t>不得再单独参加或者与其他供应商组成新的联合体参加同一合同项下的采购活动。</w:t>
      </w:r>
    </w:p>
    <w:p w14:paraId="508F1DBF">
      <w:pPr>
        <w:spacing w:line="360" w:lineRule="auto"/>
        <w:outlineLvl w:val="3"/>
        <w:rPr>
          <w:rFonts w:ascii="黑体" w:hAnsi="黑体" w:eastAsia="黑体"/>
          <w:b/>
          <w:bCs/>
          <w:color w:val="auto"/>
          <w:sz w:val="24"/>
        </w:rPr>
      </w:pPr>
      <w:bookmarkStart w:id="54" w:name="_Toc107997965"/>
      <w:bookmarkStart w:id="55" w:name="_Toc107997838"/>
      <w:r>
        <w:rPr>
          <w:rFonts w:hint="eastAsia" w:ascii="黑体" w:hAnsi="黑体" w:eastAsia="黑体"/>
          <w:b/>
          <w:bCs/>
          <w:color w:val="auto"/>
          <w:sz w:val="24"/>
        </w:rPr>
        <w:t>4.参与谈判的费用</w:t>
      </w:r>
      <w:bookmarkEnd w:id="54"/>
      <w:bookmarkEnd w:id="55"/>
    </w:p>
    <w:p w14:paraId="6F177FF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4.1无论谈判的结果如何，供应商应自行承担所有与竞争性谈判采购活动有关的全部费用。</w:t>
      </w:r>
    </w:p>
    <w:p w14:paraId="7092D173">
      <w:pPr>
        <w:spacing w:line="360" w:lineRule="auto"/>
        <w:outlineLvl w:val="3"/>
        <w:rPr>
          <w:rFonts w:ascii="黑体" w:hAnsi="黑体" w:eastAsia="黑体"/>
          <w:b/>
          <w:bCs/>
          <w:color w:val="auto"/>
          <w:sz w:val="24"/>
        </w:rPr>
      </w:pPr>
      <w:bookmarkStart w:id="56" w:name="_Toc107997839"/>
      <w:bookmarkStart w:id="57" w:name="_Toc107997966"/>
      <w:r>
        <w:rPr>
          <w:rFonts w:hint="eastAsia" w:ascii="黑体" w:hAnsi="黑体" w:eastAsia="黑体"/>
          <w:b/>
          <w:bCs/>
          <w:color w:val="auto"/>
          <w:sz w:val="24"/>
        </w:rPr>
        <w:t>5.现场勘察</w:t>
      </w:r>
      <w:bookmarkEnd w:id="56"/>
      <w:bookmarkEnd w:id="57"/>
    </w:p>
    <w:p w14:paraId="47D8BA89">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5.1供应商应按</w:t>
      </w:r>
      <w:r>
        <w:rPr>
          <w:rFonts w:hint="eastAsia" w:ascii="宋体" w:hAnsi="宋体"/>
          <w:b/>
          <w:color w:val="auto"/>
          <w:szCs w:val="21"/>
        </w:rPr>
        <w:t>【谈判须知前附表】</w:t>
      </w:r>
      <w:r>
        <w:rPr>
          <w:rFonts w:hint="eastAsia" w:hAnsi="宋体"/>
          <w:color w:val="auto"/>
        </w:rPr>
        <w:t>中规定</w:t>
      </w:r>
      <w:r>
        <w:rPr>
          <w:rFonts w:hint="eastAsia" w:ascii="宋体" w:hAnsi="宋体"/>
          <w:color w:val="auto"/>
          <w:szCs w:val="21"/>
        </w:rPr>
        <w:t>对采购项目现场和周围环境的现场考察。</w:t>
      </w:r>
    </w:p>
    <w:p w14:paraId="0EE1AF39">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5.2勘察现场的费用由供应商自己承担，勘察期间所发生的人身伤害及财产损失由供应商自己负责。</w:t>
      </w:r>
    </w:p>
    <w:p w14:paraId="232A3FDF">
      <w:pPr>
        <w:adjustRightInd w:val="0"/>
        <w:snapToGrid w:val="0"/>
        <w:spacing w:line="360" w:lineRule="auto"/>
        <w:ind w:firstLine="420" w:firstLineChars="200"/>
        <w:jc w:val="left"/>
        <w:rPr>
          <w:rFonts w:ascii="宋体" w:hAnsi="宋体"/>
          <w:b/>
          <w:color w:val="auto"/>
          <w:szCs w:val="21"/>
        </w:rPr>
      </w:pPr>
      <w:r>
        <w:rPr>
          <w:rFonts w:hint="eastAsia" w:ascii="宋体" w:hAnsi="宋体"/>
          <w:color w:val="auto"/>
          <w:szCs w:val="21"/>
        </w:rPr>
        <w:t>5.3采购人不对供应商据此而做出的推论、理解和结论负责。一旦成交，供应商不得以任何借口，而提出额外补偿，或延长合同期限的要求。</w:t>
      </w:r>
    </w:p>
    <w:p w14:paraId="527F3D0E">
      <w:pPr>
        <w:adjustRightInd w:val="0"/>
        <w:snapToGrid w:val="0"/>
        <w:spacing w:line="360" w:lineRule="auto"/>
        <w:jc w:val="center"/>
        <w:outlineLvl w:val="2"/>
        <w:rPr>
          <w:rFonts w:ascii="黑体" w:hAnsi="黑体" w:eastAsia="黑体"/>
          <w:b/>
          <w:bCs/>
          <w:color w:val="auto"/>
          <w:sz w:val="28"/>
          <w:szCs w:val="28"/>
        </w:rPr>
      </w:pPr>
      <w:bookmarkStart w:id="58" w:name="_Toc107997967"/>
      <w:bookmarkStart w:id="59" w:name="_Toc19589"/>
      <w:r>
        <w:rPr>
          <w:rFonts w:hint="eastAsia" w:ascii="黑体" w:hAnsi="黑体" w:eastAsia="黑体"/>
          <w:b/>
          <w:bCs/>
          <w:color w:val="auto"/>
          <w:sz w:val="28"/>
          <w:szCs w:val="28"/>
        </w:rPr>
        <w:t>二、谈判文件</w:t>
      </w:r>
      <w:bookmarkEnd w:id="58"/>
      <w:bookmarkEnd w:id="59"/>
    </w:p>
    <w:p w14:paraId="565B8A77">
      <w:pPr>
        <w:spacing w:line="360" w:lineRule="auto"/>
        <w:outlineLvl w:val="3"/>
        <w:rPr>
          <w:rFonts w:ascii="黑体" w:hAnsi="黑体" w:eastAsia="黑体"/>
          <w:b/>
          <w:bCs/>
          <w:color w:val="auto"/>
          <w:sz w:val="24"/>
        </w:rPr>
      </w:pPr>
      <w:bookmarkStart w:id="60" w:name="_Toc107997968"/>
      <w:bookmarkStart w:id="61" w:name="_Toc107997841"/>
      <w:r>
        <w:rPr>
          <w:rFonts w:hint="eastAsia" w:ascii="黑体" w:hAnsi="黑体" w:eastAsia="黑体"/>
          <w:b/>
          <w:bCs/>
          <w:color w:val="auto"/>
          <w:sz w:val="24"/>
        </w:rPr>
        <w:t>6.谈判文件的组成</w:t>
      </w:r>
      <w:bookmarkEnd w:id="60"/>
      <w:bookmarkEnd w:id="61"/>
    </w:p>
    <w:p w14:paraId="26F0078B">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6.1谈判文件由下列文件组成：</w:t>
      </w:r>
    </w:p>
    <w:p w14:paraId="799DF1FA">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第一章 采购邀请</w:t>
      </w:r>
    </w:p>
    <w:p w14:paraId="5F1A29A8">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第二章 谈判须知</w:t>
      </w:r>
    </w:p>
    <w:p w14:paraId="57AFA679">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第三章 合同草案条款</w:t>
      </w:r>
    </w:p>
    <w:p w14:paraId="719231ED">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第四章 采购需求</w:t>
      </w:r>
    </w:p>
    <w:p w14:paraId="2879593D">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第五章 响应文件组成</w:t>
      </w:r>
    </w:p>
    <w:p w14:paraId="5F702D32">
      <w:pPr>
        <w:adjustRightInd w:val="0"/>
        <w:snapToGrid w:val="0"/>
        <w:spacing w:line="360" w:lineRule="auto"/>
        <w:ind w:firstLine="420" w:firstLineChars="200"/>
        <w:rPr>
          <w:rFonts w:ascii="宋体" w:hAnsi="宋体" w:cs="宋体"/>
          <w:color w:val="auto"/>
          <w:kern w:val="0"/>
          <w:szCs w:val="21"/>
        </w:rPr>
      </w:pPr>
      <w:r>
        <w:rPr>
          <w:rFonts w:hint="eastAsia" w:ascii="宋体" w:hAnsi="Courier New" w:cs="Courier New"/>
          <w:color w:val="auto"/>
          <w:szCs w:val="21"/>
        </w:rPr>
        <w:t>6.2</w:t>
      </w:r>
      <w:r>
        <w:rPr>
          <w:rFonts w:hint="eastAsia" w:ascii="宋体" w:hAnsi="宋体" w:cs="宋体"/>
          <w:color w:val="auto"/>
          <w:kern w:val="0"/>
          <w:szCs w:val="21"/>
        </w:rPr>
        <w:t>采购人、采购代理机构或者谈判小组在提交首次响应文件截止之日前对已发出的谈判文件进行的澄清或者修改，构成谈判文件的组成部分。</w:t>
      </w:r>
    </w:p>
    <w:p w14:paraId="2EB8EDEF">
      <w:pPr>
        <w:adjustRightInd w:val="0"/>
        <w:snapToGrid w:val="0"/>
        <w:spacing w:line="360" w:lineRule="auto"/>
        <w:ind w:firstLine="420" w:firstLineChars="200"/>
        <w:rPr>
          <w:rFonts w:ascii="宋体" w:hAnsi="Courier New" w:cs="Courier New"/>
          <w:color w:val="auto"/>
          <w:szCs w:val="21"/>
        </w:rPr>
      </w:pPr>
      <w:r>
        <w:rPr>
          <w:rFonts w:hint="eastAsia" w:ascii="宋体" w:hAnsi="宋体" w:cs="宋体"/>
          <w:color w:val="auto"/>
          <w:kern w:val="0"/>
          <w:szCs w:val="21"/>
        </w:rPr>
        <w:t>6.3谈判文件中，谈判小组根据与供应商谈判情况可能实质性变动的内容见</w:t>
      </w:r>
      <w:r>
        <w:rPr>
          <w:rFonts w:hint="eastAsia" w:ascii="宋体" w:hAnsi="宋体" w:cs="Courier New"/>
          <w:b/>
          <w:color w:val="auto"/>
          <w:szCs w:val="21"/>
        </w:rPr>
        <w:t>【谈判须知前附表】</w:t>
      </w:r>
      <w:r>
        <w:rPr>
          <w:rFonts w:hint="eastAsia" w:ascii="宋体" w:hAnsi="宋体" w:cs="宋体"/>
          <w:color w:val="auto"/>
          <w:kern w:val="0"/>
          <w:szCs w:val="21"/>
        </w:rPr>
        <w:t>。对谈判文件作出的实质性变动是谈判文件的有效组成部分。</w:t>
      </w:r>
    </w:p>
    <w:p w14:paraId="6900649A">
      <w:pPr>
        <w:adjustRightInd w:val="0"/>
        <w:snapToGrid w:val="0"/>
        <w:spacing w:line="360" w:lineRule="auto"/>
        <w:ind w:firstLine="420" w:firstLineChars="200"/>
        <w:rPr>
          <w:rFonts w:ascii="宋体" w:hAnsi="宋体" w:cs="Courier New"/>
          <w:color w:val="auto"/>
          <w:szCs w:val="21"/>
        </w:rPr>
      </w:pPr>
      <w:r>
        <w:rPr>
          <w:rFonts w:hint="eastAsia" w:ascii="宋体" w:hAnsi="Courier New" w:cs="Courier New"/>
          <w:color w:val="auto"/>
          <w:szCs w:val="21"/>
        </w:rPr>
        <w:t>6.4</w:t>
      </w:r>
      <w:r>
        <w:rPr>
          <w:rFonts w:hint="eastAsia" w:ascii="宋体" w:hAnsi="宋体" w:cs="Courier New"/>
          <w:color w:val="auto"/>
          <w:szCs w:val="21"/>
        </w:rPr>
        <w:t>供应商应仔细阅读</w:t>
      </w:r>
      <w:r>
        <w:rPr>
          <w:rFonts w:hint="eastAsia" w:ascii="宋体" w:hAnsi="宋体" w:cs="Courier New"/>
          <w:bCs/>
          <w:color w:val="auto"/>
          <w:szCs w:val="21"/>
        </w:rPr>
        <w:t>谈判</w:t>
      </w:r>
      <w:r>
        <w:rPr>
          <w:rFonts w:hint="eastAsia" w:ascii="宋体" w:hAnsi="宋体" w:cs="Courier New"/>
          <w:color w:val="auto"/>
          <w:szCs w:val="21"/>
        </w:rPr>
        <w:t>文件的全部内容，按照</w:t>
      </w:r>
      <w:r>
        <w:rPr>
          <w:rFonts w:hint="eastAsia" w:ascii="宋体" w:hAnsi="宋体" w:cs="Courier New"/>
          <w:bCs/>
          <w:color w:val="auto"/>
          <w:szCs w:val="21"/>
        </w:rPr>
        <w:t>谈判</w:t>
      </w:r>
      <w:r>
        <w:rPr>
          <w:rFonts w:hint="eastAsia" w:ascii="宋体" w:hAnsi="宋体" w:cs="Courier New"/>
          <w:color w:val="auto"/>
          <w:szCs w:val="21"/>
        </w:rPr>
        <w:t>文件要求编制</w:t>
      </w:r>
      <w:r>
        <w:rPr>
          <w:rFonts w:hint="eastAsia" w:ascii="宋体" w:hAnsi="Courier New" w:cs="Courier New"/>
          <w:color w:val="auto"/>
          <w:szCs w:val="21"/>
        </w:rPr>
        <w:t>响应</w:t>
      </w:r>
      <w:r>
        <w:rPr>
          <w:rFonts w:hint="eastAsia" w:ascii="宋体" w:hAnsi="宋体" w:cs="Courier New"/>
          <w:color w:val="auto"/>
          <w:szCs w:val="21"/>
        </w:rPr>
        <w:t>文件。任何对</w:t>
      </w:r>
      <w:r>
        <w:rPr>
          <w:rFonts w:hint="eastAsia" w:ascii="宋体" w:hAnsi="宋体" w:cs="Courier New"/>
          <w:bCs/>
          <w:color w:val="auto"/>
          <w:szCs w:val="21"/>
        </w:rPr>
        <w:t>谈判</w:t>
      </w:r>
      <w:r>
        <w:rPr>
          <w:rFonts w:hint="eastAsia" w:ascii="宋体" w:hAnsi="宋体" w:cs="Courier New"/>
          <w:color w:val="auto"/>
          <w:szCs w:val="21"/>
        </w:rPr>
        <w:t>文件的忽略或误解不能作为</w:t>
      </w:r>
      <w:r>
        <w:rPr>
          <w:rFonts w:hint="eastAsia" w:ascii="宋体" w:hAnsi="Courier New" w:cs="Courier New"/>
          <w:color w:val="auto"/>
          <w:szCs w:val="21"/>
        </w:rPr>
        <w:t>响应</w:t>
      </w:r>
      <w:r>
        <w:rPr>
          <w:rFonts w:hint="eastAsia" w:ascii="宋体" w:hAnsi="宋体" w:cs="Courier New"/>
          <w:color w:val="auto"/>
          <w:szCs w:val="21"/>
        </w:rPr>
        <w:t>文件存在缺陷或瑕疵的理由，其风险由供应商承担。</w:t>
      </w:r>
    </w:p>
    <w:p w14:paraId="771BC250">
      <w:pPr>
        <w:spacing w:line="360" w:lineRule="auto"/>
        <w:outlineLvl w:val="3"/>
        <w:rPr>
          <w:rFonts w:ascii="黑体" w:hAnsi="黑体" w:eastAsia="黑体"/>
          <w:b/>
          <w:bCs/>
          <w:color w:val="auto"/>
          <w:sz w:val="24"/>
        </w:rPr>
      </w:pPr>
      <w:bookmarkStart w:id="62" w:name="_Toc107997842"/>
      <w:bookmarkStart w:id="63" w:name="_Toc107997969"/>
      <w:r>
        <w:rPr>
          <w:rFonts w:hint="eastAsia" w:ascii="黑体" w:hAnsi="黑体" w:eastAsia="黑体"/>
          <w:b/>
          <w:bCs/>
          <w:color w:val="auto"/>
          <w:sz w:val="24"/>
        </w:rPr>
        <w:t>7.谈判文件的澄清</w:t>
      </w:r>
      <w:r>
        <w:rPr>
          <w:rFonts w:hint="eastAsia" w:ascii="黑体" w:hAnsi="黑体" w:eastAsia="黑体"/>
          <w:b/>
          <w:bCs/>
          <w:color w:val="auto"/>
          <w:kern w:val="0"/>
          <w:sz w:val="24"/>
          <w:lang w:val="zh-CN"/>
        </w:rPr>
        <w:t>或者</w:t>
      </w:r>
      <w:r>
        <w:rPr>
          <w:rFonts w:hint="eastAsia" w:ascii="黑体" w:hAnsi="黑体" w:eastAsia="黑体"/>
          <w:b/>
          <w:bCs/>
          <w:color w:val="auto"/>
          <w:sz w:val="24"/>
        </w:rPr>
        <w:t>修改</w:t>
      </w:r>
      <w:bookmarkEnd w:id="62"/>
      <w:bookmarkEnd w:id="63"/>
    </w:p>
    <w:p w14:paraId="5F1E9F1D">
      <w:pPr>
        <w:adjustRightInd w:val="0"/>
        <w:snapToGrid w:val="0"/>
        <w:spacing w:line="360" w:lineRule="auto"/>
        <w:ind w:right="-105" w:rightChars="-50" w:firstLine="420" w:firstLineChars="200"/>
        <w:rPr>
          <w:rFonts w:ascii="宋体" w:hAnsi="宋体" w:cs="宋体"/>
          <w:color w:val="auto"/>
          <w:kern w:val="0"/>
          <w:szCs w:val="21"/>
        </w:rPr>
      </w:pPr>
      <w:r>
        <w:rPr>
          <w:rFonts w:hint="eastAsia" w:ascii="宋体" w:hAnsi="宋体"/>
          <w:color w:val="auto"/>
          <w:szCs w:val="21"/>
        </w:rPr>
        <w:t>7.1在</w:t>
      </w:r>
      <w:r>
        <w:rPr>
          <w:rFonts w:hint="eastAsia" w:ascii="宋体" w:hAnsi="宋体" w:cs="宋体"/>
          <w:color w:val="auto"/>
          <w:kern w:val="0"/>
          <w:szCs w:val="21"/>
        </w:rPr>
        <w:t>提交首次响应文件截止之日前，采购人、采购代理机构或者谈判小组可以对已发出的谈判文件进行必要的澄清或者修改。</w:t>
      </w:r>
    </w:p>
    <w:p w14:paraId="602C5B3F">
      <w:pPr>
        <w:adjustRightInd w:val="0"/>
        <w:snapToGrid w:val="0"/>
        <w:spacing w:line="360" w:lineRule="auto"/>
        <w:ind w:right="-105" w:rightChars="-50" w:firstLine="420" w:firstLineChars="200"/>
        <w:rPr>
          <w:rFonts w:ascii="宋体" w:hAnsi="宋体" w:cs="宋体"/>
          <w:color w:val="auto"/>
          <w:kern w:val="0"/>
          <w:szCs w:val="21"/>
        </w:rPr>
      </w:pPr>
      <w:r>
        <w:rPr>
          <w:rFonts w:hint="eastAsia" w:ascii="宋体" w:hAnsi="宋体"/>
          <w:color w:val="auto"/>
          <w:szCs w:val="21"/>
        </w:rPr>
        <w:t>7.2</w:t>
      </w:r>
      <w:r>
        <w:rPr>
          <w:rFonts w:hint="eastAsia" w:ascii="宋体" w:hAnsi="宋体" w:cs="宋体"/>
          <w:color w:val="auto"/>
          <w:kern w:val="0"/>
          <w:szCs w:val="21"/>
        </w:rPr>
        <w:t>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69368C56">
      <w:pPr>
        <w:adjustRightInd w:val="0"/>
        <w:snapToGrid w:val="0"/>
        <w:spacing w:line="360" w:lineRule="auto"/>
        <w:jc w:val="center"/>
        <w:outlineLvl w:val="2"/>
        <w:rPr>
          <w:rFonts w:ascii="黑体" w:hAnsi="黑体" w:eastAsia="黑体"/>
          <w:b/>
          <w:bCs/>
          <w:color w:val="auto"/>
          <w:sz w:val="28"/>
          <w:szCs w:val="28"/>
        </w:rPr>
      </w:pPr>
      <w:bookmarkStart w:id="64" w:name="_Toc107997970"/>
      <w:bookmarkStart w:id="65" w:name="_Toc18700"/>
      <w:r>
        <w:rPr>
          <w:rFonts w:hint="eastAsia" w:ascii="黑体" w:hAnsi="黑体" w:eastAsia="黑体"/>
          <w:b/>
          <w:bCs/>
          <w:color w:val="auto"/>
          <w:sz w:val="28"/>
          <w:szCs w:val="28"/>
        </w:rPr>
        <w:t>三、响应文件</w:t>
      </w:r>
      <w:bookmarkEnd w:id="64"/>
      <w:bookmarkEnd w:id="65"/>
    </w:p>
    <w:p w14:paraId="2B39EA9E">
      <w:pPr>
        <w:spacing w:line="360" w:lineRule="auto"/>
        <w:outlineLvl w:val="3"/>
        <w:rPr>
          <w:rFonts w:ascii="黑体" w:hAnsi="黑体" w:eastAsia="黑体"/>
          <w:b/>
          <w:bCs/>
          <w:color w:val="auto"/>
          <w:sz w:val="24"/>
        </w:rPr>
      </w:pPr>
      <w:bookmarkStart w:id="66" w:name="_Toc107997844"/>
      <w:bookmarkStart w:id="67" w:name="_Toc107997971"/>
      <w:r>
        <w:rPr>
          <w:rFonts w:hint="eastAsia" w:ascii="黑体" w:hAnsi="黑体" w:eastAsia="黑体"/>
          <w:b/>
          <w:bCs/>
          <w:color w:val="auto"/>
          <w:sz w:val="24"/>
        </w:rPr>
        <w:t>8.一般要求</w:t>
      </w:r>
      <w:bookmarkEnd w:id="66"/>
      <w:bookmarkEnd w:id="67"/>
    </w:p>
    <w:p w14:paraId="288DFB9D">
      <w:pPr>
        <w:adjustRightInd w:val="0"/>
        <w:snapToGrid w:val="0"/>
        <w:spacing w:line="360" w:lineRule="auto"/>
        <w:ind w:firstLine="420" w:firstLineChars="200"/>
        <w:rPr>
          <w:rFonts w:ascii="宋体" w:hAnsi="宋体"/>
          <w:bCs/>
          <w:color w:val="auto"/>
          <w:szCs w:val="21"/>
        </w:rPr>
      </w:pPr>
      <w:r>
        <w:rPr>
          <w:rFonts w:hint="eastAsia" w:ascii="宋体" w:hAnsi="宋体"/>
          <w:bCs/>
          <w:color w:val="auto"/>
          <w:szCs w:val="21"/>
        </w:rPr>
        <w:t>8.1供应商应仔细阅读谈判文件的所有内容，按谈判文件的要求编制响应文件，并保证所提供的全部资料的真实性，以使其响应文件对谈判文件做出实质性的响应。</w:t>
      </w:r>
    </w:p>
    <w:p w14:paraId="0D24F713">
      <w:pPr>
        <w:adjustRightInd w:val="0"/>
        <w:snapToGrid w:val="0"/>
        <w:spacing w:line="360" w:lineRule="auto"/>
        <w:ind w:firstLine="420" w:firstLineChars="200"/>
        <w:rPr>
          <w:rFonts w:ascii="宋体" w:hAnsi="宋体"/>
          <w:bCs/>
          <w:color w:val="auto"/>
          <w:szCs w:val="21"/>
        </w:rPr>
      </w:pPr>
      <w:r>
        <w:rPr>
          <w:rFonts w:hint="eastAsia" w:ascii="宋体" w:hAnsi="宋体"/>
          <w:bCs/>
          <w:color w:val="auto"/>
          <w:szCs w:val="21"/>
        </w:rPr>
        <w:t>8.2</w:t>
      </w:r>
      <w:r>
        <w:rPr>
          <w:rFonts w:hint="eastAsia" w:ascii="宋体" w:hAnsi="宋体"/>
          <w:color w:val="auto"/>
          <w:szCs w:val="21"/>
        </w:rPr>
        <w:t>供应商提交的响应文件及供应商与采购人或采购代理机构、谈判小组就有关谈判的所有来往函电均使用中文。供应商可以提交其他语言的资料，但应附中文注释，在有差异时以中文为准。</w:t>
      </w:r>
    </w:p>
    <w:p w14:paraId="53D784B2">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bCs/>
          <w:color w:val="auto"/>
          <w:szCs w:val="21"/>
        </w:rPr>
        <w:t>8.3</w:t>
      </w:r>
      <w:r>
        <w:rPr>
          <w:rFonts w:hint="eastAsia" w:ascii="宋体" w:hAnsi="宋体" w:cs="Courier New"/>
          <w:color w:val="auto"/>
          <w:szCs w:val="21"/>
        </w:rPr>
        <w:t>计量单位应使用我国法定计量单位，未列明时应默认为我国法定计量单位。</w:t>
      </w:r>
    </w:p>
    <w:p w14:paraId="1C57CD34">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8.4响应文件应采用书面形式，电报、传真、电子邮件形式的响应文件概不接受。</w:t>
      </w:r>
    </w:p>
    <w:p w14:paraId="11C522A2">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8.5供应商应按谈判文件中提供的响应文件格式填写。</w:t>
      </w:r>
    </w:p>
    <w:p w14:paraId="1A59EE17">
      <w:pPr>
        <w:spacing w:line="360" w:lineRule="auto"/>
        <w:outlineLvl w:val="3"/>
        <w:rPr>
          <w:rFonts w:ascii="黑体" w:hAnsi="黑体" w:eastAsia="黑体"/>
          <w:b/>
          <w:bCs/>
          <w:color w:val="auto"/>
          <w:sz w:val="24"/>
        </w:rPr>
      </w:pPr>
      <w:bookmarkStart w:id="68" w:name="_Toc107997972"/>
      <w:bookmarkStart w:id="69" w:name="_Toc107997845"/>
      <w:r>
        <w:rPr>
          <w:rFonts w:hint="eastAsia" w:ascii="黑体" w:hAnsi="黑体" w:eastAsia="黑体"/>
          <w:b/>
          <w:bCs/>
          <w:color w:val="auto"/>
          <w:sz w:val="24"/>
        </w:rPr>
        <w:t>9.响应文件的组成</w:t>
      </w:r>
      <w:bookmarkEnd w:id="68"/>
      <w:bookmarkEnd w:id="69"/>
    </w:p>
    <w:p w14:paraId="730908F1">
      <w:pPr>
        <w:adjustRightInd w:val="0"/>
        <w:snapToGrid w:val="0"/>
        <w:spacing w:line="360" w:lineRule="auto"/>
        <w:ind w:firstLine="420" w:firstLineChars="200"/>
        <w:rPr>
          <w:rFonts w:ascii="宋体" w:hAnsi="宋体"/>
          <w:bCs/>
          <w:color w:val="auto"/>
          <w:szCs w:val="21"/>
        </w:rPr>
      </w:pPr>
      <w:r>
        <w:rPr>
          <w:rFonts w:hint="eastAsia" w:ascii="宋体" w:hAnsi="宋体"/>
          <w:bCs/>
          <w:color w:val="auto"/>
          <w:szCs w:val="21"/>
        </w:rPr>
        <w:t>9.1响应文件包括下列内容：</w:t>
      </w:r>
    </w:p>
    <w:p w14:paraId="3094A7CD">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（1）报价表及报价文件(格式)</w:t>
      </w:r>
    </w:p>
    <w:p w14:paraId="41E69941">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（2）谈判响应声明(格式)</w:t>
      </w:r>
    </w:p>
    <w:p w14:paraId="5D2C8144">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（3）保证金</w:t>
      </w:r>
    </w:p>
    <w:p w14:paraId="71A6E21A">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（4）授权委托书(格式)</w:t>
      </w:r>
    </w:p>
    <w:p w14:paraId="793A04CD">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（5）供应商资格审查材料</w:t>
      </w:r>
    </w:p>
    <w:p w14:paraId="28432A7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（6）采购需求响应</w:t>
      </w:r>
    </w:p>
    <w:p w14:paraId="76C7F0A9">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（7）合同条款偏离表</w:t>
      </w:r>
    </w:p>
    <w:p w14:paraId="73299780">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（8）采购需求偏离表</w:t>
      </w:r>
    </w:p>
    <w:p w14:paraId="2BF182FF">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（9）享受政府采购政策的证明资料</w:t>
      </w:r>
    </w:p>
    <w:p w14:paraId="40E4FA40">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（10）响应标的符合谈判文件规定的证明文件</w:t>
      </w:r>
    </w:p>
    <w:p w14:paraId="0F9C24E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（11）供应商认为需提供的其他资料（如有）</w:t>
      </w:r>
    </w:p>
    <w:p w14:paraId="10A2B765">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（12）最后报价</w:t>
      </w:r>
    </w:p>
    <w:p w14:paraId="08428302">
      <w:pPr>
        <w:adjustRightInd w:val="0"/>
        <w:snapToGrid w:val="0"/>
        <w:spacing w:line="360" w:lineRule="auto"/>
        <w:ind w:firstLine="420" w:firstLineChars="200"/>
        <w:rPr>
          <w:rFonts w:hAnsi="宋体"/>
          <w:color w:val="auto"/>
        </w:rPr>
      </w:pPr>
      <w:r>
        <w:rPr>
          <w:rFonts w:hint="eastAsia" w:ascii="宋体" w:hAnsi="宋体"/>
          <w:color w:val="auto"/>
        </w:rPr>
        <w:t>9.2在谈判过程中，</w:t>
      </w:r>
      <w:r>
        <w:rPr>
          <w:rFonts w:hint="eastAsia" w:ascii="宋体" w:hAnsi="宋体"/>
          <w:color w:val="auto"/>
          <w:szCs w:val="21"/>
        </w:rPr>
        <w:t>供应商</w:t>
      </w:r>
      <w:r>
        <w:rPr>
          <w:rFonts w:hint="eastAsia" w:ascii="宋体" w:hAnsi="宋体"/>
          <w:color w:val="auto"/>
        </w:rPr>
        <w:t>根据</w:t>
      </w:r>
      <w:r>
        <w:rPr>
          <w:rFonts w:hint="eastAsia" w:ascii="宋体" w:hAnsi="宋体" w:cs="宋体"/>
          <w:color w:val="auto"/>
          <w:kern w:val="0"/>
          <w:szCs w:val="21"/>
        </w:rPr>
        <w:t>谈判小组</w:t>
      </w:r>
      <w:r>
        <w:rPr>
          <w:rFonts w:hint="eastAsia" w:ascii="宋体" w:hAnsi="宋体"/>
          <w:bCs/>
          <w:color w:val="auto"/>
          <w:szCs w:val="21"/>
        </w:rPr>
        <w:t>书面形式要求</w:t>
      </w:r>
      <w:r>
        <w:rPr>
          <w:rFonts w:hint="eastAsia" w:ascii="宋体" w:hAnsi="宋体" w:cs="宋体"/>
          <w:color w:val="auto"/>
          <w:kern w:val="0"/>
          <w:szCs w:val="21"/>
        </w:rPr>
        <w:t>提交的</w:t>
      </w:r>
      <w:r>
        <w:rPr>
          <w:rFonts w:hint="eastAsia" w:hAnsi="宋体"/>
          <w:color w:val="auto"/>
        </w:rPr>
        <w:t>最后报价(或者</w:t>
      </w:r>
      <w:r>
        <w:rPr>
          <w:rFonts w:hint="eastAsia" w:ascii="宋体" w:hAnsi="宋体"/>
          <w:bCs/>
          <w:color w:val="auto"/>
          <w:szCs w:val="21"/>
        </w:rPr>
        <w:t>重</w:t>
      </w:r>
      <w:r>
        <w:rPr>
          <w:rFonts w:hint="eastAsia" w:ascii="宋体" w:hAnsi="宋体" w:cs="宋体"/>
          <w:color w:val="auto"/>
          <w:kern w:val="0"/>
          <w:szCs w:val="21"/>
        </w:rPr>
        <w:t>新提交的响应文件和</w:t>
      </w:r>
      <w:r>
        <w:rPr>
          <w:rFonts w:hint="eastAsia" w:hAnsi="宋体"/>
          <w:color w:val="auto"/>
        </w:rPr>
        <w:t>最后报价)是</w:t>
      </w:r>
      <w:r>
        <w:rPr>
          <w:rFonts w:hint="eastAsia" w:ascii="宋体" w:hAnsi="宋体"/>
          <w:color w:val="auto"/>
          <w:szCs w:val="21"/>
        </w:rPr>
        <w:t>响应文件</w:t>
      </w:r>
      <w:r>
        <w:rPr>
          <w:rFonts w:hint="eastAsia" w:hAnsi="宋体"/>
          <w:color w:val="auto"/>
        </w:rPr>
        <w:t>的有效组成部分。</w:t>
      </w:r>
    </w:p>
    <w:p w14:paraId="67349CD0">
      <w:pPr>
        <w:adjustRightInd w:val="0"/>
        <w:snapToGrid w:val="0"/>
        <w:spacing w:line="360" w:lineRule="auto"/>
        <w:ind w:firstLine="420" w:firstLineChars="200"/>
        <w:rPr>
          <w:rFonts w:ascii="宋体" w:hAnsi="宋体"/>
          <w:color w:val="auto"/>
          <w:szCs w:val="21"/>
        </w:rPr>
      </w:pPr>
      <w:r>
        <w:rPr>
          <w:rFonts w:hint="eastAsia" w:ascii="宋体" w:hAnsi="宋体"/>
          <w:color w:val="auto"/>
        </w:rPr>
        <w:t>9.3</w:t>
      </w:r>
      <w:r>
        <w:rPr>
          <w:rFonts w:hint="eastAsia" w:ascii="宋体" w:hAnsi="宋体"/>
          <w:color w:val="auto"/>
          <w:szCs w:val="21"/>
        </w:rPr>
        <w:t>根据《政府采购法》第四十二条的规定，供应商无论成交与否，其响应文件不予退还。</w:t>
      </w:r>
    </w:p>
    <w:p w14:paraId="7C741EE0">
      <w:pPr>
        <w:adjustRightInd w:val="0"/>
        <w:snapToGrid w:val="0"/>
        <w:spacing w:line="360" w:lineRule="auto"/>
        <w:outlineLvl w:val="3"/>
        <w:rPr>
          <w:rFonts w:ascii="黑体" w:hAnsi="黑体" w:eastAsia="黑体"/>
          <w:b/>
          <w:bCs/>
          <w:color w:val="auto"/>
          <w:sz w:val="24"/>
        </w:rPr>
      </w:pPr>
      <w:bookmarkStart w:id="70" w:name="_Toc107997974"/>
      <w:bookmarkStart w:id="71" w:name="_Toc107997847"/>
      <w:bookmarkStart w:id="72" w:name="_Toc62225434"/>
      <w:r>
        <w:rPr>
          <w:rFonts w:hint="eastAsia" w:ascii="黑体" w:hAnsi="黑体" w:eastAsia="黑体"/>
          <w:b/>
          <w:bCs/>
          <w:color w:val="auto"/>
          <w:sz w:val="24"/>
        </w:rPr>
        <w:t>10.供应商的资格更新证明</w:t>
      </w:r>
      <w:bookmarkEnd w:id="70"/>
      <w:bookmarkEnd w:id="71"/>
      <w:bookmarkEnd w:id="72"/>
      <w:r>
        <w:rPr>
          <w:rFonts w:hint="eastAsia" w:ascii="黑体" w:hAnsi="黑体" w:eastAsia="黑体"/>
          <w:b/>
          <w:bCs/>
          <w:color w:val="auto"/>
          <w:sz w:val="24"/>
        </w:rPr>
        <w:t>材料</w:t>
      </w:r>
    </w:p>
    <w:p w14:paraId="3D93491C">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rPr>
        <w:t>10.1被邀请的供应商在提交首次响应文件前，其资格条件发生变化，影响或者可能影响资格条件的，应随响应文件提供更新或者补充的资格证明材料，以证实其各项条件仍能继续满足本章第3.1款规定的供应商资格条件要求。</w:t>
      </w:r>
    </w:p>
    <w:p w14:paraId="7C211CE0">
      <w:pPr>
        <w:spacing w:line="360" w:lineRule="auto"/>
        <w:outlineLvl w:val="3"/>
        <w:rPr>
          <w:rFonts w:ascii="黑体" w:hAnsi="黑体" w:eastAsia="黑体"/>
          <w:b/>
          <w:bCs/>
          <w:color w:val="auto"/>
          <w:sz w:val="24"/>
        </w:rPr>
      </w:pPr>
      <w:bookmarkStart w:id="73" w:name="_Toc107997848"/>
      <w:bookmarkStart w:id="74" w:name="_Toc107997975"/>
      <w:r>
        <w:rPr>
          <w:rFonts w:hint="eastAsia" w:ascii="黑体" w:hAnsi="黑体" w:eastAsia="黑体"/>
          <w:b/>
          <w:bCs/>
          <w:color w:val="auto"/>
          <w:sz w:val="24"/>
        </w:rPr>
        <w:t>11.报价要求</w:t>
      </w:r>
      <w:bookmarkEnd w:id="73"/>
      <w:bookmarkEnd w:id="74"/>
    </w:p>
    <w:p w14:paraId="176270BC">
      <w:pPr>
        <w:adjustRightInd w:val="0"/>
        <w:snapToGrid w:val="0"/>
        <w:spacing w:line="360" w:lineRule="auto"/>
        <w:ind w:firstLine="420" w:firstLineChars="200"/>
        <w:rPr>
          <w:rFonts w:ascii="宋体" w:hAnsi="宋体" w:eastAsia="宋体"/>
          <w:color w:val="auto"/>
          <w:szCs w:val="21"/>
        </w:rPr>
      </w:pPr>
      <w:r>
        <w:rPr>
          <w:rFonts w:hint="eastAsia" w:ascii="宋体" w:hAnsi="宋体"/>
          <w:color w:val="auto"/>
          <w:szCs w:val="21"/>
        </w:rPr>
        <w:t>11.1</w:t>
      </w:r>
      <w:r>
        <w:rPr>
          <w:rFonts w:hint="eastAsia" w:ascii="宋体" w:hAnsi="宋体" w:eastAsia="宋体"/>
          <w:color w:val="auto"/>
          <w:szCs w:val="21"/>
        </w:rPr>
        <w:t>供应商应当根据谈判文件第三章第一节“采购清单一览表”逐一报价；谈判文件第三章提供第二节“工程量清单”的，供应商应按其要求填写相应表格。</w:t>
      </w:r>
    </w:p>
    <w:p w14:paraId="39BEF598">
      <w:pPr>
        <w:adjustRightInd w:val="0"/>
        <w:snapToGrid w:val="0"/>
        <w:spacing w:line="360" w:lineRule="auto"/>
        <w:ind w:firstLine="420" w:firstLineChars="200"/>
        <w:rPr>
          <w:rFonts w:ascii="宋体" w:hAnsi="宋体"/>
          <w:color w:val="auto"/>
          <w:szCs w:val="21"/>
        </w:rPr>
      </w:pPr>
      <w:r>
        <w:rPr>
          <w:rFonts w:hint="eastAsia" w:ascii="宋体" w:hAnsi="宋体" w:eastAsia="宋体"/>
          <w:color w:val="auto"/>
          <w:szCs w:val="21"/>
        </w:rPr>
        <w:t>11.2</w:t>
      </w:r>
      <w:r>
        <w:rPr>
          <w:rFonts w:hint="eastAsia" w:ascii="宋体" w:hAnsi="宋体"/>
          <w:color w:val="auto"/>
          <w:szCs w:val="21"/>
        </w:rPr>
        <w:t>在报价表、分项报价表填写报价时应注意下列要求：</w:t>
      </w:r>
    </w:p>
    <w:p w14:paraId="0ABFC697">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（1）采购需求要求的安装、调试、培训、售后服务及其他附加服务的费用。</w:t>
      </w:r>
    </w:p>
    <w:p w14:paraId="1F86A4DC">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（2）所有根据合同或其他原因应由供应商交纳和支付的税款和费用。</w:t>
      </w:r>
    </w:p>
    <w:p w14:paraId="30B1513F">
      <w:pPr>
        <w:adjustRightInd w:val="0"/>
        <w:snapToGrid w:val="0"/>
        <w:spacing w:line="360" w:lineRule="auto"/>
        <w:ind w:firstLine="420" w:firstLineChars="200"/>
        <w:rPr>
          <w:rFonts w:ascii="宋体" w:hAnsi="宋体"/>
          <w:color w:val="auto"/>
        </w:rPr>
      </w:pPr>
      <w:r>
        <w:rPr>
          <w:rFonts w:hint="eastAsia" w:ascii="宋体" w:hAnsi="宋体"/>
          <w:color w:val="auto"/>
        </w:rPr>
        <w:t>（3）谈判文件指定交货地点的运输、保险、装卸费。</w:t>
      </w:r>
    </w:p>
    <w:p w14:paraId="61B7B417">
      <w:pPr>
        <w:adjustRightInd w:val="0"/>
        <w:snapToGrid w:val="0"/>
        <w:spacing w:line="360" w:lineRule="auto"/>
        <w:ind w:firstLine="420" w:firstLineChars="200"/>
        <w:rPr>
          <w:rFonts w:ascii="宋体" w:hAnsi="宋体"/>
          <w:color w:val="auto"/>
          <w:szCs w:val="21"/>
        </w:rPr>
      </w:pPr>
      <w:r>
        <w:rPr>
          <w:rFonts w:hint="eastAsia" w:ascii="宋体" w:hAnsi="宋体"/>
          <w:color w:val="auto"/>
        </w:rPr>
        <w:t>（4）实行工程量清单报价的，供应商提交最后报价应与已标价工程量清单总报价一致。</w:t>
      </w:r>
    </w:p>
    <w:p w14:paraId="437E0486">
      <w:pPr>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11.3</w:t>
      </w:r>
      <w:r>
        <w:rPr>
          <w:rFonts w:hint="eastAsia" w:ascii="宋体" w:hAnsi="宋体" w:cs="宋体"/>
          <w:color w:val="auto"/>
          <w:kern w:val="0"/>
          <w:szCs w:val="21"/>
          <w:lang w:val="zh-CN"/>
        </w:rPr>
        <w:t>供应商</w:t>
      </w:r>
      <w:r>
        <w:rPr>
          <w:rFonts w:hint="eastAsia" w:ascii="宋体" w:hAnsi="宋体"/>
          <w:color w:val="auto"/>
          <w:kern w:val="0"/>
          <w:szCs w:val="21"/>
        </w:rPr>
        <w:t>的最后报价不得超过采购项目预算，</w:t>
      </w:r>
      <w:r>
        <w:rPr>
          <w:rFonts w:hint="eastAsia" w:ascii="宋体" w:hAnsi="宋体"/>
          <w:b/>
          <w:bCs/>
          <w:color w:val="auto"/>
          <w:kern w:val="0"/>
          <w:szCs w:val="21"/>
        </w:rPr>
        <w:t>否则，其响应无效</w:t>
      </w:r>
      <w:r>
        <w:rPr>
          <w:rFonts w:hint="eastAsia" w:ascii="宋体" w:hAnsi="宋体"/>
          <w:color w:val="auto"/>
          <w:kern w:val="0"/>
          <w:szCs w:val="21"/>
        </w:rPr>
        <w:t>。采购项目预算见</w:t>
      </w:r>
      <w:r>
        <w:rPr>
          <w:rFonts w:hint="eastAsia" w:ascii="宋体" w:hAnsi="宋体"/>
          <w:b/>
          <w:color w:val="auto"/>
          <w:kern w:val="0"/>
          <w:szCs w:val="21"/>
        </w:rPr>
        <w:t>【谈判须知前附表】</w:t>
      </w:r>
      <w:r>
        <w:rPr>
          <w:rFonts w:hint="eastAsia" w:ascii="宋体" w:hAnsi="宋体"/>
          <w:color w:val="auto"/>
          <w:kern w:val="0"/>
          <w:szCs w:val="21"/>
        </w:rPr>
        <w:t>。</w:t>
      </w:r>
    </w:p>
    <w:p w14:paraId="4AEEE6A2">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11.4</w:t>
      </w:r>
      <w:r>
        <w:rPr>
          <w:rFonts w:hint="eastAsia" w:ascii="宋体" w:hAnsi="宋体"/>
          <w:color w:val="auto"/>
          <w:szCs w:val="21"/>
        </w:rPr>
        <w:t>采用固定价格定价方式的采购项目，</w:t>
      </w:r>
      <w:r>
        <w:rPr>
          <w:rFonts w:hint="eastAsia" w:ascii="宋体" w:hAnsi="宋体" w:cs="Courier New"/>
          <w:color w:val="auto"/>
          <w:szCs w:val="21"/>
        </w:rPr>
        <w:t>供应商提交的最后报价在合同执行过程中是固定不变的，不得以任何理由予以变更。以可变动价格提交的报价将被认为是非实质响应而被拒绝。</w:t>
      </w:r>
    </w:p>
    <w:p w14:paraId="6B42D544">
      <w:pPr>
        <w:adjustRightInd w:val="0"/>
        <w:snapToGrid w:val="0"/>
        <w:spacing w:line="360" w:lineRule="auto"/>
        <w:ind w:firstLine="420" w:firstLineChars="200"/>
        <w:jc w:val="left"/>
        <w:rPr>
          <w:rFonts w:ascii="宋体" w:hAnsi="宋体"/>
          <w:color w:val="auto"/>
        </w:rPr>
      </w:pPr>
      <w:r>
        <w:rPr>
          <w:rFonts w:hint="eastAsia" w:ascii="宋体" w:hAnsi="宋体"/>
          <w:color w:val="auto"/>
        </w:rPr>
        <w:t>11.5采购人不接受供应商给予的赠品、回扣或者与采购无关的其他商品、服务。</w:t>
      </w:r>
    </w:p>
    <w:p w14:paraId="498827F8">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11.6报价的其他要求见</w:t>
      </w:r>
      <w:r>
        <w:rPr>
          <w:rFonts w:hint="eastAsia" w:ascii="宋体" w:hAnsi="宋体" w:cs="Courier New"/>
          <w:b/>
          <w:color w:val="auto"/>
          <w:szCs w:val="21"/>
        </w:rPr>
        <w:t>【谈判须知前附表】</w:t>
      </w:r>
      <w:r>
        <w:rPr>
          <w:rFonts w:hint="eastAsia" w:ascii="宋体" w:hAnsi="宋体" w:cs="Courier New"/>
          <w:color w:val="auto"/>
          <w:szCs w:val="21"/>
        </w:rPr>
        <w:t>。</w:t>
      </w:r>
    </w:p>
    <w:p w14:paraId="01AB62DF">
      <w:pPr>
        <w:spacing w:line="360" w:lineRule="auto"/>
        <w:outlineLvl w:val="3"/>
        <w:rPr>
          <w:rFonts w:ascii="黑体" w:hAnsi="黑体" w:eastAsia="黑体"/>
          <w:b/>
          <w:bCs/>
          <w:color w:val="auto"/>
          <w:sz w:val="24"/>
        </w:rPr>
      </w:pPr>
      <w:bookmarkStart w:id="75" w:name="_Toc107997976"/>
      <w:bookmarkStart w:id="76" w:name="_Toc107997849"/>
      <w:r>
        <w:rPr>
          <w:rFonts w:hint="eastAsia" w:ascii="黑体" w:hAnsi="黑体" w:eastAsia="黑体"/>
          <w:b/>
          <w:bCs/>
          <w:color w:val="auto"/>
          <w:sz w:val="24"/>
        </w:rPr>
        <w:t>12.谈判保证金</w:t>
      </w:r>
      <w:bookmarkEnd w:id="75"/>
      <w:bookmarkEnd w:id="76"/>
    </w:p>
    <w:p w14:paraId="30ED999F">
      <w:pPr>
        <w:autoSpaceDE w:val="0"/>
        <w:autoSpaceDN w:val="0"/>
        <w:adjustRightInd w:val="0"/>
        <w:spacing w:line="360" w:lineRule="auto"/>
        <w:ind w:firstLine="420" w:firstLineChars="200"/>
        <w:jc w:val="left"/>
        <w:rPr>
          <w:rFonts w:hAnsi="宋体"/>
          <w:bCs/>
          <w:color w:val="auto"/>
        </w:rPr>
      </w:pPr>
      <w:r>
        <w:rPr>
          <w:rFonts w:hint="eastAsia" w:hAnsi="宋体"/>
          <w:color w:val="auto"/>
        </w:rPr>
        <w:t>12.1</w:t>
      </w:r>
      <w:r>
        <w:rPr>
          <w:rFonts w:hint="eastAsia" w:hAnsi="宋体"/>
          <w:bCs/>
          <w:color w:val="auto"/>
        </w:rPr>
        <w:t>谈判文件要求供应商提交谈判保证金的，供应商应按</w:t>
      </w:r>
      <w:r>
        <w:rPr>
          <w:rFonts w:hint="eastAsia" w:hAnsi="宋体"/>
          <w:b/>
          <w:bCs/>
          <w:color w:val="auto"/>
        </w:rPr>
        <w:t>【谈判须知前附表】</w:t>
      </w:r>
      <w:r>
        <w:rPr>
          <w:rFonts w:hint="eastAsia" w:hAnsi="宋体"/>
          <w:bCs/>
          <w:color w:val="auto"/>
        </w:rPr>
        <w:t>规定，在提交首次响应文件的截止时间前提交谈判保证金。谈判保证金有效期应当与响应文件有效期一致。供应商可用保函、电子增信替代谈判保证金。</w:t>
      </w:r>
    </w:p>
    <w:p w14:paraId="02C7C385">
      <w:pPr>
        <w:adjustRightInd w:val="0"/>
        <w:snapToGrid w:val="0"/>
        <w:spacing w:line="360" w:lineRule="auto"/>
        <w:ind w:firstLine="420" w:firstLineChars="200"/>
        <w:rPr>
          <w:rFonts w:ascii="宋体" w:hAnsi="宋体"/>
          <w:b/>
          <w:color w:val="auto"/>
          <w:szCs w:val="21"/>
        </w:rPr>
      </w:pPr>
      <w:r>
        <w:rPr>
          <w:rFonts w:hint="eastAsia" w:ascii="宋体" w:hAnsi="宋体"/>
          <w:color w:val="auto"/>
          <w:szCs w:val="21"/>
        </w:rPr>
        <w:t>12.2</w:t>
      </w:r>
      <w:r>
        <w:rPr>
          <w:rFonts w:hint="eastAsia" w:ascii="宋体" w:hAnsi="宋体" w:cs="宋体"/>
          <w:color w:val="auto"/>
          <w:kern w:val="0"/>
          <w:szCs w:val="21"/>
          <w:lang w:val="zh-CN"/>
        </w:rPr>
        <w:t>供应商为联合体的，可以由联合体中的一方或者共同交纳</w:t>
      </w:r>
      <w:r>
        <w:rPr>
          <w:rFonts w:hint="eastAsia" w:hAnsi="宋体"/>
          <w:bCs/>
          <w:color w:val="auto"/>
        </w:rPr>
        <w:t>谈判</w:t>
      </w:r>
      <w:r>
        <w:rPr>
          <w:rFonts w:hint="eastAsia" w:ascii="宋体" w:hAnsi="宋体" w:cs="宋体"/>
          <w:color w:val="auto"/>
          <w:kern w:val="0"/>
          <w:szCs w:val="21"/>
          <w:lang w:val="zh-CN"/>
        </w:rPr>
        <w:t>保证金，其交纳的</w:t>
      </w:r>
      <w:r>
        <w:rPr>
          <w:rFonts w:hint="eastAsia" w:hAnsi="宋体"/>
          <w:bCs/>
          <w:color w:val="auto"/>
        </w:rPr>
        <w:t>谈判</w:t>
      </w:r>
      <w:r>
        <w:rPr>
          <w:rFonts w:hint="eastAsia" w:ascii="宋体" w:hAnsi="宋体" w:cs="宋体"/>
          <w:color w:val="auto"/>
          <w:kern w:val="0"/>
          <w:szCs w:val="21"/>
          <w:lang w:val="zh-CN"/>
        </w:rPr>
        <w:t>保证金，对联合体各方均具有约束力。</w:t>
      </w:r>
    </w:p>
    <w:p w14:paraId="7DE80220">
      <w:pPr>
        <w:tabs>
          <w:tab w:val="left" w:pos="6300"/>
        </w:tabs>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12.3采购人、采购代理机构在成交通知书发出后5个工作日内退还未成交供应商的</w:t>
      </w:r>
      <w:r>
        <w:rPr>
          <w:rFonts w:hint="eastAsia" w:ascii="宋体" w:hAnsi="宋体" w:cs="Courier New"/>
          <w:bCs/>
          <w:color w:val="auto"/>
          <w:szCs w:val="21"/>
        </w:rPr>
        <w:t>谈判</w:t>
      </w:r>
      <w:r>
        <w:rPr>
          <w:rFonts w:hint="eastAsia" w:ascii="宋体" w:hAnsi="宋体" w:cs="Courier New"/>
          <w:color w:val="auto"/>
          <w:szCs w:val="21"/>
        </w:rPr>
        <w:t>保证金；在采购合同签订后5个工作日内退还成交供应商的</w:t>
      </w:r>
      <w:r>
        <w:rPr>
          <w:rFonts w:hint="eastAsia" w:ascii="宋体" w:hAnsi="宋体" w:cs="Courier New"/>
          <w:bCs/>
          <w:color w:val="auto"/>
          <w:szCs w:val="21"/>
        </w:rPr>
        <w:t>谈判</w:t>
      </w:r>
      <w:r>
        <w:rPr>
          <w:rFonts w:hint="eastAsia" w:ascii="宋体" w:hAnsi="宋体" w:cs="Courier New"/>
          <w:color w:val="auto"/>
          <w:szCs w:val="21"/>
        </w:rPr>
        <w:t>保证金，但因供应商自身原因导致无法及时退还的除外。</w:t>
      </w:r>
    </w:p>
    <w:p w14:paraId="02F09EE0">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12.4</w:t>
      </w:r>
      <w:r>
        <w:rPr>
          <w:rFonts w:hint="eastAsia" w:hAnsi="宋体"/>
          <w:bCs/>
          <w:color w:val="auto"/>
        </w:rPr>
        <w:t>谈判</w:t>
      </w:r>
      <w:r>
        <w:rPr>
          <w:rFonts w:hint="eastAsia" w:ascii="宋体" w:hAnsi="宋体"/>
          <w:color w:val="auto"/>
          <w:szCs w:val="21"/>
        </w:rPr>
        <w:t>保证金的退还按以下规定办理：</w:t>
      </w:r>
    </w:p>
    <w:p w14:paraId="62327DE0">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（1）成交供应商的</w:t>
      </w:r>
      <w:r>
        <w:rPr>
          <w:rFonts w:hint="eastAsia" w:hAnsi="宋体"/>
          <w:bCs/>
          <w:color w:val="auto"/>
        </w:rPr>
        <w:t>谈判</w:t>
      </w:r>
      <w:r>
        <w:rPr>
          <w:rFonts w:hint="eastAsia" w:ascii="宋体" w:hAnsi="宋体"/>
          <w:color w:val="auto"/>
          <w:szCs w:val="21"/>
        </w:rPr>
        <w:t>保证金，在政府采购合同签订后5个工作日内退还。</w:t>
      </w:r>
    </w:p>
    <w:p w14:paraId="5521F7B2">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（2）未成交供应商的</w:t>
      </w:r>
      <w:r>
        <w:rPr>
          <w:rFonts w:hint="eastAsia" w:hAnsi="宋体"/>
          <w:bCs/>
          <w:color w:val="auto"/>
        </w:rPr>
        <w:t>谈判</w:t>
      </w:r>
      <w:r>
        <w:rPr>
          <w:rFonts w:hint="eastAsia" w:ascii="宋体" w:hAnsi="宋体"/>
          <w:color w:val="auto"/>
          <w:szCs w:val="21"/>
        </w:rPr>
        <w:t>保证金，在成交通知书发出后5个工作日内退还。</w:t>
      </w:r>
    </w:p>
    <w:p w14:paraId="6C013346">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（3）终止竞争性谈判采购活动的，在发布项目终止公告后5个工作日内退还。</w:t>
      </w:r>
    </w:p>
    <w:p w14:paraId="0B4D3CCD">
      <w:pPr>
        <w:adjustRightInd w:val="0"/>
        <w:snapToGrid w:val="0"/>
        <w:spacing w:line="360" w:lineRule="auto"/>
        <w:ind w:firstLine="420" w:firstLineChars="200"/>
        <w:rPr>
          <w:rFonts w:ascii="宋体" w:hAnsi="Courier New" w:cs="Courier New"/>
          <w:color w:val="auto"/>
          <w:kern w:val="0"/>
          <w:szCs w:val="21"/>
        </w:rPr>
      </w:pPr>
      <w:r>
        <w:rPr>
          <w:rFonts w:hint="eastAsia" w:ascii="宋体" w:hAnsi="Courier New" w:cs="Courier New"/>
          <w:color w:val="auto"/>
          <w:szCs w:val="21"/>
        </w:rPr>
        <w:t>12.5</w:t>
      </w:r>
      <w:r>
        <w:rPr>
          <w:rFonts w:hint="eastAsia" w:ascii="宋体" w:hAnsi="Courier New" w:cs="Courier New"/>
          <w:color w:val="auto"/>
          <w:kern w:val="0"/>
          <w:szCs w:val="21"/>
        </w:rPr>
        <w:t>有下列情形之一的，</w:t>
      </w:r>
      <w:r>
        <w:rPr>
          <w:rFonts w:hint="eastAsia" w:ascii="宋体" w:hAnsi="宋体" w:cs="Courier New"/>
          <w:bCs/>
          <w:color w:val="auto"/>
          <w:szCs w:val="21"/>
        </w:rPr>
        <w:t>谈判</w:t>
      </w:r>
      <w:r>
        <w:rPr>
          <w:rFonts w:hint="eastAsia" w:ascii="宋体" w:hAnsi="Courier New" w:cs="Courier New"/>
          <w:color w:val="auto"/>
          <w:kern w:val="0"/>
          <w:szCs w:val="21"/>
        </w:rPr>
        <w:t>保证金不予退还，并上缴本级财政国库：</w:t>
      </w:r>
    </w:p>
    <w:p w14:paraId="4928C9AD">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（1）供应商在提交响应文件截止时间后撤回响应文件的；</w:t>
      </w:r>
    </w:p>
    <w:p w14:paraId="6956C7E9">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（2）供应商在响应文件中提供虚假材料的；</w:t>
      </w:r>
    </w:p>
    <w:p w14:paraId="5AF86B10">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（3）除因不可抗力或谈判文件认可的情形以外，成交供应商不与采购人签订合同的；</w:t>
      </w:r>
    </w:p>
    <w:p w14:paraId="3EFC6182">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（4）供应商与采购人、其他供应商或者采购代理机构恶意串通的；</w:t>
      </w:r>
    </w:p>
    <w:p w14:paraId="2904F817">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（5）谈判文件规定的其他情形。</w:t>
      </w:r>
    </w:p>
    <w:p w14:paraId="136555C6">
      <w:pPr>
        <w:spacing w:line="360" w:lineRule="auto"/>
        <w:outlineLvl w:val="3"/>
        <w:rPr>
          <w:rFonts w:ascii="黑体" w:hAnsi="黑体" w:eastAsia="黑体"/>
          <w:b/>
          <w:bCs/>
          <w:color w:val="auto"/>
          <w:sz w:val="24"/>
        </w:rPr>
      </w:pPr>
      <w:bookmarkStart w:id="77" w:name="_Toc107997850"/>
      <w:bookmarkStart w:id="78" w:name="_Toc107997977"/>
      <w:r>
        <w:rPr>
          <w:rFonts w:hint="eastAsia" w:ascii="黑体" w:hAnsi="黑体" w:eastAsia="黑体"/>
          <w:b/>
          <w:bCs/>
          <w:color w:val="auto"/>
          <w:sz w:val="24"/>
        </w:rPr>
        <w:t>13.响应文件有效期</w:t>
      </w:r>
      <w:bookmarkEnd w:id="77"/>
      <w:bookmarkEnd w:id="78"/>
    </w:p>
    <w:p w14:paraId="2EA7EA8C">
      <w:pPr>
        <w:adjustRightInd w:val="0"/>
        <w:snapToGrid w:val="0"/>
        <w:spacing w:line="360" w:lineRule="auto"/>
        <w:ind w:firstLine="420" w:firstLineChars="200"/>
        <w:jc w:val="left"/>
        <w:rPr>
          <w:rFonts w:hAnsi="宋体"/>
          <w:color w:val="auto"/>
        </w:rPr>
      </w:pPr>
      <w:r>
        <w:rPr>
          <w:rFonts w:hint="eastAsia" w:ascii="宋体" w:hAnsi="宋体"/>
          <w:color w:val="auto"/>
        </w:rPr>
        <w:t>13.1响应文件</w:t>
      </w:r>
      <w:r>
        <w:rPr>
          <w:rFonts w:hint="eastAsia" w:ascii="宋体" w:hAnsi="宋体"/>
          <w:color w:val="auto"/>
          <w:szCs w:val="21"/>
        </w:rPr>
        <w:t>有效期见</w:t>
      </w:r>
      <w:r>
        <w:rPr>
          <w:rFonts w:hint="eastAsia" w:hAnsi="宋体"/>
          <w:b/>
          <w:bCs/>
          <w:color w:val="auto"/>
        </w:rPr>
        <w:t>【谈判须知前附表】</w:t>
      </w:r>
      <w:r>
        <w:rPr>
          <w:rFonts w:hint="eastAsia" w:ascii="宋体" w:hAnsi="宋体"/>
          <w:color w:val="auto"/>
          <w:szCs w:val="21"/>
        </w:rPr>
        <w:t>，在此期间</w:t>
      </w:r>
      <w:r>
        <w:rPr>
          <w:rFonts w:hint="eastAsia" w:ascii="宋体" w:hAnsi="宋体"/>
          <w:color w:val="auto"/>
        </w:rPr>
        <w:t>响应</w:t>
      </w:r>
      <w:r>
        <w:rPr>
          <w:rFonts w:hint="eastAsia" w:ascii="宋体" w:hAnsi="宋体"/>
          <w:color w:val="auto"/>
          <w:szCs w:val="21"/>
        </w:rPr>
        <w:t>文件对供应商具有法律约束力，</w:t>
      </w:r>
      <w:r>
        <w:rPr>
          <w:rFonts w:hint="eastAsia" w:ascii="宋体" w:hAnsi="宋体" w:cs="Arial"/>
          <w:color w:val="auto"/>
        </w:rPr>
        <w:t>从</w:t>
      </w:r>
      <w:r>
        <w:rPr>
          <w:rFonts w:hint="eastAsia" w:ascii="宋体" w:hAnsi="宋体" w:cs="宋体"/>
          <w:color w:val="auto"/>
          <w:kern w:val="0"/>
          <w:szCs w:val="21"/>
        </w:rPr>
        <w:t>提交首次响应文件截止时间</w:t>
      </w:r>
      <w:r>
        <w:rPr>
          <w:rFonts w:hint="eastAsia" w:hAnsi="宋体"/>
          <w:color w:val="auto"/>
        </w:rPr>
        <w:t>之日</w:t>
      </w:r>
      <w:r>
        <w:rPr>
          <w:rFonts w:hint="eastAsia" w:hAnsi="宋体" w:cs="Arial"/>
          <w:color w:val="auto"/>
        </w:rPr>
        <w:t>起计算。</w:t>
      </w:r>
      <w:r>
        <w:rPr>
          <w:rFonts w:hint="eastAsia" w:hAnsi="宋体"/>
          <w:color w:val="auto"/>
        </w:rPr>
        <w:t>响应文件有效期不足的</w:t>
      </w:r>
      <w:r>
        <w:rPr>
          <w:rFonts w:hint="eastAsia" w:hAnsi="宋体"/>
          <w:color w:val="auto"/>
          <w:lang w:eastAsia="zh-CN"/>
        </w:rPr>
        <w:t>，</w:t>
      </w:r>
      <w:r>
        <w:rPr>
          <w:rFonts w:hint="eastAsia" w:ascii="宋体" w:hAnsi="宋体"/>
          <w:color w:val="auto"/>
        </w:rPr>
        <w:t>其</w:t>
      </w:r>
      <w:r>
        <w:rPr>
          <w:rFonts w:hint="eastAsia" w:ascii="宋体" w:hAnsi="宋体"/>
          <w:b/>
          <w:bCs/>
          <w:color w:val="auto"/>
        </w:rPr>
        <w:t>响应无效</w:t>
      </w:r>
      <w:r>
        <w:rPr>
          <w:rFonts w:hint="eastAsia" w:hAnsi="宋体"/>
          <w:color w:val="auto"/>
        </w:rPr>
        <w:t>。</w:t>
      </w:r>
    </w:p>
    <w:p w14:paraId="4736BA36">
      <w:pPr>
        <w:spacing w:line="360" w:lineRule="auto"/>
        <w:outlineLvl w:val="3"/>
        <w:rPr>
          <w:rFonts w:ascii="黑体" w:hAnsi="黑体" w:eastAsia="黑体"/>
          <w:b/>
          <w:bCs/>
          <w:color w:val="auto"/>
          <w:sz w:val="24"/>
        </w:rPr>
      </w:pPr>
      <w:bookmarkStart w:id="79" w:name="_Toc107997851"/>
      <w:bookmarkStart w:id="80" w:name="_Toc107997978"/>
      <w:r>
        <w:rPr>
          <w:rFonts w:hint="eastAsia" w:ascii="黑体" w:hAnsi="黑体" w:eastAsia="黑体"/>
          <w:b/>
          <w:bCs/>
          <w:color w:val="auto"/>
          <w:sz w:val="24"/>
        </w:rPr>
        <w:t>14.分包</w:t>
      </w:r>
      <w:bookmarkEnd w:id="79"/>
      <w:bookmarkEnd w:id="80"/>
    </w:p>
    <w:p w14:paraId="13AFCD61">
      <w:pPr>
        <w:adjustRightInd w:val="0"/>
        <w:snapToGrid w:val="0"/>
        <w:spacing w:before="156" w:beforeLines="50" w:line="360" w:lineRule="auto"/>
        <w:ind w:firstLine="420" w:firstLineChars="200"/>
        <w:jc w:val="left"/>
        <w:rPr>
          <w:rFonts w:ascii="宋体" w:hAnsi="宋体"/>
          <w:color w:val="auto"/>
        </w:rPr>
      </w:pPr>
      <w:r>
        <w:rPr>
          <w:rFonts w:hint="eastAsia" w:ascii="宋体" w:hAnsi="宋体"/>
          <w:color w:val="auto"/>
        </w:rPr>
        <w:t>1</w:t>
      </w:r>
      <w:r>
        <w:rPr>
          <w:rFonts w:ascii="宋体" w:hAnsi="宋体"/>
          <w:color w:val="auto"/>
        </w:rPr>
        <w:t>4</w:t>
      </w:r>
      <w:r>
        <w:rPr>
          <w:rFonts w:hint="eastAsia" w:ascii="宋体" w:hAnsi="宋体"/>
          <w:color w:val="auto"/>
        </w:rPr>
        <w:t>.1</w:t>
      </w:r>
      <w:r>
        <w:rPr>
          <w:rFonts w:hint="eastAsia" w:hAnsi="宋体"/>
          <w:b/>
          <w:bCs/>
          <w:color w:val="auto"/>
        </w:rPr>
        <w:t>【谈判须知前附表】</w:t>
      </w:r>
      <w:r>
        <w:rPr>
          <w:rFonts w:hint="eastAsia" w:ascii="宋体" w:hAnsi="宋体"/>
          <w:color w:val="auto"/>
        </w:rPr>
        <w:t>规定供应商分包的，供应商分包承诺不符合竞争性谈判文件中有关分包规定的，其</w:t>
      </w:r>
      <w:r>
        <w:rPr>
          <w:rFonts w:hint="eastAsia" w:ascii="宋体" w:hAnsi="宋体"/>
          <w:b/>
          <w:bCs/>
          <w:color w:val="auto"/>
        </w:rPr>
        <w:t>响应无效</w:t>
      </w:r>
      <w:r>
        <w:rPr>
          <w:rFonts w:hint="eastAsia" w:ascii="宋体" w:hAnsi="宋体"/>
          <w:color w:val="auto"/>
        </w:rPr>
        <w:t>。</w:t>
      </w:r>
    </w:p>
    <w:p w14:paraId="3D499E7C">
      <w:pPr>
        <w:adjustRightInd w:val="0"/>
        <w:snapToGrid w:val="0"/>
        <w:spacing w:before="156" w:beforeLines="50" w:line="360" w:lineRule="auto"/>
        <w:ind w:firstLine="420" w:firstLineChars="200"/>
        <w:jc w:val="left"/>
        <w:rPr>
          <w:rFonts w:ascii="宋体" w:hAnsi="宋体"/>
          <w:color w:val="auto"/>
        </w:rPr>
      </w:pPr>
      <w:r>
        <w:rPr>
          <w:rFonts w:hint="eastAsia" w:ascii="宋体" w:hAnsi="宋体"/>
          <w:color w:val="auto"/>
        </w:rPr>
        <w:t>1</w:t>
      </w:r>
      <w:r>
        <w:rPr>
          <w:rFonts w:ascii="宋体" w:hAnsi="宋体"/>
          <w:color w:val="auto"/>
        </w:rPr>
        <w:t>4</w:t>
      </w:r>
      <w:r>
        <w:rPr>
          <w:rFonts w:hint="eastAsia" w:ascii="宋体" w:hAnsi="宋体"/>
          <w:color w:val="auto"/>
        </w:rPr>
        <w:t>.2供应商应在签订政府采购合同前向采购人提供分包合同，否则，采购人有权拒绝签订采购合同。</w:t>
      </w:r>
    </w:p>
    <w:p w14:paraId="235B025C">
      <w:pPr>
        <w:adjustRightInd w:val="0"/>
        <w:snapToGrid w:val="0"/>
        <w:spacing w:before="156" w:beforeLines="50" w:line="360" w:lineRule="auto"/>
        <w:ind w:firstLine="420" w:firstLineChars="200"/>
        <w:jc w:val="left"/>
        <w:rPr>
          <w:rFonts w:ascii="宋体" w:hAnsi="宋体"/>
          <w:color w:val="auto"/>
        </w:rPr>
      </w:pPr>
      <w:r>
        <w:rPr>
          <w:rFonts w:hint="eastAsia" w:ascii="宋体" w:hAnsi="宋体"/>
          <w:color w:val="auto"/>
        </w:rPr>
        <w:t>1</w:t>
      </w:r>
      <w:r>
        <w:rPr>
          <w:rFonts w:ascii="宋体" w:hAnsi="宋体"/>
          <w:color w:val="auto"/>
        </w:rPr>
        <w:t>4</w:t>
      </w:r>
      <w:r>
        <w:rPr>
          <w:rFonts w:hint="eastAsia" w:ascii="宋体" w:hAnsi="宋体"/>
          <w:color w:val="auto"/>
        </w:rPr>
        <w:t>.3享受中小企业扶持政策获得政府采购合同的，小微企业不得将合同分包给大中型企业，中型企业不得将合同分包给大型企业。</w:t>
      </w:r>
    </w:p>
    <w:p w14:paraId="49ADDAED">
      <w:pPr>
        <w:adjustRightInd w:val="0"/>
        <w:snapToGrid w:val="0"/>
        <w:spacing w:before="156" w:beforeLines="50" w:line="360" w:lineRule="auto"/>
        <w:ind w:firstLine="420" w:firstLineChars="200"/>
        <w:jc w:val="left"/>
        <w:rPr>
          <w:rFonts w:ascii="宋体" w:hAnsi="宋体"/>
          <w:color w:val="auto"/>
        </w:rPr>
      </w:pPr>
      <w:r>
        <w:rPr>
          <w:rFonts w:hint="eastAsia" w:ascii="宋体" w:hAnsi="宋体"/>
          <w:color w:val="auto"/>
        </w:rPr>
        <w:t>1</w:t>
      </w:r>
      <w:r>
        <w:rPr>
          <w:rFonts w:ascii="宋体" w:hAnsi="宋体"/>
          <w:color w:val="auto"/>
        </w:rPr>
        <w:t>4</w:t>
      </w:r>
      <w:r>
        <w:rPr>
          <w:rFonts w:hint="eastAsia" w:ascii="宋体" w:hAnsi="宋体"/>
          <w:color w:val="auto"/>
        </w:rPr>
        <w:t>.4分包供应商不得再次分包。</w:t>
      </w:r>
    </w:p>
    <w:p w14:paraId="6C6A2B55">
      <w:pPr>
        <w:spacing w:line="360" w:lineRule="auto"/>
        <w:outlineLvl w:val="3"/>
        <w:rPr>
          <w:rFonts w:ascii="黑体" w:hAnsi="黑体" w:eastAsia="黑体"/>
          <w:b/>
          <w:bCs/>
          <w:color w:val="auto"/>
          <w:sz w:val="24"/>
        </w:rPr>
      </w:pPr>
      <w:bookmarkStart w:id="81" w:name="_Toc107997979"/>
      <w:bookmarkStart w:id="82" w:name="_Toc107997852"/>
      <w:r>
        <w:rPr>
          <w:rFonts w:hint="eastAsia" w:ascii="黑体" w:hAnsi="黑体" w:eastAsia="黑体"/>
          <w:b/>
          <w:bCs/>
          <w:color w:val="auto"/>
          <w:sz w:val="24"/>
        </w:rPr>
        <w:t>15.响应文件的签署及规定</w:t>
      </w:r>
      <w:bookmarkEnd w:id="81"/>
      <w:bookmarkEnd w:id="82"/>
    </w:p>
    <w:p w14:paraId="7D493C6C">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15.1响应文件应按谈判文件要求在签章处盖供应商单位公章和在签字处由供应商代表签字。供应商代表可为供应商法定代表人(非法人组织为负责人或合伙人、个体工商户为负责人，谈判文件统称单位负责人)；供应商代表不是供应商的法定代表人（单位负责人）的，应提供授权委托书。</w:t>
      </w:r>
    </w:p>
    <w:p w14:paraId="0524C531">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15.2响应文件正本一份，副本份数见</w:t>
      </w:r>
      <w:r>
        <w:rPr>
          <w:rFonts w:hint="eastAsia" w:ascii="宋体" w:hAnsi="宋体" w:cs="Courier New"/>
          <w:b/>
          <w:color w:val="auto"/>
          <w:szCs w:val="21"/>
        </w:rPr>
        <w:t>【谈判须知前附表】</w:t>
      </w:r>
      <w:r>
        <w:rPr>
          <w:rFonts w:hint="eastAsia" w:ascii="宋体" w:hAnsi="宋体" w:cs="Courier New"/>
          <w:color w:val="auto"/>
          <w:szCs w:val="21"/>
        </w:rPr>
        <w:t>；响应文件电子文档（U盘或光盘形式）：一份</w:t>
      </w:r>
      <w:r>
        <w:rPr>
          <w:rFonts w:hint="eastAsia" w:ascii="宋体" w:hAnsi="宋体" w:cs="Courier New"/>
          <w:b/>
          <w:color w:val="auto"/>
          <w:szCs w:val="21"/>
        </w:rPr>
        <w:t>。</w:t>
      </w:r>
      <w:r>
        <w:rPr>
          <w:rFonts w:hint="eastAsia" w:ascii="宋体" w:hAnsi="宋体" w:cs="Courier New"/>
          <w:color w:val="auto"/>
          <w:szCs w:val="21"/>
        </w:rPr>
        <w:t>纸质响应文件须清楚地注明“正本”或“副本”的字样。若副本和正本不一致或电子版文件和纸质正本文件不一致时，以纸质正本文件为准。响应文件的正本与副本应分别装订成册，并编制目录。响应文件的副本可为正本的复印件。</w:t>
      </w:r>
    </w:p>
    <w:p w14:paraId="7641ADD5">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15.3</w:t>
      </w:r>
      <w:r>
        <w:rPr>
          <w:rFonts w:hint="eastAsia" w:hAnsi="宋体"/>
          <w:color w:val="auto"/>
        </w:rPr>
        <w:t>响应文件任何加行、涂改、增删等改动，改动之处应由供应商代表签字。否则，将导致</w:t>
      </w:r>
      <w:r>
        <w:rPr>
          <w:rFonts w:hint="eastAsia" w:hAnsi="宋体"/>
          <w:b/>
          <w:color w:val="auto"/>
        </w:rPr>
        <w:t>响应文件无效。</w:t>
      </w:r>
    </w:p>
    <w:p w14:paraId="76CCE166">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15.4在谈判过程中，供应商按谈判文件规定和谈判小组要求</w:t>
      </w:r>
      <w:r>
        <w:rPr>
          <w:rFonts w:hint="eastAsia" w:ascii="宋体" w:hAnsi="宋体" w:cs="宋体"/>
          <w:color w:val="auto"/>
          <w:kern w:val="0"/>
          <w:szCs w:val="21"/>
        </w:rPr>
        <w:t>提交的</w:t>
      </w:r>
      <w:r>
        <w:rPr>
          <w:rFonts w:hint="eastAsia" w:ascii="宋体" w:hAnsi="宋体" w:cs="Courier New"/>
          <w:color w:val="auto"/>
          <w:szCs w:val="21"/>
        </w:rPr>
        <w:t>最后报价(或者</w:t>
      </w:r>
      <w:r>
        <w:rPr>
          <w:rFonts w:hint="eastAsia" w:ascii="宋体" w:hAnsi="宋体" w:cs="Courier New"/>
          <w:bCs/>
          <w:color w:val="auto"/>
          <w:szCs w:val="21"/>
        </w:rPr>
        <w:t>重</w:t>
      </w:r>
      <w:r>
        <w:rPr>
          <w:rFonts w:hint="eastAsia" w:ascii="宋体" w:hAnsi="宋体" w:cs="宋体"/>
          <w:color w:val="auto"/>
          <w:kern w:val="0"/>
          <w:szCs w:val="21"/>
        </w:rPr>
        <w:t>新提交的响应文件和</w:t>
      </w:r>
      <w:r>
        <w:rPr>
          <w:rFonts w:hint="eastAsia" w:ascii="宋体" w:hAnsi="宋体" w:cs="Courier New"/>
          <w:color w:val="auto"/>
          <w:szCs w:val="21"/>
        </w:rPr>
        <w:t>最后报价)，可打印或用不褪色材料书写，并经供应商代表签字，</w:t>
      </w:r>
      <w:r>
        <w:rPr>
          <w:rFonts w:hint="eastAsia" w:ascii="宋体" w:hAnsi="宋体" w:cs="宋体"/>
          <w:color w:val="auto"/>
          <w:kern w:val="0"/>
          <w:szCs w:val="21"/>
        </w:rPr>
        <w:t>或者加盖供应商单位公章</w:t>
      </w:r>
      <w:r>
        <w:rPr>
          <w:rFonts w:hint="eastAsia" w:ascii="宋体" w:hAnsi="宋体" w:cs="Courier New"/>
          <w:color w:val="auto"/>
          <w:szCs w:val="21"/>
        </w:rPr>
        <w:t>。否则，</w:t>
      </w:r>
      <w:r>
        <w:rPr>
          <w:rFonts w:hint="eastAsia" w:ascii="宋体" w:hAnsi="宋体" w:cs="Courier New"/>
          <w:b w:val="0"/>
          <w:bCs w:val="0"/>
          <w:color w:val="auto"/>
          <w:szCs w:val="21"/>
        </w:rPr>
        <w:t>将导致</w:t>
      </w:r>
      <w:r>
        <w:rPr>
          <w:rFonts w:hint="eastAsia" w:ascii="宋体" w:hAnsi="宋体" w:cs="Courier New"/>
          <w:b/>
          <w:bCs/>
          <w:color w:val="auto"/>
          <w:szCs w:val="21"/>
        </w:rPr>
        <w:t>响应文件无效。</w:t>
      </w:r>
    </w:p>
    <w:p w14:paraId="25397F67">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15.5为便于采购文件保存，</w:t>
      </w:r>
      <w:r>
        <w:rPr>
          <w:rFonts w:hint="eastAsia" w:hAnsi="宋体"/>
          <w:color w:val="auto"/>
        </w:rPr>
        <w:t>响应文件</w:t>
      </w:r>
      <w:r>
        <w:rPr>
          <w:rFonts w:hint="eastAsia" w:ascii="宋体" w:hAnsi="宋体"/>
          <w:color w:val="auto"/>
          <w:szCs w:val="21"/>
        </w:rPr>
        <w:t>电子文档建议为PDF格式，内容与纸质</w:t>
      </w:r>
      <w:r>
        <w:rPr>
          <w:rFonts w:hint="eastAsia" w:hAnsi="宋体"/>
          <w:color w:val="auto"/>
        </w:rPr>
        <w:t>响应文件</w:t>
      </w:r>
      <w:r>
        <w:rPr>
          <w:rFonts w:hint="eastAsia" w:ascii="宋体" w:hAnsi="宋体"/>
          <w:color w:val="auto"/>
          <w:szCs w:val="21"/>
        </w:rPr>
        <w:t>正本一致。</w:t>
      </w:r>
    </w:p>
    <w:p w14:paraId="03C0BB24">
      <w:pPr>
        <w:adjustRightInd w:val="0"/>
        <w:snapToGrid w:val="0"/>
        <w:spacing w:line="360" w:lineRule="auto"/>
        <w:jc w:val="center"/>
        <w:outlineLvl w:val="2"/>
        <w:rPr>
          <w:rFonts w:ascii="黑体" w:hAnsi="黑体" w:eastAsia="黑体"/>
          <w:b/>
          <w:bCs/>
          <w:color w:val="auto"/>
          <w:sz w:val="28"/>
          <w:szCs w:val="28"/>
        </w:rPr>
      </w:pPr>
      <w:bookmarkStart w:id="83" w:name="_Toc26879"/>
      <w:bookmarkStart w:id="84" w:name="_Toc107997980"/>
      <w:r>
        <w:rPr>
          <w:rFonts w:hint="eastAsia" w:ascii="黑体" w:hAnsi="黑体" w:eastAsia="黑体"/>
          <w:b/>
          <w:bCs/>
          <w:color w:val="auto"/>
          <w:sz w:val="28"/>
          <w:szCs w:val="28"/>
        </w:rPr>
        <w:t>四、响应文件的递交</w:t>
      </w:r>
      <w:bookmarkEnd w:id="83"/>
      <w:bookmarkEnd w:id="84"/>
    </w:p>
    <w:p w14:paraId="73D5308B">
      <w:pPr>
        <w:spacing w:line="360" w:lineRule="auto"/>
        <w:outlineLvl w:val="3"/>
        <w:rPr>
          <w:rFonts w:ascii="黑体" w:hAnsi="黑体" w:eastAsia="黑体"/>
          <w:b/>
          <w:bCs/>
          <w:color w:val="auto"/>
          <w:sz w:val="24"/>
        </w:rPr>
      </w:pPr>
      <w:bookmarkStart w:id="85" w:name="_Toc107997854"/>
      <w:bookmarkStart w:id="86" w:name="_Toc107997981"/>
      <w:r>
        <w:rPr>
          <w:rFonts w:hint="eastAsia" w:ascii="黑体" w:hAnsi="黑体" w:eastAsia="黑体"/>
          <w:b/>
          <w:bCs/>
          <w:color w:val="auto"/>
          <w:sz w:val="24"/>
        </w:rPr>
        <w:t>16.响应文件的密封和标记</w:t>
      </w:r>
      <w:bookmarkEnd w:id="85"/>
      <w:bookmarkEnd w:id="86"/>
    </w:p>
    <w:p w14:paraId="5D2A7FA9">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16.1响应文件应密封包装，以保证其响应文件信息在提交首次响应文件截止时间前不被透露。</w:t>
      </w:r>
    </w:p>
    <w:p w14:paraId="0146056A">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16.2响应文件封套上应写明的内容见</w:t>
      </w:r>
      <w:r>
        <w:rPr>
          <w:rFonts w:hint="eastAsia" w:ascii="宋体" w:hAnsi="宋体"/>
          <w:b/>
          <w:color w:val="auto"/>
          <w:szCs w:val="21"/>
        </w:rPr>
        <w:t>【</w:t>
      </w:r>
      <w:r>
        <w:rPr>
          <w:rFonts w:hint="eastAsia" w:hAnsi="宋体"/>
          <w:b/>
          <w:color w:val="auto"/>
        </w:rPr>
        <w:t>谈判</w:t>
      </w:r>
      <w:r>
        <w:rPr>
          <w:rFonts w:hint="eastAsia" w:ascii="宋体" w:hAnsi="宋体"/>
          <w:b/>
          <w:color w:val="auto"/>
          <w:szCs w:val="21"/>
        </w:rPr>
        <w:t>须知前附表】。</w:t>
      </w:r>
    </w:p>
    <w:p w14:paraId="408F8FB1">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16.3响应文件如果未按本章第</w:t>
      </w:r>
      <w:r>
        <w:rPr>
          <w:rFonts w:hint="eastAsia" w:ascii="宋体" w:hAnsi="宋体"/>
          <w:color w:val="auto"/>
        </w:rPr>
        <w:t>16.1款</w:t>
      </w:r>
      <w:r>
        <w:rPr>
          <w:rFonts w:hint="eastAsia" w:ascii="宋体" w:hAnsi="宋体"/>
          <w:color w:val="auto"/>
          <w:szCs w:val="21"/>
        </w:rPr>
        <w:t>规定密封，采购人、采购代理机构将拒绝接收。</w:t>
      </w:r>
    </w:p>
    <w:p w14:paraId="090FD928">
      <w:pPr>
        <w:spacing w:line="360" w:lineRule="auto"/>
        <w:outlineLvl w:val="3"/>
        <w:rPr>
          <w:rFonts w:ascii="黑体" w:hAnsi="黑体" w:eastAsia="黑体"/>
          <w:b/>
          <w:bCs/>
          <w:color w:val="auto"/>
          <w:sz w:val="24"/>
        </w:rPr>
      </w:pPr>
      <w:bookmarkStart w:id="87" w:name="_Toc107997982"/>
      <w:bookmarkStart w:id="88" w:name="_Toc107997855"/>
      <w:r>
        <w:rPr>
          <w:rFonts w:hint="eastAsia" w:ascii="黑体" w:hAnsi="黑体" w:eastAsia="黑体"/>
          <w:b/>
          <w:bCs/>
          <w:color w:val="auto"/>
          <w:sz w:val="24"/>
        </w:rPr>
        <w:t>17.响应文件的</w:t>
      </w:r>
      <w:r>
        <w:rPr>
          <w:rFonts w:hint="eastAsia" w:ascii="黑体" w:hAnsi="黑体" w:eastAsia="黑体" w:cs="宋体"/>
          <w:b/>
          <w:bCs/>
          <w:color w:val="auto"/>
          <w:kern w:val="0"/>
          <w:sz w:val="24"/>
          <w:lang w:val="zh-CN"/>
        </w:rPr>
        <w:t>补充、修改或者撤回</w:t>
      </w:r>
      <w:bookmarkEnd w:id="87"/>
      <w:bookmarkEnd w:id="88"/>
    </w:p>
    <w:p w14:paraId="2BB1E5A7">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17.1</w:t>
      </w:r>
      <w:r>
        <w:rPr>
          <w:rFonts w:hint="eastAsia" w:ascii="宋体" w:hAnsi="宋体" w:cs="宋体"/>
          <w:color w:val="auto"/>
          <w:kern w:val="0"/>
          <w:szCs w:val="21"/>
        </w:rPr>
        <w:t>供应商在提交首次响应文件截止时间前，可以对所提交的首次响应文件进行补充、修改或者撤回，并书面通知采购人、采购代理机构。</w:t>
      </w:r>
      <w:r>
        <w:rPr>
          <w:rFonts w:hint="eastAsia" w:ascii="宋体" w:hAnsi="宋体" w:cs="Courier New"/>
          <w:color w:val="auto"/>
          <w:szCs w:val="21"/>
        </w:rPr>
        <w:t>该通知应有供应商代表签字。</w:t>
      </w:r>
    </w:p>
    <w:p w14:paraId="66CE8B69">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17.2</w:t>
      </w:r>
      <w:r>
        <w:rPr>
          <w:rFonts w:hint="eastAsia" w:ascii="宋体" w:hAnsi="宋体" w:cs="宋体"/>
          <w:color w:val="auto"/>
          <w:kern w:val="0"/>
          <w:szCs w:val="21"/>
          <w:lang w:val="zh-CN"/>
        </w:rPr>
        <w:t>补充、修改的内容与响应文件不一致时，以补充、修改的内容为准。</w:t>
      </w:r>
    </w:p>
    <w:p w14:paraId="439A7318">
      <w:pPr>
        <w:spacing w:line="360" w:lineRule="auto"/>
        <w:outlineLvl w:val="3"/>
        <w:rPr>
          <w:rFonts w:ascii="黑体" w:hAnsi="黑体" w:eastAsia="黑体"/>
          <w:b/>
          <w:bCs/>
          <w:color w:val="auto"/>
          <w:sz w:val="24"/>
        </w:rPr>
      </w:pPr>
      <w:bookmarkStart w:id="89" w:name="_Toc107997983"/>
      <w:bookmarkStart w:id="90" w:name="_Toc107997856"/>
      <w:r>
        <w:rPr>
          <w:rFonts w:hint="eastAsia" w:ascii="黑体" w:hAnsi="黑体" w:eastAsia="黑体"/>
          <w:b/>
          <w:bCs/>
          <w:color w:val="auto"/>
          <w:sz w:val="24"/>
        </w:rPr>
        <w:t>18.响应文件的递交与接收</w:t>
      </w:r>
      <w:bookmarkEnd w:id="89"/>
      <w:bookmarkEnd w:id="90"/>
    </w:p>
    <w:p w14:paraId="1B39CEF8">
      <w:pPr>
        <w:adjustRightInd w:val="0"/>
        <w:snapToGrid w:val="0"/>
        <w:spacing w:line="360" w:lineRule="auto"/>
        <w:ind w:firstLine="420" w:firstLineChars="200"/>
        <w:rPr>
          <w:rFonts w:hAnsi="宋体" w:cs="宋体"/>
          <w:color w:val="auto"/>
          <w:kern w:val="0"/>
        </w:rPr>
      </w:pPr>
      <w:r>
        <w:rPr>
          <w:rFonts w:hint="eastAsia" w:ascii="宋体" w:hAnsi="宋体"/>
          <w:color w:val="auto"/>
          <w:szCs w:val="21"/>
        </w:rPr>
        <w:t>18.1供应商应在</w:t>
      </w:r>
      <w:r>
        <w:rPr>
          <w:rFonts w:hint="eastAsia" w:ascii="宋体" w:hAnsi="宋体"/>
          <w:b/>
          <w:color w:val="auto"/>
          <w:szCs w:val="21"/>
        </w:rPr>
        <w:t>【</w:t>
      </w:r>
      <w:r>
        <w:rPr>
          <w:rFonts w:hint="eastAsia" w:hAnsi="宋体"/>
          <w:b/>
          <w:color w:val="auto"/>
        </w:rPr>
        <w:t>谈判</w:t>
      </w:r>
      <w:r>
        <w:rPr>
          <w:rFonts w:hint="eastAsia" w:ascii="宋体" w:hAnsi="宋体"/>
          <w:b/>
          <w:color w:val="auto"/>
          <w:szCs w:val="21"/>
        </w:rPr>
        <w:t>须知前附表】</w:t>
      </w:r>
      <w:r>
        <w:rPr>
          <w:rFonts w:hint="eastAsia" w:hAnsi="宋体"/>
          <w:color w:val="auto"/>
        </w:rPr>
        <w:t>规定的</w:t>
      </w:r>
      <w:r>
        <w:rPr>
          <w:rFonts w:hint="eastAsia" w:ascii="宋体" w:hAnsi="宋体" w:cs="宋体"/>
          <w:color w:val="auto"/>
          <w:kern w:val="0"/>
          <w:szCs w:val="21"/>
        </w:rPr>
        <w:t>时间和</w:t>
      </w:r>
      <w:r>
        <w:rPr>
          <w:rFonts w:hint="eastAsia" w:ascii="宋体" w:hAnsi="宋体"/>
          <w:color w:val="auto"/>
          <w:szCs w:val="21"/>
        </w:rPr>
        <w:t>地点提交响应文件。</w:t>
      </w:r>
      <w:r>
        <w:rPr>
          <w:rFonts w:hint="eastAsia" w:hAnsi="宋体" w:cs="宋体"/>
          <w:color w:val="auto"/>
          <w:kern w:val="0"/>
        </w:rPr>
        <w:t>采购人、采购代理机构或者谈判小组拒收逾期送达的响应文件。</w:t>
      </w:r>
    </w:p>
    <w:p w14:paraId="6CE80564">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18.2采购人、采购代理机构收到响应文件后，应当如实记载响应文件的送达时间和密封情况，签收保存，并向供应商出具包括以下信息的签收回执。任何单位和个人不得在提交首次响应文件截止时间前开启响应文件。</w:t>
      </w:r>
    </w:p>
    <w:p w14:paraId="71DC88E8">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（1）项目名称、</w:t>
      </w:r>
      <w:r>
        <w:rPr>
          <w:rFonts w:hint="eastAsia" w:ascii="宋体" w:hAnsi="宋体"/>
          <w:color w:val="auto"/>
          <w:szCs w:val="21"/>
          <w:lang w:eastAsia="zh-CN"/>
        </w:rPr>
        <w:t>采购编号</w:t>
      </w:r>
      <w:r>
        <w:rPr>
          <w:rFonts w:hint="eastAsia" w:ascii="宋体" w:hAnsi="宋体"/>
          <w:color w:val="auto"/>
          <w:szCs w:val="21"/>
        </w:rPr>
        <w:t>；</w:t>
      </w:r>
    </w:p>
    <w:p w14:paraId="529A68B2">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（2）供应商名称；</w:t>
      </w:r>
    </w:p>
    <w:p w14:paraId="7F4A4087">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（3）响应文件送达时间、地址；</w:t>
      </w:r>
    </w:p>
    <w:p w14:paraId="2D904218">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（4）响应文件密封情况；</w:t>
      </w:r>
    </w:p>
    <w:p w14:paraId="4191F74E">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（5）采购人、采购代理机构名称；</w:t>
      </w:r>
    </w:p>
    <w:p w14:paraId="2954DD5E">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（6）采购人、采购代理机构接收人签字。</w:t>
      </w:r>
    </w:p>
    <w:p w14:paraId="181394E5">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18.3采购人、</w:t>
      </w:r>
      <w:r>
        <w:rPr>
          <w:rFonts w:hint="eastAsia" w:ascii="宋体" w:hAnsi="宋体" w:cs="Courier New"/>
          <w:bCs/>
          <w:color w:val="auto"/>
          <w:szCs w:val="21"/>
        </w:rPr>
        <w:t>采购代理机构</w:t>
      </w:r>
      <w:r>
        <w:rPr>
          <w:rFonts w:hint="eastAsia" w:ascii="宋体" w:hAnsi="宋体" w:cs="Courier New"/>
          <w:color w:val="auto"/>
          <w:szCs w:val="21"/>
        </w:rPr>
        <w:t>在按本章第2</w:t>
      </w:r>
      <w:r>
        <w:rPr>
          <w:rFonts w:ascii="宋体" w:hAnsi="宋体" w:cs="Courier New"/>
          <w:color w:val="auto"/>
          <w:szCs w:val="21"/>
        </w:rPr>
        <w:t>4</w:t>
      </w:r>
      <w:r>
        <w:rPr>
          <w:rFonts w:hint="eastAsia" w:ascii="宋体" w:hAnsi="宋体" w:cs="Courier New"/>
          <w:color w:val="auto"/>
          <w:szCs w:val="21"/>
        </w:rPr>
        <w:t>.3款规定公布供应商的最后报价前，不公开供应商的技术资料、价格和其他信息。</w:t>
      </w:r>
    </w:p>
    <w:p w14:paraId="0C057B3D">
      <w:pPr>
        <w:adjustRightInd w:val="0"/>
        <w:snapToGrid w:val="0"/>
        <w:spacing w:line="360" w:lineRule="auto"/>
        <w:jc w:val="center"/>
        <w:outlineLvl w:val="2"/>
        <w:rPr>
          <w:rFonts w:ascii="黑体" w:hAnsi="黑体" w:eastAsia="黑体"/>
          <w:b/>
          <w:bCs/>
          <w:color w:val="auto"/>
          <w:sz w:val="28"/>
          <w:szCs w:val="28"/>
        </w:rPr>
      </w:pPr>
      <w:bookmarkStart w:id="91" w:name="_Toc12033"/>
      <w:bookmarkStart w:id="92" w:name="_Toc107997984"/>
      <w:r>
        <w:rPr>
          <w:rFonts w:hint="eastAsia" w:ascii="黑体" w:hAnsi="黑体" w:eastAsia="黑体"/>
          <w:b/>
          <w:bCs/>
          <w:color w:val="auto"/>
          <w:sz w:val="28"/>
          <w:szCs w:val="28"/>
        </w:rPr>
        <w:t>五、响应文件的评审与谈判</w:t>
      </w:r>
      <w:bookmarkEnd w:id="91"/>
      <w:bookmarkEnd w:id="92"/>
    </w:p>
    <w:p w14:paraId="3CDA0117">
      <w:pPr>
        <w:spacing w:line="360" w:lineRule="auto"/>
        <w:outlineLvl w:val="3"/>
        <w:rPr>
          <w:rFonts w:ascii="黑体" w:hAnsi="黑体" w:eastAsia="黑体"/>
          <w:b/>
          <w:bCs/>
          <w:color w:val="auto"/>
          <w:sz w:val="24"/>
        </w:rPr>
      </w:pPr>
      <w:bookmarkStart w:id="93" w:name="_Toc107997985"/>
      <w:bookmarkStart w:id="94" w:name="_Toc107997858"/>
      <w:r>
        <w:rPr>
          <w:rFonts w:hint="eastAsia" w:ascii="黑体" w:hAnsi="黑体" w:eastAsia="黑体"/>
          <w:b/>
          <w:bCs/>
          <w:color w:val="auto"/>
          <w:sz w:val="24"/>
        </w:rPr>
        <w:t>19.供应商资格审查</w:t>
      </w:r>
      <w:bookmarkEnd w:id="93"/>
      <w:bookmarkEnd w:id="94"/>
    </w:p>
    <w:p w14:paraId="7BC32013">
      <w:pPr>
        <w:adjustRightInd w:val="0"/>
        <w:snapToGrid w:val="0"/>
        <w:spacing w:line="360" w:lineRule="auto"/>
        <w:ind w:firstLine="420" w:firstLineChars="200"/>
        <w:rPr>
          <w:rFonts w:ascii="宋体" w:hAnsi="宋体" w:eastAsia="宋体"/>
          <w:color w:val="auto"/>
        </w:rPr>
      </w:pPr>
      <w:r>
        <w:rPr>
          <w:rFonts w:hint="eastAsia" w:ascii="宋体" w:hAnsi="宋体" w:eastAsia="宋体" w:cs="宋体"/>
          <w:color w:val="auto"/>
          <w:kern w:val="0"/>
          <w:lang w:val="zh-CN"/>
        </w:rPr>
        <w:t>19.1</w:t>
      </w:r>
      <w:r>
        <w:rPr>
          <w:rFonts w:hint="eastAsia" w:ascii="宋体" w:hAnsi="宋体" w:eastAsia="宋体"/>
          <w:color w:val="auto"/>
          <w:szCs w:val="21"/>
        </w:rPr>
        <w:t>除本章第14.1</w:t>
      </w:r>
      <w:r>
        <w:rPr>
          <w:rFonts w:hint="eastAsia" w:ascii="宋体" w:hAnsi="宋体" w:eastAsia="宋体" w:cs="宋体"/>
          <w:color w:val="auto"/>
          <w:kern w:val="0"/>
          <w:szCs w:val="21"/>
          <w:lang w:val="zh-CN"/>
        </w:rPr>
        <w:t>款规定的</w:t>
      </w:r>
      <w:r>
        <w:rPr>
          <w:rFonts w:hint="eastAsia" w:ascii="宋体" w:hAnsi="宋体" w:eastAsia="宋体"/>
          <w:color w:val="auto"/>
        </w:rPr>
        <w:t>情形外，采购人、采购代理机构不再对供应商进行资格审查。</w:t>
      </w:r>
    </w:p>
    <w:p w14:paraId="26F53A2E">
      <w:pPr>
        <w:adjustRightInd w:val="0"/>
        <w:snapToGrid w:val="0"/>
        <w:spacing w:line="360" w:lineRule="auto"/>
        <w:ind w:firstLine="420" w:firstLineChars="200"/>
        <w:rPr>
          <w:rFonts w:ascii="宋体" w:hAnsi="宋体" w:eastAsia="宋体"/>
          <w:color w:val="auto"/>
        </w:rPr>
      </w:pPr>
      <w:r>
        <w:rPr>
          <w:rFonts w:hint="eastAsia" w:ascii="宋体" w:hAnsi="宋体" w:eastAsia="宋体"/>
          <w:color w:val="auto"/>
        </w:rPr>
        <w:t>19.2如果供应商不再具备本章第3.1款规定的供应商资格条件时，</w:t>
      </w:r>
      <w:r>
        <w:rPr>
          <w:rFonts w:hint="eastAsia" w:ascii="宋体" w:hAnsi="宋体" w:eastAsia="宋体"/>
          <w:b/>
          <w:color w:val="auto"/>
        </w:rPr>
        <w:t>响应文件无效</w:t>
      </w:r>
      <w:r>
        <w:rPr>
          <w:rFonts w:hint="eastAsia" w:ascii="宋体" w:hAnsi="宋体" w:eastAsia="宋体"/>
          <w:color w:val="auto"/>
        </w:rPr>
        <w:t>。</w:t>
      </w:r>
    </w:p>
    <w:p w14:paraId="2E897401">
      <w:pPr>
        <w:spacing w:line="360" w:lineRule="auto"/>
        <w:outlineLvl w:val="3"/>
        <w:rPr>
          <w:rFonts w:ascii="黑体" w:hAnsi="黑体" w:eastAsia="黑体"/>
          <w:b/>
          <w:bCs/>
          <w:color w:val="auto"/>
          <w:sz w:val="24"/>
        </w:rPr>
      </w:pPr>
      <w:bookmarkStart w:id="95" w:name="_Toc107997860"/>
      <w:bookmarkStart w:id="96" w:name="_Toc107997987"/>
      <w:r>
        <w:rPr>
          <w:rFonts w:hint="eastAsia" w:ascii="黑体" w:hAnsi="黑体" w:eastAsia="黑体"/>
          <w:b/>
          <w:bCs/>
          <w:color w:val="auto"/>
          <w:sz w:val="24"/>
        </w:rPr>
        <w:t>20.谈判小组</w:t>
      </w:r>
      <w:bookmarkEnd w:id="95"/>
      <w:bookmarkEnd w:id="96"/>
    </w:p>
    <w:p w14:paraId="298CDACF">
      <w:pPr>
        <w:adjustRightInd w:val="0"/>
        <w:snapToGrid w:val="0"/>
        <w:spacing w:line="360" w:lineRule="auto"/>
        <w:ind w:firstLine="420"/>
        <w:jc w:val="left"/>
        <w:rPr>
          <w:rFonts w:ascii="宋体" w:hAnsi="宋体"/>
          <w:bCs/>
          <w:color w:val="auto"/>
          <w:szCs w:val="21"/>
        </w:rPr>
      </w:pPr>
      <w:r>
        <w:rPr>
          <w:rFonts w:hint="eastAsia" w:ascii="宋体" w:hAnsi="宋体"/>
          <w:bCs/>
          <w:color w:val="auto"/>
          <w:szCs w:val="21"/>
        </w:rPr>
        <w:t>20.1谈判小组由采购人代表和评审专家组成。</w:t>
      </w:r>
    </w:p>
    <w:p w14:paraId="2023E4FB">
      <w:pPr>
        <w:adjustRightInd w:val="0"/>
        <w:snapToGrid w:val="0"/>
        <w:spacing w:line="360" w:lineRule="auto"/>
        <w:ind w:firstLine="420"/>
        <w:jc w:val="left"/>
        <w:rPr>
          <w:rFonts w:ascii="宋体" w:hAnsi="宋体"/>
          <w:color w:val="auto"/>
          <w:szCs w:val="21"/>
        </w:rPr>
      </w:pPr>
      <w:r>
        <w:rPr>
          <w:rFonts w:hint="eastAsia" w:ascii="宋体" w:hAnsi="宋体"/>
          <w:bCs/>
          <w:color w:val="auto"/>
          <w:szCs w:val="21"/>
        </w:rPr>
        <w:t>20.2谈判小组</w:t>
      </w:r>
      <w:r>
        <w:rPr>
          <w:rFonts w:ascii="宋体" w:hAnsi="宋体"/>
          <w:color w:val="auto"/>
          <w:szCs w:val="21"/>
        </w:rPr>
        <w:t>成员有下列情形之一的，应当回避：</w:t>
      </w:r>
    </w:p>
    <w:p w14:paraId="56CA41C9">
      <w:pPr>
        <w:adjustRightInd w:val="0"/>
        <w:snapToGrid w:val="0"/>
        <w:spacing w:line="360" w:lineRule="auto"/>
        <w:ind w:firstLine="420"/>
        <w:jc w:val="left"/>
        <w:rPr>
          <w:color w:val="auto"/>
          <w:szCs w:val="21"/>
        </w:rPr>
      </w:pPr>
      <w:r>
        <w:rPr>
          <w:rFonts w:ascii="宋体" w:hAnsi="宋体"/>
          <w:color w:val="auto"/>
          <w:szCs w:val="21"/>
        </w:rPr>
        <w:t>（1）参加采购活动前 3 年内与供应商存在劳动关系</w:t>
      </w:r>
      <w:r>
        <w:rPr>
          <w:rFonts w:hint="eastAsia" w:ascii="宋体" w:hAnsi="宋体"/>
          <w:color w:val="auto"/>
          <w:szCs w:val="21"/>
        </w:rPr>
        <w:t>；</w:t>
      </w:r>
    </w:p>
    <w:p w14:paraId="1E56A09C">
      <w:pPr>
        <w:adjustRightInd w:val="0"/>
        <w:snapToGrid w:val="0"/>
        <w:spacing w:line="360" w:lineRule="auto"/>
        <w:ind w:firstLine="420"/>
        <w:jc w:val="left"/>
        <w:rPr>
          <w:color w:val="auto"/>
          <w:szCs w:val="21"/>
        </w:rPr>
      </w:pPr>
      <w:r>
        <w:rPr>
          <w:rFonts w:ascii="宋体" w:hAnsi="宋体"/>
          <w:color w:val="auto"/>
          <w:szCs w:val="21"/>
        </w:rPr>
        <w:t>（2）参加采购活动前 3 年内担任供应商的董事、监事；</w:t>
      </w:r>
    </w:p>
    <w:p w14:paraId="65F2D145">
      <w:pPr>
        <w:adjustRightInd w:val="0"/>
        <w:snapToGrid w:val="0"/>
        <w:spacing w:line="360" w:lineRule="auto"/>
        <w:ind w:firstLine="420"/>
        <w:jc w:val="left"/>
        <w:rPr>
          <w:color w:val="auto"/>
          <w:szCs w:val="21"/>
        </w:rPr>
      </w:pPr>
      <w:r>
        <w:rPr>
          <w:rFonts w:ascii="宋体" w:hAnsi="宋体"/>
          <w:color w:val="auto"/>
          <w:szCs w:val="21"/>
        </w:rPr>
        <w:t>（3）参加采购活动前 3 年内是供应商的控股股东或者实际控制人；</w:t>
      </w:r>
    </w:p>
    <w:p w14:paraId="29584E22">
      <w:pPr>
        <w:adjustRightInd w:val="0"/>
        <w:snapToGrid w:val="0"/>
        <w:spacing w:line="360" w:lineRule="auto"/>
        <w:ind w:firstLine="420"/>
        <w:jc w:val="left"/>
        <w:rPr>
          <w:color w:val="auto"/>
          <w:szCs w:val="21"/>
        </w:rPr>
      </w:pPr>
      <w:r>
        <w:rPr>
          <w:rFonts w:ascii="宋体" w:hAnsi="宋体"/>
          <w:color w:val="auto"/>
          <w:szCs w:val="21"/>
        </w:rPr>
        <w:t>（4）与供应商的法定代表人或者负责人有夫妻、直系血亲、三代以内旁系血</w:t>
      </w:r>
      <w:r>
        <w:rPr>
          <w:rFonts w:hint="eastAsia"/>
          <w:color w:val="auto"/>
          <w:szCs w:val="21"/>
        </w:rPr>
        <w:br w:type="textWrapping"/>
      </w:r>
      <w:r>
        <w:rPr>
          <w:rFonts w:ascii="宋体" w:hAnsi="宋体"/>
          <w:color w:val="auto"/>
          <w:szCs w:val="21"/>
        </w:rPr>
        <w:t>亲或者近姻亲关系；</w:t>
      </w:r>
    </w:p>
    <w:p w14:paraId="5BFD01BF">
      <w:pPr>
        <w:adjustRightInd w:val="0"/>
        <w:snapToGrid w:val="0"/>
        <w:spacing w:line="360" w:lineRule="auto"/>
        <w:ind w:firstLine="420"/>
        <w:jc w:val="left"/>
        <w:rPr>
          <w:rFonts w:ascii="宋体" w:hAnsi="宋体"/>
          <w:color w:val="auto"/>
          <w:szCs w:val="21"/>
        </w:rPr>
      </w:pPr>
      <w:r>
        <w:rPr>
          <w:rFonts w:ascii="宋体" w:hAnsi="宋体"/>
          <w:color w:val="auto"/>
          <w:szCs w:val="21"/>
        </w:rPr>
        <w:t>（5）与供应商有其他可能影响政府采购活动公平、公正进行的关系。</w:t>
      </w:r>
    </w:p>
    <w:p w14:paraId="42948893">
      <w:pPr>
        <w:adjustRightInd w:val="0"/>
        <w:snapToGrid w:val="0"/>
        <w:spacing w:line="360" w:lineRule="auto"/>
        <w:ind w:firstLine="420"/>
        <w:jc w:val="left"/>
        <w:rPr>
          <w:color w:val="auto"/>
          <w:szCs w:val="21"/>
        </w:rPr>
      </w:pPr>
      <w:r>
        <w:rPr>
          <w:rFonts w:hint="eastAsia" w:ascii="宋体" w:hAnsi="宋体"/>
          <w:color w:val="auto"/>
          <w:szCs w:val="21"/>
        </w:rPr>
        <w:t>20</w:t>
      </w:r>
      <w:r>
        <w:rPr>
          <w:rFonts w:ascii="宋体" w:hAnsi="宋体"/>
          <w:color w:val="auto"/>
          <w:szCs w:val="21"/>
        </w:rPr>
        <w:t>.</w:t>
      </w:r>
      <w:r>
        <w:rPr>
          <w:rFonts w:hint="eastAsia" w:ascii="宋体" w:hAnsi="宋体"/>
          <w:color w:val="auto"/>
          <w:szCs w:val="21"/>
        </w:rPr>
        <w:t>3谈判小组成员应当按照客观、公正、审慎的原则，根据谈判文件规定的评审程序、评审方法和评审标准进行独立评审。</w:t>
      </w:r>
    </w:p>
    <w:p w14:paraId="250172D8">
      <w:pPr>
        <w:spacing w:line="360" w:lineRule="auto"/>
        <w:outlineLvl w:val="3"/>
        <w:rPr>
          <w:rFonts w:ascii="黑体" w:hAnsi="黑体" w:eastAsia="黑体"/>
          <w:b/>
          <w:bCs/>
          <w:color w:val="auto"/>
          <w:sz w:val="24"/>
        </w:rPr>
      </w:pPr>
      <w:bookmarkStart w:id="97" w:name="_Toc107997988"/>
      <w:bookmarkStart w:id="98" w:name="_Toc107997861"/>
      <w:r>
        <w:rPr>
          <w:rFonts w:hint="eastAsia" w:ascii="黑体" w:hAnsi="黑体" w:eastAsia="黑体"/>
          <w:b/>
          <w:bCs/>
          <w:color w:val="auto"/>
          <w:sz w:val="24"/>
        </w:rPr>
        <w:t>21.谈判程序</w:t>
      </w:r>
      <w:bookmarkEnd w:id="97"/>
      <w:bookmarkEnd w:id="98"/>
    </w:p>
    <w:p w14:paraId="63E59F2C">
      <w:pPr>
        <w:adjustRightInd w:val="0"/>
        <w:snapToGrid w:val="0"/>
        <w:spacing w:line="360" w:lineRule="auto"/>
        <w:ind w:firstLine="420"/>
        <w:jc w:val="left"/>
        <w:rPr>
          <w:rFonts w:ascii="宋体" w:hAnsi="宋体"/>
          <w:bCs/>
          <w:color w:val="auto"/>
          <w:szCs w:val="21"/>
        </w:rPr>
      </w:pPr>
      <w:r>
        <w:rPr>
          <w:rFonts w:hint="eastAsia" w:ascii="宋体" w:hAnsi="宋体" w:cs="宋体"/>
          <w:color w:val="auto"/>
          <w:kern w:val="0"/>
          <w:szCs w:val="21"/>
        </w:rPr>
        <w:t>21.1</w:t>
      </w:r>
      <w:r>
        <w:rPr>
          <w:rFonts w:hint="eastAsia" w:ascii="宋体" w:hAnsi="宋体"/>
          <w:bCs/>
          <w:color w:val="auto"/>
          <w:szCs w:val="21"/>
        </w:rPr>
        <w:t>谈判程序：谈判（响应文件审查、澄清）、最后报价、提出成交供应商。其中，谈判按本章第23条进行。</w:t>
      </w:r>
    </w:p>
    <w:p w14:paraId="4BD131DD">
      <w:pPr>
        <w:adjustRightInd w:val="0"/>
        <w:snapToGrid w:val="0"/>
        <w:spacing w:line="360" w:lineRule="auto"/>
        <w:ind w:firstLine="420"/>
        <w:jc w:val="left"/>
        <w:rPr>
          <w:rFonts w:ascii="宋体" w:hAnsi="宋体"/>
          <w:bCs/>
          <w:color w:val="auto"/>
          <w:szCs w:val="21"/>
        </w:rPr>
      </w:pPr>
      <w:r>
        <w:rPr>
          <w:rFonts w:hint="eastAsia" w:ascii="宋体" w:hAnsi="宋体"/>
          <w:bCs/>
          <w:color w:val="auto"/>
          <w:szCs w:val="21"/>
        </w:rPr>
        <w:t>21.2谈判小组应当对响应文件进行评审，并根据谈判文件规定的程序、评定成交的标准等事项与实质性响应谈判文件要求的供应商进行谈判。</w:t>
      </w:r>
    </w:p>
    <w:p w14:paraId="26159225">
      <w:pPr>
        <w:adjustRightInd w:val="0"/>
        <w:snapToGrid w:val="0"/>
        <w:spacing w:line="360" w:lineRule="auto"/>
        <w:ind w:firstLine="420"/>
        <w:jc w:val="left"/>
        <w:rPr>
          <w:rFonts w:ascii="宋体" w:hAnsi="宋体"/>
          <w:bCs/>
          <w:color w:val="auto"/>
          <w:szCs w:val="21"/>
        </w:rPr>
      </w:pPr>
      <w:r>
        <w:rPr>
          <w:rFonts w:hint="eastAsia" w:ascii="宋体" w:hAnsi="宋体"/>
          <w:bCs/>
          <w:color w:val="auto"/>
          <w:szCs w:val="21"/>
        </w:rPr>
        <w:t>21.3在谈判过程中谈判的任何一方不得向他人透露与谈判有关的技术资料、价格或其他信息。</w:t>
      </w:r>
    </w:p>
    <w:p w14:paraId="403A2A54">
      <w:pPr>
        <w:spacing w:line="360" w:lineRule="auto"/>
        <w:outlineLvl w:val="3"/>
        <w:rPr>
          <w:rFonts w:ascii="黑体" w:hAnsi="黑体" w:eastAsia="黑体"/>
          <w:b/>
          <w:bCs/>
          <w:color w:val="auto"/>
          <w:sz w:val="24"/>
        </w:rPr>
      </w:pPr>
      <w:bookmarkStart w:id="99" w:name="_Toc107997989"/>
      <w:bookmarkStart w:id="100" w:name="_Toc107997862"/>
      <w:r>
        <w:rPr>
          <w:rFonts w:hint="eastAsia" w:ascii="黑体" w:hAnsi="黑体" w:eastAsia="黑体"/>
          <w:b/>
          <w:bCs/>
          <w:color w:val="auto"/>
          <w:sz w:val="24"/>
        </w:rPr>
        <w:t>22.响应文件审查</w:t>
      </w:r>
      <w:bookmarkEnd w:id="99"/>
      <w:bookmarkEnd w:id="100"/>
    </w:p>
    <w:p w14:paraId="6931A8BE">
      <w:pPr>
        <w:adjustRightInd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22.1谈判小组对响应文件(包括首次提交的响应文件、重新提交的响应文件)的有效性、完整性和对谈判文件的响应程度进行审查。</w:t>
      </w:r>
    </w:p>
    <w:p w14:paraId="2E33328D">
      <w:pPr>
        <w:adjustRightInd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22.2响应文件有下列情况之一，响应文件按无效处理，谈判小组应当告知有关供应商。</w:t>
      </w:r>
    </w:p>
    <w:p w14:paraId="1762BAD8">
      <w:pPr>
        <w:adjustRightInd w:val="0"/>
        <w:snapToGrid w:val="0"/>
        <w:spacing w:line="360" w:lineRule="auto"/>
        <w:ind w:firstLine="420" w:firstLineChars="200"/>
        <w:rPr>
          <w:rFonts w:ascii="宋体" w:hAnsi="宋体"/>
          <w:bCs/>
          <w:color w:val="auto"/>
          <w:szCs w:val="21"/>
        </w:rPr>
      </w:pPr>
      <w:r>
        <w:rPr>
          <w:rFonts w:hint="eastAsia" w:ascii="宋体" w:hAnsi="宋体" w:cs="宋体"/>
          <w:color w:val="auto"/>
          <w:kern w:val="0"/>
          <w:szCs w:val="21"/>
        </w:rPr>
        <w:t>（1）</w:t>
      </w:r>
      <w:r>
        <w:rPr>
          <w:rFonts w:hint="eastAsia" w:ascii="宋体" w:hAnsi="宋体"/>
          <w:color w:val="auto"/>
          <w:szCs w:val="21"/>
        </w:rPr>
        <w:t>应交未交保证金或</w:t>
      </w:r>
      <w:r>
        <w:rPr>
          <w:rFonts w:hint="eastAsia"/>
          <w:color w:val="auto"/>
          <w:szCs w:val="21"/>
        </w:rPr>
        <w:t>金额不足、保证金形式不符合谈判文件要求的</w:t>
      </w:r>
      <w:r>
        <w:rPr>
          <w:rFonts w:hint="eastAsia" w:ascii="宋体" w:hAnsi="宋体"/>
          <w:color w:val="auto"/>
          <w:szCs w:val="21"/>
        </w:rPr>
        <w:t>；</w:t>
      </w:r>
    </w:p>
    <w:p w14:paraId="37B4029D">
      <w:pPr>
        <w:tabs>
          <w:tab w:val="left" w:pos="735"/>
          <w:tab w:val="left" w:pos="7560"/>
          <w:tab w:val="left" w:pos="7740"/>
          <w:tab w:val="left" w:pos="7920"/>
        </w:tabs>
        <w:adjustRightInd w:val="0"/>
        <w:snapToGrid w:val="0"/>
        <w:spacing w:line="360" w:lineRule="auto"/>
        <w:ind w:right="300" w:rightChars="143" w:firstLine="420" w:firstLineChars="200"/>
        <w:rPr>
          <w:rFonts w:ascii="宋体" w:hAnsi="宋体"/>
          <w:color w:val="auto"/>
          <w:szCs w:val="21"/>
        </w:rPr>
      </w:pPr>
      <w:r>
        <w:rPr>
          <w:rFonts w:hint="eastAsia" w:ascii="宋体" w:hAnsi="宋体" w:cs="宋体"/>
          <w:color w:val="auto"/>
          <w:kern w:val="0"/>
          <w:szCs w:val="21"/>
        </w:rPr>
        <w:t>（2）</w:t>
      </w:r>
      <w:r>
        <w:rPr>
          <w:rFonts w:hint="eastAsia" w:ascii="宋体" w:hAnsi="宋体"/>
          <w:color w:val="auto"/>
          <w:szCs w:val="21"/>
        </w:rPr>
        <w:t>未按照谈判文件规定要求签署、盖章的；</w:t>
      </w:r>
    </w:p>
    <w:p w14:paraId="3AC08834">
      <w:pPr>
        <w:tabs>
          <w:tab w:val="left" w:pos="735"/>
          <w:tab w:val="left" w:pos="7560"/>
          <w:tab w:val="left" w:pos="7740"/>
          <w:tab w:val="left" w:pos="7920"/>
        </w:tabs>
        <w:adjustRightInd w:val="0"/>
        <w:snapToGrid w:val="0"/>
        <w:spacing w:line="360" w:lineRule="auto"/>
        <w:ind w:right="300" w:rightChars="143" w:firstLine="420" w:firstLineChars="200"/>
        <w:rPr>
          <w:rFonts w:ascii="宋体" w:hAnsi="宋体"/>
          <w:color w:val="auto"/>
          <w:szCs w:val="21"/>
        </w:rPr>
      </w:pPr>
      <w:r>
        <w:rPr>
          <w:rFonts w:hint="eastAsia" w:ascii="宋体" w:hAnsi="宋体"/>
          <w:color w:val="auto"/>
          <w:szCs w:val="21"/>
        </w:rPr>
        <w:t>（3）不满足谈判文件规定的实质性要求和条件的；</w:t>
      </w:r>
    </w:p>
    <w:p w14:paraId="70B41A97">
      <w:pPr>
        <w:tabs>
          <w:tab w:val="left" w:pos="735"/>
          <w:tab w:val="left" w:pos="7560"/>
          <w:tab w:val="left" w:pos="7740"/>
          <w:tab w:val="left" w:pos="7920"/>
        </w:tabs>
        <w:adjustRightInd w:val="0"/>
        <w:snapToGrid w:val="0"/>
        <w:spacing w:line="360" w:lineRule="auto"/>
        <w:ind w:right="300" w:rightChars="143" w:firstLine="420" w:firstLineChars="200"/>
        <w:rPr>
          <w:rFonts w:ascii="宋体" w:hAnsi="宋体"/>
          <w:color w:val="auto"/>
          <w:szCs w:val="21"/>
        </w:rPr>
      </w:pPr>
      <w:r>
        <w:rPr>
          <w:rFonts w:hint="eastAsia" w:ascii="宋体" w:hAnsi="宋体"/>
          <w:color w:val="auto"/>
          <w:szCs w:val="21"/>
        </w:rPr>
        <w:t>（4）法律、法规和谈判文件规定的其他响应无效情形。</w:t>
      </w:r>
    </w:p>
    <w:p w14:paraId="0268E56D">
      <w:pPr>
        <w:tabs>
          <w:tab w:val="left" w:pos="735"/>
          <w:tab w:val="left" w:pos="7560"/>
          <w:tab w:val="left" w:pos="7740"/>
          <w:tab w:val="left" w:pos="7920"/>
        </w:tabs>
        <w:adjustRightInd w:val="0"/>
        <w:snapToGrid w:val="0"/>
        <w:spacing w:line="360" w:lineRule="auto"/>
        <w:ind w:right="300" w:rightChars="143" w:firstLine="420" w:firstLineChars="200"/>
        <w:rPr>
          <w:rFonts w:ascii="宋体" w:hAnsi="宋体"/>
          <w:color w:val="auto"/>
          <w:szCs w:val="21"/>
        </w:rPr>
      </w:pPr>
      <w:r>
        <w:rPr>
          <w:rFonts w:hint="eastAsia" w:ascii="宋体" w:hAnsi="宋体" w:cs="宋体"/>
          <w:color w:val="auto"/>
          <w:kern w:val="0"/>
          <w:szCs w:val="21"/>
        </w:rPr>
        <w:t>22.3响应文件按无效处理的，谈判小组应拒绝其参与谈判，但属于谈判文件规定的实质性变动内容的除外。</w:t>
      </w:r>
    </w:p>
    <w:p w14:paraId="5F229E99">
      <w:pPr>
        <w:adjustRightInd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22.4谈判文件规定的实质性要求和条件见【</w:t>
      </w:r>
      <w:r>
        <w:rPr>
          <w:rFonts w:hint="eastAsia" w:ascii="宋体" w:hAnsi="宋体" w:cs="宋体"/>
          <w:b/>
          <w:color w:val="auto"/>
          <w:kern w:val="0"/>
          <w:szCs w:val="21"/>
        </w:rPr>
        <w:t>谈判须知前附表</w:t>
      </w:r>
      <w:r>
        <w:rPr>
          <w:rFonts w:hint="eastAsia" w:ascii="宋体" w:hAnsi="宋体" w:cs="宋体"/>
          <w:color w:val="auto"/>
          <w:kern w:val="0"/>
          <w:szCs w:val="21"/>
        </w:rPr>
        <w:t>】。</w:t>
      </w:r>
    </w:p>
    <w:p w14:paraId="20274B3E">
      <w:pPr>
        <w:spacing w:line="360" w:lineRule="auto"/>
        <w:outlineLvl w:val="3"/>
        <w:rPr>
          <w:rFonts w:ascii="黑体" w:hAnsi="黑体" w:eastAsia="黑体"/>
          <w:b/>
          <w:bCs/>
          <w:color w:val="auto"/>
          <w:sz w:val="24"/>
        </w:rPr>
      </w:pPr>
      <w:bookmarkStart w:id="101" w:name="_Toc107997990"/>
      <w:bookmarkStart w:id="102" w:name="_Toc107997863"/>
      <w:r>
        <w:rPr>
          <w:rFonts w:hint="eastAsia" w:ascii="黑体" w:hAnsi="黑体" w:eastAsia="黑体"/>
          <w:b/>
          <w:bCs/>
          <w:color w:val="auto"/>
          <w:sz w:val="24"/>
        </w:rPr>
        <w:t>23.澄清</w:t>
      </w:r>
      <w:bookmarkEnd w:id="101"/>
      <w:bookmarkEnd w:id="102"/>
    </w:p>
    <w:p w14:paraId="4C6A0B25">
      <w:pPr>
        <w:adjustRightInd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23.1谈判小组在对响应文件(包括</w:t>
      </w:r>
      <w:r>
        <w:rPr>
          <w:rFonts w:hint="eastAsia" w:hAnsi="宋体" w:cs="宋体"/>
          <w:color w:val="auto"/>
          <w:kern w:val="0"/>
        </w:rPr>
        <w:t>首次提交的</w:t>
      </w:r>
      <w:r>
        <w:rPr>
          <w:rFonts w:hint="eastAsia" w:ascii="宋体" w:hAnsi="宋体" w:cs="宋体"/>
          <w:color w:val="auto"/>
          <w:kern w:val="0"/>
          <w:szCs w:val="21"/>
        </w:rPr>
        <w:t>响应文件、重新提交的响应文件)的有效性、完整性和对谈判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供应商代表签字，供应商的澄清、说明或者更正不得超出谈判文件的范围或者改变响应文件的实质性内容。</w:t>
      </w:r>
    </w:p>
    <w:p w14:paraId="368442B4">
      <w:pPr>
        <w:spacing w:line="360" w:lineRule="auto"/>
        <w:outlineLvl w:val="3"/>
        <w:rPr>
          <w:rFonts w:ascii="黑体" w:hAnsi="黑体" w:eastAsia="黑体"/>
          <w:b/>
          <w:bCs/>
          <w:color w:val="auto"/>
          <w:sz w:val="24"/>
        </w:rPr>
      </w:pPr>
      <w:bookmarkStart w:id="103" w:name="_Toc107997991"/>
      <w:bookmarkStart w:id="104" w:name="_Toc107997864"/>
      <w:r>
        <w:rPr>
          <w:rFonts w:hint="eastAsia" w:ascii="黑体" w:hAnsi="黑体" w:eastAsia="黑体"/>
          <w:b/>
          <w:bCs/>
          <w:color w:val="auto"/>
          <w:sz w:val="24"/>
        </w:rPr>
        <w:t>24.谈判的规定</w:t>
      </w:r>
      <w:bookmarkEnd w:id="103"/>
      <w:bookmarkEnd w:id="104"/>
    </w:p>
    <w:p w14:paraId="58D4DC19">
      <w:pPr>
        <w:adjustRightInd w:val="0"/>
        <w:snapToGrid w:val="0"/>
        <w:spacing w:line="360" w:lineRule="auto"/>
        <w:ind w:firstLine="420"/>
        <w:jc w:val="left"/>
        <w:rPr>
          <w:rFonts w:ascii="宋体" w:hAnsi="宋体" w:cs="宋体"/>
          <w:color w:val="auto"/>
          <w:kern w:val="0"/>
          <w:szCs w:val="21"/>
        </w:rPr>
      </w:pPr>
      <w:r>
        <w:rPr>
          <w:rFonts w:hint="eastAsia" w:ascii="宋体" w:hAnsi="宋体"/>
          <w:bCs/>
          <w:color w:val="auto"/>
          <w:szCs w:val="21"/>
        </w:rPr>
        <w:t>24.1</w:t>
      </w:r>
      <w:r>
        <w:rPr>
          <w:rFonts w:hint="eastAsia" w:ascii="宋体" w:hAnsi="宋体" w:cs="宋体"/>
          <w:color w:val="auto"/>
          <w:kern w:val="0"/>
          <w:szCs w:val="21"/>
        </w:rPr>
        <w:t>在谈判过程中，谈判小组所有成员集中与单一供应商分别进行谈判，并给予所有参加谈判的供应商平等的谈判机会。供应商应派其代表参加谈判。</w:t>
      </w:r>
    </w:p>
    <w:p w14:paraId="6E660417">
      <w:pPr>
        <w:adjustRightInd w:val="0"/>
        <w:snapToGrid w:val="0"/>
        <w:spacing w:line="360" w:lineRule="auto"/>
        <w:ind w:firstLine="420"/>
        <w:jc w:val="left"/>
        <w:rPr>
          <w:rFonts w:ascii="宋体" w:hAnsi="宋体" w:cs="宋体"/>
          <w:color w:val="auto"/>
          <w:kern w:val="0"/>
          <w:szCs w:val="21"/>
        </w:rPr>
      </w:pPr>
      <w:r>
        <w:rPr>
          <w:rFonts w:hint="eastAsia" w:ascii="宋体" w:hAnsi="宋体"/>
          <w:bCs/>
          <w:color w:val="auto"/>
          <w:szCs w:val="21"/>
        </w:rPr>
        <w:t>24.2</w:t>
      </w:r>
      <w:r>
        <w:rPr>
          <w:rFonts w:hint="eastAsia" w:ascii="宋体" w:hAnsi="宋体" w:cs="宋体"/>
          <w:color w:val="auto"/>
          <w:kern w:val="0"/>
          <w:szCs w:val="21"/>
        </w:rPr>
        <w:t>在谈判过程中，谈判小组可以根据谈判文件和谈判情况实质性变动技术标准及要求中的技术、服务要求以及合同草案条款，但不得变动谈判文件中的其他内容。实质性变动的内容，须经采购人代表确认，谈判小组将以书面形式将修改内容同时通知所有参加谈判的供应商。</w:t>
      </w:r>
    </w:p>
    <w:p w14:paraId="7E7E96D2">
      <w:pPr>
        <w:adjustRightInd w:val="0"/>
        <w:snapToGrid w:val="0"/>
        <w:spacing w:line="360" w:lineRule="auto"/>
        <w:ind w:firstLine="420"/>
        <w:jc w:val="left"/>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4</w:t>
      </w:r>
      <w:r>
        <w:rPr>
          <w:rFonts w:ascii="宋体" w:hAnsi="宋体" w:cs="宋体"/>
          <w:color w:val="auto"/>
          <w:kern w:val="0"/>
          <w:szCs w:val="21"/>
        </w:rPr>
        <w:t>.</w:t>
      </w:r>
      <w:r>
        <w:rPr>
          <w:rFonts w:hint="eastAsia" w:ascii="宋体" w:hAnsi="宋体" w:cs="宋体"/>
          <w:color w:val="auto"/>
          <w:kern w:val="0"/>
          <w:szCs w:val="21"/>
        </w:rPr>
        <w:t>3每轮谈判中，参加谈判的供应商代表应认真、准确、完整地记录谈判小组提出的问题和要求。重新提交的响应文件应当对谈判小组书面通知提出的要求和条件作出明确响应，并由供应商代表签字或者加盖供应商单位公章。</w:t>
      </w:r>
    </w:p>
    <w:p w14:paraId="439F58A6">
      <w:pPr>
        <w:spacing w:line="360" w:lineRule="auto"/>
        <w:outlineLvl w:val="3"/>
        <w:rPr>
          <w:rFonts w:ascii="黑体" w:hAnsi="黑体" w:eastAsia="黑体" w:cs="宋体"/>
          <w:b/>
          <w:bCs/>
          <w:color w:val="auto"/>
          <w:kern w:val="0"/>
          <w:sz w:val="24"/>
        </w:rPr>
      </w:pPr>
      <w:bookmarkStart w:id="105" w:name="_Toc107997992"/>
      <w:bookmarkStart w:id="106" w:name="_Toc107997865"/>
      <w:r>
        <w:rPr>
          <w:rFonts w:hint="eastAsia" w:ascii="黑体" w:hAnsi="黑体" w:eastAsia="黑体"/>
          <w:b/>
          <w:bCs/>
          <w:color w:val="auto"/>
          <w:sz w:val="24"/>
        </w:rPr>
        <w:t>25.退出谈判</w:t>
      </w:r>
      <w:bookmarkEnd w:id="105"/>
      <w:bookmarkEnd w:id="106"/>
    </w:p>
    <w:p w14:paraId="4FD6437A">
      <w:pPr>
        <w:adjustRightInd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25.1供应商在提交最后报价之前，可以根据谈判情况退出谈判，</w:t>
      </w:r>
      <w:r>
        <w:rPr>
          <w:rFonts w:hint="eastAsia" w:ascii="宋体" w:hAnsi="宋体" w:cs="宋体"/>
          <w:color w:val="auto"/>
          <w:kern w:val="0"/>
        </w:rPr>
        <w:t>并书面通知采购人、采购代理机构或者谈判小组。</w:t>
      </w:r>
      <w:r>
        <w:rPr>
          <w:rFonts w:hint="eastAsia" w:ascii="宋体" w:hAnsi="宋体"/>
          <w:color w:val="auto"/>
        </w:rPr>
        <w:t>该通知由供应商代表签字。采购人、</w:t>
      </w:r>
      <w:r>
        <w:rPr>
          <w:rFonts w:hint="eastAsia" w:ascii="宋体" w:hAnsi="宋体" w:cs="宋体"/>
          <w:color w:val="auto"/>
          <w:kern w:val="0"/>
          <w:szCs w:val="21"/>
        </w:rPr>
        <w:t>采购代理机构</w:t>
      </w:r>
      <w:r>
        <w:rPr>
          <w:rFonts w:hint="eastAsia" w:ascii="宋体" w:hAnsi="宋体" w:cs="宋体"/>
          <w:color w:val="auto"/>
          <w:kern w:val="0"/>
        </w:rPr>
        <w:t>按</w:t>
      </w:r>
      <w:r>
        <w:rPr>
          <w:rFonts w:hint="eastAsia" w:ascii="宋体" w:hAnsi="宋体" w:cs="宋体"/>
          <w:color w:val="auto"/>
          <w:kern w:val="0"/>
          <w:szCs w:val="21"/>
        </w:rPr>
        <w:t>本章第</w:t>
      </w:r>
      <w:r>
        <w:rPr>
          <w:rFonts w:hint="eastAsia" w:ascii="宋体" w:hAnsi="宋体"/>
          <w:color w:val="auto"/>
        </w:rPr>
        <w:t>12.4</w:t>
      </w:r>
      <w:r>
        <w:rPr>
          <w:rFonts w:hint="eastAsia" w:ascii="宋体" w:hAnsi="宋体" w:cs="宋体"/>
          <w:color w:val="auto"/>
          <w:kern w:val="0"/>
          <w:szCs w:val="21"/>
          <w:lang w:val="zh-CN"/>
        </w:rPr>
        <w:t>款</w:t>
      </w:r>
      <w:r>
        <w:rPr>
          <w:rFonts w:hint="eastAsia" w:ascii="宋体" w:hAnsi="宋体"/>
          <w:color w:val="auto"/>
        </w:rPr>
        <w:t>规定</w:t>
      </w:r>
      <w:r>
        <w:rPr>
          <w:rFonts w:hint="eastAsia" w:ascii="宋体" w:hAnsi="宋体" w:cs="宋体"/>
          <w:color w:val="auto"/>
          <w:kern w:val="0"/>
          <w:szCs w:val="21"/>
        </w:rPr>
        <w:t>退还退出谈判的供应商的保证金。</w:t>
      </w:r>
    </w:p>
    <w:p w14:paraId="1D931C4D">
      <w:pPr>
        <w:adjustRightInd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25.2供应商参与谈判，但未提交最后报价又未按前款规定退出谈判的，保证金不予退还。</w:t>
      </w:r>
    </w:p>
    <w:p w14:paraId="38B8D6B9">
      <w:pPr>
        <w:spacing w:line="360" w:lineRule="auto"/>
        <w:outlineLvl w:val="3"/>
        <w:rPr>
          <w:rFonts w:ascii="黑体" w:hAnsi="黑体" w:eastAsia="黑体"/>
          <w:b/>
          <w:bCs/>
          <w:color w:val="auto"/>
          <w:sz w:val="24"/>
        </w:rPr>
      </w:pPr>
      <w:bookmarkStart w:id="107" w:name="_Toc107997866"/>
      <w:bookmarkStart w:id="108" w:name="_Toc107997993"/>
      <w:r>
        <w:rPr>
          <w:rFonts w:hint="eastAsia" w:ascii="黑体" w:hAnsi="黑体" w:eastAsia="黑体"/>
          <w:b/>
          <w:bCs/>
          <w:color w:val="auto"/>
          <w:sz w:val="24"/>
        </w:rPr>
        <w:t>26.最后报价</w:t>
      </w:r>
      <w:bookmarkEnd w:id="107"/>
      <w:bookmarkEnd w:id="108"/>
    </w:p>
    <w:p w14:paraId="6B5A905E">
      <w:pPr>
        <w:adjustRightInd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26.1谈判结束后，谈判小组按本章第22.2款规定对响应文件或重新提交的响应文件进行审查。响应文件不符合谈判文件规定的实质性要求和条件的，谈判小组不得要求供应商提交最后报价，也不得接受供应商提交的最后报价。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4429E391">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（1）谈判文件能够详细列明采购需求的技术、服务要求的，谈判结束后，谈判小组应当要求所有供应商在规定时间内提交最后报价。</w:t>
      </w:r>
    </w:p>
    <w:p w14:paraId="7FEBDF5E">
      <w:pPr>
        <w:adjustRightInd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41A1F71">
      <w:pPr>
        <w:adjustRightInd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26.2下列情形，谈判小组确认符合谈判文件规定的实质性要求和条件的供应商不少于3家，可以不与供应商谈判，直接要求符合谈判文件规定的实质性要求和条件的供应商提交最后报价。</w:t>
      </w:r>
    </w:p>
    <w:p w14:paraId="5264B006">
      <w:pPr>
        <w:adjustRightInd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（1）谈判文件未明确可能实质性变动的；</w:t>
      </w:r>
    </w:p>
    <w:p w14:paraId="32FEEAF5">
      <w:pPr>
        <w:adjustRightInd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（2）谈判文件明确可能实质性变动，但谈判小组对供应商提交的首次响应文件的有效性、完整性和响应程度进行审查后，认为谈判文件不需发生实质性变动、不需要谈判的。</w:t>
      </w:r>
    </w:p>
    <w:p w14:paraId="56E9156D">
      <w:pPr>
        <w:spacing w:line="360" w:lineRule="auto"/>
        <w:outlineLvl w:val="3"/>
        <w:rPr>
          <w:rFonts w:ascii="黑体" w:hAnsi="黑体" w:eastAsia="黑体" w:cs="宋体"/>
          <w:b/>
          <w:bCs/>
          <w:color w:val="auto"/>
          <w:kern w:val="0"/>
          <w:sz w:val="24"/>
        </w:rPr>
      </w:pPr>
      <w:bookmarkStart w:id="109" w:name="_Toc107997867"/>
      <w:bookmarkStart w:id="110" w:name="_Toc107997994"/>
      <w:r>
        <w:rPr>
          <w:rFonts w:hint="eastAsia" w:ascii="黑体" w:hAnsi="黑体" w:eastAsia="黑体"/>
          <w:b/>
          <w:bCs/>
          <w:color w:val="auto"/>
          <w:sz w:val="24"/>
        </w:rPr>
        <w:t>27.异常报价</w:t>
      </w:r>
      <w:bookmarkEnd w:id="109"/>
      <w:bookmarkEnd w:id="110"/>
    </w:p>
    <w:p w14:paraId="050328BB">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bCs/>
          <w:color w:val="auto"/>
          <w:szCs w:val="21"/>
        </w:rPr>
        <w:t>27．1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响应无效处理。</w:t>
      </w:r>
    </w:p>
    <w:p w14:paraId="54522E49">
      <w:pPr>
        <w:spacing w:line="360" w:lineRule="auto"/>
        <w:outlineLvl w:val="3"/>
        <w:rPr>
          <w:rFonts w:ascii="黑体" w:hAnsi="黑体" w:eastAsia="黑体"/>
          <w:b/>
          <w:bCs/>
          <w:color w:val="auto"/>
          <w:sz w:val="24"/>
        </w:rPr>
      </w:pPr>
      <w:bookmarkStart w:id="111" w:name="_Toc107997868"/>
      <w:bookmarkStart w:id="112" w:name="_Toc107997995"/>
      <w:r>
        <w:rPr>
          <w:rFonts w:hint="eastAsia" w:ascii="黑体" w:hAnsi="黑体" w:eastAsia="黑体" w:cs="宋体"/>
          <w:b/>
          <w:bCs/>
          <w:color w:val="auto"/>
          <w:kern w:val="0"/>
          <w:sz w:val="24"/>
        </w:rPr>
        <w:t>28.</w:t>
      </w:r>
      <w:r>
        <w:rPr>
          <w:rFonts w:hint="eastAsia" w:ascii="黑体" w:hAnsi="黑体" w:eastAsia="黑体"/>
          <w:b/>
          <w:bCs/>
          <w:color w:val="auto"/>
          <w:sz w:val="24"/>
        </w:rPr>
        <w:t>提出成交供应商</w:t>
      </w:r>
      <w:bookmarkEnd w:id="111"/>
      <w:bookmarkEnd w:id="112"/>
    </w:p>
    <w:p w14:paraId="3F8DC74F">
      <w:pPr>
        <w:adjustRightInd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28.1谈判小组应当从质量和服务均能满足采购文件实质性响应要求的供应商中，按照最后报价由低到高的顺序提出3名以上成交候选人，并编写评审报告。</w:t>
      </w:r>
    </w:p>
    <w:p w14:paraId="29BC9626">
      <w:pPr>
        <w:adjustRightInd w:val="0"/>
        <w:snapToGrid w:val="0"/>
        <w:spacing w:line="360" w:lineRule="auto"/>
        <w:ind w:firstLine="420"/>
        <w:jc w:val="left"/>
        <w:rPr>
          <w:rFonts w:ascii="宋体" w:hAnsi="宋体"/>
          <w:bCs/>
          <w:color w:val="auto"/>
          <w:szCs w:val="21"/>
        </w:rPr>
      </w:pPr>
      <w:r>
        <w:rPr>
          <w:rFonts w:hint="eastAsia" w:ascii="宋体" w:hAnsi="宋体" w:cs="宋体"/>
          <w:color w:val="auto"/>
          <w:kern w:val="0"/>
          <w:szCs w:val="21"/>
        </w:rPr>
        <w:t>28.2供应商最后报价涉及算术修正、需落实政府采购政策的，按上款规定由低到高的顺序排序。</w:t>
      </w:r>
      <w:r>
        <w:rPr>
          <w:rFonts w:hint="eastAsia"/>
          <w:color w:val="auto"/>
          <w:szCs w:val="21"/>
        </w:rPr>
        <w:t>最后报价排序</w:t>
      </w:r>
      <w:r>
        <w:rPr>
          <w:color w:val="auto"/>
          <w:szCs w:val="21"/>
        </w:rPr>
        <w:t>相同的</w:t>
      </w:r>
      <w:r>
        <w:rPr>
          <w:rFonts w:hint="eastAsia"/>
          <w:color w:val="auto"/>
          <w:szCs w:val="21"/>
        </w:rPr>
        <w:t>并列</w:t>
      </w:r>
      <w:r>
        <w:rPr>
          <w:rFonts w:hint="eastAsia" w:ascii="宋体" w:hAnsi="宋体"/>
          <w:bCs/>
          <w:color w:val="auto"/>
          <w:szCs w:val="21"/>
        </w:rPr>
        <w:t>。</w:t>
      </w:r>
    </w:p>
    <w:p w14:paraId="73FD6BC8">
      <w:pPr>
        <w:adjustRightInd w:val="0"/>
        <w:snapToGrid w:val="0"/>
        <w:spacing w:line="360" w:lineRule="auto"/>
        <w:ind w:firstLine="420"/>
        <w:jc w:val="left"/>
        <w:rPr>
          <w:rFonts w:ascii="宋体" w:hAnsi="宋体" w:cs="宋体"/>
          <w:color w:val="auto"/>
          <w:kern w:val="0"/>
          <w:szCs w:val="21"/>
        </w:rPr>
      </w:pPr>
      <w:r>
        <w:rPr>
          <w:rFonts w:hint="eastAsia" w:ascii="宋体" w:hAnsi="宋体"/>
          <w:bCs/>
          <w:color w:val="auto"/>
          <w:szCs w:val="21"/>
        </w:rPr>
        <w:t>28.3</w:t>
      </w:r>
      <w:r>
        <w:rPr>
          <w:rFonts w:hint="eastAsia" w:ascii="宋体" w:hAnsi="宋体" w:cs="宋体"/>
          <w:color w:val="auto"/>
          <w:kern w:val="0"/>
          <w:szCs w:val="21"/>
        </w:rPr>
        <w:t>最后报价有算术错误的，除</w:t>
      </w:r>
      <w:r>
        <w:rPr>
          <w:rFonts w:hint="eastAsia" w:ascii="宋体" w:hAnsi="宋体"/>
          <w:b/>
          <w:color w:val="auto"/>
          <w:szCs w:val="21"/>
        </w:rPr>
        <w:t>【谈判须知前附表】</w:t>
      </w:r>
      <w:r>
        <w:rPr>
          <w:rFonts w:hint="eastAsia" w:ascii="宋体" w:hAnsi="宋体" w:cs="宋体"/>
          <w:color w:val="auto"/>
          <w:kern w:val="0"/>
          <w:szCs w:val="21"/>
        </w:rPr>
        <w:t>另有规定外，谈判小组按以下原则对报价进行修正，修正的价格经供应商书面确认，并由供应商代表签字或者加盖单位公章确认后产生约束力，供应商不接受修正价格的，其报价作无效报价处理。</w:t>
      </w:r>
    </w:p>
    <w:p w14:paraId="6637255A">
      <w:pPr>
        <w:adjustRightInd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（1）大写金额与小写金额不一致的，以大写金额为准。</w:t>
      </w:r>
    </w:p>
    <w:p w14:paraId="535AAFB1">
      <w:pPr>
        <w:adjustRightInd w:val="0"/>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（2）总价金额与按单价汇总金额不一致的，以单价金额计算结果为准。</w:t>
      </w:r>
    </w:p>
    <w:p w14:paraId="448FF091">
      <w:pPr>
        <w:adjustRightInd w:val="0"/>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修正后的报价由供应商代表签字或者加盖单位公章确认后产生约束力，不确认的，其报价无效。</w:t>
      </w:r>
    </w:p>
    <w:p w14:paraId="1275B289">
      <w:pPr>
        <w:adjustRightInd w:val="0"/>
        <w:snapToGrid w:val="0"/>
        <w:spacing w:line="360" w:lineRule="auto"/>
        <w:ind w:firstLine="420" w:firstLineChars="200"/>
        <w:jc w:val="left"/>
        <w:rPr>
          <w:rFonts w:ascii="宋体" w:hAnsi="宋体"/>
          <w:bCs/>
          <w:color w:val="auto"/>
          <w:szCs w:val="21"/>
        </w:rPr>
      </w:pPr>
      <w:r>
        <w:rPr>
          <w:rFonts w:hint="eastAsia" w:ascii="宋体" w:hAnsi="宋体"/>
          <w:bCs/>
          <w:color w:val="auto"/>
          <w:szCs w:val="21"/>
        </w:rPr>
        <w:t>28.4最后报价的评审</w:t>
      </w:r>
    </w:p>
    <w:p w14:paraId="61301C59">
      <w:pPr>
        <w:adjustRightInd w:val="0"/>
        <w:snapToGrid w:val="0"/>
        <w:spacing w:line="360" w:lineRule="auto"/>
        <w:ind w:firstLine="420" w:firstLineChars="200"/>
        <w:jc w:val="left"/>
        <w:rPr>
          <w:rFonts w:ascii="宋体" w:hAnsi="宋体"/>
          <w:bCs/>
          <w:color w:val="auto"/>
          <w:szCs w:val="21"/>
        </w:rPr>
      </w:pPr>
      <w:r>
        <w:rPr>
          <w:rFonts w:hint="eastAsia" w:ascii="宋体" w:hAnsi="宋体"/>
          <w:bCs/>
          <w:color w:val="auto"/>
          <w:szCs w:val="21"/>
        </w:rPr>
        <w:t>（1）如果有算术错误，最后报价将按上款规定进行算术修正。</w:t>
      </w:r>
    </w:p>
    <w:p w14:paraId="1059E092">
      <w:pPr>
        <w:adjustRightInd w:val="0"/>
        <w:snapToGrid w:val="0"/>
        <w:spacing w:line="360" w:lineRule="auto"/>
        <w:ind w:firstLine="420" w:firstLineChars="200"/>
        <w:jc w:val="left"/>
        <w:rPr>
          <w:rFonts w:ascii="宋体" w:hAnsi="宋体"/>
          <w:bCs/>
          <w:color w:val="auto"/>
          <w:szCs w:val="21"/>
        </w:rPr>
      </w:pPr>
      <w:r>
        <w:rPr>
          <w:rFonts w:hint="eastAsia" w:ascii="宋体" w:hAnsi="宋体"/>
          <w:bCs/>
          <w:color w:val="auto"/>
          <w:szCs w:val="21"/>
        </w:rPr>
        <w:t>（2）需落实政府采购政策（优先采购、价格评审优惠）的，按本章本节第40、41条等相关规定进行价格扣除。</w:t>
      </w:r>
    </w:p>
    <w:p w14:paraId="178F0806">
      <w:pPr>
        <w:spacing w:line="360" w:lineRule="auto"/>
        <w:outlineLvl w:val="3"/>
        <w:rPr>
          <w:rFonts w:ascii="黑体" w:hAnsi="黑体" w:eastAsia="黑体"/>
          <w:b/>
          <w:bCs/>
          <w:color w:val="auto"/>
          <w:sz w:val="24"/>
        </w:rPr>
      </w:pPr>
      <w:bookmarkStart w:id="113" w:name="_Toc107997996"/>
      <w:bookmarkStart w:id="114" w:name="_Toc107997869"/>
      <w:r>
        <w:rPr>
          <w:rFonts w:hint="eastAsia" w:ascii="黑体" w:hAnsi="黑体" w:eastAsia="黑体"/>
          <w:b/>
          <w:bCs/>
          <w:color w:val="auto"/>
          <w:sz w:val="24"/>
        </w:rPr>
        <w:t>29.确定成交供应商</w:t>
      </w:r>
      <w:bookmarkEnd w:id="113"/>
      <w:bookmarkEnd w:id="114"/>
    </w:p>
    <w:p w14:paraId="0B45D0C2">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29.1采购代理机构应当在评审结束后2个工作日内将评审报告送采购人确认。</w:t>
      </w:r>
    </w:p>
    <w:p w14:paraId="5E715749">
      <w:pPr>
        <w:adjustRightInd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29.2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1AC44F9F">
      <w:pPr>
        <w:adjustRightInd w:val="0"/>
        <w:snapToGrid w:val="0"/>
        <w:spacing w:line="360" w:lineRule="auto"/>
        <w:ind w:firstLine="420"/>
        <w:jc w:val="left"/>
        <w:rPr>
          <w:rFonts w:ascii="宋体" w:hAnsi="宋体"/>
          <w:bCs/>
          <w:color w:val="auto"/>
          <w:szCs w:val="21"/>
        </w:rPr>
      </w:pPr>
      <w:r>
        <w:rPr>
          <w:rFonts w:hint="eastAsia" w:ascii="宋体" w:hAnsi="宋体" w:cs="宋体"/>
          <w:color w:val="auto"/>
          <w:kern w:val="0"/>
          <w:szCs w:val="21"/>
        </w:rPr>
        <w:t>29.3成交候选人并列的，由采购人自行确定成交供应商。</w:t>
      </w:r>
    </w:p>
    <w:p w14:paraId="1C2EBF85">
      <w:pPr>
        <w:spacing w:line="360" w:lineRule="auto"/>
        <w:outlineLvl w:val="3"/>
        <w:rPr>
          <w:rFonts w:ascii="黑体" w:hAnsi="黑体" w:eastAsia="黑体"/>
          <w:b/>
          <w:bCs/>
          <w:color w:val="auto"/>
          <w:sz w:val="24"/>
        </w:rPr>
      </w:pPr>
      <w:bookmarkStart w:id="115" w:name="_Toc107997997"/>
      <w:bookmarkStart w:id="116" w:name="_Toc107997870"/>
      <w:r>
        <w:rPr>
          <w:rFonts w:hint="eastAsia" w:ascii="黑体" w:hAnsi="黑体" w:eastAsia="黑体"/>
          <w:b/>
          <w:bCs/>
          <w:color w:val="auto"/>
          <w:sz w:val="24"/>
        </w:rPr>
        <w:t>30.谈判的特殊情形</w:t>
      </w:r>
      <w:bookmarkEnd w:id="115"/>
      <w:bookmarkEnd w:id="116"/>
    </w:p>
    <w:p w14:paraId="65CBB2B2">
      <w:pPr>
        <w:adjustRightInd w:val="0"/>
        <w:snapToGrid w:val="0"/>
        <w:spacing w:line="360" w:lineRule="auto"/>
        <w:ind w:firstLine="420" w:firstLineChars="200"/>
        <w:rPr>
          <w:rFonts w:ascii="宋体" w:hAnsi="宋体"/>
          <w:color w:val="auto"/>
          <w:kern w:val="0"/>
          <w:lang w:val="zh-CN"/>
        </w:rPr>
      </w:pPr>
      <w:r>
        <w:rPr>
          <w:rFonts w:hint="eastAsia" w:ascii="宋体" w:hAnsi="宋体"/>
          <w:color w:val="auto"/>
          <w:kern w:val="0"/>
          <w:lang w:val="zh-CN"/>
        </w:rPr>
        <w:t>30.1对于经公开招标的货物、服务采购项目，招标过程中提交投标文件或者经评审实质性响应招标文件要求的供应商只有 2 家的，采购人在本次谈判采购活动开始前，报经主管预算单位同意，公开招标限额标准以上的经本级财政部门批准，可以与该两家供应商进行竞争性谈判采购。</w:t>
      </w:r>
    </w:p>
    <w:p w14:paraId="25F80FA9">
      <w:pPr>
        <w:adjustRightInd w:val="0"/>
        <w:snapToGrid w:val="0"/>
        <w:spacing w:line="360" w:lineRule="auto"/>
        <w:ind w:firstLine="420" w:firstLineChars="200"/>
        <w:rPr>
          <w:rFonts w:ascii="宋体" w:hAnsi="宋体"/>
          <w:color w:val="auto"/>
          <w:kern w:val="0"/>
          <w:lang w:val="zh-CN"/>
        </w:rPr>
      </w:pPr>
      <w:r>
        <w:rPr>
          <w:rFonts w:hint="eastAsia" w:ascii="宋体" w:hAnsi="宋体"/>
          <w:color w:val="auto"/>
          <w:kern w:val="0"/>
          <w:lang w:val="zh-CN"/>
        </w:rPr>
        <w:t>30.2</w:t>
      </w:r>
      <w:r>
        <w:rPr>
          <w:rFonts w:hint="eastAsia" w:ascii="宋体" w:hAnsi="宋体" w:cs="宋体"/>
          <w:color w:val="auto"/>
          <w:kern w:val="0"/>
          <w:szCs w:val="21"/>
        </w:rPr>
        <w:t>符合上款情形的，本章本节相关条款规定的供应商最低数量可以为两家。</w:t>
      </w:r>
    </w:p>
    <w:p w14:paraId="21FE50E3">
      <w:pPr>
        <w:spacing w:line="360" w:lineRule="auto"/>
        <w:outlineLvl w:val="3"/>
        <w:rPr>
          <w:rFonts w:ascii="黑体" w:hAnsi="黑体" w:eastAsia="黑体"/>
          <w:b/>
          <w:bCs/>
          <w:color w:val="auto"/>
          <w:sz w:val="24"/>
        </w:rPr>
      </w:pPr>
      <w:bookmarkStart w:id="117" w:name="_Toc107997871"/>
      <w:bookmarkStart w:id="118" w:name="_Toc107997998"/>
      <w:r>
        <w:rPr>
          <w:rFonts w:hint="eastAsia" w:ascii="黑体" w:hAnsi="黑体" w:eastAsia="黑体"/>
          <w:b/>
          <w:bCs/>
          <w:color w:val="auto"/>
          <w:sz w:val="24"/>
        </w:rPr>
        <w:t>31.谈判终止</w:t>
      </w:r>
      <w:bookmarkEnd w:id="117"/>
      <w:bookmarkEnd w:id="118"/>
    </w:p>
    <w:p w14:paraId="2C3C014E">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bCs/>
          <w:color w:val="auto"/>
          <w:szCs w:val="21"/>
        </w:rPr>
        <w:t>31.1</w:t>
      </w:r>
      <w:r>
        <w:rPr>
          <w:rFonts w:hint="eastAsia" w:ascii="宋体" w:hAnsi="宋体" w:cs="宋体"/>
          <w:color w:val="auto"/>
          <w:kern w:val="0"/>
          <w:szCs w:val="21"/>
        </w:rPr>
        <w:t>出现下列情形之一的，采购人、采购代理机构应当终止竞争性谈判采购活动，</w:t>
      </w:r>
      <w:r>
        <w:rPr>
          <w:rFonts w:hint="eastAsia" w:hAnsi="宋体"/>
          <w:color w:val="auto"/>
        </w:rPr>
        <w:t>在指定的媒体上</w:t>
      </w:r>
      <w:r>
        <w:rPr>
          <w:rFonts w:hint="eastAsia" w:ascii="宋体" w:hAnsi="宋体" w:cs="宋体"/>
          <w:color w:val="auto"/>
          <w:kern w:val="0"/>
          <w:szCs w:val="21"/>
        </w:rPr>
        <w:t xml:space="preserve">发布项目终止公告并说明原因，重新开展采购活动： </w:t>
      </w:r>
    </w:p>
    <w:p w14:paraId="1971F420">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（1）因情况变化，不再符合规定的竞争性谈判采购方式适用情形的；</w:t>
      </w:r>
    </w:p>
    <w:p w14:paraId="5E93029B">
      <w:pPr>
        <w:adjustRightInd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（2）出现影响采购公正的违法、违规行为的；</w:t>
      </w:r>
    </w:p>
    <w:p w14:paraId="46EA6F4F">
      <w:pPr>
        <w:adjustRightInd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（3）在采购过程中符合竞争要求的供应商或者报价未超过采购预算的供应商不足3家的，或者提交最后报价的供应商少于3家的；</w:t>
      </w:r>
    </w:p>
    <w:p w14:paraId="399A913B">
      <w:pPr>
        <w:adjustRightInd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（4）</w:t>
      </w:r>
      <w:r>
        <w:rPr>
          <w:rFonts w:hint="eastAsia" w:ascii="宋体" w:hAnsi="宋体"/>
          <w:bCs/>
          <w:color w:val="auto"/>
          <w:szCs w:val="21"/>
        </w:rPr>
        <w:t>因重大变故，采购任务取消的。</w:t>
      </w:r>
    </w:p>
    <w:p w14:paraId="69A1DAD0">
      <w:pPr>
        <w:spacing w:line="360" w:lineRule="auto"/>
        <w:outlineLvl w:val="3"/>
        <w:rPr>
          <w:rFonts w:ascii="黑体" w:hAnsi="黑体" w:eastAsia="黑体"/>
          <w:b/>
          <w:bCs/>
          <w:color w:val="auto"/>
          <w:sz w:val="24"/>
        </w:rPr>
      </w:pPr>
      <w:bookmarkStart w:id="119" w:name="_Toc107997999"/>
      <w:bookmarkStart w:id="120" w:name="_Toc107997872"/>
      <w:r>
        <w:rPr>
          <w:rFonts w:hint="eastAsia" w:ascii="黑体" w:hAnsi="黑体" w:eastAsia="黑体"/>
          <w:b/>
          <w:bCs/>
          <w:color w:val="auto"/>
          <w:sz w:val="24"/>
        </w:rPr>
        <w:t>32.重新评审</w:t>
      </w:r>
      <w:bookmarkEnd w:id="119"/>
      <w:bookmarkEnd w:id="120"/>
    </w:p>
    <w:p w14:paraId="2962516A">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32.1除资格性审查认定错误和价格计算错误外，采购人、采购代理机构不以任何理由组织重新评审。</w:t>
      </w:r>
    </w:p>
    <w:p w14:paraId="2F8BDD8A">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32.2采购人、采购代理机构发现谈判小组未按照谈判文件规定的评定成交的标准进行评审的，应当重新开展采购活动，并同时书面报告本级财政部门。</w:t>
      </w:r>
    </w:p>
    <w:p w14:paraId="1B131A7A">
      <w:pPr>
        <w:spacing w:line="360" w:lineRule="auto"/>
        <w:outlineLvl w:val="3"/>
        <w:rPr>
          <w:rFonts w:ascii="黑体" w:hAnsi="黑体" w:eastAsia="黑体"/>
          <w:b/>
          <w:bCs/>
          <w:color w:val="auto"/>
          <w:sz w:val="24"/>
        </w:rPr>
      </w:pPr>
      <w:bookmarkStart w:id="121" w:name="_Toc107998000"/>
      <w:bookmarkStart w:id="122" w:name="_Toc107997873"/>
      <w:r>
        <w:rPr>
          <w:rFonts w:hint="eastAsia" w:ascii="黑体" w:hAnsi="黑体" w:eastAsia="黑体"/>
          <w:b/>
          <w:bCs/>
          <w:color w:val="auto"/>
          <w:sz w:val="24"/>
        </w:rPr>
        <w:t>33.保密及串通行为</w:t>
      </w:r>
      <w:bookmarkEnd w:id="121"/>
      <w:bookmarkEnd w:id="122"/>
    </w:p>
    <w:p w14:paraId="4818AD59">
      <w:pPr>
        <w:adjustRightInd w:val="0"/>
        <w:snapToGrid w:val="0"/>
        <w:spacing w:line="360" w:lineRule="auto"/>
        <w:ind w:firstLine="420" w:firstLineChars="200"/>
        <w:rPr>
          <w:rFonts w:ascii="宋体" w:hAnsi="宋体"/>
          <w:color w:val="auto"/>
        </w:rPr>
      </w:pPr>
      <w:r>
        <w:rPr>
          <w:rFonts w:hint="eastAsia" w:ascii="宋体" w:hAnsi="宋体"/>
          <w:color w:val="auto"/>
        </w:rPr>
        <w:t>33.1谈判小组成员以及与评审工作有关的人员不得泄露评审情况以及评审过程中获悉的国家秘密、商业秘密。</w:t>
      </w:r>
    </w:p>
    <w:p w14:paraId="0B003570">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33.2</w:t>
      </w:r>
      <w:r>
        <w:rPr>
          <w:rFonts w:hint="eastAsia" w:ascii="宋体" w:hAnsi="宋体" w:cs="宋体"/>
          <w:color w:val="auto"/>
          <w:kern w:val="0"/>
          <w:szCs w:val="21"/>
        </w:rPr>
        <w:t>供应商</w:t>
      </w:r>
      <w:r>
        <w:rPr>
          <w:rFonts w:hint="eastAsia" w:ascii="宋体" w:hAnsi="宋体"/>
          <w:color w:val="auto"/>
          <w:szCs w:val="21"/>
        </w:rPr>
        <w:t>不得与</w:t>
      </w:r>
      <w:r>
        <w:rPr>
          <w:rFonts w:hint="eastAsia" w:ascii="宋体" w:hAnsi="宋体" w:cs="宋体"/>
          <w:color w:val="auto"/>
          <w:kern w:val="0"/>
          <w:szCs w:val="21"/>
        </w:rPr>
        <w:t>采购人、采购代理机构、其他供应商恶意</w:t>
      </w:r>
      <w:r>
        <w:rPr>
          <w:rFonts w:hint="eastAsia" w:ascii="宋体" w:hAnsi="宋体"/>
          <w:color w:val="auto"/>
          <w:szCs w:val="21"/>
        </w:rPr>
        <w:t>串通；不得向</w:t>
      </w:r>
      <w:r>
        <w:rPr>
          <w:rFonts w:hint="eastAsia" w:ascii="宋体" w:hAnsi="宋体" w:cs="宋体"/>
          <w:color w:val="auto"/>
          <w:kern w:val="0"/>
          <w:szCs w:val="21"/>
        </w:rPr>
        <w:t>采购人、采购代理机构</w:t>
      </w:r>
      <w:r>
        <w:rPr>
          <w:rFonts w:hint="eastAsia" w:ascii="宋体" w:hAnsi="宋体"/>
          <w:color w:val="auto"/>
          <w:szCs w:val="21"/>
        </w:rPr>
        <w:t>或者谈判小组成员行贿或者提供其他不正当利益；不得提供虚假材料谋取成交；不得以任何方式干扰、影响采购工作。</w:t>
      </w:r>
    </w:p>
    <w:p w14:paraId="6B1A9A5E">
      <w:pPr>
        <w:adjustRightInd w:val="0"/>
        <w:snapToGrid w:val="0"/>
        <w:spacing w:line="360" w:lineRule="auto"/>
        <w:ind w:firstLine="420" w:firstLineChars="200"/>
        <w:jc w:val="left"/>
        <w:rPr>
          <w:rFonts w:ascii="宋体" w:hAnsi="宋体" w:cs="宋体"/>
          <w:color w:val="auto"/>
          <w:kern w:val="0"/>
          <w:szCs w:val="21"/>
          <w:lang w:val="zh-CN"/>
        </w:rPr>
      </w:pPr>
      <w:r>
        <w:rPr>
          <w:rFonts w:hint="eastAsia" w:ascii="宋体" w:hAnsi="宋体" w:cs="Arial"/>
          <w:color w:val="auto"/>
          <w:kern w:val="0"/>
          <w:szCs w:val="21"/>
        </w:rPr>
        <w:t>33.3</w:t>
      </w:r>
      <w:r>
        <w:rPr>
          <w:rFonts w:ascii="宋体" w:hAnsi="宋体" w:cs="Arial"/>
          <w:color w:val="auto"/>
          <w:kern w:val="0"/>
          <w:szCs w:val="21"/>
        </w:rPr>
        <w:t>有下列情形之一的，</w:t>
      </w:r>
      <w:r>
        <w:rPr>
          <w:rFonts w:ascii="宋体" w:hAnsi="宋体" w:cs="宋体"/>
          <w:color w:val="auto"/>
          <w:kern w:val="0"/>
          <w:szCs w:val="21"/>
          <w:lang w:val="zh-CN"/>
        </w:rPr>
        <w:t>属于恶意串通，</w:t>
      </w:r>
      <w:r>
        <w:rPr>
          <w:rFonts w:ascii="宋体" w:hAnsi="宋体" w:cs="宋体"/>
          <w:color w:val="auto"/>
          <w:kern w:val="0"/>
          <w:szCs w:val="21"/>
        </w:rPr>
        <w:t>成交无效，并</w:t>
      </w:r>
      <w:r>
        <w:rPr>
          <w:rFonts w:ascii="宋体" w:hAnsi="宋体" w:cs="宋体"/>
          <w:color w:val="auto"/>
          <w:kern w:val="0"/>
          <w:szCs w:val="21"/>
          <w:lang w:val="zh-CN"/>
        </w:rPr>
        <w:t>依照《政府采购法》第七十七条的规定追究法律责任：</w:t>
      </w:r>
    </w:p>
    <w:p w14:paraId="51CAED8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（1）供应商直接或者间接从</w:t>
      </w:r>
      <w:r>
        <w:rPr>
          <w:rFonts w:hint="eastAsia" w:ascii="宋体" w:hAnsi="宋体"/>
          <w:bCs/>
          <w:color w:val="auto"/>
          <w:szCs w:val="21"/>
        </w:rPr>
        <w:t>采购人、采购代理机构</w:t>
      </w:r>
      <w:r>
        <w:rPr>
          <w:rFonts w:hint="eastAsia" w:ascii="宋体" w:hAnsi="宋体"/>
          <w:color w:val="auto"/>
          <w:szCs w:val="21"/>
        </w:rPr>
        <w:t>获得其他供应商的响应情况，并修改其响应文件</w:t>
      </w:r>
      <w:r>
        <w:rPr>
          <w:rFonts w:hint="eastAsia" w:ascii="宋体" w:hAnsi="宋体"/>
          <w:color w:val="auto"/>
        </w:rPr>
        <w:t>的</w:t>
      </w:r>
      <w:r>
        <w:rPr>
          <w:rFonts w:hint="eastAsia" w:ascii="宋体" w:hAnsi="宋体"/>
          <w:color w:val="auto"/>
          <w:szCs w:val="21"/>
        </w:rPr>
        <w:t>；</w:t>
      </w:r>
    </w:p>
    <w:p w14:paraId="67968C3D">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bCs/>
          <w:color w:val="auto"/>
          <w:szCs w:val="21"/>
        </w:rPr>
        <w:t>采购人、采购代理机构</w:t>
      </w:r>
      <w:r>
        <w:rPr>
          <w:rFonts w:hint="eastAsia" w:ascii="宋体" w:hAnsi="宋体"/>
          <w:color w:val="auto"/>
          <w:szCs w:val="21"/>
        </w:rPr>
        <w:t>授意供应商撤换、修改响应文件</w:t>
      </w:r>
      <w:r>
        <w:rPr>
          <w:rFonts w:hint="eastAsia" w:ascii="宋体" w:hAnsi="宋体"/>
          <w:color w:val="auto"/>
        </w:rPr>
        <w:t>的</w:t>
      </w:r>
      <w:r>
        <w:rPr>
          <w:rFonts w:hint="eastAsia" w:ascii="宋体" w:hAnsi="宋体"/>
          <w:color w:val="auto"/>
          <w:szCs w:val="21"/>
        </w:rPr>
        <w:t>；</w:t>
      </w:r>
    </w:p>
    <w:p w14:paraId="0DBC94E0">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（3）供应商之间协商技术方案、合同条款以及报价等响应文件实质性内容</w:t>
      </w:r>
      <w:r>
        <w:rPr>
          <w:rFonts w:hint="eastAsia" w:ascii="宋体" w:hAnsi="宋体"/>
          <w:color w:val="auto"/>
        </w:rPr>
        <w:t>的</w:t>
      </w:r>
      <w:r>
        <w:rPr>
          <w:rFonts w:hint="eastAsia" w:ascii="宋体" w:hAnsi="宋体"/>
          <w:color w:val="auto"/>
          <w:szCs w:val="21"/>
        </w:rPr>
        <w:t>；</w:t>
      </w:r>
    </w:p>
    <w:p w14:paraId="2CA6E6EC">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（4）属于同一集团、协会、商会等组织成员的供应商按照该组织要求协同参加竞争性谈判政府采购活动</w:t>
      </w:r>
      <w:r>
        <w:rPr>
          <w:rFonts w:hint="eastAsia" w:ascii="宋体" w:hAnsi="宋体"/>
          <w:color w:val="auto"/>
        </w:rPr>
        <w:t>的</w:t>
      </w:r>
      <w:r>
        <w:rPr>
          <w:rFonts w:hint="eastAsia" w:ascii="宋体" w:hAnsi="宋体"/>
          <w:color w:val="auto"/>
          <w:szCs w:val="21"/>
        </w:rPr>
        <w:t>；</w:t>
      </w:r>
    </w:p>
    <w:p w14:paraId="79DF590D">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（5）供应商之间事先约定由某一特定供应商成交</w:t>
      </w:r>
      <w:r>
        <w:rPr>
          <w:rFonts w:hint="eastAsia" w:ascii="宋体" w:hAnsi="宋体"/>
          <w:color w:val="auto"/>
        </w:rPr>
        <w:t>的</w:t>
      </w:r>
      <w:r>
        <w:rPr>
          <w:rFonts w:hint="eastAsia" w:ascii="宋体" w:hAnsi="宋体"/>
          <w:color w:val="auto"/>
          <w:szCs w:val="21"/>
        </w:rPr>
        <w:t>；</w:t>
      </w:r>
    </w:p>
    <w:p w14:paraId="377EC434">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（6）供应商之间商定部分供应商放弃</w:t>
      </w:r>
      <w:r>
        <w:rPr>
          <w:rFonts w:hint="eastAsia" w:ascii="宋体" w:hAnsi="宋体"/>
          <w:color w:val="auto"/>
        </w:rPr>
        <w:t>提</w:t>
      </w:r>
      <w:r>
        <w:rPr>
          <w:rFonts w:hint="eastAsia" w:ascii="宋体" w:hAnsi="宋体"/>
          <w:color w:val="auto"/>
          <w:szCs w:val="21"/>
        </w:rPr>
        <w:t>交响应文件或者退出谈判或者放弃成交</w:t>
      </w:r>
      <w:r>
        <w:rPr>
          <w:rFonts w:hint="eastAsia" w:ascii="宋体" w:hAnsi="宋体"/>
          <w:color w:val="auto"/>
        </w:rPr>
        <w:t>的</w:t>
      </w:r>
      <w:r>
        <w:rPr>
          <w:rFonts w:hint="eastAsia" w:ascii="宋体" w:hAnsi="宋体"/>
          <w:color w:val="auto"/>
          <w:szCs w:val="21"/>
        </w:rPr>
        <w:t>；</w:t>
      </w:r>
    </w:p>
    <w:p w14:paraId="63AD9F82">
      <w:pPr>
        <w:adjustRightInd w:val="0"/>
        <w:snapToGrid w:val="0"/>
        <w:spacing w:line="360" w:lineRule="auto"/>
        <w:ind w:firstLine="420" w:firstLineChars="200"/>
        <w:rPr>
          <w:rFonts w:ascii="宋体" w:hAnsi="宋体"/>
          <w:b/>
          <w:color w:val="auto"/>
          <w:szCs w:val="21"/>
        </w:rPr>
      </w:pPr>
      <w:r>
        <w:rPr>
          <w:rFonts w:hint="eastAsia" w:ascii="宋体" w:hAnsi="宋体"/>
          <w:color w:val="auto"/>
          <w:szCs w:val="21"/>
        </w:rPr>
        <w:t>（7）供应商与</w:t>
      </w:r>
      <w:r>
        <w:rPr>
          <w:rFonts w:hint="eastAsia" w:ascii="宋体" w:hAnsi="宋体"/>
          <w:bCs/>
          <w:color w:val="auto"/>
          <w:szCs w:val="21"/>
        </w:rPr>
        <w:t>采购人、采购代理机构以及</w:t>
      </w:r>
      <w:r>
        <w:rPr>
          <w:rFonts w:hint="eastAsia" w:ascii="宋体" w:hAnsi="宋体"/>
          <w:color w:val="auto"/>
          <w:szCs w:val="21"/>
        </w:rPr>
        <w:t>谈判小组成员之间、供应商相互之间，为谋求特定供应商成交或者排斥其他供应商的其他串通行为</w:t>
      </w:r>
      <w:r>
        <w:rPr>
          <w:rFonts w:hint="eastAsia" w:ascii="宋体" w:hAnsi="宋体"/>
          <w:color w:val="auto"/>
        </w:rPr>
        <w:t>的</w:t>
      </w:r>
      <w:r>
        <w:rPr>
          <w:rFonts w:hint="eastAsia" w:ascii="宋体" w:hAnsi="宋体"/>
          <w:color w:val="auto"/>
          <w:szCs w:val="21"/>
        </w:rPr>
        <w:t>。</w:t>
      </w:r>
    </w:p>
    <w:p w14:paraId="7F7B9931">
      <w:pPr>
        <w:adjustRightInd w:val="0"/>
        <w:snapToGrid w:val="0"/>
        <w:spacing w:line="360" w:lineRule="auto"/>
        <w:ind w:firstLine="420" w:firstLineChars="200"/>
        <w:rPr>
          <w:rFonts w:ascii="宋体" w:hAnsi="宋体"/>
          <w:color w:val="auto"/>
          <w:szCs w:val="21"/>
        </w:rPr>
      </w:pPr>
      <w:r>
        <w:rPr>
          <w:rFonts w:ascii="宋体" w:hAnsi="宋体" w:cs="Arial"/>
          <w:color w:val="auto"/>
          <w:szCs w:val="21"/>
        </w:rPr>
        <w:t>（</w:t>
      </w:r>
      <w:r>
        <w:rPr>
          <w:rFonts w:hint="eastAsia" w:ascii="宋体" w:hAnsi="宋体" w:cs="Arial"/>
          <w:color w:val="auto"/>
          <w:szCs w:val="21"/>
        </w:rPr>
        <w:t>8</w:t>
      </w:r>
      <w:r>
        <w:rPr>
          <w:rFonts w:ascii="宋体" w:hAnsi="宋体" w:cs="Arial"/>
          <w:color w:val="auto"/>
          <w:szCs w:val="21"/>
        </w:rPr>
        <w:t>）</w:t>
      </w:r>
      <w:r>
        <w:rPr>
          <w:rFonts w:ascii="宋体" w:hAnsi="宋体"/>
          <w:color w:val="auto"/>
          <w:szCs w:val="21"/>
        </w:rPr>
        <w:t>法律、行政法规或规章规定的其他串通行为。</w:t>
      </w:r>
    </w:p>
    <w:p w14:paraId="5570BD8D">
      <w:pPr>
        <w:adjustRightInd w:val="0"/>
        <w:snapToGrid w:val="0"/>
        <w:spacing w:line="360" w:lineRule="auto"/>
        <w:jc w:val="center"/>
        <w:outlineLvl w:val="2"/>
        <w:rPr>
          <w:rFonts w:ascii="黑体" w:hAnsi="黑体" w:eastAsia="黑体"/>
          <w:b/>
          <w:bCs/>
          <w:color w:val="auto"/>
          <w:sz w:val="28"/>
          <w:szCs w:val="28"/>
        </w:rPr>
      </w:pPr>
      <w:bookmarkStart w:id="123" w:name="_Toc30744"/>
      <w:bookmarkStart w:id="124" w:name="_Toc107998001"/>
      <w:r>
        <w:rPr>
          <w:rFonts w:hint="eastAsia" w:ascii="黑体" w:hAnsi="黑体" w:eastAsia="黑体"/>
          <w:b/>
          <w:bCs/>
          <w:color w:val="auto"/>
          <w:sz w:val="28"/>
          <w:szCs w:val="28"/>
        </w:rPr>
        <w:t>六、成交结果信息公布与授予合同</w:t>
      </w:r>
      <w:bookmarkEnd w:id="123"/>
      <w:bookmarkEnd w:id="124"/>
    </w:p>
    <w:p w14:paraId="6A2BA698">
      <w:pPr>
        <w:adjustRightInd w:val="0"/>
        <w:snapToGrid w:val="0"/>
        <w:spacing w:line="360" w:lineRule="auto"/>
        <w:outlineLvl w:val="3"/>
        <w:rPr>
          <w:rFonts w:ascii="黑体" w:hAnsi="黑体" w:eastAsia="黑体"/>
          <w:b/>
          <w:bCs/>
          <w:color w:val="auto"/>
          <w:sz w:val="24"/>
        </w:rPr>
      </w:pPr>
      <w:bookmarkStart w:id="125" w:name="_Toc107998002"/>
      <w:bookmarkStart w:id="126" w:name="_Toc107997875"/>
      <w:r>
        <w:rPr>
          <w:rFonts w:hint="eastAsia" w:ascii="黑体" w:hAnsi="黑体" w:eastAsia="黑体"/>
          <w:b/>
          <w:bCs/>
          <w:color w:val="auto"/>
          <w:sz w:val="24"/>
        </w:rPr>
        <w:t>34.成交信息的公布与成交通知书</w:t>
      </w:r>
      <w:bookmarkEnd w:id="125"/>
      <w:bookmarkEnd w:id="126"/>
    </w:p>
    <w:p w14:paraId="775ED259">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34.1采购人、采购代理机构应当自采购人确定成交供应商之日起2个工作日内，发出成交通知书，并在</w:t>
      </w:r>
      <w:r>
        <w:rPr>
          <w:rFonts w:hint="eastAsia" w:ascii="宋体" w:hAnsi="宋体" w:cs="Courier New"/>
          <w:b/>
          <w:color w:val="auto"/>
          <w:szCs w:val="21"/>
        </w:rPr>
        <w:t>【谈判须知前附表】</w:t>
      </w:r>
      <w:r>
        <w:rPr>
          <w:rFonts w:hint="eastAsia" w:ascii="宋体" w:hAnsi="宋体" w:cs="Courier New"/>
          <w:color w:val="auto"/>
          <w:szCs w:val="21"/>
        </w:rPr>
        <w:t>指定媒体上公告成交结果，竞争性磋商文件随成交结果同时公告，成交结果公告期限为</w:t>
      </w:r>
      <w:r>
        <w:rPr>
          <w:rFonts w:hint="eastAsia" w:ascii="宋体" w:hAnsi="宋体" w:cs="Courier New"/>
          <w:color w:val="auto"/>
          <w:szCs w:val="21"/>
          <w:lang w:val="en-US" w:eastAsia="zh-CN"/>
        </w:rPr>
        <w:t>1</w:t>
      </w:r>
      <w:r>
        <w:rPr>
          <w:rFonts w:hint="eastAsia" w:ascii="宋体" w:hAnsi="宋体" w:cs="Courier New"/>
          <w:color w:val="auto"/>
          <w:szCs w:val="21"/>
        </w:rPr>
        <w:t>个工作日。</w:t>
      </w:r>
    </w:p>
    <w:p w14:paraId="2F73EB9D">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34.2成交供应商确定后，采购人、采购代理机构将以书面形式向成交供应商发出成交通知书。成交通知书对采购人和成交供应商具有同等法律效力。</w:t>
      </w:r>
    </w:p>
    <w:p w14:paraId="43B8062E">
      <w:pPr>
        <w:adjustRightInd w:val="0"/>
        <w:snapToGrid w:val="0"/>
        <w:spacing w:line="360" w:lineRule="auto"/>
        <w:ind w:firstLine="420" w:firstLineChars="200"/>
        <w:rPr>
          <w:rFonts w:ascii="宋体" w:hAnsi="Courier New" w:cs="Courier New"/>
          <w:color w:val="auto"/>
          <w:szCs w:val="21"/>
        </w:rPr>
      </w:pPr>
      <w:r>
        <w:rPr>
          <w:rFonts w:hint="eastAsia" w:ascii="宋体" w:hAnsi="宋体" w:cs="Courier New"/>
          <w:color w:val="auto"/>
          <w:szCs w:val="21"/>
        </w:rPr>
        <w:t>34.3成交通知书是合同文件的组成部分。</w:t>
      </w:r>
    </w:p>
    <w:p w14:paraId="5F8E2FDF">
      <w:pPr>
        <w:spacing w:line="360" w:lineRule="auto"/>
        <w:outlineLvl w:val="3"/>
        <w:rPr>
          <w:rFonts w:ascii="黑体" w:hAnsi="黑体" w:eastAsia="黑体"/>
          <w:b/>
          <w:bCs/>
          <w:color w:val="auto"/>
          <w:sz w:val="24"/>
        </w:rPr>
      </w:pPr>
      <w:bookmarkStart w:id="127" w:name="_Toc107998003"/>
      <w:bookmarkStart w:id="128" w:name="_Toc107997876"/>
      <w:r>
        <w:rPr>
          <w:rFonts w:hint="eastAsia" w:ascii="黑体" w:hAnsi="黑体" w:eastAsia="黑体"/>
          <w:b/>
          <w:bCs/>
          <w:color w:val="auto"/>
          <w:sz w:val="24"/>
        </w:rPr>
        <w:t>35.询问及质疑</w:t>
      </w:r>
      <w:bookmarkEnd w:id="127"/>
      <w:bookmarkEnd w:id="128"/>
    </w:p>
    <w:p w14:paraId="09416CB0">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35.1供应商对政府采购活动事项有疑问的，可以向采购人、采购代理机构提出询问。采购人或采购代理机构将在3个工作日内作出答复。</w:t>
      </w:r>
    </w:p>
    <w:p w14:paraId="7D7400B3">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35.2供应商若认为谈判文件、采购过程和成交结果使自己的权益受到损害，可以按法律、规章及《湖南省财政厅关于印发＜政府采购质疑答复和投诉处理操作规程＞的通知》(湘财购〔2019〕20号)文件规定向采购人、采购代理机构提出质疑。供应商应当在法定质疑期内一次性提出针对同一采购程序环节的质疑。</w:t>
      </w:r>
    </w:p>
    <w:p w14:paraId="2E8F2632">
      <w:pPr>
        <w:adjustRightInd w:val="0"/>
        <w:snapToGrid w:val="0"/>
        <w:spacing w:line="360" w:lineRule="auto"/>
        <w:ind w:firstLine="420" w:firstLineChars="200"/>
        <w:jc w:val="left"/>
        <w:rPr>
          <w:rFonts w:ascii="宋体" w:hAnsi="宋体" w:eastAsia="宋体"/>
          <w:color w:val="auto"/>
          <w:szCs w:val="21"/>
        </w:rPr>
      </w:pPr>
      <w:r>
        <w:rPr>
          <w:rFonts w:hint="eastAsia" w:ascii="宋体" w:hAnsi="宋体"/>
          <w:color w:val="auto"/>
          <w:szCs w:val="21"/>
        </w:rPr>
        <w:t>35.3供应商</w:t>
      </w:r>
      <w:r>
        <w:rPr>
          <w:rFonts w:hint="eastAsia" w:ascii="宋体" w:hAnsi="宋体" w:eastAsia="宋体"/>
          <w:color w:val="auto"/>
          <w:szCs w:val="21"/>
        </w:rPr>
        <w:t>提出质疑的，</w:t>
      </w:r>
      <w:r>
        <w:rPr>
          <w:rFonts w:hint="eastAsia" w:ascii="宋体" w:hAnsi="宋体"/>
          <w:color w:val="auto"/>
          <w:szCs w:val="21"/>
        </w:rPr>
        <w:t>质疑函</w:t>
      </w:r>
      <w:r>
        <w:rPr>
          <w:rFonts w:hint="eastAsia" w:ascii="宋体" w:hAnsi="宋体" w:eastAsia="宋体"/>
          <w:color w:val="auto"/>
          <w:szCs w:val="21"/>
        </w:rPr>
        <w:t>应按照《湖南省财政厅关于印发＜政府采购质疑答复和投诉处理操作规程＞的通知》规定制作、签署、送达。采购人、采购代理机构接收质疑函的联系部门、联系电话和通讯地址见</w:t>
      </w:r>
      <w:r>
        <w:rPr>
          <w:rFonts w:hint="eastAsia" w:ascii="宋体" w:hAnsi="宋体" w:eastAsia="宋体"/>
          <w:b/>
          <w:color w:val="auto"/>
          <w:szCs w:val="21"/>
        </w:rPr>
        <w:t>【谈判须知前附表】</w:t>
      </w:r>
      <w:r>
        <w:rPr>
          <w:rFonts w:hint="eastAsia" w:ascii="宋体" w:hAnsi="宋体" w:eastAsia="宋体"/>
          <w:color w:val="auto"/>
          <w:szCs w:val="21"/>
        </w:rPr>
        <w:t>。</w:t>
      </w:r>
    </w:p>
    <w:p w14:paraId="1AAD457B">
      <w:pPr>
        <w:adjustRightInd w:val="0"/>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35.4采购人、采购代理机构按照《湖南省财政厅关于印发＜政府采购质疑答复和投诉处理操作规程＞的通知》规定进行质疑答复。</w:t>
      </w:r>
    </w:p>
    <w:p w14:paraId="207942CB">
      <w:pPr>
        <w:pStyle w:val="34"/>
        <w:spacing w:line="360" w:lineRule="auto"/>
        <w:rPr>
          <w:rFonts w:ascii="宋体" w:hAnsi="宋体" w:eastAsia="宋体"/>
          <w:color w:val="auto"/>
        </w:rPr>
      </w:pPr>
      <w:r>
        <w:rPr>
          <w:rFonts w:hint="eastAsia" w:ascii="宋体" w:hAnsi="宋体" w:eastAsia="宋体"/>
          <w:color w:val="auto"/>
        </w:rPr>
        <w:t>35.5供应商对采购人、采购代理机构的答复不满意，或采购人或采购代理机构未在规定的期限作出答复的，可在答复期满后15个工作日内，按照《湖南省财政厅关于印发＜政府采购质疑答复和投诉处理操作规程＞的通知》规定向</w:t>
      </w:r>
      <w:r>
        <w:rPr>
          <w:rFonts w:hint="eastAsia" w:ascii="宋体" w:hAnsi="宋体"/>
          <w:color w:val="auto"/>
          <w:lang w:eastAsia="zh-CN"/>
        </w:rPr>
        <w:t>怀化市鹤城区城市建设投资有限公司纪检监察室</w:t>
      </w:r>
      <w:r>
        <w:rPr>
          <w:rFonts w:hint="eastAsia" w:ascii="宋体" w:hAnsi="宋体" w:eastAsia="宋体"/>
          <w:color w:val="auto"/>
        </w:rPr>
        <w:t>提出投诉。</w:t>
      </w:r>
    </w:p>
    <w:p w14:paraId="0CCE47F4">
      <w:pPr>
        <w:spacing w:line="360" w:lineRule="auto"/>
        <w:outlineLvl w:val="3"/>
        <w:rPr>
          <w:rFonts w:ascii="黑体" w:hAnsi="黑体" w:eastAsia="黑体"/>
          <w:b/>
          <w:bCs/>
          <w:color w:val="auto"/>
          <w:sz w:val="24"/>
        </w:rPr>
      </w:pPr>
      <w:bookmarkStart w:id="129" w:name="_Toc107997877"/>
      <w:bookmarkStart w:id="130" w:name="_Toc107998004"/>
      <w:r>
        <w:rPr>
          <w:rFonts w:hint="eastAsia" w:ascii="黑体" w:hAnsi="黑体" w:eastAsia="黑体"/>
          <w:b/>
          <w:bCs/>
          <w:color w:val="auto"/>
          <w:sz w:val="24"/>
        </w:rPr>
        <w:t>36.履约担保</w:t>
      </w:r>
      <w:bookmarkEnd w:id="129"/>
      <w:bookmarkEnd w:id="130"/>
    </w:p>
    <w:p w14:paraId="1B8CA598">
      <w:pPr>
        <w:adjustRightInd w:val="0"/>
        <w:snapToGrid w:val="0"/>
        <w:spacing w:before="50" w:line="360" w:lineRule="auto"/>
        <w:ind w:firstLine="420" w:firstLineChars="200"/>
        <w:rPr>
          <w:rFonts w:ascii="宋体" w:hAnsi="宋体"/>
          <w:color w:val="auto"/>
          <w:szCs w:val="21"/>
        </w:rPr>
      </w:pPr>
      <w:r>
        <w:rPr>
          <w:rFonts w:hint="eastAsia" w:ascii="宋体" w:hAnsi="宋体" w:cs="宋体"/>
          <w:color w:val="auto"/>
          <w:kern w:val="0"/>
          <w:szCs w:val="21"/>
        </w:rPr>
        <w:t>36.1</w:t>
      </w:r>
      <w:r>
        <w:rPr>
          <w:rFonts w:hint="eastAsia" w:ascii="宋体" w:hAnsi="宋体"/>
          <w:color w:val="auto"/>
          <w:szCs w:val="21"/>
        </w:rPr>
        <w:t>谈判文件要求成交供应商向采购人提交履约担保的，成交供应商应按照</w:t>
      </w:r>
      <w:r>
        <w:rPr>
          <w:rFonts w:hint="eastAsia" w:ascii="宋体" w:hAnsi="宋体"/>
          <w:b/>
          <w:color w:val="auto"/>
          <w:szCs w:val="21"/>
        </w:rPr>
        <w:t>【谈判须知前附表】</w:t>
      </w:r>
      <w:r>
        <w:rPr>
          <w:rFonts w:hint="eastAsia" w:ascii="宋体" w:hAnsi="宋体"/>
          <w:color w:val="auto"/>
          <w:szCs w:val="21"/>
        </w:rPr>
        <w:t>的规定提交，供应商可用保函、电子增信替代履约保证金。联合体成交的，履约担保由联合体各方或联合体中牵头人的名义提交。</w:t>
      </w:r>
    </w:p>
    <w:p w14:paraId="731BFE54">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36.2成交供应商</w:t>
      </w:r>
      <w:r>
        <w:rPr>
          <w:rFonts w:hint="eastAsia" w:ascii="宋体" w:hAnsi="宋体" w:cs="Courier New"/>
          <w:color w:val="auto"/>
          <w:spacing w:val="4"/>
          <w:szCs w:val="21"/>
        </w:rPr>
        <w:t>没有按照本章第36.1</w:t>
      </w:r>
      <w:r>
        <w:rPr>
          <w:rFonts w:hint="eastAsia" w:ascii="宋体" w:hAnsi="宋体" w:cs="宋体"/>
          <w:color w:val="auto"/>
          <w:kern w:val="0"/>
          <w:szCs w:val="21"/>
          <w:lang w:val="zh-CN"/>
        </w:rPr>
        <w:t>款</w:t>
      </w:r>
      <w:r>
        <w:rPr>
          <w:rFonts w:hint="eastAsia" w:ascii="宋体" w:hAnsi="宋体" w:cs="Courier New"/>
          <w:color w:val="auto"/>
          <w:spacing w:val="4"/>
          <w:szCs w:val="21"/>
        </w:rPr>
        <w:t>规定</w:t>
      </w:r>
      <w:r>
        <w:rPr>
          <w:rFonts w:hint="eastAsia" w:ascii="宋体" w:hAnsi="宋体" w:cs="Courier New"/>
          <w:color w:val="auto"/>
          <w:szCs w:val="21"/>
        </w:rPr>
        <w:t>提交履约担保的</w:t>
      </w:r>
      <w:r>
        <w:rPr>
          <w:rFonts w:hint="eastAsia" w:ascii="宋体" w:hAnsi="宋体" w:cs="Courier New"/>
          <w:color w:val="auto"/>
          <w:spacing w:val="4"/>
          <w:szCs w:val="21"/>
        </w:rPr>
        <w:t>，视为放弃</w:t>
      </w:r>
      <w:r>
        <w:rPr>
          <w:rFonts w:hint="eastAsia" w:ascii="宋体" w:hAnsi="宋体" w:cs="Courier New"/>
          <w:color w:val="auto"/>
          <w:szCs w:val="21"/>
        </w:rPr>
        <w:t>成交资格</w:t>
      </w:r>
      <w:r>
        <w:rPr>
          <w:rFonts w:hint="eastAsia" w:ascii="宋体" w:hAnsi="宋体" w:cs="Courier New"/>
          <w:color w:val="auto"/>
          <w:spacing w:val="4"/>
          <w:szCs w:val="21"/>
        </w:rPr>
        <w:t>，</w:t>
      </w:r>
      <w:r>
        <w:rPr>
          <w:rFonts w:hint="eastAsia" w:ascii="宋体" w:hAnsi="宋体" w:cs="Courier New"/>
          <w:color w:val="auto"/>
          <w:spacing w:val="2"/>
          <w:szCs w:val="21"/>
        </w:rPr>
        <w:t>其谈判保证金不予退还。</w:t>
      </w:r>
    </w:p>
    <w:p w14:paraId="18B6B6CC">
      <w:pPr>
        <w:spacing w:line="360" w:lineRule="auto"/>
        <w:outlineLvl w:val="3"/>
        <w:rPr>
          <w:rFonts w:ascii="黑体" w:hAnsi="黑体" w:eastAsia="黑体"/>
          <w:b/>
          <w:bCs/>
          <w:color w:val="auto"/>
          <w:sz w:val="24"/>
        </w:rPr>
      </w:pPr>
      <w:bookmarkStart w:id="131" w:name="_Toc107997878"/>
      <w:bookmarkStart w:id="132" w:name="_Toc107998005"/>
      <w:r>
        <w:rPr>
          <w:rFonts w:hint="eastAsia" w:ascii="黑体" w:hAnsi="黑体" w:eastAsia="黑体"/>
          <w:b/>
          <w:bCs/>
          <w:color w:val="auto"/>
          <w:sz w:val="24"/>
        </w:rPr>
        <w:t>37.签订合同</w:t>
      </w:r>
      <w:bookmarkEnd w:id="131"/>
      <w:bookmarkEnd w:id="132"/>
    </w:p>
    <w:p w14:paraId="36542CEB">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37.1谈判文件、成交供应商的响应文件及其补充的响应文件等均为签订政府采购合同的依据。</w:t>
      </w:r>
    </w:p>
    <w:p w14:paraId="6F0D5421">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37.2成交供应商应当在成交通知书发出之日起30日内与采购人签订政府采购合同。</w:t>
      </w:r>
    </w:p>
    <w:p w14:paraId="51344554">
      <w:pPr>
        <w:adjustRightInd w:val="0"/>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37.3成交供应商应当按照合同约定履行义务。成交供应商不得向他人转让成交项目，也不得将成交项目分包后分别向他人转让。</w:t>
      </w:r>
    </w:p>
    <w:p w14:paraId="0B89CE00">
      <w:pPr>
        <w:adjustRightInd w:val="0"/>
        <w:snapToGrid w:val="0"/>
        <w:spacing w:line="360" w:lineRule="auto"/>
        <w:jc w:val="center"/>
        <w:outlineLvl w:val="2"/>
        <w:rPr>
          <w:rFonts w:ascii="黑体" w:hAnsi="黑体" w:eastAsia="黑体"/>
          <w:b/>
          <w:bCs/>
          <w:color w:val="auto"/>
          <w:sz w:val="28"/>
          <w:szCs w:val="28"/>
        </w:rPr>
      </w:pPr>
      <w:bookmarkStart w:id="133" w:name="_Toc22201076"/>
      <w:bookmarkStart w:id="134" w:name="_Toc107998006"/>
      <w:bookmarkStart w:id="135" w:name="_Toc25963"/>
      <w:r>
        <w:rPr>
          <w:rFonts w:hint="eastAsia" w:ascii="黑体" w:hAnsi="黑体" w:eastAsia="黑体"/>
          <w:b/>
          <w:bCs/>
          <w:color w:val="auto"/>
          <w:sz w:val="28"/>
          <w:szCs w:val="28"/>
        </w:rPr>
        <w:t>七、政府采购政策</w:t>
      </w:r>
      <w:bookmarkEnd w:id="133"/>
      <w:bookmarkEnd w:id="134"/>
      <w:bookmarkEnd w:id="135"/>
    </w:p>
    <w:p w14:paraId="6D7614F0">
      <w:pPr>
        <w:adjustRightInd w:val="0"/>
        <w:snapToGrid w:val="0"/>
        <w:spacing w:line="360" w:lineRule="auto"/>
        <w:outlineLvl w:val="3"/>
        <w:rPr>
          <w:rFonts w:ascii="黑体" w:hAnsi="黑体" w:eastAsia="黑体"/>
          <w:b/>
          <w:bCs/>
          <w:color w:val="auto"/>
          <w:sz w:val="24"/>
        </w:rPr>
      </w:pPr>
      <w:bookmarkStart w:id="136" w:name="_Toc62225465"/>
      <w:bookmarkStart w:id="137" w:name="_Toc107997880"/>
      <w:bookmarkStart w:id="138" w:name="_Toc107998007"/>
      <w:r>
        <w:rPr>
          <w:rFonts w:hint="eastAsia" w:ascii="黑体" w:hAnsi="黑体" w:eastAsia="黑体"/>
          <w:b/>
          <w:bCs/>
          <w:color w:val="auto"/>
          <w:sz w:val="24"/>
        </w:rPr>
        <w:t>38.</w:t>
      </w:r>
      <w:bookmarkEnd w:id="136"/>
      <w:r>
        <w:rPr>
          <w:rFonts w:hint="eastAsia" w:ascii="黑体" w:hAnsi="黑体" w:eastAsia="黑体"/>
          <w:b/>
          <w:bCs/>
          <w:color w:val="auto"/>
          <w:sz w:val="24"/>
        </w:rPr>
        <w:t>预留采购份额</w:t>
      </w:r>
      <w:bookmarkEnd w:id="137"/>
      <w:bookmarkEnd w:id="138"/>
    </w:p>
    <w:p w14:paraId="56719A4C">
      <w:pPr>
        <w:adjustRightInd w:val="0"/>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38.1执行中小企业预留采购份额政策的规定：</w:t>
      </w:r>
    </w:p>
    <w:p w14:paraId="7DAEC062">
      <w:pPr>
        <w:adjustRightInd w:val="0"/>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（1）预留份额的采购项目或者采购包，应明确该项目或相关采购包专门面向中小企业采购，并作为供应商资格条件。</w:t>
      </w:r>
    </w:p>
    <w:p w14:paraId="2A91EE49">
      <w:pPr>
        <w:adjustRightInd w:val="0"/>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（2）要求以联合体形式参加或者合同分包的，应明确联合协议或者分包承诺中中小企业合同金额应当达到的比例，并作为供应商资格条件。</w:t>
      </w:r>
    </w:p>
    <w:p w14:paraId="0ED8CECF">
      <w:pPr>
        <w:adjustRightInd w:val="0"/>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（3）组成联合体或者接受分包合同的中小企业与联合体内其他企业(成员)、分包企业之间不得存在直接控股、管理关系。</w:t>
      </w:r>
    </w:p>
    <w:p w14:paraId="69808D9A">
      <w:pPr>
        <w:adjustRightInd w:val="0"/>
        <w:snapToGrid w:val="0"/>
        <w:spacing w:line="360" w:lineRule="auto"/>
        <w:outlineLvl w:val="3"/>
        <w:rPr>
          <w:rFonts w:ascii="黑体" w:hAnsi="黑体" w:eastAsia="黑体"/>
          <w:b/>
          <w:bCs/>
          <w:color w:val="auto"/>
          <w:sz w:val="24"/>
        </w:rPr>
      </w:pPr>
      <w:bookmarkStart w:id="139" w:name="_Toc107997881"/>
      <w:bookmarkStart w:id="140" w:name="_Toc62225466"/>
      <w:bookmarkStart w:id="141" w:name="_Toc107998008"/>
      <w:r>
        <w:rPr>
          <w:rFonts w:hint="eastAsia" w:ascii="黑体" w:hAnsi="黑体" w:eastAsia="黑体"/>
          <w:b/>
          <w:bCs/>
          <w:color w:val="auto"/>
          <w:sz w:val="24"/>
        </w:rPr>
        <w:t>39.强制采购</w:t>
      </w:r>
      <w:bookmarkEnd w:id="139"/>
      <w:bookmarkEnd w:id="140"/>
      <w:bookmarkEnd w:id="141"/>
    </w:p>
    <w:p w14:paraId="67060845">
      <w:pPr>
        <w:adjustRightInd w:val="0"/>
        <w:snapToGrid w:val="0"/>
        <w:spacing w:line="360" w:lineRule="auto"/>
        <w:ind w:firstLine="420" w:firstLineChars="200"/>
        <w:jc w:val="left"/>
        <w:rPr>
          <w:rFonts w:ascii="宋体" w:hAnsi="宋体" w:eastAsia="宋体" w:cs="宋体"/>
          <w:color w:val="auto"/>
          <w:kern w:val="0"/>
        </w:rPr>
      </w:pPr>
      <w:r>
        <w:rPr>
          <w:rFonts w:hint="eastAsia" w:ascii="宋体" w:hAnsi="宋体" w:eastAsia="宋体" w:cs="宋体"/>
          <w:color w:val="auto"/>
          <w:kern w:val="0"/>
        </w:rPr>
        <w:t>39.1纳入财政部会同国务院有关部门发布的节能产品政府采购品目清单（品目清单中标注</w:t>
      </w:r>
      <w:r>
        <w:rPr>
          <w:rFonts w:hint="eastAsia" w:ascii="宋体" w:hAnsi="宋体" w:eastAsia="宋体" w:cs="宋体"/>
          <w:color w:val="auto"/>
          <w:kern w:val="0"/>
        </w:rPr>
        <w:sym w:font="Wingdings" w:char="F0AB"/>
      </w:r>
      <w:r>
        <w:rPr>
          <w:rFonts w:hint="eastAsia" w:ascii="宋体" w:hAnsi="宋体" w:eastAsia="宋体" w:cs="宋体"/>
          <w:color w:val="auto"/>
          <w:kern w:val="0"/>
        </w:rPr>
        <w:t>符号产品），实施政府强制采购的，供应商提供的产品不符合强制采购规定，其</w:t>
      </w:r>
      <w:r>
        <w:rPr>
          <w:rFonts w:hint="eastAsia" w:ascii="宋体" w:hAnsi="宋体" w:eastAsia="宋体" w:cs="宋体"/>
          <w:b/>
          <w:color w:val="auto"/>
          <w:kern w:val="0"/>
        </w:rPr>
        <w:t>响应</w:t>
      </w:r>
      <w:r>
        <w:rPr>
          <w:rFonts w:hint="eastAsia" w:ascii="宋体" w:hAnsi="宋体" w:eastAsia="宋体" w:cs="宋体"/>
          <w:b/>
          <w:color w:val="auto"/>
          <w:kern w:val="0"/>
          <w:szCs w:val="21"/>
        </w:rPr>
        <w:t>无效</w:t>
      </w:r>
      <w:r>
        <w:rPr>
          <w:rFonts w:hint="eastAsia" w:ascii="宋体" w:hAnsi="宋体" w:eastAsia="宋体" w:cs="宋体"/>
          <w:color w:val="auto"/>
          <w:kern w:val="0"/>
        </w:rPr>
        <w:t>。</w:t>
      </w:r>
    </w:p>
    <w:p w14:paraId="6C992837">
      <w:pPr>
        <w:adjustRightInd w:val="0"/>
        <w:snapToGrid w:val="0"/>
        <w:spacing w:line="360" w:lineRule="auto"/>
        <w:outlineLvl w:val="3"/>
        <w:rPr>
          <w:rFonts w:ascii="黑体" w:hAnsi="黑体" w:eastAsia="黑体"/>
          <w:b/>
          <w:bCs/>
          <w:color w:val="auto"/>
          <w:sz w:val="24"/>
        </w:rPr>
      </w:pPr>
      <w:bookmarkStart w:id="142" w:name="_Toc107998009"/>
      <w:bookmarkStart w:id="143" w:name="_Toc62225467"/>
      <w:bookmarkStart w:id="144" w:name="_Toc107997882"/>
      <w:r>
        <w:rPr>
          <w:rFonts w:hint="eastAsia" w:ascii="黑体" w:hAnsi="黑体" w:eastAsia="黑体"/>
          <w:b/>
          <w:bCs/>
          <w:color w:val="auto"/>
          <w:sz w:val="24"/>
        </w:rPr>
        <w:t>40.优先采购</w:t>
      </w:r>
      <w:bookmarkEnd w:id="142"/>
      <w:bookmarkEnd w:id="143"/>
      <w:bookmarkEnd w:id="144"/>
    </w:p>
    <w:p w14:paraId="6608B0BC">
      <w:pPr>
        <w:adjustRightInd w:val="0"/>
        <w:snapToGrid w:val="0"/>
        <w:spacing w:line="360" w:lineRule="auto"/>
        <w:ind w:firstLine="420" w:firstLineChars="200"/>
        <w:jc w:val="left"/>
        <w:rPr>
          <w:rFonts w:ascii="宋体" w:hAnsi="宋体" w:eastAsia="宋体"/>
          <w:color w:val="auto"/>
        </w:rPr>
      </w:pPr>
      <w:r>
        <w:rPr>
          <w:rFonts w:hint="eastAsia" w:ascii="宋体" w:hAnsi="宋体" w:eastAsia="宋体"/>
          <w:color w:val="auto"/>
        </w:rPr>
        <w:t>40.1</w:t>
      </w:r>
      <w:r>
        <w:rPr>
          <w:rFonts w:hint="eastAsia" w:ascii="宋体" w:hAnsi="宋体"/>
          <w:color w:val="auto"/>
        </w:rPr>
        <w:t>对</w:t>
      </w:r>
      <w:r>
        <w:rPr>
          <w:rFonts w:hint="eastAsia" w:ascii="宋体" w:hAnsi="宋体"/>
          <w:color w:val="auto"/>
          <w:szCs w:val="21"/>
        </w:rPr>
        <w:t>纳入财政部会同国务院有关部门发布的节能产品(未</w:t>
      </w:r>
      <w:r>
        <w:rPr>
          <w:rFonts w:hint="eastAsia" w:ascii="宋体" w:hAnsi="宋体" w:eastAsia="宋体" w:cs="宋体"/>
          <w:color w:val="auto"/>
          <w:kern w:val="0"/>
        </w:rPr>
        <w:t>标注</w:t>
      </w:r>
      <w:r>
        <w:rPr>
          <w:rFonts w:hint="eastAsia" w:ascii="宋体" w:hAnsi="宋体" w:eastAsia="宋体" w:cs="宋体"/>
          <w:color w:val="auto"/>
          <w:kern w:val="0"/>
        </w:rPr>
        <w:sym w:font="Wingdings" w:char="F0AB"/>
      </w:r>
      <w:r>
        <w:rPr>
          <w:rFonts w:hint="eastAsia" w:ascii="宋体" w:hAnsi="宋体" w:eastAsia="宋体" w:cs="宋体"/>
          <w:color w:val="auto"/>
          <w:kern w:val="0"/>
        </w:rPr>
        <w:t>符号产品</w:t>
      </w:r>
      <w:r>
        <w:rPr>
          <w:rFonts w:hint="eastAsia" w:ascii="宋体" w:hAnsi="宋体"/>
          <w:color w:val="auto"/>
          <w:szCs w:val="21"/>
        </w:rPr>
        <w:t>)、环境标志产品政府采购品目清单，实施政府优先采购的，评审时</w:t>
      </w:r>
      <w:r>
        <w:rPr>
          <w:rFonts w:hint="eastAsia" w:ascii="宋体" w:hAnsi="宋体"/>
          <w:color w:val="auto"/>
          <w:szCs w:val="21"/>
          <w:lang w:val="en-US" w:eastAsia="zh-CN"/>
        </w:rPr>
        <w:t>对该部分产品</w:t>
      </w:r>
      <w:r>
        <w:rPr>
          <w:rFonts w:hint="eastAsia" w:ascii="宋体" w:hAnsi="宋体"/>
          <w:color w:val="auto"/>
          <w:szCs w:val="21"/>
        </w:rPr>
        <w:t>按</w:t>
      </w:r>
      <w:r>
        <w:rPr>
          <w:rFonts w:hint="eastAsia" w:ascii="宋体" w:hAnsi="宋体"/>
          <w:b/>
          <w:color w:val="auto"/>
          <w:szCs w:val="21"/>
        </w:rPr>
        <w:t>【谈判须知前附表】</w:t>
      </w:r>
      <w:r>
        <w:rPr>
          <w:rFonts w:hint="eastAsia" w:ascii="宋体" w:hAnsi="宋体"/>
          <w:color w:val="auto"/>
          <w:szCs w:val="21"/>
        </w:rPr>
        <w:t>规定给予价格折扣；</w:t>
      </w:r>
    </w:p>
    <w:p w14:paraId="73E10334">
      <w:pPr>
        <w:adjustRightInd w:val="0"/>
        <w:snapToGrid w:val="0"/>
        <w:spacing w:line="360" w:lineRule="auto"/>
        <w:ind w:firstLine="420" w:firstLineChars="200"/>
        <w:jc w:val="left"/>
        <w:rPr>
          <w:rFonts w:ascii="宋体" w:hAnsi="宋体"/>
          <w:color w:val="auto"/>
        </w:rPr>
      </w:pPr>
      <w:r>
        <w:rPr>
          <w:rFonts w:hint="eastAsia" w:ascii="宋体" w:hAnsi="宋体" w:eastAsia="宋体"/>
          <w:color w:val="auto"/>
        </w:rPr>
        <w:t>40.2</w:t>
      </w:r>
      <w:r>
        <w:rPr>
          <w:rFonts w:hint="eastAsia" w:ascii="宋体" w:hAnsi="宋体"/>
          <w:color w:val="auto"/>
        </w:rPr>
        <w:t>对纳入湖南省财政厅等有关部门发布的湖南省两型产品政府采购目录，实施政府优先采购的，评审时</w:t>
      </w:r>
      <w:r>
        <w:rPr>
          <w:rFonts w:hint="eastAsia" w:ascii="宋体" w:hAnsi="宋体"/>
          <w:color w:val="auto"/>
          <w:szCs w:val="21"/>
          <w:lang w:val="en-US" w:eastAsia="zh-CN"/>
        </w:rPr>
        <w:t>该部分产品</w:t>
      </w:r>
      <w:r>
        <w:rPr>
          <w:rFonts w:hint="eastAsia" w:ascii="宋体" w:hAnsi="宋体"/>
          <w:color w:val="auto"/>
        </w:rPr>
        <w:t>按</w:t>
      </w:r>
      <w:r>
        <w:rPr>
          <w:rFonts w:hint="eastAsia" w:ascii="宋体" w:hAnsi="宋体"/>
          <w:b/>
          <w:color w:val="auto"/>
          <w:szCs w:val="21"/>
        </w:rPr>
        <w:t>【谈判须知前附表】</w:t>
      </w:r>
      <w:r>
        <w:rPr>
          <w:rFonts w:hint="eastAsia" w:ascii="宋体" w:hAnsi="宋体"/>
          <w:color w:val="auto"/>
          <w:szCs w:val="21"/>
        </w:rPr>
        <w:t>规定</w:t>
      </w:r>
      <w:r>
        <w:rPr>
          <w:rFonts w:hint="eastAsia" w:ascii="宋体" w:hAnsi="宋体"/>
          <w:color w:val="auto"/>
        </w:rPr>
        <w:t>给予价格折扣。</w:t>
      </w:r>
    </w:p>
    <w:p w14:paraId="230150D3">
      <w:pPr>
        <w:adjustRightInd w:val="0"/>
        <w:snapToGrid w:val="0"/>
        <w:spacing w:line="360" w:lineRule="auto"/>
        <w:outlineLvl w:val="3"/>
        <w:rPr>
          <w:rFonts w:ascii="黑体" w:hAnsi="黑体" w:eastAsia="黑体"/>
          <w:b/>
          <w:bCs/>
          <w:color w:val="auto"/>
          <w:sz w:val="24"/>
        </w:rPr>
      </w:pPr>
      <w:bookmarkStart w:id="145" w:name="_Toc107997883"/>
      <w:bookmarkStart w:id="146" w:name="_Toc107998010"/>
      <w:bookmarkStart w:id="147" w:name="_Toc62225468"/>
      <w:r>
        <w:rPr>
          <w:rFonts w:hint="eastAsia" w:ascii="黑体" w:hAnsi="黑体" w:eastAsia="黑体"/>
          <w:b/>
          <w:bCs/>
          <w:color w:val="auto"/>
          <w:sz w:val="24"/>
        </w:rPr>
        <w:t>41.价格评审优惠</w:t>
      </w:r>
      <w:bookmarkEnd w:id="145"/>
      <w:bookmarkEnd w:id="146"/>
      <w:bookmarkEnd w:id="147"/>
    </w:p>
    <w:p w14:paraId="4A2AA6BE">
      <w:pPr>
        <w:adjustRightInd w:val="0"/>
        <w:snapToGrid w:val="0"/>
        <w:spacing w:line="360" w:lineRule="auto"/>
        <w:ind w:firstLine="420" w:firstLineChars="200"/>
        <w:jc w:val="left"/>
        <w:rPr>
          <w:rFonts w:ascii="宋体" w:hAnsi="宋体" w:eastAsia="宋体"/>
          <w:color w:val="auto"/>
        </w:rPr>
      </w:pPr>
      <w:r>
        <w:rPr>
          <w:rFonts w:hint="eastAsia" w:ascii="宋体" w:hAnsi="宋体" w:eastAsia="宋体"/>
          <w:color w:val="auto"/>
        </w:rPr>
        <w:t>4</w:t>
      </w:r>
      <w:r>
        <w:rPr>
          <w:rFonts w:ascii="宋体" w:hAnsi="宋体" w:eastAsia="宋体"/>
          <w:color w:val="auto"/>
        </w:rPr>
        <w:t>1.1</w:t>
      </w:r>
      <w:r>
        <w:rPr>
          <w:rFonts w:hint="eastAsia" w:ascii="宋体" w:hAnsi="宋体" w:eastAsia="宋体"/>
          <w:color w:val="auto"/>
        </w:rPr>
        <w:t>在政府采购活动中，供应商提供的货物、工程或者服务符合下列情形的：</w:t>
      </w:r>
      <w:r>
        <w:rPr>
          <w:rFonts w:ascii="宋体" w:hAnsi="宋体" w:eastAsia="宋体"/>
          <w:color w:val="auto"/>
        </w:rPr>
        <w:t>（</w:t>
      </w:r>
      <w:r>
        <w:rPr>
          <w:rFonts w:hint="eastAsia" w:ascii="宋体" w:hAnsi="宋体" w:eastAsia="宋体"/>
          <w:color w:val="auto"/>
        </w:rPr>
        <w:t>1</w:t>
      </w:r>
      <w:r>
        <w:rPr>
          <w:rFonts w:ascii="宋体" w:hAnsi="宋体" w:eastAsia="宋体"/>
          <w:color w:val="auto"/>
        </w:rPr>
        <w:t>）</w:t>
      </w:r>
      <w:r>
        <w:rPr>
          <w:rFonts w:hint="eastAsia" w:ascii="宋体" w:hAnsi="宋体" w:eastAsia="宋体"/>
          <w:color w:val="auto"/>
        </w:rPr>
        <w:t>在货物采购项目中，货物由中小企业制造，即货物由中小企业生产且使用该中小企业商号或者注册商标；（2）在工程采购项目中，工程由中小企业承建，即工程施工单位为中小企业；（3）在服务采购项目中，服务由中小企业承接，即提供服务的人员为中小企业依照《中华人民共和国劳动合同法》订立劳动合同的从业人员</w:t>
      </w:r>
      <w:r>
        <w:rPr>
          <w:rFonts w:hint="eastAsia" w:ascii="宋体" w:hAnsi="宋体" w:eastAsia="宋体"/>
          <w:color w:val="auto"/>
          <w:lang w:eastAsia="zh-CN"/>
        </w:rPr>
        <w:t>；</w:t>
      </w:r>
      <w:r>
        <w:rPr>
          <w:rFonts w:hint="eastAsia" w:ascii="宋体" w:hAnsi="宋体" w:eastAsia="宋体"/>
          <w:color w:val="auto"/>
        </w:rPr>
        <w:t>给予一定比例的价格折扣，用扣除后的价格参与评审；</w:t>
      </w:r>
    </w:p>
    <w:p w14:paraId="43E1FB1B">
      <w:pPr>
        <w:adjustRightInd w:val="0"/>
        <w:snapToGrid w:val="0"/>
        <w:spacing w:line="360" w:lineRule="auto"/>
        <w:ind w:firstLine="420" w:firstLineChars="200"/>
        <w:jc w:val="left"/>
        <w:rPr>
          <w:rFonts w:ascii="宋体" w:hAnsi="宋体" w:eastAsia="宋体"/>
          <w:color w:val="auto"/>
        </w:rPr>
      </w:pPr>
      <w:r>
        <w:rPr>
          <w:rFonts w:hint="eastAsia" w:ascii="宋体" w:hAnsi="宋体" w:eastAsia="宋体"/>
          <w:color w:val="auto"/>
        </w:rPr>
        <w:t>4</w:t>
      </w:r>
      <w:r>
        <w:rPr>
          <w:rFonts w:ascii="宋体" w:hAnsi="宋体" w:eastAsia="宋体"/>
          <w:color w:val="auto"/>
        </w:rPr>
        <w:t>1.2价格折扣比例</w:t>
      </w:r>
    </w:p>
    <w:p w14:paraId="2DFE48E6">
      <w:pPr>
        <w:adjustRightInd w:val="0"/>
        <w:snapToGrid w:val="0"/>
        <w:spacing w:line="360" w:lineRule="auto"/>
        <w:ind w:firstLine="420" w:firstLineChars="200"/>
        <w:jc w:val="left"/>
        <w:rPr>
          <w:rFonts w:ascii="宋体" w:hAnsi="宋体" w:eastAsia="宋体"/>
          <w:color w:val="auto"/>
        </w:rPr>
      </w:pPr>
      <w:r>
        <w:rPr>
          <w:rFonts w:hint="eastAsia" w:ascii="宋体" w:hAnsi="宋体" w:eastAsia="宋体"/>
          <w:color w:val="auto"/>
        </w:rPr>
        <w:t>（1）对于经主管预算单位统筹后未预留份额专门面向中小企业采购的采购项目，以及预留份额项目中的非预留部分采购包，符合小微企业生产的货物或者提供的服务、工程情形的，按照</w:t>
      </w:r>
      <w:r>
        <w:rPr>
          <w:rFonts w:hint="eastAsia" w:ascii="宋体" w:hAnsi="宋体"/>
          <w:b/>
          <w:color w:val="auto"/>
          <w:szCs w:val="21"/>
        </w:rPr>
        <w:t>【谈判须知前附表】</w:t>
      </w:r>
      <w:r>
        <w:rPr>
          <w:rFonts w:hint="eastAsia" w:ascii="宋体" w:hAnsi="宋体" w:eastAsia="宋体"/>
          <w:color w:val="auto"/>
        </w:rPr>
        <w:t>规定的比例给予价格折扣，用扣除后的价格参与评审。</w:t>
      </w:r>
    </w:p>
    <w:p w14:paraId="6C6CEB4A">
      <w:pPr>
        <w:adjustRightInd w:val="0"/>
        <w:snapToGrid w:val="0"/>
        <w:spacing w:line="360" w:lineRule="auto"/>
        <w:ind w:firstLine="420" w:firstLineChars="200"/>
        <w:jc w:val="left"/>
        <w:rPr>
          <w:rFonts w:ascii="宋体" w:hAnsi="宋体" w:eastAsia="宋体"/>
          <w:color w:val="auto"/>
        </w:rPr>
      </w:pPr>
      <w:r>
        <w:rPr>
          <w:rFonts w:hint="eastAsia" w:ascii="宋体" w:hAnsi="宋体" w:eastAsia="宋体"/>
          <w:color w:val="auto"/>
        </w:rPr>
        <w:t>（2）接受大中型企业与小微企业组成联合体或者允许大中型企业向一家或者多家小微企业分包的采购项目，对于联合协议或者分包承诺约定小微企业的合同份额占到合同总金额30%以上的，按照</w:t>
      </w:r>
      <w:r>
        <w:rPr>
          <w:rFonts w:hint="eastAsia" w:ascii="宋体" w:hAnsi="宋体"/>
          <w:b/>
          <w:color w:val="auto"/>
          <w:szCs w:val="21"/>
        </w:rPr>
        <w:t>【谈判须知前附表】</w:t>
      </w:r>
      <w:r>
        <w:rPr>
          <w:rFonts w:hint="eastAsia" w:ascii="宋体" w:hAnsi="宋体" w:eastAsia="宋体"/>
          <w:color w:val="auto"/>
        </w:rPr>
        <w:t>规定的比例给予价格折扣，用扣除后的价格参与评审。以联合体形式参加政府采购活动，联合体各方均为中小企业的，联合体视同中小企业。其中，联合体各方均为小微企业的，联合体视同小微企业。</w:t>
      </w:r>
    </w:p>
    <w:p w14:paraId="7B70BC98">
      <w:pPr>
        <w:adjustRightInd w:val="0"/>
        <w:snapToGrid w:val="0"/>
        <w:spacing w:line="360" w:lineRule="auto"/>
        <w:ind w:firstLine="420" w:firstLineChars="200"/>
        <w:jc w:val="left"/>
        <w:rPr>
          <w:rFonts w:ascii="宋体" w:hAnsi="宋体" w:eastAsia="宋体"/>
          <w:color w:val="auto"/>
        </w:rPr>
      </w:pPr>
      <w:r>
        <w:rPr>
          <w:rFonts w:hint="eastAsia" w:ascii="宋体" w:hAnsi="宋体" w:eastAsia="宋体"/>
          <w:color w:val="auto"/>
        </w:rPr>
        <w:t>4</w:t>
      </w:r>
      <w:r>
        <w:rPr>
          <w:rFonts w:ascii="宋体" w:hAnsi="宋体" w:eastAsia="宋体"/>
          <w:color w:val="auto"/>
        </w:rPr>
        <w:t>1.3</w:t>
      </w:r>
      <w:r>
        <w:rPr>
          <w:rFonts w:hint="eastAsia" w:ascii="宋体" w:hAnsi="宋体" w:eastAsia="宋体"/>
          <w:color w:val="auto"/>
        </w:rPr>
        <w:t>符合中小企业划分标准的个体工商户视同中小企业，享受评审中价格扣除等促进中小企业发展的政府采购政策。</w:t>
      </w:r>
    </w:p>
    <w:p w14:paraId="6155EB9E">
      <w:pPr>
        <w:adjustRightInd w:val="0"/>
        <w:snapToGrid w:val="0"/>
        <w:spacing w:line="360" w:lineRule="auto"/>
        <w:ind w:firstLine="420" w:firstLineChars="200"/>
        <w:jc w:val="left"/>
        <w:rPr>
          <w:rFonts w:ascii="宋体" w:hAnsi="宋体" w:eastAsia="宋体"/>
          <w:color w:val="auto"/>
        </w:rPr>
      </w:pPr>
      <w:r>
        <w:rPr>
          <w:rFonts w:hint="eastAsia" w:ascii="宋体" w:hAnsi="宋体" w:eastAsia="宋体"/>
          <w:color w:val="auto"/>
        </w:rPr>
        <w:t>4</w:t>
      </w:r>
      <w:r>
        <w:rPr>
          <w:rFonts w:ascii="宋体" w:hAnsi="宋体" w:eastAsia="宋体"/>
          <w:color w:val="auto"/>
        </w:rPr>
        <w:t>1.4</w:t>
      </w:r>
      <w:r>
        <w:rPr>
          <w:rFonts w:hint="eastAsia" w:ascii="宋体" w:hAnsi="宋体" w:eastAsia="宋体"/>
          <w:color w:val="auto"/>
        </w:rPr>
        <w:t>监狱企业、残疾人福利性单位视同小型、微型企业，享受评审中价格扣除等促进中小企业发展的政府采购政策。</w:t>
      </w:r>
    </w:p>
    <w:p w14:paraId="06F71C3D">
      <w:pPr>
        <w:adjustRightInd w:val="0"/>
        <w:snapToGrid w:val="0"/>
        <w:spacing w:line="360" w:lineRule="auto"/>
        <w:ind w:firstLine="420" w:firstLineChars="200"/>
        <w:jc w:val="left"/>
        <w:rPr>
          <w:rFonts w:ascii="宋体" w:hAnsi="宋体" w:eastAsia="宋体"/>
          <w:color w:val="auto"/>
        </w:rPr>
      </w:pPr>
      <w:r>
        <w:rPr>
          <w:rFonts w:hint="eastAsia" w:ascii="宋体" w:hAnsi="宋体" w:eastAsia="宋体"/>
          <w:color w:val="auto"/>
        </w:rPr>
        <w:t>4</w:t>
      </w:r>
      <w:r>
        <w:rPr>
          <w:rFonts w:ascii="宋体" w:hAnsi="宋体" w:eastAsia="宋体"/>
          <w:color w:val="auto"/>
        </w:rPr>
        <w:t>1.5</w:t>
      </w:r>
      <w:r>
        <w:rPr>
          <w:rFonts w:hint="eastAsia" w:ascii="宋体" w:hAnsi="宋体" w:eastAsia="宋体"/>
          <w:color w:val="auto"/>
        </w:rPr>
        <w:t xml:space="preserve">与大企业的负责人为同一人，或者与大企业存在直接控股、管理关系的中小企业，不享受评审中价格扣除等促进中小企业发展的政府采购政策。 </w:t>
      </w:r>
    </w:p>
    <w:p w14:paraId="6CB50808">
      <w:pPr>
        <w:adjustRightInd w:val="0"/>
        <w:snapToGrid w:val="0"/>
        <w:spacing w:line="360" w:lineRule="auto"/>
        <w:ind w:firstLine="420" w:firstLineChars="200"/>
        <w:jc w:val="left"/>
        <w:rPr>
          <w:rFonts w:ascii="宋体" w:hAnsi="宋体"/>
          <w:bCs/>
          <w:color w:val="auto"/>
          <w:szCs w:val="21"/>
        </w:rPr>
      </w:pPr>
      <w:r>
        <w:rPr>
          <w:rFonts w:hint="eastAsia" w:ascii="宋体" w:hAnsi="宋体" w:eastAsia="宋体"/>
          <w:color w:val="auto"/>
        </w:rPr>
        <w:t>4</w:t>
      </w:r>
      <w:r>
        <w:rPr>
          <w:rFonts w:ascii="宋体" w:hAnsi="宋体" w:eastAsia="宋体"/>
          <w:color w:val="auto"/>
        </w:rPr>
        <w:t>1.6</w:t>
      </w:r>
      <w:r>
        <w:rPr>
          <w:rFonts w:hint="eastAsia" w:ascii="宋体" w:hAnsi="宋体" w:eastAsia="宋体"/>
          <w:color w:val="auto"/>
        </w:rPr>
        <w:t>本章第1.2款规定采购项目或者采购包属于“预留采购份额”的，预留部分不再享受本款“价格评审优惠”的小微企业扶持政策。</w:t>
      </w:r>
    </w:p>
    <w:p w14:paraId="768C6771">
      <w:pPr>
        <w:adjustRightInd w:val="0"/>
        <w:snapToGrid w:val="0"/>
        <w:spacing w:line="360" w:lineRule="auto"/>
        <w:outlineLvl w:val="3"/>
        <w:rPr>
          <w:rFonts w:ascii="黑体" w:hAnsi="黑体" w:eastAsia="黑体"/>
          <w:b/>
          <w:bCs/>
          <w:color w:val="auto"/>
          <w:sz w:val="24"/>
        </w:rPr>
      </w:pPr>
      <w:bookmarkStart w:id="148" w:name="_Toc107998011"/>
      <w:bookmarkStart w:id="149" w:name="_Toc107997884"/>
      <w:bookmarkStart w:id="150" w:name="_Toc62225469"/>
      <w:r>
        <w:rPr>
          <w:rFonts w:hint="eastAsia" w:ascii="黑体" w:hAnsi="黑体" w:eastAsia="黑体"/>
          <w:b/>
          <w:bCs/>
          <w:color w:val="auto"/>
          <w:sz w:val="24"/>
        </w:rPr>
        <w:t>42.政府采购政策其他规定</w:t>
      </w:r>
      <w:bookmarkEnd w:id="148"/>
      <w:bookmarkEnd w:id="149"/>
      <w:bookmarkEnd w:id="150"/>
    </w:p>
    <w:p w14:paraId="400C1522">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42.1中型企业、小型企业和微型企业类型按照《关于印发＜政府采购促进中小企业发展办法＞的通知》(财库[2020]46号)和《关于印发中小企业划型标准规定的通知》（工信部联企业〔2011〕300号）规定认定。</w:t>
      </w:r>
    </w:p>
    <w:p w14:paraId="2A05D062">
      <w:pPr>
        <w:adjustRightInd w:val="0"/>
        <w:snapToGrid w:val="0"/>
        <w:spacing w:line="360" w:lineRule="auto"/>
        <w:ind w:firstLine="420" w:firstLineChars="200"/>
        <w:jc w:val="left"/>
        <w:rPr>
          <w:rFonts w:ascii="宋体" w:hAnsi="宋体"/>
          <w:color w:val="auto"/>
          <w:szCs w:val="21"/>
        </w:rPr>
      </w:pPr>
      <w:r>
        <w:rPr>
          <w:rFonts w:hint="eastAsia" w:ascii="宋体" w:hAnsi="宋体" w:eastAsia="宋体"/>
          <w:color w:val="auto"/>
        </w:rPr>
        <w:t>42.2</w:t>
      </w:r>
      <w:r>
        <w:rPr>
          <w:rFonts w:hint="eastAsia" w:ascii="宋体" w:hAnsi="宋体"/>
          <w:color w:val="auto"/>
        </w:rPr>
        <w:t>监狱企业、残</w:t>
      </w:r>
      <w:r>
        <w:rPr>
          <w:rFonts w:hint="eastAsia" w:ascii="宋体" w:hAnsi="宋体"/>
          <w:color w:val="auto"/>
          <w:szCs w:val="21"/>
        </w:rPr>
        <w:t>疾人福利性单位以及个体工商户视同小型、微型企业，享受预留采购份额、价格扣除等促进中小企业发展的政府采购政策。监狱企业、残疾人福利性单位以及个体工商户属于小型、微型企业的，不重复享受扶持政策。</w:t>
      </w:r>
    </w:p>
    <w:p w14:paraId="640C051A">
      <w:pPr>
        <w:adjustRightInd w:val="0"/>
        <w:snapToGrid w:val="0"/>
        <w:spacing w:line="360" w:lineRule="auto"/>
        <w:ind w:firstLine="420" w:firstLineChars="200"/>
        <w:jc w:val="left"/>
        <w:rPr>
          <w:rFonts w:ascii="宋体" w:hAnsi="宋体" w:eastAsia="宋体"/>
          <w:color w:val="auto"/>
        </w:rPr>
      </w:pPr>
      <w:r>
        <w:rPr>
          <w:rFonts w:hint="eastAsia" w:ascii="宋体" w:hAnsi="宋体" w:eastAsia="宋体"/>
          <w:color w:val="auto"/>
        </w:rPr>
        <w:t>42.3以联合体形式参加政府采购活动，联合体各方均为中小企业的，联合体视同中小企业。其中，联合体各方均为小微企业的，联合体视同小微企业。</w:t>
      </w:r>
    </w:p>
    <w:p w14:paraId="0C1D8D42">
      <w:pPr>
        <w:adjustRightInd w:val="0"/>
        <w:snapToGrid w:val="0"/>
        <w:spacing w:line="360" w:lineRule="auto"/>
        <w:ind w:firstLine="420" w:firstLineChars="200"/>
        <w:jc w:val="left"/>
        <w:rPr>
          <w:rFonts w:ascii="宋体" w:hAnsi="宋体" w:eastAsia="宋体"/>
          <w:color w:val="auto"/>
        </w:rPr>
      </w:pPr>
      <w:r>
        <w:rPr>
          <w:rFonts w:hint="eastAsia" w:ascii="宋体" w:hAnsi="宋体" w:eastAsia="宋体"/>
          <w:color w:val="auto"/>
        </w:rPr>
        <w:t>42.4在货物采购项目中，供应商提供的货物既有中小企业制造货物，也有大型企业制造货物的，不享受中小企业扶持政策。</w:t>
      </w:r>
    </w:p>
    <w:p w14:paraId="6081D40C">
      <w:pPr>
        <w:adjustRightInd w:val="0"/>
        <w:snapToGrid w:val="0"/>
        <w:spacing w:line="360" w:lineRule="auto"/>
        <w:ind w:firstLine="420" w:firstLineChars="200"/>
        <w:jc w:val="left"/>
        <w:rPr>
          <w:rFonts w:ascii="宋体" w:hAnsi="宋体" w:eastAsia="宋体"/>
          <w:color w:val="auto"/>
        </w:rPr>
      </w:pPr>
      <w:r>
        <w:rPr>
          <w:rFonts w:hint="eastAsia" w:ascii="宋体" w:hAnsi="宋体" w:eastAsia="宋体"/>
          <w:color w:val="auto"/>
        </w:rPr>
        <w:t>42.</w:t>
      </w:r>
      <w:r>
        <w:rPr>
          <w:rFonts w:ascii="宋体" w:hAnsi="宋体" w:eastAsia="宋体"/>
          <w:color w:val="auto"/>
        </w:rPr>
        <w:t>5</w:t>
      </w:r>
      <w:r>
        <w:rPr>
          <w:rFonts w:hint="eastAsia" w:ascii="宋体" w:hAnsi="宋体" w:eastAsia="宋体"/>
          <w:color w:val="auto"/>
        </w:rPr>
        <w:t>供应商提供的产品取得两个及以上优先采购产品认证的，评审时只有其中一项产品能够享受优先采购优惠（供应商自行选择，并在响应文件中并填报相关信息及数据）。</w:t>
      </w:r>
    </w:p>
    <w:p w14:paraId="4C648BFF">
      <w:pPr>
        <w:adjustRightInd w:val="0"/>
        <w:snapToGrid w:val="0"/>
        <w:spacing w:line="360" w:lineRule="auto"/>
        <w:ind w:firstLine="420" w:firstLineChars="200"/>
        <w:jc w:val="left"/>
        <w:rPr>
          <w:rFonts w:ascii="宋体" w:hAnsi="宋体"/>
          <w:color w:val="auto"/>
        </w:rPr>
      </w:pPr>
      <w:r>
        <w:rPr>
          <w:rFonts w:hint="eastAsia" w:ascii="宋体" w:hAnsi="宋体" w:eastAsia="宋体"/>
          <w:color w:val="auto"/>
        </w:rPr>
        <w:t>42.</w:t>
      </w:r>
      <w:r>
        <w:rPr>
          <w:rFonts w:ascii="宋体" w:hAnsi="宋体" w:eastAsia="宋体"/>
          <w:color w:val="auto"/>
        </w:rPr>
        <w:t>6</w:t>
      </w:r>
      <w:r>
        <w:rPr>
          <w:rFonts w:hint="eastAsia" w:ascii="宋体" w:hAnsi="宋体" w:eastAsia="宋体"/>
          <w:color w:val="auto"/>
        </w:rPr>
        <w:t>“</w:t>
      </w:r>
      <w:r>
        <w:rPr>
          <w:rFonts w:hint="eastAsia" w:ascii="宋体" w:hAnsi="宋体"/>
          <w:color w:val="auto"/>
        </w:rPr>
        <w:t>价格评审优惠”可以与同时属于“节能产品”、“环境标志产品”及“两型产品”中的一项“优先采购”累加计算。</w:t>
      </w:r>
    </w:p>
    <w:p w14:paraId="25156E73">
      <w:pPr>
        <w:adjustRightInd w:val="0"/>
        <w:snapToGrid w:val="0"/>
        <w:spacing w:line="360" w:lineRule="auto"/>
        <w:outlineLvl w:val="3"/>
        <w:rPr>
          <w:rFonts w:ascii="黑体" w:hAnsi="黑体" w:eastAsia="黑体"/>
          <w:b/>
          <w:bCs/>
          <w:color w:val="auto"/>
          <w:sz w:val="24"/>
        </w:rPr>
      </w:pPr>
      <w:bookmarkStart w:id="151" w:name="_Toc62225470"/>
      <w:bookmarkStart w:id="152" w:name="_Toc107997885"/>
      <w:bookmarkStart w:id="153" w:name="_Toc23243979"/>
      <w:bookmarkStart w:id="154" w:name="_Toc107998012"/>
      <w:bookmarkStart w:id="155" w:name="_Toc23255846"/>
      <w:r>
        <w:rPr>
          <w:rFonts w:hint="eastAsia" w:ascii="黑体" w:hAnsi="黑体" w:eastAsia="黑体"/>
          <w:b/>
          <w:bCs/>
          <w:color w:val="auto"/>
          <w:sz w:val="24"/>
        </w:rPr>
        <w:t>43.供应商应提供的政府采购政策证明资料</w:t>
      </w:r>
      <w:bookmarkEnd w:id="151"/>
      <w:bookmarkEnd w:id="152"/>
      <w:bookmarkEnd w:id="153"/>
      <w:bookmarkEnd w:id="154"/>
      <w:bookmarkEnd w:id="155"/>
    </w:p>
    <w:p w14:paraId="0516528B">
      <w:pPr>
        <w:adjustRightInd w:val="0"/>
        <w:snapToGrid w:val="0"/>
        <w:spacing w:line="360" w:lineRule="auto"/>
        <w:ind w:firstLine="420" w:firstLineChars="200"/>
        <w:jc w:val="left"/>
        <w:rPr>
          <w:rFonts w:ascii="宋体" w:hAnsi="宋体" w:eastAsia="宋体"/>
          <w:color w:val="auto"/>
        </w:rPr>
      </w:pPr>
      <w:r>
        <w:rPr>
          <w:rFonts w:hint="eastAsia" w:ascii="宋体" w:hAnsi="宋体" w:eastAsia="宋体"/>
          <w:color w:val="auto"/>
        </w:rPr>
        <w:t>43.1符合本章第38条、第39条、第40条、第41条规定的，供应商应在响应文件中提供相关证明资料。</w:t>
      </w:r>
    </w:p>
    <w:p w14:paraId="2A606262">
      <w:pPr>
        <w:adjustRightInd w:val="0"/>
        <w:snapToGrid w:val="0"/>
        <w:spacing w:line="360" w:lineRule="auto"/>
        <w:ind w:firstLine="420" w:firstLineChars="200"/>
        <w:jc w:val="left"/>
        <w:rPr>
          <w:rFonts w:ascii="宋体" w:hAnsi="宋体" w:eastAsia="宋体"/>
          <w:color w:val="auto"/>
        </w:rPr>
      </w:pPr>
      <w:r>
        <w:rPr>
          <w:rFonts w:hint="eastAsia" w:ascii="宋体" w:hAnsi="宋体" w:eastAsia="宋体"/>
          <w:color w:val="auto"/>
        </w:rPr>
        <w:t>（1）</w:t>
      </w:r>
      <w:r>
        <w:rPr>
          <w:rFonts w:hint="eastAsia" w:ascii="宋体" w:hAnsi="宋体"/>
          <w:color w:val="auto"/>
        </w:rPr>
        <w:t>节能产品、环境标志产品：提供国家确定的认证机构出具的、处于有效期之内的节能产品、环境标志产品认证证书（复印件）。</w:t>
      </w:r>
    </w:p>
    <w:p w14:paraId="5359E0C6">
      <w:pPr>
        <w:adjustRightInd w:val="0"/>
        <w:snapToGrid w:val="0"/>
        <w:spacing w:line="360" w:lineRule="auto"/>
        <w:ind w:firstLine="420" w:firstLineChars="200"/>
        <w:jc w:val="left"/>
        <w:rPr>
          <w:rFonts w:ascii="宋体" w:hAnsi="宋体" w:eastAsia="宋体"/>
          <w:color w:val="auto"/>
        </w:rPr>
      </w:pPr>
      <w:r>
        <w:rPr>
          <w:rFonts w:hint="eastAsia" w:ascii="宋体" w:hAnsi="宋体" w:eastAsia="宋体"/>
          <w:color w:val="auto"/>
        </w:rPr>
        <w:t>（2）</w:t>
      </w:r>
      <w:r>
        <w:rPr>
          <w:rFonts w:hint="eastAsia" w:ascii="宋体" w:hAnsi="宋体"/>
          <w:color w:val="auto"/>
        </w:rPr>
        <w:t>两型产品：提供《湖南省两型产品政府采购目录》（最新一期）文件首页和产品所在页（截图）。</w:t>
      </w:r>
    </w:p>
    <w:p w14:paraId="31B31B45">
      <w:pPr>
        <w:adjustRightInd w:val="0"/>
        <w:snapToGrid w:val="0"/>
        <w:spacing w:line="360" w:lineRule="auto"/>
        <w:ind w:firstLine="420" w:firstLineChars="200"/>
        <w:jc w:val="left"/>
        <w:rPr>
          <w:rFonts w:ascii="宋体" w:hAnsi="宋体"/>
          <w:color w:val="auto"/>
        </w:rPr>
      </w:pPr>
      <w:r>
        <w:rPr>
          <w:rFonts w:hint="eastAsia" w:ascii="宋体" w:hAnsi="宋体" w:eastAsia="宋体"/>
          <w:color w:val="auto"/>
        </w:rPr>
        <w:t>（3）</w:t>
      </w:r>
      <w:r>
        <w:rPr>
          <w:rFonts w:hint="eastAsia" w:ascii="宋体" w:hAnsi="宋体"/>
          <w:color w:val="auto"/>
        </w:rPr>
        <w:t>中小企业：货物类采购项目，按《关于印发＜政府采购促进中小企业发展办法＞的通知》(财库[2020]46号) 和《关于印发中小企业划型标准规定的通知》（工信部联企业〔2011〕300号）文件规定提供中小企业声明函（格式）；工程、服务类采购项目，按《湖南省财政厅关于政府采购促进中小企业发展的有关措施的通知》（湘财购[2022]17号）文件规定提供湖南省政府采购供应商资格承诺函（格式）</w:t>
      </w:r>
      <w:r>
        <w:rPr>
          <w:rFonts w:hint="eastAsia" w:ascii="宋体" w:hAnsi="宋体"/>
          <w:color w:val="auto"/>
          <w:szCs w:val="21"/>
        </w:rPr>
        <w:t>。</w:t>
      </w:r>
    </w:p>
    <w:p w14:paraId="77A021D6">
      <w:pPr>
        <w:adjustRightInd w:val="0"/>
        <w:snapToGrid w:val="0"/>
        <w:spacing w:line="360" w:lineRule="auto"/>
        <w:ind w:firstLine="420" w:firstLineChars="200"/>
        <w:jc w:val="left"/>
        <w:rPr>
          <w:rFonts w:ascii="宋体" w:hAnsi="宋体" w:eastAsia="宋体"/>
          <w:color w:val="auto"/>
        </w:rPr>
      </w:pPr>
      <w:r>
        <w:rPr>
          <w:rFonts w:hint="eastAsia" w:ascii="宋体" w:hAnsi="宋体" w:eastAsia="宋体"/>
          <w:color w:val="auto"/>
        </w:rPr>
        <w:t>（4）监狱企业：按《关于政府采购支持监狱企业发展有关问题的通知》(财库〔2014〕68号)文件规定提供证明文件（复印件）。</w:t>
      </w:r>
    </w:p>
    <w:p w14:paraId="32FE1491">
      <w:pPr>
        <w:adjustRightInd w:val="0"/>
        <w:snapToGrid w:val="0"/>
        <w:spacing w:line="360" w:lineRule="auto"/>
        <w:ind w:firstLine="420" w:firstLineChars="200"/>
        <w:jc w:val="left"/>
        <w:rPr>
          <w:rFonts w:ascii="宋体" w:hAnsi="宋体" w:eastAsia="宋体"/>
          <w:color w:val="auto"/>
        </w:rPr>
      </w:pPr>
      <w:r>
        <w:rPr>
          <w:rFonts w:hint="eastAsia" w:ascii="宋体" w:hAnsi="宋体" w:eastAsia="宋体"/>
          <w:color w:val="auto"/>
        </w:rPr>
        <w:t>（5）残疾人福利性单位：按《关于促进残疾人就业政府采购政策的通知》(财库〔2017〕141号)文件规定提供《残疾人福利性单位声明函》（格式）。</w:t>
      </w:r>
    </w:p>
    <w:p w14:paraId="2A08C49D">
      <w:pPr>
        <w:adjustRightInd w:val="0"/>
        <w:snapToGrid w:val="0"/>
        <w:spacing w:line="360" w:lineRule="auto"/>
        <w:outlineLvl w:val="3"/>
        <w:rPr>
          <w:rFonts w:ascii="黑体" w:hAnsi="黑体" w:eastAsia="黑体"/>
          <w:b/>
          <w:bCs/>
          <w:color w:val="auto"/>
          <w:sz w:val="24"/>
        </w:rPr>
      </w:pPr>
      <w:bookmarkStart w:id="156" w:name="_Toc107997886"/>
      <w:bookmarkStart w:id="157" w:name="_Toc107998013"/>
      <w:bookmarkStart w:id="158" w:name="_Toc62225472"/>
      <w:r>
        <w:rPr>
          <w:rFonts w:hint="eastAsia" w:ascii="黑体" w:hAnsi="黑体" w:eastAsia="黑体"/>
          <w:b/>
          <w:bCs/>
          <w:color w:val="auto"/>
          <w:sz w:val="24"/>
        </w:rPr>
        <w:t>4</w:t>
      </w:r>
      <w:r>
        <w:rPr>
          <w:rFonts w:ascii="黑体" w:hAnsi="黑体" w:eastAsia="黑体"/>
          <w:b/>
          <w:bCs/>
          <w:color w:val="auto"/>
          <w:sz w:val="24"/>
        </w:rPr>
        <w:t>4</w:t>
      </w:r>
      <w:r>
        <w:rPr>
          <w:rFonts w:hint="eastAsia" w:ascii="黑体" w:hAnsi="黑体" w:eastAsia="黑体"/>
          <w:b/>
          <w:bCs/>
          <w:color w:val="auto"/>
          <w:sz w:val="24"/>
        </w:rPr>
        <w:t>. 采购进口产品</w:t>
      </w:r>
    </w:p>
    <w:p w14:paraId="13DD166B">
      <w:pPr>
        <w:adjustRightInd w:val="0"/>
        <w:snapToGrid w:val="0"/>
        <w:spacing w:line="360" w:lineRule="auto"/>
        <w:ind w:firstLine="420" w:firstLineChars="200"/>
        <w:jc w:val="left"/>
        <w:rPr>
          <w:rFonts w:ascii="黑体" w:hAnsi="黑体" w:eastAsia="黑体"/>
          <w:b/>
          <w:bCs/>
          <w:color w:val="auto"/>
          <w:sz w:val="24"/>
        </w:rPr>
      </w:pPr>
      <w:r>
        <w:rPr>
          <w:rFonts w:hint="eastAsia" w:ascii="宋体" w:hAnsi="宋体" w:cs="宋体"/>
          <w:bCs/>
          <w:color w:val="auto"/>
          <w:kern w:val="0"/>
          <w:szCs w:val="21"/>
        </w:rPr>
        <w:t>44.1</w:t>
      </w:r>
      <w:r>
        <w:rPr>
          <w:rFonts w:hint="eastAsia" w:ascii="宋体" w:hAnsi="宋体" w:cs="宋体"/>
          <w:bCs/>
          <w:color w:val="auto"/>
          <w:kern w:val="0"/>
          <w:szCs w:val="21"/>
          <w:lang w:val="zh-CN"/>
        </w:rPr>
        <w:t>进口产品是指符合《政府采购进口产品管理办法》（财库〔2014〕119号）和《关于政府采购进口产品管理有关问题的通知》（财办库〔2008〕248号）文件规定的产品。</w:t>
      </w:r>
      <w:r>
        <w:rPr>
          <w:rFonts w:hint="eastAsia" w:ascii="宋体" w:hAnsi="宋体" w:cs="宋体"/>
          <w:b/>
          <w:color w:val="auto"/>
          <w:kern w:val="0"/>
          <w:szCs w:val="21"/>
          <w:lang w:val="zh-CN"/>
        </w:rPr>
        <w:t>除【谈判须知前附表】另有规定外，采购项目拒绝进口产品参加谈判。</w:t>
      </w:r>
      <w:r>
        <w:rPr>
          <w:rFonts w:hint="eastAsia" w:ascii="宋体" w:hAnsi="宋体" w:cs="宋体"/>
          <w:bCs/>
          <w:color w:val="auto"/>
          <w:kern w:val="0"/>
          <w:szCs w:val="21"/>
          <w:lang w:val="zh-CN"/>
        </w:rPr>
        <w:t>本款规定同意购买进口产品的，不限制满足谈判文件要求的国内产品参与谈判竞争。</w:t>
      </w:r>
    </w:p>
    <w:p w14:paraId="104A914E">
      <w:pPr>
        <w:adjustRightInd w:val="0"/>
        <w:snapToGrid w:val="0"/>
        <w:spacing w:line="360" w:lineRule="auto"/>
        <w:outlineLvl w:val="3"/>
        <w:rPr>
          <w:rFonts w:ascii="黑体" w:hAnsi="黑体" w:eastAsia="黑体"/>
          <w:b/>
          <w:bCs/>
          <w:color w:val="auto"/>
          <w:sz w:val="24"/>
        </w:rPr>
      </w:pPr>
      <w:r>
        <w:rPr>
          <w:rFonts w:hint="eastAsia" w:ascii="黑体" w:hAnsi="黑体" w:eastAsia="黑体"/>
          <w:b/>
          <w:bCs/>
          <w:color w:val="auto"/>
          <w:sz w:val="24"/>
        </w:rPr>
        <w:t>45.融资、担保</w:t>
      </w:r>
      <w:bookmarkEnd w:id="156"/>
      <w:bookmarkEnd w:id="157"/>
      <w:bookmarkEnd w:id="158"/>
    </w:p>
    <w:p w14:paraId="1B9B4E34">
      <w:pPr>
        <w:adjustRightInd w:val="0"/>
        <w:snapToGrid w:val="0"/>
        <w:spacing w:line="360" w:lineRule="auto"/>
        <w:ind w:firstLine="420" w:firstLineChars="200"/>
        <w:jc w:val="left"/>
        <w:rPr>
          <w:rFonts w:ascii="宋体" w:hAnsi="宋体"/>
          <w:color w:val="auto"/>
          <w:sz w:val="24"/>
        </w:rPr>
      </w:pPr>
      <w:r>
        <w:rPr>
          <w:rFonts w:hint="eastAsia" w:ascii="宋体" w:hAnsi="宋体" w:eastAsia="宋体"/>
          <w:color w:val="auto"/>
        </w:rPr>
        <w:t>45.1供应商有融资、担保需求的，可登陆中国湖南政府采购网查询相关银行、担保机构业务。</w:t>
      </w:r>
    </w:p>
    <w:p w14:paraId="7725BB63">
      <w:pPr>
        <w:adjustRightInd w:val="0"/>
        <w:snapToGrid w:val="0"/>
        <w:spacing w:line="360" w:lineRule="auto"/>
        <w:jc w:val="center"/>
        <w:outlineLvl w:val="2"/>
        <w:rPr>
          <w:rFonts w:ascii="黑体" w:hAnsi="黑体" w:eastAsia="黑体"/>
          <w:b/>
          <w:bCs/>
          <w:color w:val="auto"/>
          <w:sz w:val="28"/>
          <w:szCs w:val="28"/>
        </w:rPr>
      </w:pPr>
      <w:bookmarkStart w:id="159" w:name="_Toc13791"/>
      <w:bookmarkStart w:id="160" w:name="_Toc107998014"/>
      <w:r>
        <w:rPr>
          <w:rFonts w:hint="eastAsia" w:ascii="黑体" w:hAnsi="黑体" w:eastAsia="黑体"/>
          <w:b/>
          <w:bCs/>
          <w:color w:val="auto"/>
          <w:sz w:val="28"/>
          <w:szCs w:val="28"/>
        </w:rPr>
        <w:t>八、其他规定</w:t>
      </w:r>
      <w:bookmarkEnd w:id="159"/>
      <w:bookmarkEnd w:id="160"/>
    </w:p>
    <w:p w14:paraId="6F117DAD">
      <w:pPr>
        <w:spacing w:line="360" w:lineRule="auto"/>
        <w:outlineLvl w:val="3"/>
        <w:rPr>
          <w:rFonts w:ascii="黑体" w:hAnsi="黑体" w:eastAsia="黑体"/>
          <w:b/>
          <w:bCs/>
          <w:color w:val="auto"/>
          <w:sz w:val="24"/>
        </w:rPr>
      </w:pPr>
      <w:bookmarkStart w:id="161" w:name="_Toc107997888"/>
      <w:bookmarkStart w:id="162" w:name="_Toc107998015"/>
      <w:r>
        <w:rPr>
          <w:rFonts w:hint="eastAsia" w:ascii="黑体" w:hAnsi="黑体" w:eastAsia="黑体"/>
          <w:b/>
          <w:bCs/>
          <w:color w:val="auto"/>
          <w:sz w:val="24"/>
        </w:rPr>
        <w:t>46.其他规定</w:t>
      </w:r>
      <w:bookmarkEnd w:id="161"/>
      <w:bookmarkEnd w:id="162"/>
    </w:p>
    <w:p w14:paraId="3D4CEDBA">
      <w:pPr>
        <w:adjustRightInd w:val="0"/>
        <w:snapToGrid w:val="0"/>
        <w:spacing w:line="360" w:lineRule="auto"/>
        <w:ind w:firstLine="420" w:firstLineChars="200"/>
        <w:jc w:val="left"/>
        <w:rPr>
          <w:rFonts w:ascii="宋体" w:hAnsi="宋体"/>
          <w:color w:val="auto"/>
        </w:rPr>
      </w:pPr>
      <w:r>
        <w:rPr>
          <w:rFonts w:ascii="宋体" w:hAnsi="宋体"/>
          <w:color w:val="auto"/>
        </w:rPr>
        <w:t>4</w:t>
      </w:r>
      <w:r>
        <w:rPr>
          <w:rFonts w:hint="eastAsia" w:ascii="宋体" w:hAnsi="宋体"/>
          <w:color w:val="auto"/>
        </w:rPr>
        <w:t>6</w:t>
      </w:r>
      <w:r>
        <w:rPr>
          <w:rFonts w:ascii="宋体" w:hAnsi="宋体"/>
          <w:color w:val="auto"/>
        </w:rPr>
        <w:t>.1</w:t>
      </w:r>
      <w:r>
        <w:rPr>
          <w:rFonts w:hint="eastAsia" w:ascii="宋体" w:hAnsi="宋体"/>
          <w:color w:val="auto"/>
        </w:rPr>
        <w:t>合同价款支付</w:t>
      </w:r>
    </w:p>
    <w:p w14:paraId="671CF079">
      <w:pPr>
        <w:adjustRightInd w:val="0"/>
        <w:snapToGrid w:val="0"/>
        <w:spacing w:line="360" w:lineRule="auto"/>
        <w:ind w:firstLine="420" w:firstLineChars="200"/>
        <w:jc w:val="left"/>
        <w:rPr>
          <w:rFonts w:ascii="宋体" w:hAnsi="宋体"/>
          <w:color w:val="auto"/>
        </w:rPr>
      </w:pPr>
      <w:r>
        <w:rPr>
          <w:rFonts w:hint="eastAsia" w:ascii="宋体" w:hAnsi="宋体"/>
          <w:color w:val="auto"/>
        </w:rPr>
        <w:t>（1）竞争性谈判文件规定支付合同预付款的，采购人应按【谈判须知前附表】规定的支付比例和支付条件向符合要求的成交供应商及时支付相应款项，并在政府采购合同中进行明确。</w:t>
      </w:r>
    </w:p>
    <w:p w14:paraId="029E6C3E">
      <w:pPr>
        <w:adjustRightInd w:val="0"/>
        <w:snapToGrid w:val="0"/>
        <w:spacing w:line="360" w:lineRule="auto"/>
        <w:ind w:firstLine="420" w:firstLineChars="200"/>
        <w:jc w:val="left"/>
        <w:rPr>
          <w:rFonts w:ascii="宋体" w:hAnsi="宋体"/>
          <w:color w:val="auto"/>
        </w:rPr>
      </w:pPr>
      <w:r>
        <w:rPr>
          <w:rFonts w:hint="eastAsia" w:ascii="宋体" w:hAnsi="宋体"/>
          <w:color w:val="auto"/>
        </w:rPr>
        <w:t>（2）竞争性谈判文件规定需提交质量保证金的，采购人可以按【谈判须知前附表】规定要求成交供应商提交质量保证金，并在政府采购合同中进行明确。</w:t>
      </w:r>
    </w:p>
    <w:p w14:paraId="08ACF576">
      <w:pPr>
        <w:adjustRightInd w:val="0"/>
        <w:snapToGrid w:val="0"/>
        <w:spacing w:line="360" w:lineRule="auto"/>
        <w:ind w:firstLine="420" w:firstLineChars="200"/>
        <w:jc w:val="left"/>
        <w:rPr>
          <w:rFonts w:ascii="宋体" w:hAnsi="宋体"/>
          <w:color w:val="auto"/>
        </w:rPr>
      </w:pPr>
      <w:r>
        <w:rPr>
          <w:rFonts w:hint="eastAsia" w:ascii="宋体" w:hAnsi="宋体"/>
          <w:color w:val="auto"/>
        </w:rPr>
        <w:t>（3）供应商可以保函、电子增信替代预付款担保、质量保证金。</w:t>
      </w:r>
    </w:p>
    <w:p w14:paraId="45912E44">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rPr>
        <w:t>46.</w:t>
      </w:r>
      <w:r>
        <w:rPr>
          <w:rFonts w:ascii="宋体" w:hAnsi="宋体"/>
          <w:color w:val="auto"/>
        </w:rPr>
        <w:t>2</w:t>
      </w:r>
      <w:r>
        <w:rPr>
          <w:rFonts w:hint="eastAsia" w:ascii="宋体" w:hAnsi="宋体"/>
          <w:color w:val="auto"/>
          <w:szCs w:val="21"/>
        </w:rPr>
        <w:t>谈判文件</w:t>
      </w:r>
      <w:r>
        <w:rPr>
          <w:rFonts w:hint="eastAsia" w:hAnsi="宋体"/>
          <w:color w:val="auto"/>
        </w:rPr>
        <w:t>的其他规定</w:t>
      </w:r>
      <w:r>
        <w:rPr>
          <w:rFonts w:hint="eastAsia" w:ascii="宋体" w:hAnsi="宋体"/>
          <w:color w:val="auto"/>
          <w:szCs w:val="21"/>
        </w:rPr>
        <w:t>见</w:t>
      </w:r>
      <w:r>
        <w:rPr>
          <w:rFonts w:hint="eastAsia" w:ascii="宋体" w:hAnsi="宋体"/>
          <w:b/>
          <w:color w:val="auto"/>
          <w:szCs w:val="21"/>
        </w:rPr>
        <w:t>【谈判须知前附表】</w:t>
      </w:r>
      <w:r>
        <w:rPr>
          <w:rFonts w:hint="eastAsia" w:ascii="宋体" w:hAnsi="宋体"/>
          <w:color w:val="auto"/>
          <w:szCs w:val="21"/>
        </w:rPr>
        <w:t>。</w:t>
      </w:r>
    </w:p>
    <w:p w14:paraId="2D9B6677">
      <w:pPr>
        <w:adjustRightInd w:val="0"/>
        <w:snapToGrid w:val="0"/>
        <w:spacing w:line="360" w:lineRule="auto"/>
        <w:ind w:firstLine="420" w:firstLineChars="200"/>
        <w:jc w:val="left"/>
        <w:rPr>
          <w:rFonts w:ascii="宋体" w:hAnsi="宋体"/>
          <w:color w:val="auto"/>
          <w:szCs w:val="21"/>
        </w:rPr>
      </w:pPr>
    </w:p>
    <w:p w14:paraId="75B720A7">
      <w:pPr>
        <w:adjustRightInd w:val="0"/>
        <w:snapToGrid w:val="0"/>
        <w:spacing w:line="360" w:lineRule="auto"/>
        <w:ind w:firstLine="420" w:firstLineChars="200"/>
        <w:jc w:val="left"/>
        <w:rPr>
          <w:rFonts w:ascii="宋体" w:hAnsi="宋体"/>
          <w:color w:val="auto"/>
          <w:szCs w:val="21"/>
        </w:rPr>
        <w:sectPr>
          <w:pgSz w:w="11906" w:h="16838"/>
          <w:pgMar w:top="1418" w:right="1418" w:bottom="1134" w:left="1418" w:header="851" w:footer="992" w:gutter="0"/>
          <w:cols w:space="720" w:num="1"/>
          <w:docGrid w:type="linesAndChars" w:linePitch="312" w:charSpace="0"/>
        </w:sectPr>
      </w:pPr>
    </w:p>
    <w:p w14:paraId="0B8243BA">
      <w:pPr>
        <w:keepNext/>
        <w:numPr>
          <w:ilvl w:val="0"/>
          <w:numId w:val="1"/>
        </w:numPr>
        <w:jc w:val="center"/>
        <w:outlineLvl w:val="0"/>
        <w:rPr>
          <w:rFonts w:hint="eastAsia" w:ascii="黑体" w:hAnsi="黑体" w:eastAsia="黑体"/>
          <w:b/>
          <w:bCs/>
          <w:color w:val="auto"/>
          <w:sz w:val="32"/>
          <w:szCs w:val="32"/>
        </w:rPr>
      </w:pPr>
      <w:bookmarkStart w:id="163" w:name="_Toc25776"/>
      <w:r>
        <w:rPr>
          <w:rFonts w:hint="eastAsia" w:ascii="黑体" w:hAnsi="黑体" w:eastAsia="黑体"/>
          <w:b/>
          <w:bCs/>
          <w:color w:val="auto"/>
          <w:sz w:val="32"/>
          <w:szCs w:val="32"/>
        </w:rPr>
        <w:t>采购需求</w:t>
      </w:r>
      <w:bookmarkEnd w:id="163"/>
    </w:p>
    <w:p w14:paraId="4B44BB75">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en-US" w:eastAsia="zh-CN" w:bidi="ar-SA"/>
        </w:rPr>
      </w:pPr>
      <w:bookmarkStart w:id="164" w:name="_Toc20807"/>
      <w:r>
        <w:rPr>
          <w:rFonts w:hint="eastAsia" w:ascii="宋体" w:hAnsi="宋体" w:eastAsia="宋体" w:cs="宋体"/>
          <w:color w:val="auto"/>
          <w:kern w:val="2"/>
          <w:sz w:val="24"/>
          <w:szCs w:val="24"/>
          <w:highlight w:val="none"/>
          <w:lang w:val="en-US" w:eastAsia="zh-CN" w:bidi="ar-SA"/>
        </w:rPr>
        <w:t xml:space="preserve">一、项目概况： </w:t>
      </w:r>
    </w:p>
    <w:p w14:paraId="045704C9">
      <w:pPr>
        <w:keepNext w:val="0"/>
        <w:keepLines w:val="0"/>
        <w:widowControl/>
        <w:suppressLineNumbers w:val="0"/>
        <w:spacing w:line="360" w:lineRule="auto"/>
        <w:jc w:val="left"/>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1、项目名称：</w:t>
      </w:r>
      <w:r>
        <w:rPr>
          <w:rFonts w:hint="eastAsia" w:ascii="宋体" w:hAnsi="宋体" w:eastAsia="宋体" w:cs="宋体"/>
          <w:color w:val="0000FF"/>
          <w:kern w:val="2"/>
          <w:sz w:val="24"/>
          <w:szCs w:val="24"/>
          <w:highlight w:val="none"/>
          <w:lang w:val="en-US" w:eastAsia="zh-CN" w:bidi="ar-SA"/>
        </w:rPr>
        <w:t>鹤北新城城中村改造安置区项目（一期）桩基础检测（一期剩余工程量）</w:t>
      </w:r>
    </w:p>
    <w:p w14:paraId="05810218">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2、项目建设地点：怀化市鹤城区 </w:t>
      </w:r>
    </w:p>
    <w:p w14:paraId="3C31FA32">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3、采购预算（最高限价）：</w:t>
      </w:r>
      <w:r>
        <w:rPr>
          <w:rFonts w:hint="eastAsia" w:ascii="宋体" w:hAnsi="宋体" w:eastAsia="宋体" w:cs="宋体"/>
          <w:i w:val="0"/>
          <w:color w:val="000000"/>
          <w:kern w:val="0"/>
          <w:sz w:val="24"/>
          <w:szCs w:val="24"/>
          <w:u w:val="single"/>
          <w:lang w:val="en-US" w:eastAsia="zh-CN" w:bidi="ar"/>
        </w:rPr>
        <w:t>298965</w:t>
      </w:r>
      <w:r>
        <w:rPr>
          <w:rFonts w:hint="eastAsia" w:ascii="宋体" w:hAnsi="宋体" w:eastAsia="宋体" w:cs="宋体"/>
          <w:color w:val="auto"/>
          <w:kern w:val="2"/>
          <w:sz w:val="24"/>
          <w:szCs w:val="24"/>
          <w:highlight w:val="none"/>
          <w:u w:val="single"/>
          <w:lang w:val="en-US" w:eastAsia="zh-CN" w:bidi="ar-SA"/>
        </w:rPr>
        <w:t>元</w:t>
      </w:r>
      <w:r>
        <w:rPr>
          <w:rFonts w:hint="eastAsia" w:ascii="宋体" w:hAnsi="宋体" w:eastAsia="宋体" w:cs="宋体"/>
          <w:color w:val="auto"/>
          <w:kern w:val="2"/>
          <w:sz w:val="24"/>
          <w:szCs w:val="24"/>
          <w:highlight w:val="none"/>
          <w:lang w:val="en-US" w:eastAsia="zh-CN" w:bidi="ar-SA"/>
        </w:rPr>
        <w:t xml:space="preserve">（供应商的投标单价和投标总价均不得高于采购预算单价和采购预算总价，否则将否决其投标） </w:t>
      </w:r>
    </w:p>
    <w:p w14:paraId="5C61878B">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4、服务承包范围：</w:t>
      </w:r>
      <w:r>
        <w:rPr>
          <w:rFonts w:hint="eastAsia" w:ascii="宋体" w:hAnsi="宋体" w:eastAsia="宋体" w:cs="宋体"/>
          <w:color w:val="auto"/>
          <w:kern w:val="2"/>
          <w:sz w:val="24"/>
          <w:szCs w:val="24"/>
          <w:highlight w:val="none"/>
          <w:u w:val="single"/>
          <w:lang w:val="en-US" w:eastAsia="zh-CN" w:bidi="ar-SA"/>
        </w:rPr>
        <w:t>地基基础检测包括但不限于：单桩承载力检测（单桩竖向抗压静载试验、单桩竖向抗拔静载试验）、桩身完整性检测（低应变法、</w:t>
      </w:r>
      <w:r>
        <w:rPr>
          <w:rFonts w:hint="eastAsia" w:ascii="宋体" w:hAnsi="宋体" w:cs="宋体"/>
          <w:color w:val="auto"/>
          <w:kern w:val="2"/>
          <w:sz w:val="24"/>
          <w:szCs w:val="24"/>
          <w:highlight w:val="none"/>
          <w:u w:val="single"/>
          <w:lang w:val="en-US" w:eastAsia="zh-CN" w:bidi="ar-SA"/>
        </w:rPr>
        <w:t>高应变法</w:t>
      </w:r>
      <w:r>
        <w:rPr>
          <w:rFonts w:hint="eastAsia" w:ascii="宋体" w:hAnsi="宋体" w:eastAsia="宋体" w:cs="宋体"/>
          <w:color w:val="auto"/>
          <w:kern w:val="2"/>
          <w:sz w:val="24"/>
          <w:szCs w:val="24"/>
          <w:highlight w:val="none"/>
          <w:u w:val="single"/>
          <w:lang w:val="en-US" w:eastAsia="zh-CN" w:bidi="ar-SA"/>
        </w:rPr>
        <w:t>）等。</w:t>
      </w:r>
      <w:r>
        <w:rPr>
          <w:rFonts w:hint="eastAsia" w:ascii="宋体" w:hAnsi="宋体" w:eastAsia="宋体" w:cs="宋体"/>
          <w:color w:val="auto"/>
          <w:kern w:val="2"/>
          <w:sz w:val="24"/>
          <w:szCs w:val="24"/>
          <w:highlight w:val="none"/>
          <w:lang w:val="en-US" w:eastAsia="zh-CN" w:bidi="ar-SA"/>
        </w:rPr>
        <w:t xml:space="preserve"> </w:t>
      </w:r>
    </w:p>
    <w:p w14:paraId="2140A688">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5、服务期限：按合同约定履行。 </w:t>
      </w:r>
    </w:p>
    <w:tbl>
      <w:tblPr>
        <w:tblStyle w:val="25"/>
        <w:tblW w:w="8570" w:type="dxa"/>
        <w:tblInd w:w="-15" w:type="dxa"/>
        <w:shd w:val="clear" w:color="auto" w:fill="auto"/>
        <w:tblLayout w:type="fixed"/>
        <w:tblCellMar>
          <w:top w:w="0" w:type="dxa"/>
          <w:left w:w="0" w:type="dxa"/>
          <w:bottom w:w="0" w:type="dxa"/>
          <w:right w:w="0" w:type="dxa"/>
        </w:tblCellMar>
      </w:tblPr>
      <w:tblGrid>
        <w:gridCol w:w="20"/>
        <w:gridCol w:w="784"/>
        <w:gridCol w:w="1471"/>
        <w:gridCol w:w="1320"/>
        <w:gridCol w:w="1086"/>
        <w:gridCol w:w="1403"/>
        <w:gridCol w:w="1306"/>
        <w:gridCol w:w="1180"/>
      </w:tblGrid>
      <w:tr w14:paraId="44B29211">
        <w:tblPrEx>
          <w:tblCellMar>
            <w:top w:w="0" w:type="dxa"/>
            <w:left w:w="0" w:type="dxa"/>
            <w:bottom w:w="0" w:type="dxa"/>
            <w:right w:w="0" w:type="dxa"/>
          </w:tblCellMar>
        </w:tblPrEx>
        <w:trPr>
          <w:trHeight w:val="920" w:hRule="atLeast"/>
        </w:trPr>
        <w:tc>
          <w:tcPr>
            <w:tcW w:w="8570" w:type="dxa"/>
            <w:gridSpan w:val="8"/>
            <w:tcBorders>
              <w:top w:val="nil"/>
              <w:left w:val="nil"/>
              <w:bottom w:val="nil"/>
              <w:right w:val="nil"/>
            </w:tcBorders>
            <w:shd w:val="clear" w:color="auto" w:fill="auto"/>
            <w:tcMar>
              <w:top w:w="15" w:type="dxa"/>
              <w:left w:w="15" w:type="dxa"/>
              <w:right w:w="15" w:type="dxa"/>
            </w:tcMar>
            <w:vAlign w:val="center"/>
          </w:tcPr>
          <w:p w14:paraId="72DCE093">
            <w:pPr>
              <w:pStyle w:val="2"/>
              <w:spacing w:line="360" w:lineRule="auto"/>
              <w:ind w:left="0" w:leftChars="0" w:firstLine="0" w:firstLineChars="0"/>
              <w:jc w:val="center"/>
              <w:rPr>
                <w:rFonts w:hint="eastAsia" w:ascii="宋体" w:hAnsi="宋体" w:eastAsia="宋体" w:cs="宋体"/>
                <w:b/>
                <w:i w:val="0"/>
                <w:color w:val="000000"/>
                <w:sz w:val="24"/>
                <w:szCs w:val="24"/>
                <w:u w:val="none"/>
              </w:rPr>
            </w:pPr>
            <w:r>
              <w:rPr>
                <w:rFonts w:hint="eastAsia" w:ascii="宋体" w:hAnsi="宋体" w:eastAsia="宋体" w:cs="宋体"/>
                <w:b w:val="0"/>
                <w:bCs w:val="0"/>
                <w:color w:val="auto"/>
                <w:kern w:val="2"/>
                <w:sz w:val="24"/>
                <w:szCs w:val="24"/>
                <w:highlight w:val="none"/>
                <w:lang w:val="en-US" w:eastAsia="zh-CN" w:bidi="ar-SA"/>
              </w:rPr>
              <w:t>二、</w:t>
            </w:r>
            <w:r>
              <w:rPr>
                <w:rFonts w:hint="eastAsia" w:ascii="宋体" w:hAnsi="宋体" w:eastAsia="宋体" w:cs="宋体"/>
                <w:b w:val="0"/>
                <w:bCs w:val="0"/>
                <w:color w:val="0000FF"/>
                <w:kern w:val="2"/>
                <w:sz w:val="24"/>
                <w:szCs w:val="24"/>
                <w:highlight w:val="none"/>
                <w:lang w:val="en-US" w:eastAsia="zh-CN" w:bidi="ar-SA"/>
              </w:rPr>
              <w:t>鹤北新城城中村改造安置区项目（一期）桩基础检测（一期剩余工程量）</w:t>
            </w:r>
            <w:r>
              <w:rPr>
                <w:rFonts w:hint="eastAsia" w:ascii="宋体" w:hAnsi="宋体" w:eastAsia="宋体" w:cs="宋体"/>
                <w:b w:val="0"/>
                <w:bCs w:val="0"/>
                <w:i w:val="0"/>
                <w:color w:val="0000FF"/>
                <w:kern w:val="0"/>
                <w:sz w:val="24"/>
                <w:szCs w:val="24"/>
                <w:u w:val="none"/>
                <w:lang w:val="en-US" w:eastAsia="zh-CN" w:bidi="ar"/>
              </w:rPr>
              <w:t>检测数量一览表</w:t>
            </w:r>
          </w:p>
        </w:tc>
      </w:tr>
      <w:tr w14:paraId="54F6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0" w:type="dxa"/>
          <w:trHeight w:val="54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C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序号</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3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栋号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0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总桩数（根）</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C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9"/>
                <w:lang w:val="en-US" w:eastAsia="zh-CN" w:bidi="ar"/>
              </w:rPr>
              <w:t>高应变</w:t>
            </w:r>
            <w:r>
              <w:rPr>
                <w:rStyle w:val="43"/>
                <w:lang w:val="en-US" w:eastAsia="zh-CN" w:bidi="ar"/>
              </w:rPr>
              <w:t>（根）</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5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低应变（根）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2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单桩竖向抗压静载</w:t>
            </w:r>
            <w:r>
              <w:rPr>
                <w:rFonts w:hint="eastAsia" w:ascii="宋体" w:hAnsi="宋体" w:cs="宋体"/>
                <w:i w:val="0"/>
                <w:iCs w:val="0"/>
                <w:color w:val="000000"/>
                <w:kern w:val="0"/>
                <w:sz w:val="22"/>
                <w:szCs w:val="22"/>
                <w:u w:val="none"/>
                <w:lang w:val="en-US" w:eastAsia="zh-CN" w:bidi="ar"/>
              </w:rPr>
              <w:t>（KN）</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2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单桩竖向抗拔静载</w:t>
            </w:r>
            <w:r>
              <w:rPr>
                <w:rFonts w:hint="eastAsia" w:ascii="宋体" w:hAnsi="宋体" w:cs="宋体"/>
                <w:i w:val="0"/>
                <w:iCs w:val="0"/>
                <w:color w:val="000000"/>
                <w:kern w:val="0"/>
                <w:sz w:val="22"/>
                <w:szCs w:val="22"/>
                <w:u w:val="none"/>
                <w:lang w:val="en-US" w:eastAsia="zh-CN" w:bidi="ar"/>
              </w:rPr>
              <w:t>（KN）</w:t>
            </w:r>
          </w:p>
        </w:tc>
      </w:tr>
      <w:tr w14:paraId="035D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0" w:type="dxa"/>
          <w:trHeight w:val="1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07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C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地下车库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DE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B0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AE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6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2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8A3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0" w:type="dxa"/>
          <w:trHeight w:val="1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4E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E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大门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9D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9F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21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8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1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2F07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0" w:type="dxa"/>
          <w:trHeight w:val="1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0C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BA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4#</w:t>
            </w:r>
            <w:r>
              <w:rPr>
                <w:rStyle w:val="43"/>
                <w:lang w:val="en-US" w:eastAsia="zh-CN" w:bidi="ar"/>
              </w:rPr>
              <w:t>商业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80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39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77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6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2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13B7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0" w:type="dxa"/>
          <w:trHeight w:val="16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52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43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20#</w:t>
            </w:r>
            <w:r>
              <w:rPr>
                <w:rStyle w:val="43"/>
                <w:lang w:val="en-US" w:eastAsia="zh-CN" w:bidi="ar"/>
              </w:rPr>
              <w:t>叠墅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48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3B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B8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6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9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5979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0" w:type="dxa"/>
          <w:trHeight w:val="2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79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80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21#</w:t>
            </w:r>
            <w:r>
              <w:rPr>
                <w:rStyle w:val="43"/>
                <w:lang w:val="en-US" w:eastAsia="zh-CN" w:bidi="ar"/>
              </w:rPr>
              <w:t>叠墅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9C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FA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45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A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7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04CF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0" w:type="dxa"/>
          <w:trHeight w:val="1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3A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31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22#</w:t>
            </w:r>
            <w:r>
              <w:rPr>
                <w:rStyle w:val="43"/>
                <w:lang w:val="en-US" w:eastAsia="zh-CN" w:bidi="ar"/>
              </w:rPr>
              <w:t>叠墅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9E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16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7A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2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C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C5BA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0" w:type="dxa"/>
          <w:trHeight w:val="122"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A3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A4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23#</w:t>
            </w:r>
            <w:r>
              <w:rPr>
                <w:rStyle w:val="43"/>
                <w:lang w:val="en-US" w:eastAsia="zh-CN" w:bidi="ar"/>
              </w:rPr>
              <w:t>叠墅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6C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48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71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D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0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000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0" w:type="dxa"/>
          <w:trHeight w:val="162" w:hRule="atLeast"/>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5B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合计检测数量</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8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4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E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7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6E33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0" w:type="dxa"/>
          <w:trHeight w:val="152" w:hRule="atLeast"/>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6FBC5">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控制价</w:t>
            </w:r>
            <w:r>
              <w:rPr>
                <w:rFonts w:hint="eastAsia" w:ascii="宋体" w:hAnsi="宋体" w:cs="宋体"/>
                <w:i w:val="0"/>
                <w:iCs w:val="0"/>
                <w:color w:val="0000FF"/>
                <w:kern w:val="0"/>
                <w:sz w:val="22"/>
                <w:szCs w:val="22"/>
                <w:u w:val="none"/>
                <w:lang w:val="en-US" w:eastAsia="zh-CN" w:bidi="ar"/>
              </w:rPr>
              <w:t>单价</w:t>
            </w:r>
            <w:r>
              <w:rPr>
                <w:rFonts w:hint="eastAsia" w:ascii="宋体" w:hAnsi="宋体" w:eastAsia="宋体" w:cs="宋体"/>
                <w:i w:val="0"/>
                <w:iCs w:val="0"/>
                <w:color w:val="0000FF"/>
                <w:kern w:val="0"/>
                <w:sz w:val="22"/>
                <w:szCs w:val="22"/>
                <w:u w:val="none"/>
                <w:lang w:val="en-US" w:eastAsia="zh-CN" w:bidi="ar"/>
              </w:rPr>
              <w:t>（</w:t>
            </w:r>
            <w:r>
              <w:rPr>
                <w:rFonts w:hint="eastAsia" w:ascii="宋体" w:hAnsi="宋体" w:cs="宋体"/>
                <w:i w:val="0"/>
                <w:iCs w:val="0"/>
                <w:color w:val="0000FF"/>
                <w:kern w:val="0"/>
                <w:sz w:val="22"/>
                <w:szCs w:val="22"/>
                <w:u w:val="none"/>
                <w:lang w:val="en-US" w:eastAsia="zh-CN" w:bidi="ar"/>
              </w:rPr>
              <w:t>元</w:t>
            </w:r>
            <w:r>
              <w:rPr>
                <w:rFonts w:hint="eastAsia" w:ascii="宋体" w:hAnsi="宋体" w:eastAsia="宋体" w:cs="宋体"/>
                <w:i w:val="0"/>
                <w:iCs w:val="0"/>
                <w:color w:val="0000FF"/>
                <w:kern w:val="0"/>
                <w:sz w:val="22"/>
                <w:szCs w:val="22"/>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3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D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4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A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r>
      <w:tr w14:paraId="70841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0" w:type="dxa"/>
          <w:trHeight w:val="152" w:hRule="atLeast"/>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9809">
            <w:pPr>
              <w:keepNext w:val="0"/>
              <w:keepLines w:val="0"/>
              <w:widowControl/>
              <w:suppressLineNumbers w:val="0"/>
              <w:jc w:val="center"/>
              <w:textAlignment w:val="center"/>
              <w:rPr>
                <w:rFonts w:hint="default" w:ascii="宋体" w:hAnsi="宋体" w:cs="宋体"/>
                <w:i w:val="0"/>
                <w:iCs w:val="0"/>
                <w:color w:val="0000FF"/>
                <w:kern w:val="0"/>
                <w:sz w:val="22"/>
                <w:szCs w:val="22"/>
                <w:u w:val="none"/>
                <w:lang w:val="en-US" w:eastAsia="zh-CN" w:bidi="ar"/>
              </w:rPr>
            </w:pPr>
            <w:r>
              <w:rPr>
                <w:rFonts w:hint="eastAsia" w:ascii="宋体" w:hAnsi="宋体" w:cs="宋体"/>
                <w:i w:val="0"/>
                <w:iCs w:val="0"/>
                <w:color w:val="0000FF"/>
                <w:kern w:val="0"/>
                <w:sz w:val="22"/>
                <w:szCs w:val="22"/>
                <w:u w:val="none"/>
                <w:lang w:val="en-US" w:eastAsia="zh-CN" w:bidi="ar"/>
              </w:rPr>
              <w:t>控制总价（元）</w:t>
            </w:r>
          </w:p>
        </w:tc>
        <w:tc>
          <w:tcPr>
            <w:tcW w:w="49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81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298965</w:t>
            </w:r>
          </w:p>
        </w:tc>
      </w:tr>
    </w:tbl>
    <w:p w14:paraId="6F93544D">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三、检测依据（包括但不限于）： </w:t>
      </w:r>
    </w:p>
    <w:p w14:paraId="4AD4F372">
      <w:pPr>
        <w:adjustRightInd w:val="0"/>
        <w:snapToGrid w:val="0"/>
        <w:spacing w:before="156" w:beforeLines="50"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《建筑基桩检测技术规范》（JGJ106-2014）；   </w:t>
      </w:r>
    </w:p>
    <w:p w14:paraId="2BF33AAB">
      <w:pPr>
        <w:adjustRightInd w:val="0"/>
        <w:snapToGrid w:val="0"/>
        <w:spacing w:before="156" w:beforeLines="50"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《建筑地基检测技术规范》（JGJ340-2015）；</w:t>
      </w:r>
    </w:p>
    <w:p w14:paraId="1EF76D7A">
      <w:pPr>
        <w:adjustRightInd w:val="0"/>
        <w:snapToGrid w:val="0"/>
        <w:spacing w:before="156" w:beforeLines="50"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《建筑地基基础设计规范》(GB50007-2011)；</w:t>
      </w:r>
    </w:p>
    <w:p w14:paraId="316C8D2A">
      <w:pPr>
        <w:adjustRightInd w:val="0"/>
        <w:snapToGrid w:val="0"/>
        <w:spacing w:before="156" w:beforeLines="50"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《建筑地基处理技术规范》（JGJ79-2012）； </w:t>
      </w:r>
    </w:p>
    <w:p w14:paraId="4BD6360C">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四、服务要求、质量和标准 </w:t>
      </w:r>
    </w:p>
    <w:p w14:paraId="5E63CBA4">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1、检测材料、设备运输、保险及保管 </w:t>
      </w:r>
    </w:p>
    <w:p w14:paraId="1835D53D">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1.1 成交供应商负责检测材料、设备到试验地点的全部运输，包括装卸及现场搬运等。 </w:t>
      </w:r>
    </w:p>
    <w:p w14:paraId="2BEAFD07">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1.2 成交供应商负责检测材料、设备在施工地点的保管，直至项目验收合格。 </w:t>
      </w:r>
    </w:p>
    <w:p w14:paraId="020864D5">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1.3 成交供应商负责其派出的施工人员的人身意外保险，应对参加施工的所有人员和第三者投保意外伤害保险，并承担全部安全责任。检测单位应制定可靠的检测方案，采取有效安全防护措施，确保无安全事故发生。 </w:t>
      </w:r>
    </w:p>
    <w:p w14:paraId="7CBDEC96">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2、检测工作要求 </w:t>
      </w:r>
    </w:p>
    <w:p w14:paraId="1644EFDE">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2.1 成果提交要求：在甲方提出检测要求后及时安排现场检测后出具初步检测结果，依据现行国家相关检测试验规程规范、试验标准和行政主管部门的相关要求，对检测项目及时出具检测试验报告。 </w:t>
      </w:r>
    </w:p>
    <w:p w14:paraId="4A904F2D">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2.2 成交供应商须加强检测实施的组织管理，实施期间，应接受采购人及其委托人的监督管理，遵守有关规定。 </w:t>
      </w:r>
    </w:p>
    <w:p w14:paraId="3CC53939">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3、质量保证 </w:t>
      </w:r>
    </w:p>
    <w:p w14:paraId="59C91F42">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3.1 以质量第一、安全第一、服务第一作为服务标准； </w:t>
      </w:r>
    </w:p>
    <w:p w14:paraId="2CAD1AE6">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3.2 做到检测公正、公平、公开，遵纪守法； </w:t>
      </w:r>
    </w:p>
    <w:p w14:paraId="069E5BFB">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3.3 严格按相关规范规程及设计的要求进行检测； </w:t>
      </w:r>
    </w:p>
    <w:p w14:paraId="4F7AFD50">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3.4 质量标准：符合现行的国家、行业相关标准要求。 </w:t>
      </w:r>
    </w:p>
    <w:p w14:paraId="71D41774">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五、成果和验收 </w:t>
      </w:r>
    </w:p>
    <w:p w14:paraId="604D5C16">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1、检测成果：检测结束后，成交供应商应提供的全部成果文件纸质版及电子档</w:t>
      </w:r>
      <w:r>
        <w:rPr>
          <w:rFonts w:hint="eastAsia" w:ascii="宋体" w:hAnsi="宋体" w:cs="宋体"/>
          <w:color w:val="000000"/>
          <w:szCs w:val="21"/>
          <w:lang w:val="en-US" w:eastAsia="zh-CN"/>
        </w:rPr>
        <w:t>(具体要求按合同约定履行)</w:t>
      </w:r>
      <w:r>
        <w:rPr>
          <w:rFonts w:hint="eastAsia" w:ascii="宋体" w:hAnsi="宋体" w:eastAsia="宋体" w:cs="宋体"/>
          <w:color w:val="000000"/>
          <w:szCs w:val="21"/>
          <w:lang w:val="en-US" w:eastAsia="zh-CN"/>
        </w:rPr>
        <w:t xml:space="preserve"> 。 </w:t>
      </w:r>
    </w:p>
    <w:p w14:paraId="2CE6CEFF">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2、验收 </w:t>
      </w:r>
    </w:p>
    <w:p w14:paraId="7C3B0E64">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2.1 本项目采用一般验收方式进行验收，国家有强制性规定的，按国家规定执行，采购人将按照规定组织有关单位对本项目进行验收。 </w:t>
      </w:r>
    </w:p>
    <w:p w14:paraId="6B153203">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2.2 验收过程中产生纠纷的，由相关监督部门认定的检测机构检测，如为中标人原因造成的，由中标人承担检测费用。 </w:t>
      </w:r>
    </w:p>
    <w:p w14:paraId="7A4AEDBE">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2.3 验收相关费用全部由中标人承担。 </w:t>
      </w:r>
    </w:p>
    <w:p w14:paraId="243C9BC0">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六、结算方法： </w:t>
      </w:r>
    </w:p>
    <w:p w14:paraId="4DDDFF61">
      <w:pPr>
        <w:adjustRightInd w:val="0"/>
        <w:snapToGrid w:val="0"/>
        <w:spacing w:before="156" w:beforeLines="50"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1、付款方式：按合同约定履行。</w:t>
      </w:r>
    </w:p>
    <w:p w14:paraId="3B7A52C6">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cs="宋体"/>
          <w:color w:val="000000"/>
          <w:szCs w:val="21"/>
          <w:lang w:val="en-US" w:eastAsia="zh-CN"/>
        </w:rPr>
        <w:t>2、结算方式：按合同约定履行。</w:t>
      </w:r>
      <w:r>
        <w:rPr>
          <w:rFonts w:hint="eastAsia" w:ascii="宋体" w:hAnsi="宋体" w:eastAsia="宋体" w:cs="宋体"/>
          <w:color w:val="000000"/>
          <w:szCs w:val="21"/>
          <w:lang w:val="en-US" w:eastAsia="zh-CN"/>
        </w:rPr>
        <w:t xml:space="preserve"> </w:t>
      </w:r>
    </w:p>
    <w:p w14:paraId="0B329B2A">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七、其它需要说明的事项： </w:t>
      </w:r>
    </w:p>
    <w:p w14:paraId="165D81F6">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1、 对未中标的投标人，采购人将不给予经济补偿费。</w:t>
      </w:r>
    </w:p>
    <w:p w14:paraId="54F38B7B">
      <w:pPr>
        <w:adjustRightInd w:val="0"/>
        <w:snapToGrid w:val="0"/>
        <w:spacing w:before="156" w:beforeLines="50"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2、 服务期间，中标单位所聘员工在为采购人提供本项目服务及工作时发生 的任何事故，突发疾病、一切意外伤害、工伤事故和人身伤害、劳动纠纷等，均由中标单位自行负责，与采购人无关，采购人不承担任何责任。</w:t>
      </w:r>
    </w:p>
    <w:p w14:paraId="1723A81C">
      <w:pPr>
        <w:adjustRightInd w:val="0"/>
        <w:snapToGrid w:val="0"/>
        <w:spacing w:before="156" w:beforeLines="50" w:line="360" w:lineRule="auto"/>
        <w:rPr>
          <w:rFonts w:hint="eastAsia" w:ascii="黑体" w:hAnsi="黑体" w:eastAsia="黑体"/>
          <w:b/>
          <w:bCs/>
          <w:color w:val="auto"/>
          <w:sz w:val="32"/>
          <w:szCs w:val="32"/>
        </w:rPr>
      </w:pPr>
      <w:r>
        <w:rPr>
          <w:rFonts w:hint="eastAsia" w:ascii="宋体" w:hAnsi="宋体" w:eastAsia="宋体" w:cs="宋体"/>
          <w:color w:val="000000"/>
          <w:szCs w:val="21"/>
          <w:lang w:val="en-US" w:eastAsia="zh-CN"/>
        </w:rPr>
        <w:t>3、除以上要求外，均应满足国家法律规定、行业管理部门要求的其他标准。未尽事宜按国家相关规定及行业标准执行。</w:t>
      </w:r>
    </w:p>
    <w:p w14:paraId="18FDB584">
      <w:pPr>
        <w:keepNext/>
        <w:adjustRightInd w:val="0"/>
        <w:snapToGrid w:val="0"/>
        <w:spacing w:line="240" w:lineRule="auto"/>
        <w:jc w:val="center"/>
        <w:outlineLvl w:val="0"/>
        <w:rPr>
          <w:rFonts w:hint="eastAsia" w:ascii="黑体" w:hAnsi="黑体" w:eastAsia="黑体"/>
          <w:b/>
          <w:bCs/>
          <w:color w:val="auto"/>
          <w:sz w:val="32"/>
          <w:szCs w:val="32"/>
        </w:rPr>
      </w:pPr>
    </w:p>
    <w:p w14:paraId="12D065CC">
      <w:pPr>
        <w:keepNext/>
        <w:adjustRightInd w:val="0"/>
        <w:snapToGrid w:val="0"/>
        <w:spacing w:line="240" w:lineRule="auto"/>
        <w:jc w:val="center"/>
        <w:outlineLvl w:val="0"/>
        <w:rPr>
          <w:rFonts w:hint="eastAsia" w:ascii="黑体" w:hAnsi="黑体" w:eastAsia="黑体"/>
          <w:b/>
          <w:bCs/>
          <w:color w:val="auto"/>
          <w:sz w:val="32"/>
          <w:szCs w:val="32"/>
        </w:rPr>
        <w:sectPr>
          <w:headerReference r:id="rId6" w:type="default"/>
          <w:footerReference r:id="rId7" w:type="default"/>
          <w:pgSz w:w="11906" w:h="16838"/>
          <w:pgMar w:top="1474" w:right="1474" w:bottom="1474" w:left="1588" w:header="851" w:footer="992" w:gutter="0"/>
          <w:cols w:space="720" w:num="1"/>
          <w:docGrid w:type="lines" w:linePitch="312" w:charSpace="0"/>
        </w:sectPr>
      </w:pPr>
    </w:p>
    <w:p w14:paraId="1B9E9AEB">
      <w:pPr>
        <w:keepNext/>
        <w:adjustRightInd w:val="0"/>
        <w:snapToGrid w:val="0"/>
        <w:spacing w:line="240" w:lineRule="auto"/>
        <w:jc w:val="center"/>
        <w:outlineLvl w:val="0"/>
        <w:rPr>
          <w:rFonts w:hint="eastAsia" w:ascii="黑体" w:hAnsi="黑体" w:eastAsia="黑体"/>
          <w:b/>
          <w:bCs/>
          <w:color w:val="auto"/>
          <w:sz w:val="32"/>
          <w:szCs w:val="32"/>
        </w:rPr>
      </w:pPr>
    </w:p>
    <w:p w14:paraId="22318DE1">
      <w:pPr>
        <w:keepNext/>
        <w:adjustRightInd w:val="0"/>
        <w:snapToGrid w:val="0"/>
        <w:spacing w:line="240" w:lineRule="auto"/>
        <w:jc w:val="center"/>
        <w:outlineLvl w:val="0"/>
        <w:rPr>
          <w:rFonts w:hint="eastAsia" w:ascii="黑体" w:hAnsi="华文中宋" w:eastAsia="黑体"/>
          <w:b/>
          <w:bCs/>
          <w:color w:val="auto"/>
          <w:sz w:val="28"/>
          <w:szCs w:val="28"/>
        </w:rPr>
      </w:pPr>
      <w:r>
        <w:rPr>
          <w:rFonts w:hint="eastAsia" w:ascii="黑体" w:hAnsi="黑体" w:eastAsia="黑体"/>
          <w:b/>
          <w:bCs/>
          <w:color w:val="auto"/>
          <w:sz w:val="32"/>
          <w:szCs w:val="32"/>
        </w:rPr>
        <w:t>第四章 合同草案条款</w:t>
      </w:r>
      <w:bookmarkEnd w:id="164"/>
      <w:bookmarkStart w:id="165" w:name="_Toc22201110"/>
      <w:bookmarkStart w:id="166" w:name="_Toc10877"/>
    </w:p>
    <w:p w14:paraId="39CA289C">
      <w:pPr>
        <w:keepNext/>
        <w:keepLines/>
        <w:adjustRightInd w:val="0"/>
        <w:snapToGrid w:val="0"/>
        <w:spacing w:before="156" w:beforeLines="50" w:line="360" w:lineRule="auto"/>
        <w:jc w:val="center"/>
        <w:outlineLvl w:val="1"/>
        <w:rPr>
          <w:rFonts w:ascii="黑体" w:hAnsi="华文中宋" w:eastAsia="黑体"/>
          <w:b/>
          <w:bCs/>
          <w:color w:val="auto"/>
          <w:sz w:val="28"/>
          <w:szCs w:val="28"/>
        </w:rPr>
      </w:pPr>
      <w:r>
        <w:rPr>
          <w:rFonts w:hint="eastAsia" w:ascii="黑体" w:hAnsi="华文中宋" w:eastAsia="黑体"/>
          <w:b/>
          <w:bCs/>
          <w:color w:val="auto"/>
          <w:sz w:val="28"/>
          <w:szCs w:val="28"/>
        </w:rPr>
        <w:t>第一节 合同协议书</w:t>
      </w:r>
      <w:bookmarkEnd w:id="165"/>
      <w:bookmarkEnd w:id="166"/>
    </w:p>
    <w:p w14:paraId="656F544E">
      <w:pPr>
        <w:spacing w:line="600" w:lineRule="exact"/>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合同编号：</w:t>
      </w:r>
    </w:p>
    <w:p w14:paraId="6D3B6F92">
      <w:pPr>
        <w:spacing w:line="600" w:lineRule="exact"/>
        <w:rPr>
          <w:rFonts w:ascii="宋体" w:hAnsi="宋体"/>
          <w:sz w:val="44"/>
          <w:szCs w:val="44"/>
        </w:rPr>
      </w:pPr>
    </w:p>
    <w:p w14:paraId="239D8259">
      <w:pPr>
        <w:pStyle w:val="2"/>
        <w:tabs>
          <w:tab w:val="left" w:pos="0"/>
          <w:tab w:val="left" w:pos="540"/>
          <w:tab w:val="left" w:pos="630"/>
          <w:tab w:val="left" w:pos="1440"/>
        </w:tabs>
        <w:ind w:left="0" w:leftChars="0" w:firstLine="0" w:firstLineChars="0"/>
        <w:rPr>
          <w:b/>
          <w:bCs/>
          <w:sz w:val="52"/>
          <w:szCs w:val="52"/>
        </w:rPr>
      </w:pPr>
    </w:p>
    <w:p w14:paraId="5CA4461A">
      <w:pPr>
        <w:pStyle w:val="8"/>
      </w:pPr>
    </w:p>
    <w:p w14:paraId="29F40B0A">
      <w:pPr>
        <w:ind w:right="-94" w:rightChars="-45"/>
        <w:jc w:val="center"/>
        <w:rPr>
          <w:rFonts w:hint="eastAsia" w:ascii="宋体" w:hAnsi="宋体" w:cs="宋体"/>
          <w:b/>
          <w:bCs/>
          <w:kern w:val="44"/>
          <w:sz w:val="72"/>
          <w:szCs w:val="72"/>
        </w:rPr>
      </w:pPr>
      <w:r>
        <w:rPr>
          <w:rFonts w:hint="eastAsia" w:ascii="宋体" w:hAnsi="宋体" w:cs="宋体"/>
          <w:b/>
          <w:bCs/>
          <w:kern w:val="44"/>
          <w:sz w:val="72"/>
          <w:szCs w:val="72"/>
        </w:rPr>
        <w:t>检测技术服务合同</w:t>
      </w:r>
    </w:p>
    <w:p w14:paraId="3C2F2DF1">
      <w:pPr>
        <w:rPr>
          <w:sz w:val="30"/>
        </w:rPr>
      </w:pPr>
    </w:p>
    <w:p w14:paraId="6D578E8C">
      <w:pPr>
        <w:jc w:val="center"/>
        <w:rPr>
          <w:sz w:val="30"/>
        </w:rPr>
      </w:pPr>
    </w:p>
    <w:p w14:paraId="77A80295">
      <w:pPr>
        <w:rPr>
          <w:sz w:val="30"/>
        </w:rPr>
      </w:pPr>
    </w:p>
    <w:p w14:paraId="35F2BEE1">
      <w:pPr>
        <w:pStyle w:val="40"/>
        <w:spacing w:after="312" w:afterLines="100" w:line="520" w:lineRule="exact"/>
        <w:ind w:firstLine="320" w:firstLineChars="100"/>
        <w:jc w:val="both"/>
        <w:rPr>
          <w:rFonts w:hint="default" w:ascii="仿宋" w:hAnsi="仿宋" w:eastAsia="宋体" w:cs="仿宋"/>
          <w:bCs/>
          <w:color w:val="auto"/>
          <w:sz w:val="28"/>
          <w:szCs w:val="28"/>
          <w:lang w:val="en-US" w:eastAsia="zh-CN"/>
        </w:rPr>
      </w:pPr>
      <w:r>
        <w:rPr>
          <w:rFonts w:hint="eastAsia" w:ascii="宋体" w:hAnsi="宋体" w:cs="宋体"/>
          <w:bCs/>
          <w:sz w:val="32"/>
          <w:szCs w:val="32"/>
        </w:rPr>
        <w:t>项目名称：</w:t>
      </w:r>
      <w:r>
        <w:rPr>
          <w:rFonts w:hint="eastAsia" w:ascii="宋体" w:hAnsi="宋体" w:cs="宋体"/>
          <w:bCs/>
          <w:color w:val="0000FF"/>
          <w:sz w:val="32"/>
          <w:szCs w:val="32"/>
          <w:u w:val="single"/>
          <w:lang w:val="en-US" w:eastAsia="zh-CN"/>
        </w:rPr>
        <w:t>鹤北新城城中村改造安置区项目（一期）桩基础检测（一期剩余工程量）</w:t>
      </w:r>
    </w:p>
    <w:p w14:paraId="0DA11722">
      <w:pPr>
        <w:spacing w:line="600" w:lineRule="exact"/>
        <w:rPr>
          <w:rFonts w:hint="eastAsia" w:ascii="宋体" w:hAnsi="宋体" w:cs="宋体"/>
          <w:bCs/>
          <w:color w:val="auto"/>
          <w:sz w:val="32"/>
          <w:szCs w:val="32"/>
        </w:rPr>
      </w:pPr>
    </w:p>
    <w:p w14:paraId="622B51FF">
      <w:pPr>
        <w:spacing w:line="600" w:lineRule="exact"/>
        <w:ind w:firstLine="320" w:firstLineChars="100"/>
        <w:rPr>
          <w:rFonts w:hint="default" w:ascii="宋体" w:hAnsi="宋体" w:cs="宋体"/>
          <w:bCs/>
          <w:color w:val="auto"/>
          <w:sz w:val="32"/>
          <w:szCs w:val="32"/>
          <w:u w:val="single"/>
          <w:lang w:val="en-US"/>
        </w:rPr>
      </w:pPr>
      <w:r>
        <w:rPr>
          <w:rFonts w:hint="eastAsia" w:ascii="宋体" w:hAnsi="宋体" w:cs="宋体"/>
          <w:bCs/>
          <w:color w:val="auto"/>
          <w:sz w:val="32"/>
          <w:szCs w:val="32"/>
        </w:rPr>
        <w:t>甲    方：</w:t>
      </w:r>
      <w:r>
        <w:rPr>
          <w:rFonts w:hint="eastAsia" w:ascii="宋体" w:hAnsi="宋体" w:eastAsia="宋体" w:cs="宋体"/>
          <w:bCs/>
          <w:color w:val="auto"/>
          <w:kern w:val="0"/>
          <w:sz w:val="30"/>
          <w:szCs w:val="30"/>
          <w:u w:val="single"/>
          <w:lang w:val="en-US" w:eastAsia="zh-CN" w:bidi="ar"/>
        </w:rPr>
        <w:t>怀化市</w:t>
      </w:r>
      <w:r>
        <w:rPr>
          <w:rFonts w:hint="eastAsia" w:ascii="宋体" w:hAnsi="宋体" w:cs="宋体"/>
          <w:bCs/>
          <w:color w:val="auto"/>
          <w:kern w:val="0"/>
          <w:sz w:val="30"/>
          <w:szCs w:val="30"/>
          <w:u w:val="single"/>
          <w:lang w:val="en-US" w:eastAsia="zh-CN" w:bidi="ar"/>
        </w:rPr>
        <w:t>鹤城区城市建设投资有限公司</w:t>
      </w:r>
      <w:r>
        <w:rPr>
          <w:rFonts w:hint="eastAsia" w:ascii="宋体" w:hAnsi="宋体" w:eastAsia="宋体" w:cs="宋体"/>
          <w:bCs/>
          <w:color w:val="auto"/>
          <w:kern w:val="0"/>
          <w:sz w:val="30"/>
          <w:szCs w:val="30"/>
          <w:u w:val="single"/>
          <w:lang w:val="en-US" w:eastAsia="zh-CN" w:bidi="ar"/>
        </w:rPr>
        <w:t xml:space="preserve">    </w:t>
      </w:r>
      <w:r>
        <w:rPr>
          <w:rFonts w:hint="eastAsia" w:ascii="宋体" w:hAnsi="宋体" w:cs="宋体"/>
          <w:bCs/>
          <w:color w:val="auto"/>
          <w:kern w:val="0"/>
          <w:sz w:val="30"/>
          <w:szCs w:val="30"/>
          <w:u w:val="single"/>
          <w:lang w:val="en-US" w:eastAsia="zh-CN" w:bidi="ar"/>
        </w:rPr>
        <w:t xml:space="preserve">   </w:t>
      </w:r>
    </w:p>
    <w:p w14:paraId="448296D8">
      <w:pPr>
        <w:spacing w:line="600" w:lineRule="exact"/>
        <w:rPr>
          <w:rFonts w:hint="eastAsia" w:ascii="宋体" w:hAnsi="宋体" w:cs="宋体"/>
          <w:bCs/>
          <w:sz w:val="32"/>
          <w:szCs w:val="32"/>
        </w:rPr>
      </w:pPr>
    </w:p>
    <w:p w14:paraId="71F47A5C">
      <w:pPr>
        <w:spacing w:line="600" w:lineRule="exact"/>
        <w:ind w:firstLine="320" w:firstLineChars="100"/>
        <w:rPr>
          <w:rFonts w:ascii="宋体" w:hAnsi="宋体"/>
          <w:b/>
        </w:rPr>
      </w:pPr>
      <w:r>
        <w:rPr>
          <w:rFonts w:hint="eastAsia" w:ascii="宋体" w:hAnsi="宋体" w:cs="宋体"/>
          <w:bCs/>
          <w:sz w:val="32"/>
          <w:szCs w:val="32"/>
        </w:rPr>
        <w:t>乙    方：</w:t>
      </w:r>
      <w:r>
        <w:rPr>
          <w:rFonts w:hint="eastAsia" w:ascii="宋体" w:hAnsi="宋体" w:cs="宋体"/>
          <w:bCs/>
          <w:sz w:val="32"/>
          <w:szCs w:val="32"/>
          <w:u w:val="single"/>
        </w:rPr>
        <w:t xml:space="preserve">                                    </w:t>
      </w:r>
    </w:p>
    <w:p w14:paraId="3DA9EE82">
      <w:pPr>
        <w:snapToGrid w:val="0"/>
        <w:spacing w:line="360" w:lineRule="auto"/>
        <w:jc w:val="center"/>
        <w:rPr>
          <w:rFonts w:ascii="宋体" w:hAnsi="宋体"/>
          <w:b/>
        </w:rPr>
      </w:pPr>
    </w:p>
    <w:p w14:paraId="5092C568">
      <w:pPr>
        <w:snapToGrid w:val="0"/>
        <w:spacing w:line="360" w:lineRule="auto"/>
        <w:jc w:val="center"/>
        <w:rPr>
          <w:rFonts w:ascii="宋体" w:hAnsi="宋体"/>
          <w:b/>
        </w:rPr>
      </w:pPr>
    </w:p>
    <w:p w14:paraId="584DA03C">
      <w:pPr>
        <w:snapToGrid w:val="0"/>
        <w:spacing w:line="360" w:lineRule="auto"/>
        <w:jc w:val="center"/>
        <w:rPr>
          <w:rFonts w:ascii="宋体" w:hAnsi="宋体"/>
          <w:b/>
        </w:rPr>
      </w:pPr>
    </w:p>
    <w:p w14:paraId="1DA4162E">
      <w:pPr>
        <w:snapToGrid w:val="0"/>
        <w:spacing w:line="360" w:lineRule="auto"/>
        <w:jc w:val="center"/>
        <w:rPr>
          <w:rFonts w:ascii="宋体" w:hAnsi="宋体"/>
          <w:b/>
        </w:rPr>
      </w:pPr>
    </w:p>
    <w:p w14:paraId="0BF0F543">
      <w:pPr>
        <w:spacing w:line="360" w:lineRule="auto"/>
        <w:rPr>
          <w:rFonts w:hint="eastAsia"/>
          <w:kern w:val="0"/>
          <w:sz w:val="24"/>
          <w:szCs w:val="20"/>
        </w:rPr>
      </w:pPr>
    </w:p>
    <w:p w14:paraId="29274181">
      <w:pPr>
        <w:spacing w:line="360" w:lineRule="auto"/>
        <w:rPr>
          <w:rFonts w:hint="eastAsia"/>
          <w:kern w:val="0"/>
          <w:sz w:val="24"/>
          <w:szCs w:val="20"/>
        </w:rPr>
      </w:pPr>
    </w:p>
    <w:p w14:paraId="5B1DC06D">
      <w:pPr>
        <w:rPr>
          <w:rFonts w:hint="eastAsia"/>
        </w:rPr>
      </w:pPr>
    </w:p>
    <w:p w14:paraId="5EE7DF72">
      <w:pPr>
        <w:rPr>
          <w:rFonts w:hint="eastAsia"/>
        </w:rPr>
      </w:pPr>
    </w:p>
    <w:p w14:paraId="549E4B9D">
      <w:pPr>
        <w:spacing w:line="560" w:lineRule="exact"/>
        <w:ind w:firstLine="420" w:firstLineChars="200"/>
        <w:rPr>
          <w:rFonts w:hint="default" w:ascii="宋体" w:hAnsi="宋体" w:eastAsia="宋体" w:cs="宋体"/>
          <w:bCs/>
          <w:sz w:val="21"/>
          <w:szCs w:val="21"/>
          <w:lang w:val="en-US"/>
        </w:rPr>
      </w:pPr>
      <w:r>
        <w:rPr>
          <w:rFonts w:hint="eastAsia" w:ascii="宋体" w:hAnsi="宋体" w:eastAsia="宋体" w:cs="宋体"/>
          <w:bCs/>
          <w:sz w:val="21"/>
          <w:szCs w:val="21"/>
        </w:rPr>
        <w:t>甲方：</w:t>
      </w:r>
      <w:r>
        <w:rPr>
          <w:rFonts w:hint="eastAsia" w:ascii="宋体" w:hAnsi="宋体" w:eastAsia="宋体" w:cs="宋体"/>
          <w:bCs/>
          <w:color w:val="auto"/>
          <w:kern w:val="0"/>
          <w:sz w:val="30"/>
          <w:szCs w:val="30"/>
          <w:u w:val="single"/>
          <w:lang w:val="en-US" w:eastAsia="zh-CN" w:bidi="ar"/>
        </w:rPr>
        <w:t>怀</w:t>
      </w:r>
      <w:bookmarkStart w:id="167" w:name="OLE_LINK2"/>
      <w:r>
        <w:rPr>
          <w:rFonts w:hint="eastAsia" w:ascii="宋体" w:hAnsi="宋体" w:eastAsia="宋体" w:cs="宋体"/>
          <w:bCs/>
          <w:color w:val="auto"/>
          <w:kern w:val="0"/>
          <w:sz w:val="30"/>
          <w:szCs w:val="30"/>
          <w:u w:val="single"/>
          <w:lang w:val="en-US" w:eastAsia="zh-CN" w:bidi="ar"/>
        </w:rPr>
        <w:t>化市</w:t>
      </w:r>
      <w:r>
        <w:rPr>
          <w:rFonts w:hint="eastAsia" w:ascii="宋体" w:hAnsi="宋体" w:cs="宋体"/>
          <w:bCs/>
          <w:color w:val="auto"/>
          <w:kern w:val="0"/>
          <w:sz w:val="30"/>
          <w:szCs w:val="30"/>
          <w:u w:val="single"/>
          <w:lang w:val="en-US" w:eastAsia="zh-CN" w:bidi="ar"/>
        </w:rPr>
        <w:t>鹤城区城市建设投资有限公司</w:t>
      </w:r>
      <w:bookmarkEnd w:id="167"/>
      <w:r>
        <w:rPr>
          <w:rFonts w:hint="eastAsia" w:ascii="宋体" w:hAnsi="宋体" w:cs="宋体"/>
          <w:bCs/>
          <w:color w:val="auto"/>
          <w:kern w:val="0"/>
          <w:sz w:val="21"/>
          <w:szCs w:val="21"/>
          <w:u w:val="single"/>
          <w:lang w:val="en-US" w:eastAsia="zh-CN" w:bidi="ar"/>
        </w:rPr>
        <w:t xml:space="preserve">   </w:t>
      </w:r>
    </w:p>
    <w:p w14:paraId="49993852">
      <w:pPr>
        <w:spacing w:line="560" w:lineRule="exact"/>
        <w:ind w:firstLine="420" w:firstLineChars="200"/>
        <w:rPr>
          <w:rFonts w:hint="default" w:ascii="宋体" w:hAnsi="宋体" w:eastAsia="宋体" w:cs="宋体"/>
          <w:bCs/>
          <w:sz w:val="21"/>
          <w:szCs w:val="21"/>
          <w:u w:val="single"/>
          <w:lang w:val="en-US" w:eastAsia="zh-CN"/>
        </w:rPr>
      </w:pPr>
      <w:r>
        <w:rPr>
          <w:rFonts w:hint="eastAsia" w:ascii="宋体" w:hAnsi="宋体" w:eastAsia="宋体" w:cs="宋体"/>
          <w:bCs/>
          <w:sz w:val="21"/>
          <w:szCs w:val="21"/>
        </w:rPr>
        <w:t>乙方：</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p>
    <w:p w14:paraId="23D7B676">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根据《中华人民共和国民法典》及有关法规，甲方委托乙方对下述工程进行检测，现经双方协商，一致同意签订如下合同，双方共同遵守。</w:t>
      </w:r>
    </w:p>
    <w:p w14:paraId="78937214">
      <w:pPr>
        <w:spacing w:line="5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第一条  工程概况</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6058"/>
      </w:tblGrid>
      <w:tr w14:paraId="7746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701" w:type="dxa"/>
            <w:tcBorders>
              <w:top w:val="single" w:color="auto" w:sz="4" w:space="0"/>
              <w:left w:val="single" w:color="auto" w:sz="4" w:space="0"/>
              <w:bottom w:val="single" w:color="auto" w:sz="4" w:space="0"/>
              <w:right w:val="single" w:color="auto" w:sz="4" w:space="0"/>
            </w:tcBorders>
            <w:noWrap w:val="0"/>
            <w:vAlign w:val="center"/>
          </w:tcPr>
          <w:p w14:paraId="38C1F33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工程名称</w:t>
            </w:r>
          </w:p>
        </w:tc>
        <w:tc>
          <w:tcPr>
            <w:tcW w:w="6058" w:type="dxa"/>
            <w:tcBorders>
              <w:top w:val="single" w:color="auto" w:sz="4" w:space="0"/>
              <w:left w:val="single" w:color="auto" w:sz="4" w:space="0"/>
              <w:bottom w:val="single" w:color="auto" w:sz="4" w:space="0"/>
              <w:right w:val="single" w:color="auto" w:sz="4" w:space="0"/>
            </w:tcBorders>
            <w:noWrap w:val="0"/>
            <w:vAlign w:val="center"/>
          </w:tcPr>
          <w:p w14:paraId="1AD8BB25">
            <w:pPr>
              <w:spacing w:line="240" w:lineRule="auto"/>
              <w:jc w:val="center"/>
              <w:rPr>
                <w:rFonts w:hint="default" w:ascii="宋体" w:hAnsi="宋体" w:eastAsia="宋体" w:cs="宋体"/>
                <w:color w:val="auto"/>
                <w:sz w:val="21"/>
                <w:szCs w:val="21"/>
                <w:u w:val="single"/>
                <w:lang w:val="en-US"/>
              </w:rPr>
            </w:pPr>
            <w:r>
              <w:rPr>
                <w:rFonts w:hint="eastAsia" w:ascii="宋体" w:hAnsi="宋体" w:cs="宋体"/>
                <w:bCs/>
                <w:color w:val="auto"/>
                <w:kern w:val="0"/>
                <w:sz w:val="21"/>
                <w:szCs w:val="21"/>
                <w:u w:val="none"/>
                <w:lang w:val="en-US" w:eastAsia="zh-CN" w:bidi="ar"/>
              </w:rPr>
              <w:t>北新城城中村改造安置区项目（一期）桩基础检测（一期未完工程量）</w:t>
            </w:r>
          </w:p>
        </w:tc>
      </w:tr>
      <w:tr w14:paraId="3ED5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tcBorders>
              <w:top w:val="single" w:color="auto" w:sz="4" w:space="0"/>
              <w:left w:val="single" w:color="auto" w:sz="4" w:space="0"/>
              <w:bottom w:val="single" w:color="auto" w:sz="4" w:space="0"/>
              <w:right w:val="single" w:color="auto" w:sz="4" w:space="0"/>
            </w:tcBorders>
            <w:noWrap w:val="0"/>
            <w:vAlign w:val="center"/>
          </w:tcPr>
          <w:p w14:paraId="0E43BE4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工程地址</w:t>
            </w:r>
          </w:p>
        </w:tc>
        <w:tc>
          <w:tcPr>
            <w:tcW w:w="6058" w:type="dxa"/>
            <w:tcBorders>
              <w:top w:val="single" w:color="auto" w:sz="4" w:space="0"/>
              <w:left w:val="single" w:color="auto" w:sz="4" w:space="0"/>
              <w:bottom w:val="single" w:color="auto" w:sz="4" w:space="0"/>
              <w:right w:val="single" w:color="auto" w:sz="4" w:space="0"/>
            </w:tcBorders>
            <w:noWrap w:val="0"/>
            <w:vAlign w:val="center"/>
          </w:tcPr>
          <w:p w14:paraId="2F6613B2">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怀化市鹤城区</w:t>
            </w:r>
          </w:p>
        </w:tc>
      </w:tr>
      <w:tr w14:paraId="4AFD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701" w:type="dxa"/>
            <w:tcBorders>
              <w:top w:val="single" w:color="auto" w:sz="4" w:space="0"/>
              <w:left w:val="single" w:color="auto" w:sz="4" w:space="0"/>
              <w:bottom w:val="single" w:color="auto" w:sz="4" w:space="0"/>
              <w:right w:val="single" w:color="auto" w:sz="4" w:space="0"/>
            </w:tcBorders>
            <w:noWrap w:val="0"/>
            <w:vAlign w:val="center"/>
          </w:tcPr>
          <w:p w14:paraId="499A6B9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建设单位</w:t>
            </w:r>
          </w:p>
        </w:tc>
        <w:tc>
          <w:tcPr>
            <w:tcW w:w="6058" w:type="dxa"/>
            <w:tcBorders>
              <w:top w:val="single" w:color="auto" w:sz="4" w:space="0"/>
              <w:left w:val="single" w:color="auto" w:sz="4" w:space="0"/>
              <w:bottom w:val="single" w:color="auto" w:sz="4" w:space="0"/>
              <w:right w:val="single" w:color="auto" w:sz="4" w:space="0"/>
            </w:tcBorders>
            <w:noWrap w:val="0"/>
            <w:vAlign w:val="center"/>
          </w:tcPr>
          <w:p w14:paraId="11AD429F">
            <w:pPr>
              <w:spacing w:line="240" w:lineRule="auto"/>
              <w:jc w:val="center"/>
              <w:rPr>
                <w:rFonts w:hint="eastAsia" w:ascii="宋体" w:hAnsi="宋体" w:eastAsia="宋体" w:cs="宋体"/>
                <w:color w:val="auto"/>
                <w:sz w:val="21"/>
                <w:szCs w:val="21"/>
              </w:rPr>
            </w:pPr>
            <w:r>
              <w:rPr>
                <w:rFonts w:hint="eastAsia" w:ascii="宋体" w:hAnsi="宋体" w:cs="宋体"/>
                <w:bCs/>
                <w:color w:val="auto"/>
                <w:kern w:val="0"/>
                <w:sz w:val="24"/>
                <w:szCs w:val="24"/>
                <w:u w:val="none"/>
                <w:lang w:val="en-US" w:eastAsia="zh-CN" w:bidi="ar"/>
              </w:rPr>
              <w:t>怀</w:t>
            </w:r>
            <w:r>
              <w:rPr>
                <w:rFonts w:hint="eastAsia" w:ascii="宋体" w:hAnsi="宋体" w:eastAsia="宋体" w:cs="宋体"/>
                <w:bCs/>
                <w:color w:val="auto"/>
                <w:kern w:val="0"/>
                <w:sz w:val="24"/>
                <w:szCs w:val="24"/>
                <w:u w:val="none"/>
                <w:lang w:val="en-US" w:eastAsia="zh-CN" w:bidi="ar"/>
              </w:rPr>
              <w:t>化市</w:t>
            </w:r>
            <w:r>
              <w:rPr>
                <w:rFonts w:hint="eastAsia" w:ascii="宋体" w:hAnsi="宋体" w:cs="宋体"/>
                <w:bCs/>
                <w:color w:val="auto"/>
                <w:kern w:val="0"/>
                <w:sz w:val="24"/>
                <w:szCs w:val="24"/>
                <w:u w:val="none"/>
                <w:lang w:val="en-US" w:eastAsia="zh-CN" w:bidi="ar"/>
              </w:rPr>
              <w:t>鹤城区城市建设投资有限公司</w:t>
            </w:r>
          </w:p>
        </w:tc>
      </w:tr>
      <w:tr w14:paraId="0AD1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701" w:type="dxa"/>
            <w:tcBorders>
              <w:top w:val="single" w:color="auto" w:sz="4" w:space="0"/>
              <w:left w:val="single" w:color="auto" w:sz="4" w:space="0"/>
              <w:bottom w:val="single" w:color="auto" w:sz="4" w:space="0"/>
              <w:right w:val="single" w:color="auto" w:sz="4" w:space="0"/>
            </w:tcBorders>
            <w:noWrap w:val="0"/>
            <w:vAlign w:val="center"/>
          </w:tcPr>
          <w:p w14:paraId="3B0B1DC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勘察单位</w:t>
            </w:r>
          </w:p>
        </w:tc>
        <w:tc>
          <w:tcPr>
            <w:tcW w:w="6058" w:type="dxa"/>
            <w:tcBorders>
              <w:top w:val="single" w:color="auto" w:sz="4" w:space="0"/>
              <w:left w:val="single" w:color="auto" w:sz="4" w:space="0"/>
              <w:bottom w:val="single" w:color="auto" w:sz="4" w:space="0"/>
              <w:right w:val="single" w:color="auto" w:sz="4" w:space="0"/>
            </w:tcBorders>
            <w:noWrap w:val="0"/>
            <w:vAlign w:val="center"/>
          </w:tcPr>
          <w:p w14:paraId="2B072676">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同创工程设计有限公司</w:t>
            </w:r>
          </w:p>
        </w:tc>
      </w:tr>
      <w:tr w14:paraId="2B01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701" w:type="dxa"/>
            <w:tcBorders>
              <w:top w:val="single" w:color="auto" w:sz="4" w:space="0"/>
              <w:left w:val="single" w:color="auto" w:sz="4" w:space="0"/>
              <w:bottom w:val="single" w:color="auto" w:sz="4" w:space="0"/>
              <w:right w:val="single" w:color="auto" w:sz="4" w:space="0"/>
            </w:tcBorders>
            <w:noWrap w:val="0"/>
            <w:vAlign w:val="center"/>
          </w:tcPr>
          <w:p w14:paraId="0958655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设计单位</w:t>
            </w:r>
          </w:p>
        </w:tc>
        <w:tc>
          <w:tcPr>
            <w:tcW w:w="6058" w:type="dxa"/>
            <w:tcBorders>
              <w:top w:val="single" w:color="auto" w:sz="4" w:space="0"/>
              <w:left w:val="single" w:color="auto" w:sz="4" w:space="0"/>
              <w:bottom w:val="single" w:color="auto" w:sz="4" w:space="0"/>
              <w:right w:val="single" w:color="auto" w:sz="4" w:space="0"/>
            </w:tcBorders>
            <w:noWrap w:val="0"/>
            <w:vAlign w:val="center"/>
          </w:tcPr>
          <w:p w14:paraId="552E75CD">
            <w:pPr>
              <w:spacing w:line="24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深圳市联合创艺建筑设计有限公司</w:t>
            </w:r>
          </w:p>
        </w:tc>
      </w:tr>
      <w:tr w14:paraId="2FE0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701" w:type="dxa"/>
            <w:tcBorders>
              <w:top w:val="single" w:color="auto" w:sz="4" w:space="0"/>
              <w:left w:val="single" w:color="auto" w:sz="4" w:space="0"/>
              <w:bottom w:val="single" w:color="auto" w:sz="4" w:space="0"/>
              <w:right w:val="single" w:color="auto" w:sz="4" w:space="0"/>
            </w:tcBorders>
            <w:noWrap w:val="0"/>
            <w:vAlign w:val="center"/>
          </w:tcPr>
          <w:p w14:paraId="4834943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监理单位</w:t>
            </w:r>
          </w:p>
        </w:tc>
        <w:tc>
          <w:tcPr>
            <w:tcW w:w="6058" w:type="dxa"/>
            <w:tcBorders>
              <w:top w:val="single" w:color="auto" w:sz="4" w:space="0"/>
              <w:left w:val="single" w:color="auto" w:sz="4" w:space="0"/>
              <w:bottom w:val="single" w:color="auto" w:sz="4" w:space="0"/>
              <w:right w:val="single" w:color="auto" w:sz="4" w:space="0"/>
            </w:tcBorders>
            <w:noWrap w:val="0"/>
            <w:vAlign w:val="center"/>
          </w:tcPr>
          <w:p w14:paraId="71B377D2">
            <w:pPr>
              <w:spacing w:line="24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怀化正诚项目管理有限公司</w:t>
            </w:r>
          </w:p>
        </w:tc>
      </w:tr>
      <w:tr w14:paraId="1A98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701" w:type="dxa"/>
            <w:tcBorders>
              <w:top w:val="single" w:color="auto" w:sz="4" w:space="0"/>
              <w:left w:val="single" w:color="auto" w:sz="4" w:space="0"/>
              <w:bottom w:val="single" w:color="auto" w:sz="4" w:space="0"/>
              <w:right w:val="single" w:color="auto" w:sz="4" w:space="0"/>
            </w:tcBorders>
            <w:noWrap w:val="0"/>
            <w:vAlign w:val="center"/>
          </w:tcPr>
          <w:p w14:paraId="33B2B59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施工单位</w:t>
            </w:r>
          </w:p>
        </w:tc>
        <w:tc>
          <w:tcPr>
            <w:tcW w:w="6058" w:type="dxa"/>
            <w:tcBorders>
              <w:top w:val="single" w:color="auto" w:sz="4" w:space="0"/>
              <w:left w:val="single" w:color="auto" w:sz="4" w:space="0"/>
              <w:bottom w:val="single" w:color="auto" w:sz="4" w:space="0"/>
              <w:right w:val="single" w:color="auto" w:sz="4" w:space="0"/>
            </w:tcBorders>
            <w:noWrap w:val="0"/>
            <w:vAlign w:val="center"/>
          </w:tcPr>
          <w:p w14:paraId="0AACF423">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湖南</w:t>
            </w:r>
            <w:r>
              <w:rPr>
                <w:rFonts w:hint="eastAsia" w:ascii="宋体" w:hAnsi="宋体" w:cs="宋体"/>
                <w:color w:val="auto"/>
                <w:sz w:val="21"/>
                <w:szCs w:val="21"/>
                <w:lang w:val="en-US" w:eastAsia="zh-CN"/>
              </w:rPr>
              <w:t>建工第七工程有限公司</w:t>
            </w:r>
          </w:p>
        </w:tc>
      </w:tr>
    </w:tbl>
    <w:p w14:paraId="72415139">
      <w:pPr>
        <w:spacing w:line="5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第二条  检测方法、内容、数量及费用、工期</w:t>
      </w:r>
    </w:p>
    <w:p w14:paraId="47B8AA1C">
      <w:pPr>
        <w:keepNext w:val="0"/>
        <w:keepLines w:val="0"/>
        <w:widowControl/>
        <w:suppressLineNumbers w:val="0"/>
        <w:jc w:val="left"/>
        <w:textAlignment w:val="center"/>
        <w:rPr>
          <w:rFonts w:hint="eastAsia" w:ascii="宋体" w:hAnsi="宋体" w:eastAsia="宋体" w:cs="宋体"/>
          <w:spacing w:val="-6"/>
          <w:sz w:val="21"/>
          <w:szCs w:val="21"/>
        </w:rPr>
      </w:pPr>
      <w:r>
        <w:rPr>
          <w:rFonts w:hint="eastAsia" w:ascii="宋体" w:hAnsi="宋体" w:eastAsia="宋体" w:cs="宋体"/>
          <w:sz w:val="21"/>
          <w:szCs w:val="21"/>
        </w:rPr>
        <w:t xml:space="preserve">2.1 </w:t>
      </w:r>
      <w:r>
        <w:rPr>
          <w:rFonts w:hint="eastAsia" w:ascii="宋体" w:hAnsi="宋体" w:eastAsia="宋体" w:cs="宋体"/>
          <w:spacing w:val="-6"/>
          <w:sz w:val="21"/>
          <w:szCs w:val="21"/>
        </w:rPr>
        <w:t>经双方协商，甲方委托乙方进行</w:t>
      </w:r>
      <w:r>
        <w:rPr>
          <w:rFonts w:hint="eastAsia" w:ascii="宋体" w:hAnsi="宋体" w:eastAsia="宋体" w:cs="宋体"/>
          <w:spacing w:val="-6"/>
          <w:sz w:val="21"/>
          <w:szCs w:val="21"/>
          <w:u w:val="single"/>
        </w:rPr>
        <w:t xml:space="preserve"> 桩基础 </w:t>
      </w:r>
      <w:r>
        <w:rPr>
          <w:rFonts w:hint="eastAsia" w:ascii="宋体" w:hAnsi="宋体" w:eastAsia="宋体" w:cs="宋体"/>
          <w:spacing w:val="-6"/>
          <w:sz w:val="21"/>
          <w:szCs w:val="21"/>
        </w:rPr>
        <w:t>检测的内容、数量及费用如下：</w:t>
      </w:r>
    </w:p>
    <w:tbl>
      <w:tblPr>
        <w:tblStyle w:val="25"/>
        <w:tblW w:w="895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1471"/>
        <w:gridCol w:w="1320"/>
        <w:gridCol w:w="1086"/>
        <w:gridCol w:w="1403"/>
        <w:gridCol w:w="1306"/>
        <w:gridCol w:w="1581"/>
      </w:tblGrid>
      <w:tr w14:paraId="1D96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951" w:type="dxa"/>
            <w:gridSpan w:val="7"/>
            <w:tcBorders>
              <w:top w:val="nil"/>
              <w:left w:val="nil"/>
              <w:bottom w:val="nil"/>
              <w:right w:val="nil"/>
            </w:tcBorders>
            <w:shd w:val="clear" w:color="auto" w:fill="auto"/>
            <w:vAlign w:val="center"/>
          </w:tcPr>
          <w:p w14:paraId="7702AF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FF"/>
                <w:kern w:val="0"/>
                <w:sz w:val="24"/>
                <w:szCs w:val="24"/>
                <w:u w:val="none"/>
                <w:lang w:val="en-US" w:eastAsia="zh-CN" w:bidi="ar"/>
              </w:rPr>
              <w:t>鹤北新城城中村改造安置区项目（一期）桩基础检测（一期剩余工程量）</w:t>
            </w:r>
            <w:r>
              <w:rPr>
                <w:rFonts w:hint="eastAsia" w:ascii="宋体" w:hAnsi="宋体" w:eastAsia="宋体" w:cs="宋体"/>
                <w:b/>
                <w:bCs/>
                <w:i w:val="0"/>
                <w:iCs w:val="0"/>
                <w:color w:val="0000FF"/>
                <w:kern w:val="0"/>
                <w:sz w:val="24"/>
                <w:szCs w:val="24"/>
                <w:u w:val="none"/>
                <w:lang w:val="en-US" w:eastAsia="zh-CN" w:bidi="ar"/>
              </w:rPr>
              <w:br w:type="textWrapping"/>
            </w:r>
            <w:r>
              <w:rPr>
                <w:rFonts w:hint="eastAsia" w:ascii="宋体" w:hAnsi="宋体" w:cs="宋体"/>
                <w:b/>
                <w:bCs/>
                <w:i w:val="0"/>
                <w:iCs w:val="0"/>
                <w:color w:val="0000FF"/>
                <w:kern w:val="0"/>
                <w:sz w:val="24"/>
                <w:szCs w:val="24"/>
                <w:u w:val="none"/>
                <w:lang w:val="en-US" w:eastAsia="zh-CN" w:bidi="ar"/>
              </w:rPr>
              <w:t>报价表</w:t>
            </w:r>
          </w:p>
        </w:tc>
      </w:tr>
      <w:tr w14:paraId="2E8CB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6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序号</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3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栋号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8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总桩数（根）</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3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9"/>
                <w:lang w:val="en-US" w:eastAsia="zh-CN" w:bidi="ar"/>
              </w:rPr>
              <w:t>高应变</w:t>
            </w:r>
            <w:r>
              <w:rPr>
                <w:rStyle w:val="43"/>
                <w:lang w:val="en-US" w:eastAsia="zh-CN" w:bidi="ar"/>
              </w:rPr>
              <w:t>（根）</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6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低应变（根）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BFC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单桩竖向抗压静载</w:t>
            </w:r>
            <w:r>
              <w:rPr>
                <w:rFonts w:hint="eastAsia" w:ascii="宋体" w:hAnsi="宋体" w:cs="宋体"/>
                <w:i w:val="0"/>
                <w:iCs w:val="0"/>
                <w:color w:val="000000"/>
                <w:kern w:val="0"/>
                <w:sz w:val="22"/>
                <w:szCs w:val="22"/>
                <w:u w:val="none"/>
                <w:lang w:val="en-US" w:eastAsia="zh-CN" w:bidi="ar"/>
              </w:rPr>
              <w:t>（KN）</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73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单桩竖向抗拔静载</w:t>
            </w:r>
          </w:p>
          <w:p w14:paraId="648E03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（KN）</w:t>
            </w:r>
          </w:p>
        </w:tc>
      </w:tr>
      <w:tr w14:paraId="02B0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09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B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地下车库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8D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75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FBE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1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F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1325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C5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4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大门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0E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65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C3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2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0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2A15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9F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CC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4#</w:t>
            </w:r>
            <w:r>
              <w:rPr>
                <w:rStyle w:val="43"/>
                <w:lang w:val="en-US" w:eastAsia="zh-CN" w:bidi="ar"/>
              </w:rPr>
              <w:t>商业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4C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AD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BF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0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F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7A3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FA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8C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20#</w:t>
            </w:r>
            <w:r>
              <w:rPr>
                <w:rStyle w:val="43"/>
                <w:lang w:val="en-US" w:eastAsia="zh-CN" w:bidi="ar"/>
              </w:rPr>
              <w:t>叠墅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90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45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E5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3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E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06863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F2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A4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21#</w:t>
            </w:r>
            <w:r>
              <w:rPr>
                <w:rStyle w:val="43"/>
                <w:lang w:val="en-US" w:eastAsia="zh-CN" w:bidi="ar"/>
              </w:rPr>
              <w:t>叠墅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0C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9D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19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7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B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0D2AE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BA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AB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22#</w:t>
            </w:r>
            <w:r>
              <w:rPr>
                <w:rStyle w:val="43"/>
                <w:lang w:val="en-US" w:eastAsia="zh-CN" w:bidi="ar"/>
              </w:rPr>
              <w:t>叠墅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CB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68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2B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9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9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7270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B3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39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23#</w:t>
            </w:r>
            <w:r>
              <w:rPr>
                <w:rStyle w:val="43"/>
                <w:lang w:val="en-US" w:eastAsia="zh-CN" w:bidi="ar"/>
              </w:rPr>
              <w:t>叠墅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D0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11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31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F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0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7984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CF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合计检测数量</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B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B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0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D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6BAB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03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FF"/>
                <w:kern w:val="0"/>
                <w:sz w:val="22"/>
                <w:szCs w:val="22"/>
                <w:u w:val="none"/>
                <w:lang w:val="en-US" w:eastAsia="zh-CN" w:bidi="ar"/>
              </w:rPr>
              <w:t>中标</w:t>
            </w:r>
            <w:r>
              <w:rPr>
                <w:rFonts w:hint="eastAsia" w:ascii="宋体" w:hAnsi="宋体" w:eastAsia="宋体" w:cs="宋体"/>
                <w:i w:val="0"/>
                <w:iCs w:val="0"/>
                <w:color w:val="000000"/>
                <w:kern w:val="0"/>
                <w:sz w:val="22"/>
                <w:szCs w:val="22"/>
                <w:u w:val="none"/>
                <w:lang w:val="en-US" w:eastAsia="zh-CN" w:bidi="ar"/>
              </w:rPr>
              <w:t>单价</w:t>
            </w:r>
            <w:r>
              <w:rPr>
                <w:rFonts w:hint="eastAsia" w:ascii="宋体" w:hAnsi="宋体" w:cs="宋体"/>
                <w:i w:val="0"/>
                <w:iCs w:val="0"/>
                <w:color w:val="000000"/>
                <w:kern w:val="0"/>
                <w:sz w:val="22"/>
                <w:szCs w:val="22"/>
                <w:u w:val="none"/>
                <w:lang w:val="en-US" w:eastAsia="zh-CN" w:bidi="ar"/>
              </w:rPr>
              <w:t>（元）</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C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5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9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8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1B0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A5A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FF"/>
                <w:kern w:val="0"/>
                <w:sz w:val="22"/>
                <w:szCs w:val="22"/>
                <w:u w:val="none"/>
                <w:lang w:val="en-US" w:eastAsia="zh-CN" w:bidi="ar"/>
              </w:rPr>
              <w:t>中标</w:t>
            </w:r>
            <w:r>
              <w:rPr>
                <w:rFonts w:hint="eastAsia" w:ascii="宋体" w:hAnsi="宋体" w:eastAsia="宋体" w:cs="宋体"/>
                <w:i w:val="0"/>
                <w:iCs w:val="0"/>
                <w:color w:val="000000"/>
                <w:kern w:val="0"/>
                <w:sz w:val="22"/>
                <w:szCs w:val="22"/>
                <w:u w:val="none"/>
                <w:lang w:val="en-US" w:eastAsia="zh-CN" w:bidi="ar"/>
              </w:rPr>
              <w:t>总价</w:t>
            </w:r>
            <w:r>
              <w:rPr>
                <w:rFonts w:hint="eastAsia" w:ascii="宋体" w:hAnsi="宋体" w:cs="宋体"/>
                <w:i w:val="0"/>
                <w:iCs w:val="0"/>
                <w:color w:val="000000"/>
                <w:kern w:val="0"/>
                <w:sz w:val="22"/>
                <w:szCs w:val="22"/>
                <w:u w:val="none"/>
                <w:lang w:val="en-US" w:eastAsia="zh-CN" w:bidi="ar"/>
              </w:rPr>
              <w:t>（元）</w:t>
            </w:r>
          </w:p>
        </w:tc>
        <w:tc>
          <w:tcPr>
            <w:tcW w:w="5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2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8EA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95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FFE0">
            <w:pPr>
              <w:keepNext w:val="0"/>
              <w:keepLines w:val="0"/>
              <w:widowControl/>
              <w:suppressLineNumbers w:val="0"/>
              <w:ind w:left="660" w:hanging="660" w:hangingChars="3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p w14:paraId="4BA35D03">
            <w:pPr>
              <w:keepNext w:val="0"/>
              <w:keepLines w:val="0"/>
              <w:widowControl/>
              <w:suppressLineNumbers w:val="0"/>
              <w:ind w:left="660" w:hanging="660" w:hanging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上述工程量为暂估量，具体实施时按实结算。  </w:t>
            </w:r>
          </w:p>
          <w:p w14:paraId="70461CE1">
            <w:pPr>
              <w:keepNext w:val="0"/>
              <w:keepLines w:val="0"/>
              <w:widowControl/>
              <w:suppressLineNumbers w:val="0"/>
              <w:ind w:left="660" w:hanging="600" w:hangingChars="3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2、以上单价、总价均为含税价。  </w:t>
            </w:r>
          </w:p>
        </w:tc>
      </w:tr>
    </w:tbl>
    <w:p w14:paraId="43331208">
      <w:pPr>
        <w:keepNext w:val="0"/>
        <w:keepLines w:val="0"/>
        <w:pageBreakBefore w:val="0"/>
        <w:widowControl w:val="0"/>
        <w:tabs>
          <w:tab w:val="left" w:pos="420"/>
        </w:tabs>
        <w:kinsoku/>
        <w:wordWrap/>
        <w:overflowPunct/>
        <w:topLinePunct w:val="0"/>
        <w:autoSpaceDE/>
        <w:autoSpaceDN/>
        <w:bidi w:val="0"/>
        <w:adjustRightInd/>
        <w:snapToGrid/>
        <w:spacing w:line="560" w:lineRule="exact"/>
        <w:ind w:right="-53" w:rightChars="-25" w:firstLine="422" w:firstLineChars="20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 xml:space="preserve">2.2 </w:t>
      </w:r>
      <w:r>
        <w:rPr>
          <w:rFonts w:hint="eastAsia" w:ascii="宋体" w:hAnsi="宋体" w:eastAsia="宋体" w:cs="宋体"/>
          <w:b/>
          <w:bCs/>
          <w:sz w:val="21"/>
          <w:szCs w:val="21"/>
          <w:lang w:eastAsia="zh-CN"/>
        </w:rPr>
        <w:t>合同总价金额人民币</w:t>
      </w:r>
      <w:r>
        <w:rPr>
          <w:rFonts w:hint="eastAsia" w:ascii="宋体" w:hAnsi="宋体" w:eastAsia="宋体" w:cs="宋体"/>
          <w:b/>
          <w:bCs/>
          <w:sz w:val="21"/>
          <w:szCs w:val="21"/>
          <w:u w:val="single"/>
          <w:lang w:val="en-US" w:eastAsia="zh-CN"/>
        </w:rPr>
        <w:t xml:space="preserve"> </w:t>
      </w:r>
      <w:r>
        <w:rPr>
          <w:rFonts w:hint="eastAsia" w:ascii="宋体" w:hAnsi="宋体" w:cs="宋体"/>
          <w:i w:val="0"/>
          <w:color w:val="000000"/>
          <w:kern w:val="0"/>
          <w:sz w:val="28"/>
          <w:szCs w:val="28"/>
          <w:u w:val="single"/>
          <w:lang w:val="en-US" w:eastAsia="zh-CN" w:bidi="ar"/>
        </w:rPr>
        <w:t xml:space="preserve">         </w:t>
      </w:r>
      <w:r>
        <w:rPr>
          <w:rFonts w:hint="eastAsia" w:ascii="宋体" w:hAnsi="宋体" w:eastAsia="宋体" w:cs="宋体"/>
          <w:b/>
          <w:bCs/>
          <w:sz w:val="21"/>
          <w:szCs w:val="21"/>
          <w:u w:val="none"/>
          <w:lang w:eastAsia="zh-CN"/>
        </w:rPr>
        <w:t>，</w:t>
      </w:r>
      <w:r>
        <w:rPr>
          <w:rFonts w:hint="eastAsia" w:ascii="宋体" w:hAnsi="宋体" w:eastAsia="宋体" w:cs="宋体"/>
          <w:b/>
          <w:bCs/>
          <w:sz w:val="21"/>
          <w:szCs w:val="21"/>
        </w:rPr>
        <w:t>本项目最终地基基础检测费用</w:t>
      </w:r>
      <w:r>
        <w:rPr>
          <w:rFonts w:hint="eastAsia" w:ascii="宋体" w:hAnsi="宋体" w:eastAsia="宋体" w:cs="宋体"/>
          <w:b/>
          <w:bCs/>
          <w:sz w:val="21"/>
          <w:szCs w:val="21"/>
          <w:lang w:val="en-US" w:eastAsia="zh-CN"/>
        </w:rPr>
        <w:t>按实际完成的检测数量和中标单价据实结算</w:t>
      </w:r>
      <w:r>
        <w:rPr>
          <w:rFonts w:hint="eastAsia" w:ascii="宋体" w:hAnsi="宋体" w:eastAsia="宋体" w:cs="宋体"/>
          <w:b/>
          <w:bCs/>
          <w:sz w:val="21"/>
          <w:szCs w:val="21"/>
          <w:lang w:eastAsia="zh-CN"/>
        </w:rPr>
        <w:t>，但不得超过合同总价。</w:t>
      </w:r>
    </w:p>
    <w:p w14:paraId="5F71CDBB">
      <w:pPr>
        <w:tabs>
          <w:tab w:val="left" w:pos="420"/>
        </w:tabs>
        <w:spacing w:line="560" w:lineRule="exact"/>
        <w:ind w:right="-53" w:rightChars="-25" w:firstLine="420" w:firstLineChars="200"/>
        <w:rPr>
          <w:rFonts w:hint="eastAsia" w:ascii="宋体" w:hAnsi="宋体" w:eastAsia="宋体" w:cs="宋体"/>
          <w:sz w:val="21"/>
          <w:szCs w:val="21"/>
        </w:rPr>
      </w:pPr>
      <w:r>
        <w:rPr>
          <w:rFonts w:hint="eastAsia" w:ascii="宋体" w:hAnsi="宋体" w:eastAsia="宋体" w:cs="宋体"/>
          <w:sz w:val="21"/>
          <w:szCs w:val="21"/>
        </w:rPr>
        <w:t>2.3 若出现基桩工程不合格桩或基础设计变更时，需要扩大检测时则另行计算检测费用。（基桩工程不合格桩</w:t>
      </w:r>
      <w:r>
        <w:rPr>
          <w:rFonts w:hint="eastAsia" w:ascii="宋体" w:hAnsi="宋体" w:cs="宋体"/>
          <w:sz w:val="21"/>
          <w:szCs w:val="21"/>
          <w:lang w:val="en-US" w:eastAsia="zh-CN"/>
        </w:rPr>
        <w:t>需</w:t>
      </w:r>
      <w:r>
        <w:rPr>
          <w:rFonts w:hint="eastAsia" w:ascii="宋体" w:hAnsi="宋体" w:eastAsia="宋体" w:cs="宋体"/>
          <w:sz w:val="21"/>
          <w:szCs w:val="21"/>
        </w:rPr>
        <w:t>扩大检测，费用由</w:t>
      </w:r>
      <w:r>
        <w:rPr>
          <w:rFonts w:hint="eastAsia" w:ascii="宋体" w:hAnsi="宋体" w:eastAsia="宋体" w:cs="宋体"/>
          <w:color w:val="auto"/>
          <w:sz w:val="21"/>
          <w:szCs w:val="21"/>
        </w:rPr>
        <w:t>湖南省第六工程有限公司</w:t>
      </w:r>
      <w:r>
        <w:rPr>
          <w:rFonts w:hint="eastAsia" w:ascii="宋体" w:hAnsi="宋体" w:eastAsia="宋体" w:cs="宋体"/>
          <w:sz w:val="21"/>
          <w:szCs w:val="21"/>
        </w:rPr>
        <w:t>承担。基础设计变更和桩基检测方案规范要求扩大检测时，费用由</w:t>
      </w:r>
      <w:r>
        <w:rPr>
          <w:rFonts w:hint="eastAsia" w:ascii="宋体" w:hAnsi="宋体" w:eastAsia="宋体" w:cs="宋体"/>
          <w:bCs/>
          <w:sz w:val="21"/>
          <w:szCs w:val="21"/>
        </w:rPr>
        <w:t>甲方</w:t>
      </w:r>
      <w:r>
        <w:rPr>
          <w:rFonts w:hint="eastAsia" w:ascii="宋体" w:hAnsi="宋体" w:eastAsia="宋体" w:cs="宋体"/>
          <w:sz w:val="21"/>
          <w:szCs w:val="21"/>
        </w:rPr>
        <w:t>承担）。</w:t>
      </w:r>
    </w:p>
    <w:p w14:paraId="7A9B6A75">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2.4 主要检测方法及判定标准</w:t>
      </w:r>
    </w:p>
    <w:p w14:paraId="7D4E2EED">
      <w:pPr>
        <w:spacing w:line="560" w:lineRule="exact"/>
        <w:ind w:right="-53" w:rightChars="-25" w:firstLine="420" w:firstLineChars="200"/>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rPr>
        <w:t xml:space="preserve">《建筑基桩检测技术规范》（JGJ106-2014）；   </w:t>
      </w:r>
    </w:p>
    <w:p w14:paraId="6BAFEB0B">
      <w:pPr>
        <w:tabs>
          <w:tab w:val="left" w:pos="525"/>
        </w:tabs>
        <w:spacing w:line="560" w:lineRule="exact"/>
        <w:ind w:firstLine="420" w:firstLineChars="200"/>
        <w:rPr>
          <w:rFonts w:hint="eastAsia" w:ascii="宋体" w:hAnsi="宋体" w:eastAsia="宋体" w:cs="宋体"/>
          <w:sz w:val="21"/>
          <w:szCs w:val="21"/>
        </w:rPr>
      </w:pPr>
      <w:bookmarkStart w:id="168" w:name="OLE_LINK14"/>
      <w:r>
        <w:rPr>
          <w:rFonts w:hint="eastAsia" w:ascii="宋体" w:hAnsi="宋体" w:eastAsia="宋体" w:cs="宋体"/>
          <w:sz w:val="21"/>
          <w:szCs w:val="21"/>
        </w:rPr>
        <w:t>□</w:t>
      </w:r>
      <w:bookmarkEnd w:id="168"/>
      <w:r>
        <w:rPr>
          <w:rFonts w:hint="eastAsia" w:ascii="宋体" w:hAnsi="宋体" w:eastAsia="宋体" w:cs="宋体"/>
          <w:sz w:val="21"/>
          <w:szCs w:val="21"/>
        </w:rPr>
        <w:t>《建筑地基检测技术规范》（JGJ340-2015）；</w:t>
      </w:r>
    </w:p>
    <w:p w14:paraId="53A05391">
      <w:pPr>
        <w:tabs>
          <w:tab w:val="left" w:pos="525"/>
        </w:tabs>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color w:val="000000"/>
          <w:sz w:val="21"/>
          <w:szCs w:val="21"/>
        </w:rPr>
        <w:t>《建筑地基基础设计规范》(GB50007-2011)；</w:t>
      </w:r>
    </w:p>
    <w:p w14:paraId="6E2C78A9">
      <w:pPr>
        <w:spacing w:line="560" w:lineRule="exact"/>
        <w:ind w:right="-53" w:rightChars="-25"/>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color w:val="000000"/>
          <w:sz w:val="21"/>
          <w:szCs w:val="21"/>
        </w:rPr>
        <w:t>《建筑地基处理技术规范》（</w:t>
      </w:r>
      <w:r>
        <w:rPr>
          <w:rFonts w:hint="eastAsia" w:ascii="宋体" w:hAnsi="宋体" w:eastAsia="宋体" w:cs="宋体"/>
          <w:sz w:val="21"/>
          <w:szCs w:val="21"/>
        </w:rPr>
        <w:t xml:space="preserve">JGJ79-2012）；    </w:t>
      </w:r>
    </w:p>
    <w:p w14:paraId="2EAD2112">
      <w:pPr>
        <w:spacing w:line="560" w:lineRule="exact"/>
        <w:ind w:firstLine="420" w:firstLineChars="200"/>
        <w:rPr>
          <w:rFonts w:hint="eastAsia" w:ascii="宋体" w:hAnsi="宋体" w:eastAsia="宋体" w:cs="宋体"/>
          <w:sz w:val="21"/>
          <w:szCs w:val="21"/>
        </w:rPr>
      </w:pPr>
      <w:bookmarkStart w:id="169" w:name="OLE_LINK13"/>
      <w:r>
        <w:rPr>
          <w:rFonts w:hint="eastAsia" w:ascii="宋体" w:hAnsi="宋体" w:eastAsia="宋体" w:cs="宋体"/>
          <w:sz w:val="21"/>
          <w:szCs w:val="21"/>
        </w:rPr>
        <w:t>注：以上标准规范有更新，以最新版标准为准。</w:t>
      </w:r>
      <w:bookmarkEnd w:id="169"/>
    </w:p>
    <w:p w14:paraId="742AF6FD">
      <w:pPr>
        <w:pStyle w:val="2"/>
        <w:tabs>
          <w:tab w:val="left" w:pos="0"/>
          <w:tab w:val="left" w:pos="540"/>
          <w:tab w:val="left" w:pos="630"/>
          <w:tab w:val="left" w:pos="1440"/>
        </w:tabs>
        <w:spacing w:after="0" w:line="560" w:lineRule="exact"/>
        <w:ind w:left="0" w:leftChars="0" w:firstLine="562"/>
        <w:rPr>
          <w:rFonts w:hint="eastAsia" w:ascii="宋体" w:hAnsi="宋体" w:eastAsia="宋体" w:cs="宋体"/>
          <w:sz w:val="21"/>
          <w:szCs w:val="21"/>
        </w:rPr>
      </w:pPr>
      <w:r>
        <w:rPr>
          <w:rFonts w:hint="eastAsia" w:ascii="宋体" w:hAnsi="宋体" w:eastAsia="宋体" w:cs="宋体"/>
          <w:b/>
          <w:bCs/>
          <w:sz w:val="21"/>
          <w:szCs w:val="21"/>
        </w:rPr>
        <w:t>2.5 桩基检测合同工期</w:t>
      </w:r>
      <w:r>
        <w:rPr>
          <w:rFonts w:hint="eastAsia" w:ascii="宋体" w:hAnsi="宋体" w:eastAsia="宋体" w:cs="宋体"/>
          <w:b/>
          <w:bCs/>
          <w:sz w:val="21"/>
          <w:szCs w:val="21"/>
          <w:u w:val="single"/>
        </w:rPr>
        <w:t xml:space="preserve"> </w:t>
      </w:r>
      <w:r>
        <w:rPr>
          <w:rFonts w:hint="eastAsia" w:ascii="宋体" w:hAnsi="宋体" w:cs="宋体"/>
          <w:b/>
          <w:bCs/>
          <w:sz w:val="21"/>
          <w:szCs w:val="21"/>
          <w:u w:val="single"/>
          <w:lang w:val="en-US" w:eastAsia="zh-CN"/>
        </w:rPr>
        <w:t>60</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天</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如因甲方原因造成的工期逾期，工期可顺延</w:t>
      </w:r>
      <w:r>
        <w:rPr>
          <w:rFonts w:hint="eastAsia" w:ascii="宋体" w:hAnsi="宋体" w:eastAsia="宋体" w:cs="宋体"/>
          <w:b/>
          <w:bCs/>
          <w:sz w:val="21"/>
          <w:szCs w:val="21"/>
          <w:lang w:eastAsia="zh-CN"/>
        </w:rPr>
        <w:t>）</w:t>
      </w:r>
      <w:r>
        <w:rPr>
          <w:rFonts w:hint="eastAsia" w:ascii="宋体" w:hAnsi="宋体" w:eastAsia="宋体" w:cs="宋体"/>
          <w:b/>
          <w:bCs/>
          <w:sz w:val="21"/>
          <w:szCs w:val="21"/>
        </w:rPr>
        <w:t>。</w:t>
      </w:r>
    </w:p>
    <w:p w14:paraId="2FDD0D4F">
      <w:pPr>
        <w:spacing w:line="5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第三条  乙方应按下列要求完成技术服务工作</w:t>
      </w:r>
    </w:p>
    <w:p w14:paraId="318E558A">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1、检测成果</w:t>
      </w:r>
    </w:p>
    <w:p w14:paraId="2F57727E">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 xml:space="preserve"> 乙方必须认真负责做好检测工作，保证检测数量符合要求，并对检测样品数据真实性负责。</w:t>
      </w:r>
    </w:p>
    <w:p w14:paraId="51F00C5F">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如检测报告内容作假或检测报告内容的不准确性导致甲方后期造成损失的，</w:t>
      </w:r>
      <w:r>
        <w:rPr>
          <w:rFonts w:hint="eastAsia" w:ascii="宋体" w:hAnsi="宋体" w:eastAsia="宋体" w:cs="宋体"/>
          <w:color w:val="auto"/>
          <w:sz w:val="21"/>
          <w:szCs w:val="21"/>
          <w:lang w:val="en-US" w:eastAsia="zh-CN"/>
        </w:rPr>
        <w:t>需</w:t>
      </w:r>
      <w:r>
        <w:rPr>
          <w:rFonts w:hint="eastAsia" w:ascii="宋体" w:hAnsi="宋体" w:eastAsia="宋体" w:cs="宋体"/>
          <w:color w:val="auto"/>
          <w:sz w:val="21"/>
          <w:szCs w:val="21"/>
        </w:rPr>
        <w:t>向甲方承担最终检测费用 30%的违约金，同时乙方还需赔偿甲方因此遭受的所有损失。此外，甲方还有权将</w:t>
      </w:r>
      <w:r>
        <w:rPr>
          <w:rFonts w:hint="eastAsia" w:ascii="宋体" w:hAnsi="宋体" w:eastAsia="宋体" w:cs="宋体"/>
          <w:color w:val="auto"/>
          <w:sz w:val="21"/>
          <w:szCs w:val="21"/>
          <w:lang w:val="en-US" w:eastAsia="zh-CN"/>
        </w:rPr>
        <w:t>乙</w:t>
      </w:r>
      <w:r>
        <w:rPr>
          <w:rFonts w:hint="eastAsia" w:ascii="宋体" w:hAnsi="宋体" w:eastAsia="宋体" w:cs="宋体"/>
          <w:color w:val="auto"/>
          <w:sz w:val="21"/>
          <w:szCs w:val="21"/>
        </w:rPr>
        <w:t>方的行为报告给行政主管</w:t>
      </w:r>
      <w:r>
        <w:rPr>
          <w:rFonts w:hint="eastAsia" w:ascii="宋体" w:hAnsi="宋体" w:eastAsia="宋体" w:cs="宋体"/>
          <w:color w:val="auto"/>
          <w:sz w:val="21"/>
          <w:szCs w:val="21"/>
          <w:lang w:val="en-US" w:eastAsia="zh-CN"/>
        </w:rPr>
        <w:t>部门</w:t>
      </w:r>
      <w:r>
        <w:rPr>
          <w:rFonts w:hint="eastAsia" w:ascii="宋体" w:hAnsi="宋体" w:eastAsia="宋体" w:cs="宋体"/>
          <w:color w:val="auto"/>
          <w:sz w:val="21"/>
          <w:szCs w:val="21"/>
        </w:rPr>
        <w:t>，由行政主管部门依法对乙方进行处罚</w:t>
      </w:r>
      <w:r>
        <w:rPr>
          <w:rFonts w:hint="eastAsia" w:ascii="宋体" w:hAnsi="宋体" w:eastAsia="宋体" w:cs="宋体"/>
          <w:color w:val="auto"/>
          <w:sz w:val="21"/>
          <w:szCs w:val="21"/>
          <w:lang w:eastAsia="zh-CN"/>
        </w:rPr>
        <w:t>。</w:t>
      </w:r>
    </w:p>
    <w:p w14:paraId="0D03BB4B">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.2 乙方应根据甲方和施工进度的要求，合理配备人员、设备，保证在规程规范允许的情况下及时进行检测和试验工作，按要求完成任务，在收到甲方提供资料后，检测工作完成后10日内应向甲方提供检测报告</w:t>
      </w:r>
      <w:r>
        <w:rPr>
          <w:rFonts w:hint="eastAsia" w:ascii="宋体" w:hAnsi="宋体" w:eastAsia="宋体" w:cs="宋体"/>
          <w:color w:val="auto"/>
          <w:sz w:val="21"/>
          <w:szCs w:val="21"/>
          <w:lang w:val="en-US" w:eastAsia="zh-CN"/>
        </w:rPr>
        <w:t>及电子档资料</w:t>
      </w:r>
      <w:r>
        <w:rPr>
          <w:rFonts w:hint="eastAsia" w:ascii="宋体" w:hAnsi="宋体" w:eastAsia="宋体" w:cs="宋体"/>
          <w:color w:val="auto"/>
          <w:sz w:val="21"/>
          <w:szCs w:val="21"/>
        </w:rPr>
        <w:t>。</w:t>
      </w:r>
    </w:p>
    <w:p w14:paraId="5FFE6BD7">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.3 提供最终检测报告一式</w:t>
      </w:r>
      <w:r>
        <w:rPr>
          <w:rFonts w:hint="eastAsia" w:ascii="宋体" w:hAnsi="宋体" w:eastAsia="宋体" w:cs="宋体"/>
          <w:color w:val="auto"/>
          <w:sz w:val="21"/>
          <w:szCs w:val="21"/>
          <w:u w:val="single"/>
        </w:rPr>
        <w:t xml:space="preserve"> 肆份 </w:t>
      </w:r>
      <w:r>
        <w:rPr>
          <w:rFonts w:hint="eastAsia" w:ascii="宋体" w:hAnsi="宋体" w:eastAsia="宋体" w:cs="宋体"/>
          <w:color w:val="auto"/>
          <w:sz w:val="21"/>
          <w:szCs w:val="21"/>
          <w:lang w:val="en-US" w:eastAsia="zh-CN"/>
        </w:rPr>
        <w:t>及电子档资料</w:t>
      </w:r>
      <w:r>
        <w:rPr>
          <w:rFonts w:hint="eastAsia" w:ascii="宋体" w:hAnsi="宋体" w:eastAsia="宋体" w:cs="宋体"/>
          <w:color w:val="auto"/>
          <w:sz w:val="21"/>
          <w:szCs w:val="21"/>
        </w:rPr>
        <w:t>，检测报告甲方自取。</w:t>
      </w:r>
    </w:p>
    <w:p w14:paraId="238D6F31">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2、验收</w:t>
      </w:r>
    </w:p>
    <w:p w14:paraId="201BEE28">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 本项目采用一</w:t>
      </w:r>
      <w:r>
        <w:rPr>
          <w:rFonts w:hint="eastAsia" w:ascii="宋体" w:hAnsi="宋体" w:cs="宋体"/>
          <w:kern w:val="2"/>
          <w:sz w:val="21"/>
          <w:szCs w:val="21"/>
          <w:lang w:val="en-US" w:eastAsia="zh-CN" w:bidi="ar-SA"/>
        </w:rPr>
        <w:t>般</w:t>
      </w:r>
      <w:r>
        <w:rPr>
          <w:rFonts w:hint="eastAsia" w:ascii="宋体" w:hAnsi="宋体" w:eastAsia="宋体" w:cs="宋体"/>
          <w:kern w:val="2"/>
          <w:sz w:val="21"/>
          <w:szCs w:val="21"/>
          <w:lang w:val="en-US" w:eastAsia="zh-CN" w:bidi="ar-SA"/>
        </w:rPr>
        <w:t>验收方式进行验收，国家有强制性规定的，按国家规定执行，甲方将按照规定组织有关单位对本项目进行验收。</w:t>
      </w:r>
    </w:p>
    <w:p w14:paraId="03E6D914">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 验收过程中产生纠纷的，由相关监督部门认定的检测机构检测，如为乙方原因造成的，由乙方承担检测费用。</w:t>
      </w:r>
    </w:p>
    <w:p w14:paraId="5D489305">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2.3 验收相关费用全部由乙方承担。</w:t>
      </w:r>
    </w:p>
    <w:p w14:paraId="0620EE14">
      <w:pPr>
        <w:spacing w:line="5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第四条  为保证乙方有效进行技术服务工作，甲方应当向乙方提供下列工作条件和协作事项</w:t>
      </w:r>
    </w:p>
    <w:p w14:paraId="595F73F0">
      <w:pPr>
        <w:widowControl/>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4.1 甲方应及时向乙方提供包括但不限于设计图纸、工程相关技术资料等开展检测工作必需的完整技术文件；乙方在收到甲方提供的相关资料三日内未提出书面异议，视为甲方交付的资料已满足乙方需求。乙方提出异议的，应当书面告知甲方需补齐或完善的资料，甲方按照乙方提供的资料清单提交完毕后视为甲方已提供全部所需的资料。</w:t>
      </w:r>
    </w:p>
    <w:p w14:paraId="5AD4E8C8">
      <w:pPr>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4.2 负责协调质监、建设、监理及各施工标段的关系，安排辅助人员、施工设备积极支持、配合质量检测工作，并承担由此发生的必要费用</w:t>
      </w:r>
      <w:r>
        <w:rPr>
          <w:rFonts w:hint="eastAsia" w:ascii="宋体" w:hAnsi="宋体" w:eastAsia="宋体" w:cs="宋体"/>
          <w:sz w:val="21"/>
          <w:szCs w:val="21"/>
          <w:lang w:eastAsia="zh-CN"/>
        </w:rPr>
        <w:t>。</w:t>
      </w:r>
    </w:p>
    <w:p w14:paraId="63E07144">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4.3 负责提供设备进出场道路、挖机配合和现场地基试验需要的配重并进行装卸协调等条件，无偿提供水、电等相关支持和配合。</w:t>
      </w:r>
    </w:p>
    <w:p w14:paraId="4E4F6290">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4.4 按合同规定向乙方支付技术服务报酬。</w:t>
      </w:r>
    </w:p>
    <w:p w14:paraId="61CEA341">
      <w:pPr>
        <w:spacing w:line="5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第五条  甲方向乙方支付技术服务报酬方式</w:t>
      </w:r>
    </w:p>
    <w:p w14:paraId="757D43FD">
      <w:pPr>
        <w:pStyle w:val="41"/>
        <w:spacing w:line="560" w:lineRule="exact"/>
        <w:ind w:firstLine="560"/>
        <w:rPr>
          <w:rFonts w:hint="eastAsia" w:ascii="宋体" w:hAnsi="宋体" w:eastAsia="宋体" w:cs="宋体"/>
          <w:sz w:val="21"/>
          <w:szCs w:val="21"/>
          <w:u w:val="single"/>
        </w:rPr>
      </w:pPr>
      <w:r>
        <w:rPr>
          <w:rFonts w:hint="eastAsia" w:ascii="宋体" w:hAnsi="宋体" w:eastAsia="宋体" w:cs="宋体"/>
          <w:sz w:val="21"/>
          <w:szCs w:val="21"/>
          <w:u w:val="single"/>
        </w:rPr>
        <w:t>1、转帐支付</w:t>
      </w:r>
    </w:p>
    <w:p w14:paraId="08C0DBCE">
      <w:pPr>
        <w:pStyle w:val="41"/>
        <w:spacing w:line="560" w:lineRule="exact"/>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账 户 名：</w:t>
      </w:r>
      <w:r>
        <w:rPr>
          <w:rFonts w:hint="eastAsia" w:ascii="宋体" w:hAnsi="宋体" w:eastAsia="宋体" w:cs="宋体"/>
          <w:spacing w:val="10"/>
          <w:sz w:val="21"/>
          <w:szCs w:val="21"/>
          <w:u w:val="single"/>
        </w:rPr>
        <w:t xml:space="preserve">                              </w:t>
      </w:r>
    </w:p>
    <w:p w14:paraId="343D8A36">
      <w:pPr>
        <w:tabs>
          <w:tab w:val="left" w:pos="420"/>
          <w:tab w:val="left" w:pos="840"/>
        </w:tabs>
        <w:spacing w:line="560" w:lineRule="exact"/>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开户银行：</w:t>
      </w:r>
      <w:r>
        <w:rPr>
          <w:rFonts w:hint="eastAsia" w:ascii="宋体" w:hAnsi="宋体" w:eastAsia="宋体" w:cs="宋体"/>
          <w:spacing w:val="10"/>
          <w:sz w:val="21"/>
          <w:szCs w:val="21"/>
          <w:u w:val="single"/>
        </w:rPr>
        <w:t xml:space="preserve">                              </w:t>
      </w:r>
    </w:p>
    <w:p w14:paraId="16CC7267">
      <w:pPr>
        <w:spacing w:line="5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账    号：</w:t>
      </w:r>
      <w:r>
        <w:rPr>
          <w:rFonts w:hint="eastAsia" w:ascii="宋体" w:hAnsi="宋体" w:eastAsia="宋体" w:cs="宋体"/>
          <w:spacing w:val="10"/>
          <w:sz w:val="21"/>
          <w:szCs w:val="21"/>
          <w:u w:val="single"/>
        </w:rPr>
        <w:t xml:space="preserve">                              </w:t>
      </w:r>
    </w:p>
    <w:p w14:paraId="46B2A9A0">
      <w:pPr>
        <w:spacing w:line="5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2、甲方在现场检测工作完成，单位工程检测鉴定报告交付完毕并经相关行政主管部门验收后支付单位</w:t>
      </w:r>
      <w:r>
        <w:rPr>
          <w:rFonts w:hint="eastAsia" w:ascii="宋体" w:hAnsi="宋体" w:eastAsia="宋体" w:cs="宋体"/>
          <w:sz w:val="21"/>
          <w:szCs w:val="21"/>
          <w:u w:val="single"/>
          <w:lang w:eastAsia="zh-CN"/>
        </w:rPr>
        <w:t>工程</w:t>
      </w:r>
      <w:r>
        <w:rPr>
          <w:rFonts w:hint="eastAsia" w:ascii="宋体" w:hAnsi="宋体" w:eastAsia="宋体" w:cs="宋体"/>
          <w:sz w:val="21"/>
          <w:szCs w:val="21"/>
          <w:u w:val="single"/>
        </w:rPr>
        <w:t>检测费用</w:t>
      </w:r>
      <w:r>
        <w:rPr>
          <w:rFonts w:hint="eastAsia" w:ascii="宋体" w:hAnsi="宋体" w:eastAsia="宋体" w:cs="宋体"/>
          <w:sz w:val="21"/>
          <w:szCs w:val="21"/>
        </w:rPr>
        <w:t>；</w:t>
      </w:r>
    </w:p>
    <w:p w14:paraId="1D78EE22">
      <w:pPr>
        <w:spacing w:line="5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3、甲方向乙方付款时，乙方应先提供不低于3%税率的增值税专用发票</w:t>
      </w:r>
      <w:r>
        <w:rPr>
          <w:rFonts w:hint="eastAsia" w:ascii="宋体" w:hAnsi="宋体" w:eastAsia="宋体" w:cs="宋体"/>
          <w:sz w:val="21"/>
          <w:szCs w:val="21"/>
        </w:rPr>
        <w:t>。</w:t>
      </w:r>
    </w:p>
    <w:p w14:paraId="3D10E6F4">
      <w:pPr>
        <w:spacing w:line="5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第六条  双方确定因履行本合同应遵守的保密义务如下</w:t>
      </w:r>
    </w:p>
    <w:p w14:paraId="7F671188">
      <w:pPr>
        <w:spacing w:line="56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 xml:space="preserve">6.1 甲方： </w:t>
      </w:r>
      <w:r>
        <w:rPr>
          <w:rFonts w:hint="eastAsia" w:ascii="宋体" w:hAnsi="宋体" w:eastAsia="宋体" w:cs="宋体"/>
          <w:sz w:val="21"/>
          <w:szCs w:val="21"/>
        </w:rPr>
        <w:t xml:space="preserve"> </w:t>
      </w:r>
    </w:p>
    <w:p w14:paraId="614FF7A6">
      <w:pPr>
        <w:spacing w:line="560" w:lineRule="exact"/>
        <w:rPr>
          <w:rFonts w:hint="eastAsia" w:ascii="宋体" w:hAnsi="宋体" w:eastAsia="宋体" w:cs="宋体"/>
          <w:sz w:val="21"/>
          <w:szCs w:val="21"/>
        </w:rPr>
      </w:pPr>
      <w:r>
        <w:rPr>
          <w:rFonts w:hint="eastAsia" w:ascii="宋体" w:hAnsi="宋体" w:eastAsia="宋体" w:cs="宋体"/>
          <w:sz w:val="21"/>
          <w:szCs w:val="21"/>
        </w:rPr>
        <w:t xml:space="preserve">    （1）保密内容：包括但不限于在本合同磋商、签订、履行过程中获取的乙方技术资料、检测报告、合同单价及总价等一切技术、经营信息；</w:t>
      </w:r>
    </w:p>
    <w:p w14:paraId="04B6EB9E">
      <w:pPr>
        <w:spacing w:line="560" w:lineRule="exact"/>
        <w:rPr>
          <w:rFonts w:hint="eastAsia" w:ascii="宋体" w:hAnsi="宋体" w:eastAsia="宋体" w:cs="宋体"/>
          <w:sz w:val="21"/>
          <w:szCs w:val="21"/>
        </w:rPr>
      </w:pPr>
      <w:r>
        <w:rPr>
          <w:rFonts w:hint="eastAsia" w:ascii="宋体" w:hAnsi="宋体" w:eastAsia="宋体" w:cs="宋体"/>
          <w:sz w:val="21"/>
          <w:szCs w:val="21"/>
        </w:rPr>
        <w:t xml:space="preserve">    （2）涉密人员范围：甲方人员及受甲方聘请、雇佣、发包的有权获悉的第三方人员；</w:t>
      </w:r>
    </w:p>
    <w:p w14:paraId="62002797">
      <w:pPr>
        <w:spacing w:line="560" w:lineRule="exact"/>
        <w:rPr>
          <w:rFonts w:hint="eastAsia" w:ascii="宋体" w:hAnsi="宋体" w:eastAsia="宋体" w:cs="宋体"/>
          <w:sz w:val="21"/>
          <w:szCs w:val="21"/>
        </w:rPr>
      </w:pPr>
      <w:r>
        <w:rPr>
          <w:rFonts w:hint="eastAsia" w:ascii="宋体" w:hAnsi="宋体" w:eastAsia="宋体" w:cs="宋体"/>
          <w:sz w:val="21"/>
          <w:szCs w:val="21"/>
        </w:rPr>
        <w:t xml:space="preserve">    （3）保密期限：长期；</w:t>
      </w:r>
    </w:p>
    <w:p w14:paraId="54E8B6BF">
      <w:pPr>
        <w:spacing w:line="560" w:lineRule="exact"/>
        <w:rPr>
          <w:rFonts w:hint="eastAsia" w:ascii="宋体" w:hAnsi="宋体" w:eastAsia="宋体" w:cs="宋体"/>
          <w:sz w:val="21"/>
          <w:szCs w:val="21"/>
        </w:rPr>
      </w:pPr>
      <w:r>
        <w:rPr>
          <w:rFonts w:hint="eastAsia" w:ascii="宋体" w:hAnsi="宋体" w:eastAsia="宋体" w:cs="宋体"/>
          <w:sz w:val="21"/>
          <w:szCs w:val="21"/>
        </w:rPr>
        <w:t xml:space="preserve">    （4）泄密责任：如有泄密发生，承担给乙方造成的一切损失。</w:t>
      </w:r>
    </w:p>
    <w:p w14:paraId="20131DDB">
      <w:pPr>
        <w:spacing w:line="5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6.2 乙方：</w:t>
      </w:r>
    </w:p>
    <w:p w14:paraId="21F1C08A">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（1）保密内容：包括但不限于在本合同磋商、签订、履行过程中获取的甲方技术资料、检测报告、检测鉴定结果等一切技术、经营信息；</w:t>
      </w:r>
    </w:p>
    <w:p w14:paraId="1E0B5001">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（2）涉密人员范围：参与此项工程的技术人员；</w:t>
      </w:r>
    </w:p>
    <w:p w14:paraId="1BD5F551">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（3）保密期限：长期；</w:t>
      </w:r>
    </w:p>
    <w:p w14:paraId="037BD147">
      <w:pPr>
        <w:spacing w:line="560" w:lineRule="exact"/>
        <w:ind w:firstLine="420" w:firstLineChars="200"/>
        <w:rPr>
          <w:rFonts w:hint="eastAsia" w:ascii="宋体" w:hAnsi="宋体" w:eastAsia="宋体" w:cs="宋体"/>
          <w:color w:val="4F81BD"/>
          <w:sz w:val="21"/>
          <w:szCs w:val="21"/>
        </w:rPr>
      </w:pPr>
      <w:r>
        <w:rPr>
          <w:rFonts w:hint="eastAsia" w:ascii="宋体" w:hAnsi="宋体" w:eastAsia="宋体" w:cs="宋体"/>
          <w:sz w:val="21"/>
          <w:szCs w:val="21"/>
        </w:rPr>
        <w:t>（4）泄密责任：如有泄密发生，承担给甲方造成的一切损失。</w:t>
      </w:r>
      <w:r>
        <w:rPr>
          <w:rFonts w:hint="eastAsia" w:ascii="宋体" w:hAnsi="宋体" w:eastAsia="宋体" w:cs="宋体"/>
          <w:color w:val="4F81BD"/>
          <w:sz w:val="21"/>
          <w:szCs w:val="21"/>
        </w:rPr>
        <w:t xml:space="preserve"> </w:t>
      </w:r>
    </w:p>
    <w:p w14:paraId="4F2F093C">
      <w:pPr>
        <w:spacing w:line="5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第七条</w:t>
      </w:r>
      <w:r>
        <w:rPr>
          <w:rFonts w:hint="eastAsia" w:ascii="宋体" w:hAnsi="宋体" w:eastAsia="宋体" w:cs="宋体"/>
          <w:b/>
          <w:sz w:val="21"/>
          <w:szCs w:val="21"/>
        </w:rPr>
        <w:t xml:space="preserve">  </w:t>
      </w:r>
      <w:r>
        <w:rPr>
          <w:rFonts w:hint="eastAsia" w:ascii="宋体" w:hAnsi="宋体" w:eastAsia="宋体" w:cs="宋体"/>
          <w:bCs/>
          <w:sz w:val="21"/>
          <w:szCs w:val="21"/>
        </w:rPr>
        <w:t>本合同的变更必须由双方协商一致，并以书面形式确定。</w:t>
      </w:r>
    </w:p>
    <w:p w14:paraId="41984C0A">
      <w:pPr>
        <w:spacing w:line="560" w:lineRule="exact"/>
        <w:ind w:firstLine="420" w:firstLineChars="200"/>
        <w:rPr>
          <w:rFonts w:hint="eastAsia" w:ascii="宋体" w:hAnsi="宋体" w:eastAsia="宋体" w:cs="宋体"/>
          <w:b/>
          <w:sz w:val="21"/>
          <w:szCs w:val="21"/>
        </w:rPr>
      </w:pPr>
      <w:r>
        <w:rPr>
          <w:rFonts w:hint="eastAsia" w:ascii="宋体" w:hAnsi="宋体" w:eastAsia="宋体" w:cs="宋体"/>
          <w:bCs/>
          <w:sz w:val="21"/>
          <w:szCs w:val="21"/>
        </w:rPr>
        <w:t>第八条</w:t>
      </w:r>
      <w:r>
        <w:rPr>
          <w:rFonts w:hint="eastAsia" w:ascii="宋体" w:hAnsi="宋体" w:eastAsia="宋体" w:cs="宋体"/>
          <w:b/>
          <w:sz w:val="21"/>
          <w:szCs w:val="21"/>
        </w:rPr>
        <w:t xml:space="preserve">  </w:t>
      </w:r>
      <w:r>
        <w:rPr>
          <w:rFonts w:hint="eastAsia" w:ascii="宋体" w:hAnsi="宋体" w:eastAsia="宋体" w:cs="宋体"/>
          <w:bCs/>
          <w:sz w:val="21"/>
          <w:szCs w:val="21"/>
        </w:rPr>
        <w:t>双方确定，按以下约定承担各自的违约责任</w:t>
      </w:r>
    </w:p>
    <w:p w14:paraId="74659684">
      <w:pPr>
        <w:spacing w:line="56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8.1 本协议经双方签字盖章后生效，具有法定效力。未经双方协商同意，任何一方不得无正当理由终止本协议，否则必须向对方支付本合同检测费用30%的违约金。</w:t>
      </w:r>
    </w:p>
    <w:p w14:paraId="038BCC59">
      <w:pPr>
        <w:spacing w:line="56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8.2</w:t>
      </w:r>
      <w:bookmarkStart w:id="170" w:name="OLE_LINK1"/>
      <w:r>
        <w:rPr>
          <w:rFonts w:hint="eastAsia" w:ascii="宋体" w:hAnsi="宋体" w:eastAsia="宋体" w:cs="宋体"/>
          <w:sz w:val="21"/>
          <w:szCs w:val="21"/>
        </w:rPr>
        <w:t xml:space="preserve"> 乙方接到甲方通知后</w:t>
      </w:r>
      <w:r>
        <w:rPr>
          <w:rFonts w:hint="eastAsia" w:ascii="宋体" w:hAnsi="宋体" w:eastAsia="宋体" w:cs="宋体"/>
          <w:sz w:val="21"/>
          <w:szCs w:val="21"/>
          <w:u w:val="single"/>
        </w:rPr>
        <w:t>三个工作日内</w:t>
      </w:r>
      <w:r>
        <w:rPr>
          <w:rFonts w:hint="eastAsia" w:ascii="宋体" w:hAnsi="宋体" w:eastAsia="宋体" w:cs="宋体"/>
          <w:sz w:val="21"/>
          <w:szCs w:val="21"/>
        </w:rPr>
        <w:t>组织人员设备进场完成本合同约定工作，</w:t>
      </w:r>
      <w:bookmarkStart w:id="171" w:name="OLE_LINK7"/>
      <w:r>
        <w:rPr>
          <w:rFonts w:hint="eastAsia" w:ascii="宋体" w:hAnsi="宋体" w:eastAsia="宋体" w:cs="宋体"/>
          <w:sz w:val="21"/>
          <w:szCs w:val="21"/>
        </w:rPr>
        <w:t>除因本合同第四条（甲方未尽配合义务）及不可抗力外</w:t>
      </w:r>
      <w:bookmarkEnd w:id="171"/>
      <w:r>
        <w:rPr>
          <w:rFonts w:hint="eastAsia" w:ascii="宋体" w:hAnsi="宋体" w:eastAsia="宋体" w:cs="宋体"/>
          <w:sz w:val="21"/>
          <w:szCs w:val="21"/>
        </w:rPr>
        <w:t>未及时完成相关工作向甲方提交检测报告的，乙方应承担违约责任。每延误一天，按本合同总金额的万分之五承担违约金，违约金从最终检测费用的支付中扣除。延误十五天以上的，甲方有权单方书面通知乙方解除合同，要求乙方支付检测费用30%的违约金并赔偿因此给甲方造成的所有损失。</w:t>
      </w:r>
      <w:bookmarkEnd w:id="170"/>
    </w:p>
    <w:p w14:paraId="6261C53B">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8.3 乙方在检测过程中，应积极配合甲方，需严格按照甲方的施工进度进行检测，因乙方原因导致甲方的施工进度滞后的，乙方应当承担甲方的全部损失，甲方有权从本合同结算价款中扣减相应的损失费用。</w:t>
      </w:r>
    </w:p>
    <w:p w14:paraId="2AF20D28">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8.4乙方在检测过程中，应与其它的施工单位作好施工的配合协作工作。</w:t>
      </w:r>
    </w:p>
    <w:p w14:paraId="78D2E559">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8.5 服务期间，乙方所聘员工在为甲方提供本项目服务及工作时发生的任何事故，突发疾病、一切意外伤害、工伤事故和人身伤害、劳动纠纷等，均由乙方自行负责，与甲方无关，甲方不承担任何责任。</w:t>
      </w:r>
    </w:p>
    <w:p w14:paraId="6823D2C2">
      <w:pPr>
        <w:spacing w:line="560" w:lineRule="exact"/>
        <w:rPr>
          <w:rFonts w:hint="eastAsia" w:ascii="宋体" w:hAnsi="宋体" w:eastAsia="宋体" w:cs="宋体"/>
          <w:sz w:val="21"/>
          <w:szCs w:val="21"/>
        </w:rPr>
      </w:pPr>
      <w:r>
        <w:rPr>
          <w:rFonts w:hint="eastAsia" w:ascii="宋体" w:hAnsi="宋体" w:eastAsia="宋体" w:cs="宋体"/>
          <w:sz w:val="21"/>
          <w:szCs w:val="21"/>
        </w:rPr>
        <w:t xml:space="preserve">    8.6 甲方如对检测报告结论有异议，可在收到报告起</w:t>
      </w:r>
      <w:r>
        <w:rPr>
          <w:rFonts w:hint="eastAsia" w:ascii="宋体" w:hAnsi="宋体" w:eastAsia="宋体" w:cs="宋体"/>
          <w:sz w:val="21"/>
          <w:szCs w:val="21"/>
          <w:u w:val="single"/>
        </w:rPr>
        <w:t xml:space="preserve"> 5 </w:t>
      </w:r>
      <w:r>
        <w:rPr>
          <w:rFonts w:hint="eastAsia" w:ascii="宋体" w:hAnsi="宋体" w:eastAsia="宋体" w:cs="宋体"/>
          <w:sz w:val="21"/>
          <w:szCs w:val="21"/>
        </w:rPr>
        <w:t>个工作日内向乙方提出书面异议，由乙方组织复查并于</w:t>
      </w:r>
      <w:r>
        <w:rPr>
          <w:rFonts w:hint="eastAsia" w:ascii="宋体" w:hAnsi="宋体" w:eastAsia="宋体" w:cs="宋体"/>
          <w:sz w:val="21"/>
          <w:szCs w:val="21"/>
          <w:u w:val="single"/>
        </w:rPr>
        <w:t xml:space="preserve"> 5 </w:t>
      </w:r>
      <w:r>
        <w:rPr>
          <w:rFonts w:hint="eastAsia" w:ascii="宋体" w:hAnsi="宋体" w:eastAsia="宋体" w:cs="宋体"/>
          <w:sz w:val="21"/>
          <w:szCs w:val="21"/>
        </w:rPr>
        <w:t>个工作日内向甲方予以书面答复。</w:t>
      </w:r>
    </w:p>
    <w:p w14:paraId="1246CFE5">
      <w:pPr>
        <w:spacing w:line="560" w:lineRule="exact"/>
        <w:rPr>
          <w:rFonts w:hint="eastAsia" w:ascii="宋体" w:hAnsi="宋体" w:eastAsia="宋体" w:cs="宋体"/>
          <w:sz w:val="21"/>
          <w:szCs w:val="21"/>
        </w:rPr>
      </w:pPr>
      <w:r>
        <w:rPr>
          <w:rFonts w:hint="eastAsia" w:ascii="宋体" w:hAnsi="宋体" w:eastAsia="宋体" w:cs="宋体"/>
          <w:sz w:val="21"/>
          <w:szCs w:val="21"/>
        </w:rPr>
        <w:t>　　8.7 甲方对乙方的书面答复仍有异议且无法协商解决的，可以在收到书面答复后</w:t>
      </w:r>
      <w:r>
        <w:rPr>
          <w:rFonts w:hint="eastAsia" w:ascii="宋体" w:hAnsi="宋体" w:eastAsia="宋体" w:cs="宋体"/>
          <w:sz w:val="21"/>
          <w:szCs w:val="21"/>
          <w:u w:val="single"/>
        </w:rPr>
        <w:t xml:space="preserve"> 5 </w:t>
      </w:r>
      <w:r>
        <w:rPr>
          <w:rFonts w:hint="eastAsia" w:ascii="宋体" w:hAnsi="宋体" w:eastAsia="宋体" w:cs="宋体"/>
          <w:sz w:val="21"/>
          <w:szCs w:val="21"/>
        </w:rPr>
        <w:t>个工作日内，可由双方共同认可的检测机构复检。复检结论与原检测结论相同，由甲方支付复检费用；反之，则由乙方承担复检费用且应当向甲方支付最终检测费用30%的违约金，复检费用由乙方先行垫付。</w:t>
      </w:r>
    </w:p>
    <w:p w14:paraId="2F44E8C5">
      <w:pPr>
        <w:spacing w:line="560" w:lineRule="exact"/>
        <w:ind w:firstLine="420" w:firstLineChars="200"/>
        <w:rPr>
          <w:rFonts w:hint="eastAsia" w:ascii="宋体" w:hAnsi="宋体" w:eastAsia="宋体" w:cs="宋体"/>
          <w:b/>
          <w:sz w:val="21"/>
          <w:szCs w:val="21"/>
        </w:rPr>
      </w:pPr>
      <w:r>
        <w:rPr>
          <w:rFonts w:hint="eastAsia" w:ascii="宋体" w:hAnsi="宋体" w:eastAsia="宋体" w:cs="宋体"/>
          <w:bCs/>
          <w:sz w:val="21"/>
          <w:szCs w:val="21"/>
        </w:rPr>
        <w:t>第九条</w:t>
      </w:r>
      <w:r>
        <w:rPr>
          <w:rFonts w:hint="eastAsia" w:ascii="宋体" w:hAnsi="宋体" w:eastAsia="宋体" w:cs="宋体"/>
          <w:b/>
          <w:sz w:val="21"/>
          <w:szCs w:val="21"/>
        </w:rPr>
        <w:t xml:space="preserve"> </w:t>
      </w:r>
      <w:bookmarkStart w:id="172" w:name="OLE_LINK4"/>
      <w:r>
        <w:rPr>
          <w:rFonts w:hint="eastAsia" w:ascii="宋体" w:hAnsi="宋体" w:eastAsia="宋体" w:cs="宋体"/>
          <w:bCs/>
          <w:sz w:val="21"/>
          <w:szCs w:val="21"/>
        </w:rPr>
        <w:t>服务要求，质量和标准</w:t>
      </w:r>
    </w:p>
    <w:p w14:paraId="33F454A1">
      <w:pPr>
        <w:spacing w:line="560" w:lineRule="exact"/>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rPr>
        <w:t>1、检测材料、设备运输、保险及保管</w:t>
      </w:r>
    </w:p>
    <w:p w14:paraId="4DEC9BFE">
      <w:pPr>
        <w:spacing w:line="56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1.1</w:t>
      </w:r>
      <w:r>
        <w:rPr>
          <w:rFonts w:hint="eastAsia" w:ascii="宋体" w:hAnsi="宋体" w:eastAsia="宋体" w:cs="宋体"/>
          <w:b w:val="0"/>
          <w:bCs/>
          <w:sz w:val="21"/>
          <w:szCs w:val="21"/>
          <w:lang w:val="en-US" w:eastAsia="zh-CN"/>
        </w:rPr>
        <w:t xml:space="preserve"> 乙方</w:t>
      </w:r>
      <w:r>
        <w:rPr>
          <w:rFonts w:hint="eastAsia" w:ascii="宋体" w:hAnsi="宋体" w:eastAsia="宋体" w:cs="宋体"/>
          <w:b w:val="0"/>
          <w:bCs/>
          <w:sz w:val="21"/>
          <w:szCs w:val="21"/>
        </w:rPr>
        <w:t>负责检测材料、设备到试验地点的全部运输，包括装卸及现场搬运等。</w:t>
      </w:r>
    </w:p>
    <w:p w14:paraId="08FCC3DC">
      <w:pPr>
        <w:spacing w:line="56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1.2</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乙方</w:t>
      </w:r>
      <w:r>
        <w:rPr>
          <w:rFonts w:hint="eastAsia" w:ascii="宋体" w:hAnsi="宋体" w:eastAsia="宋体" w:cs="宋体"/>
          <w:b w:val="0"/>
          <w:bCs/>
          <w:sz w:val="21"/>
          <w:szCs w:val="21"/>
        </w:rPr>
        <w:t>负责检测材料、设备在施工地点的保管，直至项目验收合格。</w:t>
      </w:r>
    </w:p>
    <w:p w14:paraId="6415ECEB">
      <w:pPr>
        <w:spacing w:line="56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1.3</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乙方</w:t>
      </w:r>
      <w:r>
        <w:rPr>
          <w:rFonts w:hint="eastAsia" w:ascii="宋体" w:hAnsi="宋体" w:eastAsia="宋体" w:cs="宋体"/>
          <w:b w:val="0"/>
          <w:bCs/>
          <w:sz w:val="21"/>
          <w:szCs w:val="21"/>
        </w:rPr>
        <w:t>负责其派出的施工人员的人身意外保险，应对参加施工的所有人员和第三者投保意外伤害保险，井承担全部安全责任。检测单位应制定可靠的检测方案，采取有效安全防护措施，确保无安全事故发生。</w:t>
      </w:r>
    </w:p>
    <w:p w14:paraId="25760346">
      <w:pPr>
        <w:spacing w:line="560" w:lineRule="exact"/>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rPr>
        <w:t>2、检测工作要求</w:t>
      </w:r>
    </w:p>
    <w:p w14:paraId="2B193456">
      <w:pPr>
        <w:spacing w:line="56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2.1</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成果提交要求</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在甲方提出检测要求后及时安排现场检测后出具初步检测结果，依据现行国家相关检测试验规程规范、试验标准和行政主管部门的相关要求，对检测项目及时出具检测试验报告。</w:t>
      </w:r>
    </w:p>
    <w:p w14:paraId="4FEAC6DB">
      <w:pPr>
        <w:spacing w:line="56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2.2</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乙方</w:t>
      </w:r>
      <w:r>
        <w:rPr>
          <w:rFonts w:hint="eastAsia" w:ascii="宋体" w:hAnsi="宋体" w:eastAsia="宋体" w:cs="宋体"/>
          <w:b w:val="0"/>
          <w:bCs/>
          <w:sz w:val="21"/>
          <w:szCs w:val="21"/>
        </w:rPr>
        <w:t>须加强检测实施的组织管理，实施期间，应接受</w:t>
      </w:r>
      <w:r>
        <w:rPr>
          <w:rFonts w:hint="eastAsia" w:ascii="宋体" w:hAnsi="宋体" w:eastAsia="宋体" w:cs="宋体"/>
          <w:b w:val="0"/>
          <w:bCs/>
          <w:sz w:val="21"/>
          <w:szCs w:val="21"/>
          <w:lang w:eastAsia="zh-CN"/>
        </w:rPr>
        <w:t>甲方</w:t>
      </w:r>
      <w:r>
        <w:rPr>
          <w:rFonts w:hint="eastAsia" w:ascii="宋体" w:hAnsi="宋体" w:eastAsia="宋体" w:cs="宋体"/>
          <w:b w:val="0"/>
          <w:bCs/>
          <w:sz w:val="21"/>
          <w:szCs w:val="21"/>
        </w:rPr>
        <w:t>及其委托人的监督管理，遵守有关规定。</w:t>
      </w:r>
    </w:p>
    <w:p w14:paraId="28A0485C">
      <w:pPr>
        <w:spacing w:line="560" w:lineRule="exact"/>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rPr>
        <w:t>3、质量保证</w:t>
      </w:r>
    </w:p>
    <w:p w14:paraId="4A56CE51">
      <w:pPr>
        <w:spacing w:line="560" w:lineRule="exact"/>
        <w:ind w:firstLine="420" w:firstLineChars="200"/>
        <w:rPr>
          <w:rFonts w:hint="eastAsia" w:ascii="宋体" w:hAnsi="宋体" w:eastAsia="宋体" w:cs="宋体"/>
          <w:b w:val="0"/>
          <w:bCs/>
          <w:sz w:val="21"/>
          <w:szCs w:val="21"/>
          <w:lang w:eastAsia="zh-CN"/>
        </w:rPr>
      </w:pPr>
      <w:r>
        <w:rPr>
          <w:rFonts w:hint="eastAsia" w:ascii="宋体" w:hAnsi="宋体" w:eastAsia="宋体" w:cs="宋体"/>
          <w:b w:val="0"/>
          <w:bCs/>
          <w:sz w:val="21"/>
          <w:szCs w:val="21"/>
        </w:rPr>
        <w:t>3.1</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以质量第一、安全第一、服务第一作为服务标准</w:t>
      </w:r>
      <w:r>
        <w:rPr>
          <w:rFonts w:hint="eastAsia" w:ascii="宋体" w:hAnsi="宋体" w:eastAsia="宋体" w:cs="宋体"/>
          <w:b w:val="0"/>
          <w:bCs/>
          <w:sz w:val="21"/>
          <w:szCs w:val="21"/>
          <w:lang w:eastAsia="zh-CN"/>
        </w:rPr>
        <w:t>；</w:t>
      </w:r>
    </w:p>
    <w:p w14:paraId="43BB2C24">
      <w:pPr>
        <w:spacing w:line="560" w:lineRule="exact"/>
        <w:ind w:firstLine="420" w:firstLineChars="200"/>
        <w:rPr>
          <w:rFonts w:hint="eastAsia" w:ascii="宋体" w:hAnsi="宋体" w:eastAsia="宋体" w:cs="宋体"/>
          <w:b w:val="0"/>
          <w:bCs/>
          <w:sz w:val="21"/>
          <w:szCs w:val="21"/>
          <w:lang w:eastAsia="zh-CN"/>
        </w:rPr>
      </w:pPr>
      <w:r>
        <w:rPr>
          <w:rFonts w:hint="eastAsia" w:ascii="宋体" w:hAnsi="宋体" w:eastAsia="宋体" w:cs="宋体"/>
          <w:b w:val="0"/>
          <w:bCs/>
          <w:sz w:val="21"/>
          <w:szCs w:val="21"/>
        </w:rPr>
        <w:t>3.2</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做到检测公正、公平、公开，遵纪守法</w:t>
      </w:r>
      <w:r>
        <w:rPr>
          <w:rFonts w:hint="eastAsia" w:ascii="宋体" w:hAnsi="宋体" w:eastAsia="宋体" w:cs="宋体"/>
          <w:b w:val="0"/>
          <w:bCs/>
          <w:sz w:val="21"/>
          <w:szCs w:val="21"/>
          <w:lang w:eastAsia="zh-CN"/>
        </w:rPr>
        <w:t>；</w:t>
      </w:r>
    </w:p>
    <w:p w14:paraId="3D8F5CA6">
      <w:pPr>
        <w:spacing w:line="560" w:lineRule="exact"/>
        <w:ind w:firstLine="420" w:firstLineChars="200"/>
        <w:rPr>
          <w:rFonts w:hint="eastAsia" w:ascii="宋体" w:hAnsi="宋体" w:eastAsia="宋体" w:cs="宋体"/>
          <w:b w:val="0"/>
          <w:bCs/>
          <w:sz w:val="21"/>
          <w:szCs w:val="21"/>
          <w:lang w:eastAsia="zh-CN"/>
        </w:rPr>
      </w:pPr>
      <w:r>
        <w:rPr>
          <w:rFonts w:hint="eastAsia" w:ascii="宋体" w:hAnsi="宋体" w:eastAsia="宋体" w:cs="宋体"/>
          <w:b w:val="0"/>
          <w:bCs/>
          <w:sz w:val="21"/>
          <w:szCs w:val="21"/>
        </w:rPr>
        <w:t>3.3</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严格按相关规范规程及设计的要求进行检测</w:t>
      </w:r>
      <w:r>
        <w:rPr>
          <w:rFonts w:hint="eastAsia" w:ascii="宋体" w:hAnsi="宋体" w:eastAsia="宋体" w:cs="宋体"/>
          <w:b w:val="0"/>
          <w:bCs/>
          <w:sz w:val="21"/>
          <w:szCs w:val="21"/>
          <w:lang w:eastAsia="zh-CN"/>
        </w:rPr>
        <w:t>；</w:t>
      </w:r>
    </w:p>
    <w:p w14:paraId="73CB6583">
      <w:pPr>
        <w:spacing w:line="560" w:lineRule="exact"/>
        <w:ind w:firstLine="420" w:firstLineChars="200"/>
        <w:rPr>
          <w:rFonts w:hint="eastAsia" w:ascii="宋体" w:hAnsi="宋体" w:eastAsia="宋体" w:cs="宋体"/>
          <w:b/>
          <w:sz w:val="21"/>
          <w:szCs w:val="21"/>
        </w:rPr>
      </w:pPr>
      <w:r>
        <w:rPr>
          <w:rFonts w:hint="eastAsia" w:ascii="宋体" w:hAnsi="宋体" w:eastAsia="宋体" w:cs="宋体"/>
          <w:b w:val="0"/>
          <w:bCs/>
          <w:sz w:val="21"/>
          <w:szCs w:val="21"/>
        </w:rPr>
        <w:t>3.4</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质量标准</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符合现行的国家、行业相关标准要求。</w:t>
      </w:r>
    </w:p>
    <w:p w14:paraId="4B7D04EC">
      <w:pPr>
        <w:spacing w:line="5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第十条</w:t>
      </w:r>
      <w:r>
        <w:rPr>
          <w:rFonts w:hint="eastAsia" w:ascii="宋体" w:hAnsi="宋体" w:eastAsia="宋体" w:cs="宋体"/>
          <w:b/>
          <w:sz w:val="21"/>
          <w:szCs w:val="21"/>
          <w:lang w:val="en-US" w:eastAsia="zh-CN"/>
        </w:rPr>
        <w:t xml:space="preserve"> </w:t>
      </w:r>
      <w:r>
        <w:rPr>
          <w:rFonts w:hint="eastAsia" w:ascii="宋体" w:hAnsi="宋体" w:eastAsia="宋体" w:cs="宋体"/>
          <w:bCs/>
          <w:sz w:val="21"/>
          <w:szCs w:val="21"/>
        </w:rPr>
        <w:t>双方确定，</w:t>
      </w:r>
      <w:bookmarkStart w:id="173" w:name="OLE_LINK10"/>
      <w:r>
        <w:rPr>
          <w:rFonts w:hint="eastAsia" w:ascii="宋体" w:hAnsi="宋体" w:eastAsia="宋体" w:cs="宋体"/>
          <w:bCs/>
          <w:sz w:val="21"/>
          <w:szCs w:val="21"/>
        </w:rPr>
        <w:t>在合同履行中发生不可抗力情形，致使本合同的履行不可能或无法达成合同目的的，经书面通知可以解除本合同，若因甲方单方解除合同，但乙方已部分履行或因履行本合同已发生的必要费用的，甲方应当支付已履行部分的价款及乙方因履行本合同发生的必要费用。</w:t>
      </w:r>
      <w:bookmarkEnd w:id="172"/>
      <w:bookmarkEnd w:id="173"/>
    </w:p>
    <w:p w14:paraId="6CBDD60F">
      <w:pPr>
        <w:spacing w:line="560" w:lineRule="exact"/>
        <w:ind w:firstLine="420" w:firstLineChars="200"/>
        <w:rPr>
          <w:rFonts w:hint="eastAsia" w:ascii="宋体" w:hAnsi="宋体" w:eastAsia="宋体" w:cs="宋体"/>
          <w:b/>
          <w:sz w:val="21"/>
          <w:szCs w:val="21"/>
        </w:rPr>
      </w:pPr>
      <w:r>
        <w:rPr>
          <w:rFonts w:hint="eastAsia" w:ascii="宋体" w:hAnsi="宋体" w:eastAsia="宋体" w:cs="宋体"/>
          <w:bCs/>
          <w:sz w:val="21"/>
          <w:szCs w:val="21"/>
        </w:rPr>
        <w:t>第十</w:t>
      </w:r>
      <w:r>
        <w:rPr>
          <w:rFonts w:hint="eastAsia" w:ascii="宋体" w:hAnsi="宋体" w:eastAsia="宋体" w:cs="宋体"/>
          <w:bCs/>
          <w:sz w:val="21"/>
          <w:szCs w:val="21"/>
          <w:lang w:val="en-US" w:eastAsia="zh-CN"/>
        </w:rPr>
        <w:t>一</w:t>
      </w:r>
      <w:r>
        <w:rPr>
          <w:rFonts w:hint="eastAsia" w:ascii="宋体" w:hAnsi="宋体" w:eastAsia="宋体" w:cs="宋体"/>
          <w:bCs/>
          <w:sz w:val="21"/>
          <w:szCs w:val="21"/>
        </w:rPr>
        <w:t>条</w:t>
      </w:r>
      <w:bookmarkStart w:id="174" w:name="OLE_LINK11"/>
      <w:r>
        <w:rPr>
          <w:rFonts w:hint="eastAsia" w:ascii="宋体" w:hAnsi="宋体" w:eastAsia="宋体" w:cs="宋体"/>
          <w:b/>
          <w:sz w:val="21"/>
          <w:szCs w:val="21"/>
        </w:rPr>
        <w:t xml:space="preserve"> </w:t>
      </w:r>
      <w:r>
        <w:rPr>
          <w:rFonts w:hint="eastAsia" w:ascii="宋体" w:hAnsi="宋体" w:eastAsia="宋体" w:cs="宋体"/>
          <w:bCs/>
          <w:sz w:val="21"/>
          <w:szCs w:val="21"/>
        </w:rPr>
        <w:t>双</w:t>
      </w:r>
      <w:bookmarkStart w:id="175" w:name="OLE_LINK5"/>
      <w:r>
        <w:rPr>
          <w:rFonts w:hint="eastAsia" w:ascii="宋体" w:hAnsi="宋体" w:eastAsia="宋体" w:cs="宋体"/>
          <w:bCs/>
          <w:sz w:val="21"/>
          <w:szCs w:val="21"/>
        </w:rPr>
        <w:t>方因履行本合同而发生的争议，应协商解决，协商不成的</w:t>
      </w:r>
      <w:r>
        <w:rPr>
          <w:rFonts w:hint="eastAsia" w:ascii="宋体" w:hAnsi="宋体" w:cs="宋体"/>
          <w:bCs/>
          <w:sz w:val="21"/>
          <w:szCs w:val="21"/>
          <w:u w:val="single"/>
          <w:lang w:eastAsia="zh-CN"/>
        </w:rPr>
        <w:t>项目</w:t>
      </w:r>
      <w:r>
        <w:rPr>
          <w:rFonts w:hint="eastAsia" w:ascii="宋体" w:hAnsi="宋体" w:eastAsia="宋体" w:cs="宋体"/>
          <w:bCs/>
          <w:sz w:val="21"/>
          <w:szCs w:val="21"/>
          <w:u w:val="single"/>
        </w:rPr>
        <w:t>所在地</w:t>
      </w:r>
      <w:r>
        <w:rPr>
          <w:rFonts w:hint="eastAsia" w:ascii="宋体" w:hAnsi="宋体" w:eastAsia="宋体" w:cs="宋体"/>
          <w:bCs/>
          <w:sz w:val="21"/>
          <w:szCs w:val="21"/>
        </w:rPr>
        <w:t>人民法院起诉</w:t>
      </w:r>
      <w:bookmarkEnd w:id="174"/>
      <w:r>
        <w:rPr>
          <w:rFonts w:hint="eastAsia" w:ascii="宋体" w:hAnsi="宋体" w:eastAsia="宋体" w:cs="宋体"/>
          <w:bCs/>
          <w:sz w:val="21"/>
          <w:szCs w:val="21"/>
        </w:rPr>
        <w:t>。</w:t>
      </w:r>
      <w:bookmarkEnd w:id="175"/>
    </w:p>
    <w:p w14:paraId="2558139F">
      <w:pPr>
        <w:spacing w:line="5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第十</w:t>
      </w:r>
      <w:r>
        <w:rPr>
          <w:rFonts w:hint="eastAsia" w:ascii="宋体" w:hAnsi="宋体" w:eastAsia="宋体" w:cs="宋体"/>
          <w:bCs/>
          <w:sz w:val="21"/>
          <w:szCs w:val="21"/>
          <w:lang w:val="en-US" w:eastAsia="zh-CN"/>
        </w:rPr>
        <w:t>二</w:t>
      </w:r>
      <w:r>
        <w:rPr>
          <w:rFonts w:hint="eastAsia" w:ascii="宋体" w:hAnsi="宋体" w:eastAsia="宋体" w:cs="宋体"/>
          <w:bCs/>
          <w:sz w:val="21"/>
          <w:szCs w:val="21"/>
        </w:rPr>
        <w:t>条</w:t>
      </w:r>
      <w:r>
        <w:rPr>
          <w:rFonts w:hint="eastAsia" w:ascii="宋体" w:hAnsi="宋体" w:eastAsia="宋体" w:cs="宋体"/>
          <w:b/>
          <w:sz w:val="21"/>
          <w:szCs w:val="21"/>
        </w:rPr>
        <w:t xml:space="preserve"> </w:t>
      </w:r>
      <w:bookmarkStart w:id="176" w:name="OLE_LINK6"/>
      <w:r>
        <w:rPr>
          <w:rFonts w:hint="eastAsia" w:ascii="宋体" w:hAnsi="宋体" w:eastAsia="宋体" w:cs="宋体"/>
          <w:bCs/>
          <w:sz w:val="21"/>
          <w:szCs w:val="21"/>
        </w:rPr>
        <w:t>本合同附件具有同等法律效力，未尽事宜双方可签订补充协议。</w:t>
      </w:r>
      <w:bookmarkEnd w:id="176"/>
    </w:p>
    <w:p w14:paraId="481F309B">
      <w:pPr>
        <w:spacing w:line="560" w:lineRule="exact"/>
        <w:ind w:firstLine="420" w:firstLineChars="200"/>
        <w:rPr>
          <w:rFonts w:hint="eastAsia" w:ascii="宋体" w:hAnsi="宋体" w:eastAsia="宋体" w:cs="宋体"/>
          <w:b/>
          <w:sz w:val="21"/>
          <w:szCs w:val="21"/>
        </w:rPr>
      </w:pPr>
      <w:r>
        <w:rPr>
          <w:rFonts w:hint="eastAsia" w:ascii="宋体" w:hAnsi="宋体" w:eastAsia="宋体" w:cs="宋体"/>
          <w:bCs/>
          <w:sz w:val="21"/>
          <w:szCs w:val="21"/>
        </w:rPr>
        <w:t>第十</w:t>
      </w:r>
      <w:r>
        <w:rPr>
          <w:rFonts w:hint="eastAsia" w:ascii="宋体" w:hAnsi="宋体" w:eastAsia="宋体" w:cs="宋体"/>
          <w:bCs/>
          <w:sz w:val="21"/>
          <w:szCs w:val="21"/>
          <w:lang w:val="en-US" w:eastAsia="zh-CN"/>
        </w:rPr>
        <w:t>三</w:t>
      </w:r>
      <w:r>
        <w:rPr>
          <w:rFonts w:hint="eastAsia" w:ascii="宋体" w:hAnsi="宋体" w:eastAsia="宋体" w:cs="宋体"/>
          <w:bCs/>
          <w:sz w:val="21"/>
          <w:szCs w:val="21"/>
        </w:rPr>
        <w:t>条 本合同一式</w:t>
      </w:r>
      <w:r>
        <w:rPr>
          <w:rFonts w:hint="eastAsia" w:ascii="宋体" w:hAnsi="宋体" w:eastAsia="宋体" w:cs="宋体"/>
          <w:bCs/>
          <w:sz w:val="21"/>
          <w:szCs w:val="21"/>
          <w:u w:val="single"/>
        </w:rPr>
        <w:t xml:space="preserve"> 肆 </w:t>
      </w:r>
      <w:r>
        <w:rPr>
          <w:rFonts w:hint="eastAsia" w:ascii="宋体" w:hAnsi="宋体" w:eastAsia="宋体" w:cs="宋体"/>
          <w:bCs/>
          <w:sz w:val="21"/>
          <w:szCs w:val="21"/>
        </w:rPr>
        <w:t>份，双方各</w:t>
      </w:r>
      <w:r>
        <w:rPr>
          <w:rFonts w:hint="eastAsia" w:ascii="宋体" w:hAnsi="宋体" w:eastAsia="宋体" w:cs="宋体"/>
          <w:bCs/>
          <w:sz w:val="21"/>
          <w:szCs w:val="21"/>
          <w:u w:val="single"/>
        </w:rPr>
        <w:t xml:space="preserve"> 两 </w:t>
      </w:r>
      <w:r>
        <w:rPr>
          <w:rFonts w:hint="eastAsia" w:ascii="宋体" w:hAnsi="宋体" w:eastAsia="宋体" w:cs="宋体"/>
          <w:bCs/>
          <w:sz w:val="21"/>
          <w:szCs w:val="21"/>
        </w:rPr>
        <w:t>份，具有同等法律效力。</w:t>
      </w:r>
    </w:p>
    <w:p w14:paraId="0C2825BA">
      <w:pPr>
        <w:spacing w:line="5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第十</w:t>
      </w:r>
      <w:r>
        <w:rPr>
          <w:rFonts w:hint="eastAsia" w:ascii="宋体" w:hAnsi="宋体" w:eastAsia="宋体" w:cs="宋体"/>
          <w:bCs/>
          <w:sz w:val="21"/>
          <w:szCs w:val="21"/>
          <w:lang w:val="en-US" w:eastAsia="zh-CN"/>
        </w:rPr>
        <w:t>四</w:t>
      </w:r>
      <w:r>
        <w:rPr>
          <w:rFonts w:hint="eastAsia" w:ascii="宋体" w:hAnsi="宋体" w:eastAsia="宋体" w:cs="宋体"/>
          <w:bCs/>
          <w:sz w:val="21"/>
          <w:szCs w:val="21"/>
        </w:rPr>
        <w:t>条</w:t>
      </w:r>
      <w:r>
        <w:rPr>
          <w:rFonts w:hint="eastAsia" w:ascii="宋体" w:hAnsi="宋体" w:eastAsia="宋体" w:cs="宋体"/>
          <w:b/>
          <w:sz w:val="21"/>
          <w:szCs w:val="21"/>
        </w:rPr>
        <w:t xml:space="preserve"> </w:t>
      </w:r>
      <w:r>
        <w:rPr>
          <w:rFonts w:hint="eastAsia" w:ascii="宋体" w:hAnsi="宋体" w:eastAsia="宋体" w:cs="宋体"/>
          <w:bCs/>
          <w:sz w:val="21"/>
          <w:szCs w:val="21"/>
        </w:rPr>
        <w:t>本合同经双方签字盖章后生效。</w:t>
      </w:r>
    </w:p>
    <w:p w14:paraId="6DA63C61">
      <w:pPr>
        <w:keepNext w:val="0"/>
        <w:keepLines w:val="0"/>
        <w:widowControl/>
        <w:suppressLineNumbers w:val="0"/>
        <w:ind w:firstLine="420" w:firstLineChars="200"/>
        <w:jc w:val="left"/>
        <w:rPr>
          <w:rFonts w:hint="eastAsia" w:ascii="宋体" w:hAnsi="宋体" w:eastAsia="宋体" w:cs="宋体"/>
          <w:i/>
          <w:iCs/>
          <w:sz w:val="21"/>
          <w:szCs w:val="21"/>
          <w:u w:val="single"/>
          <w:lang w:eastAsia="zh-CN"/>
        </w:rPr>
      </w:pPr>
      <w:r>
        <w:rPr>
          <w:rFonts w:hint="eastAsia" w:ascii="宋体" w:hAnsi="宋体" w:eastAsia="宋体" w:cs="宋体"/>
          <w:sz w:val="21"/>
          <w:szCs w:val="21"/>
        </w:rPr>
        <w:t>附件：</w:t>
      </w:r>
      <w:r>
        <w:rPr>
          <w:rFonts w:hint="eastAsia" w:ascii="宋体" w:hAnsi="宋体" w:eastAsia="宋体" w:cs="宋体"/>
          <w:sz w:val="21"/>
          <w:szCs w:val="21"/>
          <w:u w:val="single"/>
          <w:lang w:val="en-US" w:eastAsia="zh-CN"/>
        </w:rPr>
        <w:t>鹤北新城城中村改造安置区项目（一期）桩基础检测（一期剩余工程量）</w:t>
      </w:r>
      <w:r>
        <w:rPr>
          <w:rFonts w:hint="eastAsia" w:ascii="宋体" w:hAnsi="宋体" w:cs="宋体"/>
          <w:b w:val="0"/>
          <w:bCs/>
          <w:i w:val="0"/>
          <w:color w:val="000000"/>
          <w:kern w:val="0"/>
          <w:sz w:val="24"/>
          <w:szCs w:val="24"/>
          <w:u w:val="single"/>
          <w:lang w:val="en-US" w:eastAsia="zh-CN" w:bidi="ar"/>
        </w:rPr>
        <w:t>统计表</w:t>
      </w:r>
      <w:r>
        <w:rPr>
          <w:rFonts w:hint="eastAsia" w:ascii="宋体" w:hAnsi="宋体" w:eastAsia="宋体" w:cs="宋体"/>
          <w:color w:val="auto"/>
          <w:sz w:val="21"/>
          <w:szCs w:val="21"/>
          <w:u w:val="single"/>
          <w:lang w:eastAsia="zh-CN"/>
        </w:rPr>
        <w:t>。</w:t>
      </w:r>
    </w:p>
    <w:p w14:paraId="110E66F3">
      <w:pPr>
        <w:tabs>
          <w:tab w:val="left" w:pos="1260"/>
          <w:tab w:val="left" w:pos="4620"/>
          <w:tab w:val="left" w:pos="7980"/>
        </w:tabs>
        <w:spacing w:line="560" w:lineRule="exact"/>
        <w:rPr>
          <w:rFonts w:hint="eastAsia" w:ascii="宋体" w:hAnsi="宋体" w:eastAsia="宋体" w:cs="宋体"/>
          <w:i/>
          <w:iCs/>
          <w:sz w:val="21"/>
          <w:szCs w:val="21"/>
        </w:rPr>
      </w:pPr>
      <w:r>
        <w:rPr>
          <w:rFonts w:hint="eastAsia" w:ascii="宋体" w:hAnsi="宋体" w:eastAsia="宋体" w:cs="宋体"/>
          <w:i/>
          <w:iCs/>
          <w:sz w:val="21"/>
          <w:szCs w:val="21"/>
        </w:rPr>
        <w:t>（以下无正文）</w:t>
      </w:r>
    </w:p>
    <w:p w14:paraId="02ABAE92">
      <w:pPr>
        <w:tabs>
          <w:tab w:val="left" w:pos="1260"/>
          <w:tab w:val="left" w:pos="4620"/>
          <w:tab w:val="left" w:pos="7980"/>
        </w:tabs>
        <w:spacing w:line="560" w:lineRule="exact"/>
        <w:rPr>
          <w:rFonts w:hint="eastAsia" w:ascii="宋体" w:hAnsi="宋体" w:eastAsia="宋体" w:cs="宋体"/>
          <w:sz w:val="21"/>
          <w:szCs w:val="21"/>
        </w:rPr>
      </w:pPr>
      <w:r>
        <w:rPr>
          <w:rFonts w:hint="eastAsia" w:ascii="宋体" w:hAnsi="宋体" w:eastAsia="宋体" w:cs="宋体"/>
          <w:sz w:val="21"/>
          <w:szCs w:val="21"/>
        </w:rPr>
        <w:t xml:space="preserve">甲方（盖章）：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乙方（盖章）：</w:t>
      </w:r>
    </w:p>
    <w:p w14:paraId="25EC8D8B">
      <w:pPr>
        <w:tabs>
          <w:tab w:val="left" w:pos="1260"/>
          <w:tab w:val="left" w:pos="4620"/>
          <w:tab w:val="left" w:pos="7980"/>
        </w:tabs>
        <w:spacing w:line="560" w:lineRule="exact"/>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cs="宋体"/>
          <w:sz w:val="21"/>
          <w:szCs w:val="21"/>
          <w:lang w:eastAsia="zh-CN"/>
        </w:rPr>
        <w:t>或其</w:t>
      </w:r>
      <w:r>
        <w:rPr>
          <w:rFonts w:hint="eastAsia" w:ascii="宋体" w:hAnsi="宋体" w:eastAsia="宋体" w:cs="宋体"/>
          <w:sz w:val="21"/>
          <w:szCs w:val="21"/>
        </w:rPr>
        <w:t>委托代理人：                      法定代表人</w:t>
      </w:r>
      <w:r>
        <w:rPr>
          <w:rFonts w:hint="eastAsia" w:ascii="宋体" w:hAnsi="宋体" w:cs="宋体"/>
          <w:sz w:val="21"/>
          <w:szCs w:val="21"/>
          <w:lang w:eastAsia="zh-CN"/>
        </w:rPr>
        <w:t>或其</w:t>
      </w:r>
      <w:r>
        <w:rPr>
          <w:rFonts w:hint="eastAsia" w:ascii="宋体" w:hAnsi="宋体" w:eastAsia="宋体" w:cs="宋体"/>
          <w:sz w:val="21"/>
          <w:szCs w:val="21"/>
        </w:rPr>
        <w:t>委托代理人：</w:t>
      </w:r>
    </w:p>
    <w:p w14:paraId="3E8400D7">
      <w:pPr>
        <w:tabs>
          <w:tab w:val="left" w:pos="1260"/>
          <w:tab w:val="left" w:pos="4620"/>
          <w:tab w:val="left" w:pos="7980"/>
        </w:tabs>
        <w:spacing w:line="560" w:lineRule="exact"/>
        <w:rPr>
          <w:rFonts w:hint="eastAsia" w:ascii="宋体" w:hAnsi="宋体" w:eastAsia="宋体" w:cs="宋体"/>
          <w:sz w:val="21"/>
          <w:szCs w:val="21"/>
        </w:rPr>
      </w:pPr>
      <w:r>
        <w:rPr>
          <w:rFonts w:hint="eastAsia" w:ascii="宋体" w:hAnsi="宋体" w:eastAsia="宋体" w:cs="宋体"/>
          <w:sz w:val="21"/>
          <w:szCs w:val="21"/>
        </w:rPr>
        <w:t xml:space="preserve">开户银行：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开户银行：</w:t>
      </w:r>
    </w:p>
    <w:p w14:paraId="6C1826C5">
      <w:pPr>
        <w:tabs>
          <w:tab w:val="left" w:pos="1260"/>
          <w:tab w:val="left" w:pos="4620"/>
          <w:tab w:val="left" w:pos="7980"/>
        </w:tabs>
        <w:spacing w:line="560" w:lineRule="exact"/>
        <w:rPr>
          <w:rFonts w:hint="eastAsia" w:ascii="宋体" w:hAnsi="宋体" w:eastAsia="宋体" w:cs="宋体"/>
          <w:sz w:val="21"/>
          <w:szCs w:val="21"/>
        </w:rPr>
      </w:pPr>
      <w:r>
        <w:rPr>
          <w:rFonts w:hint="eastAsia" w:ascii="宋体" w:hAnsi="宋体" w:eastAsia="宋体" w:cs="宋体"/>
          <w:sz w:val="21"/>
          <w:szCs w:val="21"/>
        </w:rPr>
        <w:t xml:space="preserve">银行帐号：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银行帐号：</w:t>
      </w:r>
    </w:p>
    <w:p w14:paraId="0DDDC990">
      <w:pPr>
        <w:pStyle w:val="8"/>
        <w:spacing w:line="5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 xml:space="preserve">日期：    年   月   日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日期：    年   月   日</w:t>
      </w:r>
    </w:p>
    <w:p w14:paraId="5A78BA3E">
      <w:pPr>
        <w:pStyle w:val="8"/>
        <w:spacing w:line="560" w:lineRule="exact"/>
        <w:ind w:left="0" w:leftChars="0" w:firstLine="0" w:firstLineChars="0"/>
        <w:rPr>
          <w:rFonts w:hint="eastAsia" w:ascii="宋体" w:hAnsi="宋体" w:eastAsia="宋体" w:cs="宋体"/>
          <w:sz w:val="21"/>
          <w:szCs w:val="21"/>
        </w:rPr>
      </w:pPr>
    </w:p>
    <w:p w14:paraId="46D9ED2C">
      <w:pPr>
        <w:pStyle w:val="8"/>
        <w:spacing w:line="560" w:lineRule="exact"/>
        <w:ind w:left="0" w:leftChars="0" w:firstLine="0" w:firstLineChars="0"/>
        <w:rPr>
          <w:rFonts w:hint="eastAsia" w:ascii="宋体" w:hAnsi="宋体" w:cs="宋体"/>
          <w:sz w:val="21"/>
          <w:szCs w:val="21"/>
          <w:lang w:val="en-US" w:eastAsia="zh-CN"/>
        </w:rPr>
      </w:pPr>
    </w:p>
    <w:p w14:paraId="0BD28B91">
      <w:pPr>
        <w:pStyle w:val="8"/>
        <w:spacing w:line="560" w:lineRule="exact"/>
        <w:ind w:left="0" w:leftChars="0" w:firstLine="0" w:firstLineChars="0"/>
        <w:rPr>
          <w:rFonts w:hint="eastAsia" w:ascii="宋体" w:hAnsi="宋体" w:cs="宋体"/>
          <w:sz w:val="21"/>
          <w:szCs w:val="21"/>
          <w:lang w:val="en-US" w:eastAsia="zh-CN"/>
        </w:rPr>
      </w:pPr>
    </w:p>
    <w:p w14:paraId="6876809E">
      <w:pPr>
        <w:pStyle w:val="8"/>
        <w:spacing w:line="560" w:lineRule="exact"/>
        <w:ind w:left="0" w:leftChars="0" w:firstLine="0" w:firstLineChars="0"/>
        <w:rPr>
          <w:rFonts w:hint="eastAsia" w:ascii="宋体" w:hAnsi="宋体" w:cs="宋体"/>
          <w:sz w:val="21"/>
          <w:szCs w:val="21"/>
          <w:lang w:val="en-US" w:eastAsia="zh-CN"/>
        </w:rPr>
      </w:pPr>
    </w:p>
    <w:p w14:paraId="02A8B70B">
      <w:pPr>
        <w:pStyle w:val="8"/>
        <w:spacing w:line="560" w:lineRule="exact"/>
        <w:ind w:left="0" w:leftChars="0" w:firstLine="0" w:firstLineChars="0"/>
        <w:rPr>
          <w:rFonts w:hint="eastAsia" w:ascii="宋体" w:hAnsi="宋体" w:cs="宋体"/>
          <w:sz w:val="21"/>
          <w:szCs w:val="21"/>
          <w:lang w:val="en-US" w:eastAsia="zh-CN"/>
        </w:rPr>
      </w:pPr>
    </w:p>
    <w:p w14:paraId="4CB52E05">
      <w:pPr>
        <w:pStyle w:val="8"/>
        <w:spacing w:line="560" w:lineRule="exact"/>
        <w:ind w:left="0" w:leftChars="0" w:firstLine="0" w:firstLineChars="0"/>
        <w:rPr>
          <w:rFonts w:hint="eastAsia" w:ascii="宋体" w:hAnsi="宋体" w:cs="宋体"/>
          <w:sz w:val="21"/>
          <w:szCs w:val="21"/>
          <w:lang w:val="en-US" w:eastAsia="zh-CN"/>
        </w:rPr>
      </w:pPr>
    </w:p>
    <w:p w14:paraId="53329BC0">
      <w:pPr>
        <w:pStyle w:val="8"/>
        <w:spacing w:line="560" w:lineRule="exact"/>
        <w:ind w:left="0" w:leftChars="0" w:firstLine="0" w:firstLineChars="0"/>
        <w:rPr>
          <w:rFonts w:hint="eastAsia" w:ascii="宋体" w:hAnsi="宋体" w:cs="宋体"/>
          <w:sz w:val="21"/>
          <w:szCs w:val="21"/>
          <w:lang w:val="en-US" w:eastAsia="zh-CN"/>
        </w:rPr>
      </w:pPr>
    </w:p>
    <w:p w14:paraId="642510B3">
      <w:pPr>
        <w:pStyle w:val="8"/>
        <w:spacing w:line="560" w:lineRule="exact"/>
        <w:ind w:left="0" w:leftChars="0" w:firstLine="0" w:firstLineChars="0"/>
        <w:rPr>
          <w:rFonts w:hint="eastAsia" w:ascii="宋体" w:hAnsi="宋体" w:eastAsia="宋体" w:cs="宋体"/>
          <w:sz w:val="21"/>
          <w:szCs w:val="21"/>
        </w:rPr>
      </w:pPr>
      <w:r>
        <w:rPr>
          <w:rFonts w:hint="eastAsia" w:ascii="宋体" w:hAnsi="宋体" w:cs="宋体"/>
          <w:sz w:val="21"/>
          <w:szCs w:val="21"/>
          <w:lang w:val="en-US" w:eastAsia="zh-CN"/>
        </w:rPr>
        <w:t>附件</w:t>
      </w:r>
    </w:p>
    <w:tbl>
      <w:tblPr>
        <w:tblStyle w:val="25"/>
        <w:tblW w:w="8811" w:type="dxa"/>
        <w:tblInd w:w="0" w:type="dxa"/>
        <w:shd w:val="clear" w:color="auto" w:fill="auto"/>
        <w:tblLayout w:type="fixed"/>
        <w:tblCellMar>
          <w:top w:w="0" w:type="dxa"/>
          <w:left w:w="0" w:type="dxa"/>
          <w:bottom w:w="0" w:type="dxa"/>
          <w:right w:w="0" w:type="dxa"/>
        </w:tblCellMar>
      </w:tblPr>
      <w:tblGrid>
        <w:gridCol w:w="855"/>
        <w:gridCol w:w="1326"/>
        <w:gridCol w:w="1326"/>
        <w:gridCol w:w="1326"/>
        <w:gridCol w:w="1326"/>
        <w:gridCol w:w="1326"/>
        <w:gridCol w:w="1326"/>
      </w:tblGrid>
      <w:tr w14:paraId="29AEB7A5">
        <w:tblPrEx>
          <w:tblCellMar>
            <w:top w:w="0" w:type="dxa"/>
            <w:left w:w="0" w:type="dxa"/>
            <w:bottom w:w="0" w:type="dxa"/>
            <w:right w:w="0" w:type="dxa"/>
          </w:tblCellMar>
        </w:tblPrEx>
        <w:trPr>
          <w:trHeight w:val="920" w:hRule="atLeast"/>
        </w:trPr>
        <w:tc>
          <w:tcPr>
            <w:tcW w:w="8811" w:type="dxa"/>
            <w:gridSpan w:val="7"/>
            <w:tcBorders>
              <w:top w:val="nil"/>
              <w:left w:val="nil"/>
              <w:bottom w:val="nil"/>
              <w:right w:val="nil"/>
            </w:tcBorders>
            <w:shd w:val="clear" w:color="auto" w:fill="auto"/>
            <w:tcMar>
              <w:top w:w="15" w:type="dxa"/>
              <w:left w:w="15" w:type="dxa"/>
              <w:right w:w="15" w:type="dxa"/>
            </w:tcMar>
            <w:vAlign w:val="center"/>
          </w:tcPr>
          <w:p w14:paraId="0FF0A07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FF"/>
                <w:kern w:val="0"/>
                <w:sz w:val="24"/>
                <w:szCs w:val="24"/>
                <w:u w:val="none"/>
                <w:lang w:val="en-US" w:eastAsia="zh-CN" w:bidi="ar"/>
              </w:rPr>
              <w:t>鹤北新城城中村改造安置区项目（一期）桩基础检测（一期剩余工程量）</w:t>
            </w:r>
            <w:r>
              <w:rPr>
                <w:rFonts w:hint="eastAsia" w:ascii="宋体" w:hAnsi="宋体" w:cs="宋体"/>
                <w:b/>
                <w:i w:val="0"/>
                <w:color w:val="0000FF"/>
                <w:kern w:val="0"/>
                <w:sz w:val="24"/>
                <w:szCs w:val="24"/>
                <w:u w:val="none"/>
                <w:lang w:val="en-US" w:eastAsia="zh-CN" w:bidi="ar"/>
              </w:rPr>
              <w:t>统计</w:t>
            </w:r>
            <w:r>
              <w:rPr>
                <w:rFonts w:hint="eastAsia" w:ascii="宋体" w:hAnsi="宋体" w:eastAsia="宋体" w:cs="宋体"/>
                <w:b/>
                <w:i w:val="0"/>
                <w:color w:val="0000FF"/>
                <w:kern w:val="0"/>
                <w:sz w:val="24"/>
                <w:szCs w:val="24"/>
                <w:u w:val="none"/>
                <w:lang w:val="en-US" w:eastAsia="zh-CN" w:bidi="ar"/>
              </w:rPr>
              <w:t>表</w:t>
            </w:r>
          </w:p>
        </w:tc>
      </w:tr>
      <w:tr w14:paraId="0585A41B">
        <w:tblPrEx>
          <w:shd w:val="clear" w:color="auto" w:fill="auto"/>
          <w:tblCellMar>
            <w:top w:w="0" w:type="dxa"/>
            <w:left w:w="0" w:type="dxa"/>
            <w:bottom w:w="0" w:type="dxa"/>
            <w:right w:w="0" w:type="dxa"/>
          </w:tblCellMar>
        </w:tblPrEx>
        <w:trPr>
          <w:trHeight w:val="5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46C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10D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栋号</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79C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总桩数（根）</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98F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高应变（根）</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BCA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低应变（根）</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CCD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单桩竖向抗压静载</w:t>
            </w:r>
            <w:r>
              <w:rPr>
                <w:rFonts w:hint="eastAsia" w:ascii="宋体" w:hAnsi="宋体" w:cs="宋体"/>
                <w:i w:val="0"/>
                <w:iCs w:val="0"/>
                <w:color w:val="000000"/>
                <w:kern w:val="0"/>
                <w:sz w:val="22"/>
                <w:szCs w:val="22"/>
                <w:u w:val="none"/>
                <w:lang w:val="en-US" w:eastAsia="zh-CN" w:bidi="ar"/>
              </w:rPr>
              <w:t>（KN）</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CBE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单桩竖向抗拔静载</w:t>
            </w:r>
            <w:r>
              <w:rPr>
                <w:rFonts w:hint="eastAsia" w:ascii="宋体" w:hAnsi="宋体" w:cs="宋体"/>
                <w:i w:val="0"/>
                <w:iCs w:val="0"/>
                <w:color w:val="000000"/>
                <w:kern w:val="0"/>
                <w:sz w:val="22"/>
                <w:szCs w:val="22"/>
                <w:u w:val="none"/>
                <w:lang w:val="en-US" w:eastAsia="zh-CN" w:bidi="ar"/>
              </w:rPr>
              <w:t>（KN）</w:t>
            </w:r>
          </w:p>
        </w:tc>
      </w:tr>
      <w:tr w14:paraId="6987F0CD">
        <w:tblPrEx>
          <w:tblCellMar>
            <w:top w:w="0" w:type="dxa"/>
            <w:left w:w="0" w:type="dxa"/>
            <w:bottom w:w="0" w:type="dxa"/>
            <w:right w:w="0"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F1E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2E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地下车库</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EBD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432</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7C1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9CFD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37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21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14:paraId="3A4BAC45">
        <w:tblPrEx>
          <w:tblCellMar>
            <w:top w:w="0" w:type="dxa"/>
            <w:left w:w="0" w:type="dxa"/>
            <w:bottom w:w="0" w:type="dxa"/>
            <w:right w:w="0"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814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DE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大门</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F86C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2493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B56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E3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860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14:paraId="1451CA02">
        <w:tblPrEx>
          <w:shd w:val="clear" w:color="auto" w:fill="auto"/>
          <w:tblCellMar>
            <w:top w:w="0" w:type="dxa"/>
            <w:left w:w="0" w:type="dxa"/>
            <w:bottom w:w="0" w:type="dxa"/>
            <w:right w:w="0"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5E5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12D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商业</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AD63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20AA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C98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3A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77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14:paraId="090D2EA8">
        <w:tblPrEx>
          <w:shd w:val="clear" w:color="auto" w:fill="auto"/>
          <w:tblCellMar>
            <w:top w:w="0" w:type="dxa"/>
            <w:left w:w="0" w:type="dxa"/>
            <w:bottom w:w="0" w:type="dxa"/>
            <w:right w:w="0"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35D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074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叠墅</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87EE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84C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429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7B8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68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r>
      <w:tr w14:paraId="0FB0D36A">
        <w:tblPrEx>
          <w:tblCellMar>
            <w:top w:w="0" w:type="dxa"/>
            <w:left w:w="0" w:type="dxa"/>
            <w:bottom w:w="0" w:type="dxa"/>
            <w:right w:w="0"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63C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13A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r>
              <w:rPr>
                <w:rFonts w:hint="eastAsia" w:ascii="宋体" w:hAnsi="宋体" w:eastAsia="宋体" w:cs="宋体"/>
                <w:i w:val="0"/>
                <w:color w:val="000000"/>
                <w:kern w:val="0"/>
                <w:sz w:val="24"/>
                <w:szCs w:val="24"/>
                <w:u w:val="none"/>
                <w:lang w:val="en-US" w:eastAsia="zh-CN" w:bidi="ar"/>
              </w:rPr>
              <w:t>叠墅</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5B6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6D5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07B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BC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4C8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r>
      <w:tr w14:paraId="78C01C2B">
        <w:tblPrEx>
          <w:shd w:val="clear" w:color="auto" w:fill="auto"/>
          <w:tblCellMar>
            <w:top w:w="0" w:type="dxa"/>
            <w:left w:w="0" w:type="dxa"/>
            <w:bottom w:w="0" w:type="dxa"/>
            <w:right w:w="0"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C4E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A44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r>
              <w:rPr>
                <w:rFonts w:hint="eastAsia" w:ascii="宋体" w:hAnsi="宋体" w:eastAsia="宋体" w:cs="宋体"/>
                <w:i w:val="0"/>
                <w:color w:val="000000"/>
                <w:kern w:val="0"/>
                <w:sz w:val="24"/>
                <w:szCs w:val="24"/>
                <w:u w:val="none"/>
                <w:lang w:val="en-US" w:eastAsia="zh-CN" w:bidi="ar"/>
              </w:rPr>
              <w:t>叠墅</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C566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D98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AE0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C7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07F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14:paraId="498708DA">
        <w:tblPrEx>
          <w:shd w:val="clear" w:color="auto" w:fill="auto"/>
          <w:tblCellMar>
            <w:top w:w="0" w:type="dxa"/>
            <w:left w:w="0" w:type="dxa"/>
            <w:bottom w:w="0" w:type="dxa"/>
            <w:right w:w="0" w:type="dxa"/>
          </w:tblCellMar>
        </w:tblPrEx>
        <w:trPr>
          <w:trHeight w:val="4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0B9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4FC2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r>
              <w:rPr>
                <w:rFonts w:hint="eastAsia" w:ascii="宋体" w:hAnsi="宋体" w:eastAsia="宋体" w:cs="宋体"/>
                <w:i w:val="0"/>
                <w:color w:val="000000"/>
                <w:kern w:val="0"/>
                <w:sz w:val="24"/>
                <w:szCs w:val="24"/>
                <w:u w:val="none"/>
                <w:lang w:val="en-US" w:eastAsia="zh-CN" w:bidi="ar"/>
              </w:rPr>
              <w:t>叠墅</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280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D95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85C9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95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A2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14:paraId="39CD06F1">
        <w:tblPrEx>
          <w:tblCellMar>
            <w:top w:w="0" w:type="dxa"/>
            <w:left w:w="0" w:type="dxa"/>
            <w:bottom w:w="0" w:type="dxa"/>
            <w:right w:w="0" w:type="dxa"/>
          </w:tblCellMar>
        </w:tblPrEx>
        <w:trPr>
          <w:trHeight w:val="820"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43C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合计检测数量</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212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6A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6E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A1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r>
    </w:tbl>
    <w:p w14:paraId="77B366B9">
      <w:pPr>
        <w:pStyle w:val="8"/>
        <w:spacing w:line="300" w:lineRule="exact"/>
        <w:ind w:firstLine="0"/>
        <w:jc w:val="both"/>
        <w:rPr>
          <w:rFonts w:hint="eastAsia" w:ascii="宋体" w:hAnsi="宋体" w:eastAsia="宋体" w:cs="宋体"/>
          <w:b/>
          <w:color w:val="000000"/>
          <w:sz w:val="21"/>
          <w:szCs w:val="21"/>
          <w:lang w:bidi="ar"/>
        </w:rPr>
      </w:pPr>
    </w:p>
    <w:p w14:paraId="29CB815D">
      <w:pPr>
        <w:keepNext/>
        <w:keepLines/>
        <w:adjustRightInd w:val="0"/>
        <w:snapToGrid w:val="0"/>
        <w:spacing w:before="156" w:beforeLines="50" w:line="360" w:lineRule="auto"/>
        <w:jc w:val="center"/>
        <w:outlineLvl w:val="1"/>
        <w:rPr>
          <w:rFonts w:hint="eastAsia" w:ascii="黑体" w:hAnsi="黑体" w:eastAsia="黑体"/>
          <w:b/>
          <w:bCs/>
          <w:color w:val="auto"/>
          <w:sz w:val="28"/>
          <w:szCs w:val="28"/>
          <w:lang w:eastAsia="zh-CN"/>
        </w:rPr>
      </w:pPr>
      <w:bookmarkStart w:id="177" w:name="_Toc22201111"/>
      <w:bookmarkStart w:id="178" w:name="_Toc32542"/>
      <w:r>
        <w:rPr>
          <w:rFonts w:hint="eastAsia" w:ascii="黑体" w:hAnsi="黑体" w:eastAsia="黑体"/>
          <w:b/>
          <w:bCs/>
          <w:color w:val="auto"/>
          <w:sz w:val="28"/>
          <w:szCs w:val="28"/>
        </w:rPr>
        <w:t>第二节 政府采购合同</w:t>
      </w:r>
      <w:bookmarkEnd w:id="177"/>
      <w:bookmarkEnd w:id="178"/>
    </w:p>
    <w:p w14:paraId="2144B729">
      <w:pPr>
        <w:rPr>
          <w:color w:val="auto"/>
        </w:rPr>
      </w:pPr>
    </w:p>
    <w:p w14:paraId="51B63D16">
      <w:pPr>
        <w:rPr>
          <w:color w:val="auto"/>
        </w:rPr>
        <w:sectPr>
          <w:pgSz w:w="11906" w:h="16838"/>
          <w:pgMar w:top="1474" w:right="1474" w:bottom="1474" w:left="1588" w:header="851" w:footer="992" w:gutter="0"/>
          <w:cols w:space="720" w:num="1"/>
          <w:docGrid w:type="lines" w:linePitch="312" w:charSpace="0"/>
        </w:sectPr>
      </w:pPr>
    </w:p>
    <w:p w14:paraId="7BA021AF">
      <w:pPr>
        <w:keepNext/>
        <w:adjustRightInd w:val="0"/>
        <w:snapToGrid w:val="0"/>
        <w:spacing w:before="156" w:beforeLines="50" w:line="360" w:lineRule="auto"/>
        <w:jc w:val="center"/>
        <w:outlineLvl w:val="0"/>
        <w:rPr>
          <w:rFonts w:ascii="黑体" w:hAnsi="黑体" w:eastAsia="黑体"/>
          <w:b/>
          <w:bCs/>
          <w:color w:val="auto"/>
          <w:sz w:val="32"/>
          <w:szCs w:val="32"/>
        </w:rPr>
      </w:pPr>
      <w:bookmarkStart w:id="179" w:name="_Toc19628646"/>
      <w:bookmarkStart w:id="180" w:name="_Toc24739"/>
      <w:r>
        <w:rPr>
          <w:rFonts w:hint="eastAsia" w:ascii="黑体" w:hAnsi="黑体" w:eastAsia="黑体"/>
          <w:b/>
          <w:bCs/>
          <w:color w:val="auto"/>
          <w:sz w:val="32"/>
          <w:szCs w:val="32"/>
        </w:rPr>
        <w:t>第五章 响应文件组成</w:t>
      </w:r>
      <w:bookmarkEnd w:id="179"/>
      <w:bookmarkEnd w:id="180"/>
    </w:p>
    <w:p w14:paraId="36BD459F">
      <w:pPr>
        <w:widowControl/>
        <w:tabs>
          <w:tab w:val="left" w:pos="753"/>
        </w:tabs>
        <w:adjustRightInd w:val="0"/>
        <w:snapToGrid w:val="0"/>
        <w:spacing w:before="156" w:beforeLines="50" w:line="360" w:lineRule="auto"/>
        <w:ind w:firstLine="480" w:firstLineChars="200"/>
        <w:jc w:val="center"/>
        <w:rPr>
          <w:rFonts w:ascii="宋体" w:hAnsi="宋体"/>
          <w:color w:val="auto"/>
          <w:sz w:val="24"/>
        </w:rPr>
      </w:pPr>
      <w:r>
        <w:rPr>
          <w:rFonts w:hint="eastAsia" w:ascii="宋体" w:hAnsi="宋体"/>
          <w:color w:val="auto"/>
          <w:sz w:val="24"/>
        </w:rPr>
        <w:t>目录</w:t>
      </w:r>
    </w:p>
    <w:p w14:paraId="02F6002E">
      <w:pPr>
        <w:adjustRightInd w:val="0"/>
        <w:snapToGrid w:val="0"/>
        <w:spacing w:before="156" w:beforeLines="50" w:line="360" w:lineRule="auto"/>
        <w:rPr>
          <w:rFonts w:ascii="宋体"/>
          <w:color w:val="auto"/>
        </w:rPr>
      </w:pPr>
      <w:r>
        <w:rPr>
          <w:rFonts w:hint="eastAsia" w:ascii="宋体"/>
          <w:color w:val="auto"/>
        </w:rPr>
        <w:t>供应商的响应文件应包含以下部分：</w:t>
      </w:r>
    </w:p>
    <w:p w14:paraId="3E271B80">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ascii="宋体" w:hAnsi="宋体"/>
          <w:color w:val="auto"/>
          <w:szCs w:val="21"/>
        </w:rPr>
        <w:t>一</w:t>
      </w:r>
      <w:r>
        <w:rPr>
          <w:rFonts w:hint="eastAsia" w:ascii="宋体" w:hAnsi="宋体"/>
          <w:color w:val="auto"/>
          <w:szCs w:val="21"/>
        </w:rPr>
        <w:t>、报价表及报价文件(格式)</w:t>
      </w:r>
    </w:p>
    <w:p w14:paraId="7E63ED6B">
      <w:pPr>
        <w:widowControl/>
        <w:tabs>
          <w:tab w:val="left" w:pos="753"/>
        </w:tabs>
        <w:adjustRightInd w:val="0"/>
        <w:snapToGrid w:val="0"/>
        <w:spacing w:before="156" w:beforeLines="50" w:line="360" w:lineRule="auto"/>
        <w:ind w:firstLine="420" w:firstLineChars="200"/>
        <w:rPr>
          <w:rFonts w:hint="eastAsia" w:ascii="宋体" w:hAnsi="宋体" w:eastAsia="宋体"/>
          <w:color w:val="auto"/>
          <w:szCs w:val="21"/>
          <w:lang w:val="en-US" w:eastAsia="zh-CN"/>
        </w:rPr>
      </w:pPr>
      <w:r>
        <w:rPr>
          <w:rFonts w:hint="eastAsia" w:ascii="宋体" w:hAnsi="宋体"/>
          <w:color w:val="auto"/>
          <w:szCs w:val="21"/>
        </w:rPr>
        <w:t>二、谈判响应声明(格式)</w:t>
      </w:r>
      <w:r>
        <w:rPr>
          <w:rFonts w:hint="eastAsia" w:ascii="宋体" w:hAnsi="宋体"/>
          <w:color w:val="auto"/>
          <w:szCs w:val="21"/>
          <w:lang w:val="en-US" w:eastAsia="zh-CN"/>
        </w:rPr>
        <w:t>及供应商资格声明（格式）</w:t>
      </w:r>
    </w:p>
    <w:p w14:paraId="580AB818">
      <w:pPr>
        <w:widowControl/>
        <w:tabs>
          <w:tab w:val="left" w:pos="753"/>
        </w:tabs>
        <w:adjustRightInd w:val="0"/>
        <w:snapToGrid w:val="0"/>
        <w:spacing w:before="156" w:beforeLines="50" w:line="360" w:lineRule="auto"/>
        <w:ind w:firstLine="420" w:firstLineChars="200"/>
        <w:rPr>
          <w:rFonts w:ascii="宋体"/>
          <w:color w:val="auto"/>
          <w:szCs w:val="21"/>
        </w:rPr>
      </w:pPr>
      <w:r>
        <w:rPr>
          <w:rFonts w:hint="eastAsia" w:ascii="宋体" w:hAnsi="宋体"/>
          <w:color w:val="auto"/>
          <w:szCs w:val="21"/>
        </w:rPr>
        <w:t>三、保证金</w:t>
      </w:r>
    </w:p>
    <w:p w14:paraId="067A7137">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四、授权委托书(格式)</w:t>
      </w:r>
    </w:p>
    <w:p w14:paraId="37B11CD8">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五、</w:t>
      </w:r>
      <w:r>
        <w:rPr>
          <w:rFonts w:hint="eastAsia" w:ascii="宋体" w:hAnsi="宋体"/>
          <w:color w:val="auto"/>
          <w:kern w:val="32"/>
          <w:szCs w:val="21"/>
        </w:rPr>
        <w:t>供应商资格审查材料</w:t>
      </w:r>
    </w:p>
    <w:p w14:paraId="08C100F0">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六、采购需求响应</w:t>
      </w:r>
    </w:p>
    <w:p w14:paraId="4E745349">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七、合同条款偏离表</w:t>
      </w:r>
    </w:p>
    <w:p w14:paraId="06923DC6">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八、采购需求偏离表</w:t>
      </w:r>
    </w:p>
    <w:p w14:paraId="45D2B54D">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九、享受政府采购政策的证明资料</w:t>
      </w:r>
    </w:p>
    <w:p w14:paraId="0D5A6FDE">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kern w:val="32"/>
          <w:szCs w:val="21"/>
        </w:rPr>
        <w:t>十、</w:t>
      </w:r>
      <w:r>
        <w:rPr>
          <w:rFonts w:hint="eastAsia" w:ascii="宋体" w:hAnsi="宋体"/>
          <w:color w:val="auto"/>
          <w:szCs w:val="21"/>
        </w:rPr>
        <w:t>响应标的符合谈判文件规定的证明文件</w:t>
      </w:r>
    </w:p>
    <w:p w14:paraId="1712E140">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十一、供应商认为需提供的其他资料（如有）</w:t>
      </w:r>
    </w:p>
    <w:p w14:paraId="0B5EAAF9">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十二、最后报价</w:t>
      </w:r>
    </w:p>
    <w:p w14:paraId="25B734E7">
      <w:pPr>
        <w:widowControl/>
        <w:tabs>
          <w:tab w:val="left" w:pos="753"/>
        </w:tabs>
        <w:adjustRightInd w:val="0"/>
        <w:snapToGrid w:val="0"/>
        <w:spacing w:before="156" w:beforeLines="50" w:line="360" w:lineRule="auto"/>
        <w:ind w:firstLine="420" w:firstLineChars="200"/>
        <w:rPr>
          <w:rFonts w:ascii="宋体" w:hAnsi="宋体"/>
          <w:color w:val="auto"/>
          <w:szCs w:val="21"/>
        </w:rPr>
      </w:pPr>
    </w:p>
    <w:p w14:paraId="60F9C5C8">
      <w:pPr>
        <w:adjustRightInd w:val="0"/>
        <w:snapToGrid w:val="0"/>
        <w:spacing w:before="156" w:beforeLines="50" w:line="360" w:lineRule="auto"/>
        <w:rPr>
          <w:rFonts w:ascii="宋体"/>
          <w:color w:val="auto"/>
        </w:rPr>
      </w:pPr>
    </w:p>
    <w:p w14:paraId="4917A8E5">
      <w:pPr>
        <w:spacing w:line="360" w:lineRule="exact"/>
        <w:jc w:val="center"/>
        <w:rPr>
          <w:rFonts w:ascii="黑体" w:eastAsia="黑体"/>
          <w:b/>
          <w:color w:val="auto"/>
          <w:sz w:val="32"/>
          <w:szCs w:val="32"/>
        </w:rPr>
      </w:pPr>
    </w:p>
    <w:p w14:paraId="1F89E9E4">
      <w:pPr>
        <w:spacing w:line="360" w:lineRule="exact"/>
        <w:jc w:val="center"/>
        <w:rPr>
          <w:rFonts w:ascii="黑体" w:eastAsia="黑体"/>
          <w:b/>
          <w:color w:val="auto"/>
          <w:sz w:val="32"/>
          <w:szCs w:val="32"/>
        </w:rPr>
      </w:pPr>
    </w:p>
    <w:p w14:paraId="4D67681E">
      <w:pPr>
        <w:spacing w:line="360" w:lineRule="exact"/>
        <w:jc w:val="center"/>
        <w:rPr>
          <w:rFonts w:ascii="黑体" w:eastAsia="黑体"/>
          <w:b/>
          <w:color w:val="auto"/>
          <w:sz w:val="32"/>
          <w:szCs w:val="32"/>
        </w:rPr>
      </w:pPr>
    </w:p>
    <w:p w14:paraId="2F72B969">
      <w:pPr>
        <w:spacing w:line="360" w:lineRule="exact"/>
        <w:jc w:val="center"/>
        <w:rPr>
          <w:rFonts w:ascii="黑体" w:eastAsia="黑体"/>
          <w:b/>
          <w:color w:val="auto"/>
          <w:sz w:val="32"/>
          <w:szCs w:val="32"/>
        </w:rPr>
      </w:pPr>
    </w:p>
    <w:p w14:paraId="6D706508">
      <w:pPr>
        <w:spacing w:line="360" w:lineRule="exact"/>
        <w:jc w:val="center"/>
        <w:rPr>
          <w:rFonts w:ascii="黑体" w:eastAsia="黑体"/>
          <w:b/>
          <w:color w:val="auto"/>
          <w:sz w:val="32"/>
          <w:szCs w:val="32"/>
        </w:rPr>
      </w:pPr>
    </w:p>
    <w:p w14:paraId="767679D6">
      <w:pPr>
        <w:spacing w:line="360" w:lineRule="exact"/>
        <w:jc w:val="center"/>
        <w:rPr>
          <w:rFonts w:ascii="黑体" w:eastAsia="黑体"/>
          <w:b/>
          <w:color w:val="auto"/>
          <w:sz w:val="32"/>
          <w:szCs w:val="32"/>
        </w:rPr>
      </w:pPr>
    </w:p>
    <w:p w14:paraId="558C3453">
      <w:pPr>
        <w:spacing w:line="360" w:lineRule="exact"/>
        <w:jc w:val="center"/>
        <w:rPr>
          <w:rFonts w:ascii="黑体" w:eastAsia="黑体"/>
          <w:b/>
          <w:color w:val="auto"/>
          <w:sz w:val="32"/>
          <w:szCs w:val="32"/>
        </w:rPr>
      </w:pPr>
    </w:p>
    <w:p w14:paraId="2B276C28">
      <w:pPr>
        <w:spacing w:line="360" w:lineRule="exact"/>
        <w:jc w:val="center"/>
        <w:rPr>
          <w:rFonts w:ascii="黑体" w:eastAsia="黑体"/>
          <w:b/>
          <w:color w:val="auto"/>
          <w:sz w:val="32"/>
          <w:szCs w:val="32"/>
        </w:rPr>
      </w:pPr>
    </w:p>
    <w:p w14:paraId="06F27931">
      <w:pPr>
        <w:adjustRightInd w:val="0"/>
        <w:snapToGrid w:val="0"/>
        <w:spacing w:line="360" w:lineRule="auto"/>
        <w:jc w:val="center"/>
        <w:rPr>
          <w:rFonts w:ascii="黑体" w:eastAsia="黑体"/>
          <w:color w:val="auto"/>
          <w:sz w:val="32"/>
          <w:szCs w:val="32"/>
        </w:rPr>
      </w:pPr>
      <w:r>
        <w:rPr>
          <w:color w:val="auto"/>
        </w:rPr>
        <w:br w:type="page"/>
      </w:r>
    </w:p>
    <w:p w14:paraId="73BA6DF2">
      <w:pPr>
        <w:adjustRightInd w:val="0"/>
        <w:snapToGrid w:val="0"/>
        <w:spacing w:line="360" w:lineRule="auto"/>
        <w:jc w:val="center"/>
        <w:rPr>
          <w:rFonts w:ascii="黑体" w:eastAsia="黑体"/>
          <w:color w:val="auto"/>
          <w:sz w:val="32"/>
          <w:szCs w:val="32"/>
        </w:rPr>
      </w:pPr>
    </w:p>
    <w:p w14:paraId="5C4BB23A">
      <w:pPr>
        <w:adjustRightInd w:val="0"/>
        <w:snapToGrid w:val="0"/>
        <w:spacing w:line="360" w:lineRule="auto"/>
        <w:jc w:val="center"/>
        <w:rPr>
          <w:rFonts w:ascii="宋体" w:hAnsi="宋体" w:cs="Courier New"/>
          <w:b/>
          <w:bCs/>
          <w:color w:val="auto"/>
          <w:sz w:val="72"/>
          <w:szCs w:val="72"/>
        </w:rPr>
      </w:pPr>
      <w:r>
        <w:rPr>
          <w:rFonts w:hint="eastAsia" w:ascii="宋体" w:hAnsi="宋体" w:cs="Courier New"/>
          <w:b/>
          <w:bCs/>
          <w:color w:val="auto"/>
          <w:sz w:val="72"/>
          <w:szCs w:val="72"/>
        </w:rPr>
        <w:t>政府采购</w:t>
      </w:r>
    </w:p>
    <w:p w14:paraId="5892D2FE">
      <w:pPr>
        <w:adjustRightInd w:val="0"/>
        <w:snapToGrid w:val="0"/>
        <w:spacing w:line="360" w:lineRule="auto"/>
        <w:jc w:val="center"/>
        <w:rPr>
          <w:rFonts w:ascii="宋体" w:hAnsi="宋体"/>
          <w:b/>
          <w:bCs/>
          <w:color w:val="auto"/>
          <w:sz w:val="84"/>
          <w:szCs w:val="84"/>
        </w:rPr>
      </w:pPr>
      <w:r>
        <w:rPr>
          <w:rFonts w:hint="eastAsia" w:ascii="宋体" w:hAnsi="宋体"/>
          <w:b/>
          <w:bCs/>
          <w:color w:val="auto"/>
          <w:sz w:val="84"/>
          <w:szCs w:val="84"/>
        </w:rPr>
        <w:t>响 应 文 件</w:t>
      </w:r>
    </w:p>
    <w:p w14:paraId="58AA3361">
      <w:pPr>
        <w:adjustRightInd w:val="0"/>
        <w:snapToGrid w:val="0"/>
        <w:spacing w:line="360" w:lineRule="auto"/>
        <w:rPr>
          <w:rFonts w:ascii="黑体" w:hAnsi="黑体" w:eastAsia="黑体"/>
          <w:b/>
          <w:color w:val="auto"/>
          <w:sz w:val="32"/>
          <w:szCs w:val="32"/>
        </w:rPr>
      </w:pPr>
    </w:p>
    <w:p w14:paraId="092BEC75">
      <w:pPr>
        <w:adjustRightInd w:val="0"/>
        <w:snapToGrid w:val="0"/>
        <w:spacing w:line="360" w:lineRule="auto"/>
        <w:rPr>
          <w:rFonts w:ascii="宋体" w:hAnsi="宋体"/>
          <w:b/>
          <w:color w:val="auto"/>
          <w:sz w:val="30"/>
          <w:szCs w:val="30"/>
        </w:rPr>
      </w:pPr>
      <w:r>
        <w:rPr>
          <w:rFonts w:hint="eastAsia" w:ascii="宋体" w:hAnsi="宋体"/>
          <w:b/>
          <w:color w:val="auto"/>
          <w:sz w:val="32"/>
          <w:szCs w:val="32"/>
        </w:rPr>
        <w:t xml:space="preserve">                     </w:t>
      </w:r>
    </w:p>
    <w:p w14:paraId="47000B6D">
      <w:pPr>
        <w:adjustRightInd w:val="0"/>
        <w:snapToGrid w:val="0"/>
        <w:spacing w:line="360" w:lineRule="auto"/>
        <w:ind w:firstLine="1988" w:firstLineChars="660"/>
        <w:rPr>
          <w:rFonts w:ascii="宋体" w:hAnsi="宋体" w:cs="Courier New"/>
          <w:b/>
          <w:bCs/>
          <w:color w:val="auto"/>
          <w:sz w:val="30"/>
          <w:szCs w:val="30"/>
          <w:u w:val="single"/>
        </w:rPr>
      </w:pPr>
      <w:r>
        <w:rPr>
          <w:rFonts w:hint="eastAsia" w:ascii="宋体" w:hAnsi="宋体" w:cs="Courier New"/>
          <w:b/>
          <w:bCs/>
          <w:color w:val="auto"/>
          <w:sz w:val="30"/>
          <w:szCs w:val="30"/>
        </w:rPr>
        <w:t>采购项目名称:</w:t>
      </w:r>
      <w:r>
        <w:rPr>
          <w:rFonts w:hint="eastAsia" w:ascii="宋体" w:hAnsi="宋体" w:cs="Courier New"/>
          <w:b/>
          <w:bCs/>
          <w:color w:val="auto"/>
          <w:sz w:val="30"/>
          <w:szCs w:val="30"/>
          <w:u w:val="single"/>
        </w:rPr>
        <w:t xml:space="preserve">                       </w:t>
      </w:r>
    </w:p>
    <w:p w14:paraId="73DF837F">
      <w:pPr>
        <w:adjustRightInd w:val="0"/>
        <w:snapToGrid w:val="0"/>
        <w:spacing w:line="360" w:lineRule="auto"/>
        <w:ind w:firstLine="1988" w:firstLineChars="660"/>
        <w:rPr>
          <w:rFonts w:ascii="宋体" w:hAnsi="宋体" w:cs="Courier New"/>
          <w:b/>
          <w:bCs/>
          <w:color w:val="auto"/>
          <w:sz w:val="30"/>
          <w:szCs w:val="30"/>
        </w:rPr>
      </w:pPr>
      <w:r>
        <w:rPr>
          <w:rFonts w:hint="eastAsia" w:ascii="宋体" w:hAnsi="宋体" w:cs="Courier New"/>
          <w:b/>
          <w:bCs/>
          <w:color w:val="auto"/>
          <w:sz w:val="30"/>
          <w:szCs w:val="30"/>
        </w:rPr>
        <w:t>采   购   人：</w:t>
      </w:r>
      <w:r>
        <w:rPr>
          <w:rFonts w:hint="eastAsia" w:ascii="宋体" w:hAnsi="宋体" w:cs="Courier New"/>
          <w:b/>
          <w:bCs/>
          <w:color w:val="auto"/>
          <w:sz w:val="30"/>
          <w:szCs w:val="30"/>
          <w:u w:val="single"/>
        </w:rPr>
        <w:t xml:space="preserve">                      </w:t>
      </w:r>
    </w:p>
    <w:p w14:paraId="03C1B646">
      <w:pPr>
        <w:adjustRightInd w:val="0"/>
        <w:snapToGrid w:val="0"/>
        <w:spacing w:line="360" w:lineRule="auto"/>
        <w:ind w:firstLine="1988" w:firstLineChars="660"/>
        <w:rPr>
          <w:rFonts w:ascii="宋体" w:hAnsi="宋体" w:cs="Courier New"/>
          <w:b/>
          <w:bCs/>
          <w:color w:val="auto"/>
          <w:sz w:val="30"/>
          <w:szCs w:val="30"/>
          <w:u w:val="single"/>
        </w:rPr>
      </w:pPr>
      <w:r>
        <w:rPr>
          <w:rFonts w:hint="eastAsia" w:ascii="宋体" w:hAnsi="宋体" w:cs="Courier New"/>
          <w:b/>
          <w:bCs/>
          <w:color w:val="auto"/>
          <w:sz w:val="30"/>
          <w:szCs w:val="30"/>
          <w:lang w:eastAsia="zh-CN"/>
        </w:rPr>
        <w:t>采购编号</w:t>
      </w:r>
      <w:r>
        <w:rPr>
          <w:rFonts w:hint="eastAsia" w:ascii="宋体" w:hAnsi="宋体" w:cs="Courier New"/>
          <w:b/>
          <w:bCs/>
          <w:color w:val="auto"/>
          <w:sz w:val="30"/>
          <w:szCs w:val="30"/>
        </w:rPr>
        <w:t>:</w:t>
      </w:r>
      <w:r>
        <w:rPr>
          <w:rFonts w:hint="eastAsia" w:ascii="宋体" w:hAnsi="宋体" w:cs="Courier New"/>
          <w:b/>
          <w:bCs/>
          <w:color w:val="auto"/>
          <w:sz w:val="30"/>
          <w:szCs w:val="30"/>
          <w:u w:val="single"/>
        </w:rPr>
        <w:t xml:space="preserve">                   </w:t>
      </w:r>
    </w:p>
    <w:p w14:paraId="0077359A">
      <w:pPr>
        <w:adjustRightInd w:val="0"/>
        <w:snapToGrid w:val="0"/>
        <w:spacing w:line="360" w:lineRule="auto"/>
        <w:ind w:firstLine="1988" w:firstLineChars="660"/>
        <w:rPr>
          <w:rFonts w:ascii="宋体" w:hAnsi="宋体" w:cs="Courier New"/>
          <w:b/>
          <w:bCs/>
          <w:color w:val="auto"/>
          <w:sz w:val="30"/>
          <w:szCs w:val="30"/>
          <w:u w:val="single"/>
        </w:rPr>
      </w:pPr>
      <w:r>
        <w:rPr>
          <w:rFonts w:hint="eastAsia" w:ascii="宋体" w:hAnsi="宋体" w:cs="Courier New"/>
          <w:b/>
          <w:bCs/>
          <w:color w:val="auto"/>
          <w:sz w:val="30"/>
          <w:szCs w:val="30"/>
        </w:rPr>
        <w:t>委托代理编号:</w:t>
      </w:r>
      <w:r>
        <w:rPr>
          <w:rFonts w:hint="eastAsia" w:ascii="宋体" w:hAnsi="宋体" w:cs="Courier New"/>
          <w:b/>
          <w:bCs/>
          <w:color w:val="auto"/>
          <w:sz w:val="30"/>
          <w:szCs w:val="30"/>
          <w:u w:val="single"/>
        </w:rPr>
        <w:t xml:space="preserve">                       </w:t>
      </w:r>
    </w:p>
    <w:p w14:paraId="3E7252D6">
      <w:pPr>
        <w:adjustRightInd w:val="0"/>
        <w:snapToGrid w:val="0"/>
        <w:spacing w:line="360" w:lineRule="auto"/>
        <w:ind w:firstLine="1988" w:firstLineChars="660"/>
        <w:rPr>
          <w:rFonts w:ascii="宋体" w:hAnsi="宋体" w:cs="Courier New"/>
          <w:b/>
          <w:bCs/>
          <w:color w:val="auto"/>
          <w:sz w:val="30"/>
          <w:szCs w:val="30"/>
          <w:u w:val="single"/>
        </w:rPr>
      </w:pPr>
      <w:r>
        <w:rPr>
          <w:rFonts w:hint="eastAsia" w:ascii="宋体" w:hAnsi="宋体" w:cs="Courier New"/>
          <w:b/>
          <w:bCs/>
          <w:color w:val="auto"/>
          <w:sz w:val="30"/>
          <w:szCs w:val="30"/>
        </w:rPr>
        <w:t>采购代理机构：</w:t>
      </w:r>
      <w:r>
        <w:rPr>
          <w:rFonts w:hint="eastAsia" w:ascii="宋体" w:hAnsi="宋体" w:cs="Courier New"/>
          <w:b/>
          <w:bCs/>
          <w:color w:val="auto"/>
          <w:sz w:val="30"/>
          <w:szCs w:val="30"/>
          <w:u w:val="single"/>
        </w:rPr>
        <w:t xml:space="preserve">                      </w:t>
      </w:r>
    </w:p>
    <w:p w14:paraId="002043AD">
      <w:pPr>
        <w:adjustRightInd w:val="0"/>
        <w:snapToGrid w:val="0"/>
        <w:spacing w:line="360" w:lineRule="auto"/>
        <w:rPr>
          <w:rFonts w:ascii="黑体" w:hAnsi="黑体" w:eastAsia="黑体"/>
          <w:color w:val="auto"/>
          <w:sz w:val="30"/>
          <w:szCs w:val="30"/>
        </w:rPr>
      </w:pPr>
    </w:p>
    <w:p w14:paraId="42A8FEF4">
      <w:pPr>
        <w:adjustRightInd w:val="0"/>
        <w:snapToGrid w:val="0"/>
        <w:rPr>
          <w:rFonts w:ascii="黑体" w:hAnsi="宋体" w:eastAsia="黑体"/>
          <w:color w:val="auto"/>
          <w:sz w:val="30"/>
          <w:szCs w:val="30"/>
        </w:rPr>
      </w:pPr>
    </w:p>
    <w:p w14:paraId="211CA57E">
      <w:pPr>
        <w:adjustRightInd w:val="0"/>
        <w:snapToGrid w:val="0"/>
        <w:spacing w:line="360" w:lineRule="auto"/>
        <w:rPr>
          <w:rFonts w:ascii="黑体" w:hAnsi="宋体" w:eastAsia="黑体"/>
          <w:color w:val="auto"/>
          <w:sz w:val="30"/>
          <w:szCs w:val="30"/>
        </w:rPr>
      </w:pPr>
    </w:p>
    <w:p w14:paraId="6426E759">
      <w:pPr>
        <w:adjustRightInd w:val="0"/>
        <w:snapToGrid w:val="0"/>
        <w:spacing w:line="360" w:lineRule="auto"/>
        <w:rPr>
          <w:rFonts w:ascii="黑体" w:hAnsi="宋体" w:eastAsia="黑体"/>
          <w:color w:val="auto"/>
          <w:sz w:val="30"/>
          <w:szCs w:val="30"/>
        </w:rPr>
      </w:pPr>
    </w:p>
    <w:p w14:paraId="48EBC201">
      <w:pPr>
        <w:adjustRightInd w:val="0"/>
        <w:snapToGrid w:val="0"/>
        <w:spacing w:line="360" w:lineRule="auto"/>
        <w:rPr>
          <w:rFonts w:ascii="黑体" w:hAnsi="宋体" w:eastAsia="黑体"/>
          <w:color w:val="auto"/>
          <w:sz w:val="30"/>
          <w:szCs w:val="30"/>
        </w:rPr>
      </w:pPr>
    </w:p>
    <w:p w14:paraId="780F30D1">
      <w:pPr>
        <w:adjustRightInd w:val="0"/>
        <w:snapToGrid w:val="0"/>
        <w:spacing w:line="360" w:lineRule="auto"/>
        <w:ind w:firstLine="1984" w:firstLineChars="620"/>
        <w:rPr>
          <w:rFonts w:ascii="黑体" w:hAnsi="黑体" w:eastAsia="黑体"/>
          <w:color w:val="auto"/>
          <w:sz w:val="32"/>
          <w:szCs w:val="32"/>
          <w:u w:val="single"/>
        </w:rPr>
      </w:pPr>
      <w:r>
        <w:rPr>
          <w:rFonts w:hint="eastAsia" w:ascii="黑体" w:hAnsi="黑体" w:eastAsia="黑体"/>
          <w:color w:val="auto"/>
          <w:sz w:val="32"/>
          <w:szCs w:val="32"/>
        </w:rPr>
        <w:t>供应商</w:t>
      </w:r>
      <w:r>
        <w:rPr>
          <w:rFonts w:hint="eastAsia" w:ascii="黑体" w:hAnsi="黑体" w:eastAsia="黑体"/>
          <w:color w:val="auto"/>
          <w:sz w:val="32"/>
          <w:szCs w:val="32"/>
          <w:u w:val="single"/>
        </w:rPr>
        <w:t xml:space="preserve">                         </w:t>
      </w:r>
    </w:p>
    <w:p w14:paraId="665DA129">
      <w:pPr>
        <w:jc w:val="center"/>
        <w:rPr>
          <w:rFonts w:ascii="黑体" w:hAnsi="黑体" w:eastAsia="黑体"/>
          <w:color w:val="auto"/>
          <w:sz w:val="32"/>
          <w:szCs w:val="32"/>
        </w:rPr>
      </w:pPr>
      <w:r>
        <w:rPr>
          <w:rFonts w:hint="eastAsia" w:ascii="黑体" w:hAnsi="黑体" w:eastAsia="黑体"/>
          <w:color w:val="auto"/>
          <w:sz w:val="32"/>
          <w:szCs w:val="32"/>
        </w:rPr>
        <w:t>年  月  日</w:t>
      </w:r>
    </w:p>
    <w:p w14:paraId="3572891A">
      <w:pPr>
        <w:jc w:val="center"/>
        <w:rPr>
          <w:rFonts w:ascii="黑体" w:hAnsi="黑体" w:eastAsia="黑体"/>
          <w:color w:val="auto"/>
          <w:sz w:val="32"/>
          <w:szCs w:val="32"/>
        </w:rPr>
        <w:sectPr>
          <w:pgSz w:w="11906" w:h="16838"/>
          <w:pgMar w:top="1474" w:right="1474" w:bottom="1474" w:left="1588" w:header="851" w:footer="992" w:gutter="0"/>
          <w:cols w:space="720" w:num="1"/>
          <w:docGrid w:type="lines" w:linePitch="312" w:charSpace="0"/>
        </w:sectPr>
      </w:pPr>
    </w:p>
    <w:p w14:paraId="3458F211">
      <w:pPr>
        <w:keepNext/>
        <w:keepLines/>
        <w:spacing w:line="360" w:lineRule="auto"/>
        <w:outlineLvl w:val="1"/>
        <w:rPr>
          <w:rFonts w:ascii="宋体" w:hAnsi="宋体"/>
          <w:b/>
          <w:bCs/>
          <w:color w:val="auto"/>
          <w:szCs w:val="21"/>
        </w:rPr>
      </w:pPr>
      <w:bookmarkStart w:id="181" w:name="_Toc22201151"/>
      <w:bookmarkStart w:id="182" w:name="_Toc23879"/>
      <w:r>
        <w:rPr>
          <w:rFonts w:hint="eastAsia" w:ascii="宋体" w:hAnsi="宋体"/>
          <w:b/>
          <w:bCs/>
          <w:color w:val="auto"/>
          <w:szCs w:val="21"/>
        </w:rPr>
        <w:t>索引表 符合性审查索引表</w:t>
      </w:r>
      <w:bookmarkEnd w:id="181"/>
      <w:bookmarkEnd w:id="182"/>
    </w:p>
    <w:p w14:paraId="0F421323">
      <w:pPr>
        <w:adjustRightInd w:val="0"/>
        <w:spacing w:before="156" w:beforeLines="50" w:line="360" w:lineRule="auto"/>
        <w:jc w:val="center"/>
        <w:rPr>
          <w:rFonts w:ascii="黑体" w:hAnsi="黑体" w:eastAsia="黑体"/>
          <w:b/>
          <w:color w:val="auto"/>
          <w:sz w:val="28"/>
          <w:szCs w:val="28"/>
        </w:rPr>
      </w:pPr>
      <w:r>
        <w:rPr>
          <w:rFonts w:hint="eastAsia" w:ascii="黑体" w:hAnsi="黑体" w:eastAsia="黑体"/>
          <w:b/>
          <w:color w:val="auto"/>
          <w:sz w:val="28"/>
          <w:szCs w:val="28"/>
        </w:rPr>
        <w:t>符合性审查索引表</w:t>
      </w:r>
    </w:p>
    <w:tbl>
      <w:tblPr>
        <w:tblStyle w:val="25"/>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9"/>
        <w:gridCol w:w="1871"/>
        <w:gridCol w:w="2410"/>
        <w:gridCol w:w="2268"/>
        <w:gridCol w:w="1722"/>
      </w:tblGrid>
      <w:tr w14:paraId="772F97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14:paraId="400FF20C">
            <w:pPr>
              <w:adjustRightInd w:val="0"/>
              <w:snapToGrid w:val="0"/>
              <w:spacing w:before="156" w:beforeLines="50" w:line="360" w:lineRule="auto"/>
              <w:jc w:val="center"/>
              <w:rPr>
                <w:rFonts w:ascii="宋体" w:hAnsi="宋体"/>
                <w:b/>
                <w:color w:val="auto"/>
                <w:kern w:val="0"/>
                <w:szCs w:val="21"/>
              </w:rPr>
            </w:pPr>
            <w:r>
              <w:rPr>
                <w:rFonts w:hint="eastAsia" w:ascii="宋体" w:hAnsi="宋体"/>
                <w:b/>
                <w:color w:val="auto"/>
                <w:kern w:val="0"/>
                <w:szCs w:val="21"/>
              </w:rPr>
              <w:t>序号</w:t>
            </w:r>
          </w:p>
        </w:tc>
        <w:tc>
          <w:tcPr>
            <w:tcW w:w="1871" w:type="dxa"/>
            <w:tcBorders>
              <w:right w:val="single" w:color="auto" w:sz="4" w:space="0"/>
            </w:tcBorders>
            <w:vAlign w:val="center"/>
          </w:tcPr>
          <w:p w14:paraId="2DC8BEDC">
            <w:pPr>
              <w:adjustRightInd w:val="0"/>
              <w:snapToGrid w:val="0"/>
              <w:spacing w:before="156" w:beforeLines="50" w:line="360" w:lineRule="auto"/>
              <w:jc w:val="center"/>
              <w:rPr>
                <w:rFonts w:ascii="宋体" w:hAnsi="宋体"/>
                <w:b/>
                <w:color w:val="auto"/>
                <w:kern w:val="0"/>
                <w:sz w:val="20"/>
                <w:szCs w:val="21"/>
              </w:rPr>
            </w:pPr>
            <w:r>
              <w:rPr>
                <w:rFonts w:hint="eastAsia" w:ascii="宋体" w:hAnsi="宋体"/>
                <w:b/>
                <w:color w:val="auto"/>
                <w:kern w:val="0"/>
                <w:sz w:val="20"/>
                <w:szCs w:val="21"/>
              </w:rPr>
              <w:t>谈判文件条款号</w:t>
            </w:r>
          </w:p>
        </w:tc>
        <w:tc>
          <w:tcPr>
            <w:tcW w:w="2410" w:type="dxa"/>
            <w:tcBorders>
              <w:left w:val="single" w:color="auto" w:sz="4" w:space="0"/>
            </w:tcBorders>
            <w:vAlign w:val="center"/>
          </w:tcPr>
          <w:p w14:paraId="7FDC222A">
            <w:pPr>
              <w:adjustRightInd w:val="0"/>
              <w:snapToGrid w:val="0"/>
              <w:spacing w:before="156" w:beforeLines="50" w:line="360" w:lineRule="auto"/>
              <w:jc w:val="center"/>
              <w:rPr>
                <w:rFonts w:ascii="宋体" w:hAnsi="宋体"/>
                <w:b/>
                <w:color w:val="auto"/>
                <w:kern w:val="0"/>
                <w:sz w:val="20"/>
                <w:szCs w:val="21"/>
              </w:rPr>
            </w:pPr>
            <w:r>
              <w:rPr>
                <w:rFonts w:hint="eastAsia" w:ascii="宋体" w:hAnsi="宋体"/>
                <w:b/>
                <w:color w:val="auto"/>
                <w:kern w:val="0"/>
                <w:szCs w:val="21"/>
              </w:rPr>
              <w:t>审查内容及标准</w:t>
            </w:r>
          </w:p>
        </w:tc>
        <w:tc>
          <w:tcPr>
            <w:tcW w:w="2268" w:type="dxa"/>
            <w:vAlign w:val="center"/>
          </w:tcPr>
          <w:p w14:paraId="240333A6">
            <w:pPr>
              <w:adjustRightInd w:val="0"/>
              <w:snapToGrid w:val="0"/>
              <w:spacing w:before="156" w:beforeLines="50" w:line="360" w:lineRule="auto"/>
              <w:jc w:val="center"/>
              <w:rPr>
                <w:rFonts w:ascii="宋体" w:hAnsi="宋体"/>
                <w:b/>
                <w:color w:val="auto"/>
                <w:kern w:val="0"/>
                <w:szCs w:val="21"/>
              </w:rPr>
            </w:pPr>
            <w:r>
              <w:rPr>
                <w:rFonts w:hint="eastAsia" w:ascii="宋体" w:hAnsi="宋体"/>
                <w:b/>
                <w:color w:val="auto"/>
                <w:kern w:val="0"/>
                <w:szCs w:val="21"/>
              </w:rPr>
              <w:t>响应文件及证明材料</w:t>
            </w:r>
          </w:p>
        </w:tc>
        <w:tc>
          <w:tcPr>
            <w:tcW w:w="1722" w:type="dxa"/>
            <w:vAlign w:val="center"/>
          </w:tcPr>
          <w:p w14:paraId="5F23E689">
            <w:pPr>
              <w:adjustRightInd w:val="0"/>
              <w:snapToGrid w:val="0"/>
              <w:spacing w:before="156" w:beforeLines="50" w:line="360" w:lineRule="auto"/>
              <w:jc w:val="center"/>
              <w:rPr>
                <w:rFonts w:ascii="宋体" w:hAnsi="宋体"/>
                <w:b/>
                <w:color w:val="auto"/>
                <w:kern w:val="0"/>
                <w:sz w:val="20"/>
                <w:szCs w:val="21"/>
              </w:rPr>
            </w:pPr>
            <w:r>
              <w:rPr>
                <w:rFonts w:hint="eastAsia" w:ascii="宋体" w:hAnsi="宋体"/>
                <w:b/>
                <w:color w:val="auto"/>
                <w:kern w:val="0"/>
                <w:szCs w:val="21"/>
              </w:rPr>
              <w:t>响应文件对应内容的册及页码</w:t>
            </w:r>
          </w:p>
        </w:tc>
      </w:tr>
      <w:tr w14:paraId="0D7BCD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31A11BCF">
            <w:pPr>
              <w:adjustRightInd w:val="0"/>
              <w:snapToGrid w:val="0"/>
              <w:spacing w:before="156" w:beforeLines="50" w:line="360" w:lineRule="auto"/>
              <w:jc w:val="center"/>
              <w:rPr>
                <w:rFonts w:ascii="宋体" w:hAnsi="宋体"/>
                <w:color w:val="auto"/>
                <w:kern w:val="0"/>
                <w:szCs w:val="21"/>
              </w:rPr>
            </w:pPr>
          </w:p>
        </w:tc>
        <w:tc>
          <w:tcPr>
            <w:tcW w:w="1871" w:type="dxa"/>
            <w:tcBorders>
              <w:right w:val="single" w:color="auto" w:sz="4" w:space="0"/>
            </w:tcBorders>
            <w:vAlign w:val="top"/>
          </w:tcPr>
          <w:p w14:paraId="14084B11">
            <w:pPr>
              <w:adjustRightInd w:val="0"/>
              <w:snapToGrid w:val="0"/>
              <w:spacing w:before="156" w:beforeLines="50" w:line="360" w:lineRule="auto"/>
              <w:jc w:val="center"/>
              <w:rPr>
                <w:rFonts w:ascii="宋体" w:hAnsi="宋体"/>
                <w:color w:val="auto"/>
                <w:kern w:val="0"/>
                <w:sz w:val="20"/>
                <w:szCs w:val="21"/>
              </w:rPr>
            </w:pPr>
          </w:p>
        </w:tc>
        <w:tc>
          <w:tcPr>
            <w:tcW w:w="2410" w:type="dxa"/>
            <w:tcBorders>
              <w:left w:val="single" w:color="auto" w:sz="4" w:space="0"/>
            </w:tcBorders>
            <w:vAlign w:val="top"/>
          </w:tcPr>
          <w:p w14:paraId="5463EF67">
            <w:pPr>
              <w:adjustRightInd w:val="0"/>
              <w:snapToGrid w:val="0"/>
              <w:spacing w:before="156" w:beforeLines="50" w:line="360" w:lineRule="auto"/>
              <w:jc w:val="center"/>
              <w:rPr>
                <w:rFonts w:ascii="宋体" w:hAnsi="宋体"/>
                <w:color w:val="auto"/>
                <w:kern w:val="0"/>
                <w:sz w:val="20"/>
                <w:szCs w:val="21"/>
              </w:rPr>
            </w:pPr>
          </w:p>
        </w:tc>
        <w:tc>
          <w:tcPr>
            <w:tcW w:w="2268" w:type="dxa"/>
            <w:vAlign w:val="top"/>
          </w:tcPr>
          <w:p w14:paraId="1535B98A">
            <w:pPr>
              <w:adjustRightInd w:val="0"/>
              <w:snapToGrid w:val="0"/>
              <w:spacing w:before="156" w:beforeLines="50" w:line="360" w:lineRule="auto"/>
              <w:jc w:val="center"/>
              <w:rPr>
                <w:rFonts w:ascii="宋体" w:hAnsi="宋体"/>
                <w:color w:val="auto"/>
                <w:kern w:val="0"/>
                <w:szCs w:val="21"/>
              </w:rPr>
            </w:pPr>
          </w:p>
        </w:tc>
        <w:tc>
          <w:tcPr>
            <w:tcW w:w="1722" w:type="dxa"/>
            <w:vAlign w:val="top"/>
          </w:tcPr>
          <w:p w14:paraId="69F36BA7">
            <w:pPr>
              <w:adjustRightInd w:val="0"/>
              <w:snapToGrid w:val="0"/>
              <w:spacing w:before="156" w:beforeLines="50" w:line="360" w:lineRule="auto"/>
              <w:jc w:val="center"/>
              <w:rPr>
                <w:rFonts w:ascii="宋体" w:hAnsi="宋体"/>
                <w:color w:val="auto"/>
                <w:kern w:val="0"/>
                <w:sz w:val="20"/>
                <w:szCs w:val="21"/>
              </w:rPr>
            </w:pPr>
          </w:p>
        </w:tc>
      </w:tr>
      <w:tr w14:paraId="3C2826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50E23196">
            <w:pPr>
              <w:adjustRightInd w:val="0"/>
              <w:snapToGrid w:val="0"/>
              <w:spacing w:before="156" w:beforeLines="50" w:line="360" w:lineRule="auto"/>
              <w:jc w:val="center"/>
              <w:rPr>
                <w:rFonts w:ascii="宋体" w:hAnsi="宋体"/>
                <w:color w:val="auto"/>
                <w:kern w:val="0"/>
                <w:sz w:val="20"/>
                <w:szCs w:val="21"/>
              </w:rPr>
            </w:pPr>
          </w:p>
        </w:tc>
        <w:tc>
          <w:tcPr>
            <w:tcW w:w="1871" w:type="dxa"/>
            <w:tcBorders>
              <w:right w:val="single" w:color="auto" w:sz="4" w:space="0"/>
            </w:tcBorders>
            <w:vAlign w:val="top"/>
          </w:tcPr>
          <w:p w14:paraId="21667FBB">
            <w:pPr>
              <w:adjustRightInd w:val="0"/>
              <w:snapToGrid w:val="0"/>
              <w:spacing w:before="156" w:beforeLines="50" w:line="360" w:lineRule="auto"/>
              <w:jc w:val="center"/>
              <w:rPr>
                <w:rFonts w:ascii="宋体" w:hAnsi="宋体"/>
                <w:color w:val="auto"/>
                <w:kern w:val="0"/>
                <w:sz w:val="20"/>
                <w:szCs w:val="21"/>
              </w:rPr>
            </w:pPr>
          </w:p>
        </w:tc>
        <w:tc>
          <w:tcPr>
            <w:tcW w:w="2410" w:type="dxa"/>
            <w:tcBorders>
              <w:left w:val="single" w:color="auto" w:sz="4" w:space="0"/>
            </w:tcBorders>
            <w:vAlign w:val="top"/>
          </w:tcPr>
          <w:p w14:paraId="1572DAB6">
            <w:pPr>
              <w:adjustRightInd w:val="0"/>
              <w:snapToGrid w:val="0"/>
              <w:spacing w:before="156" w:beforeLines="50" w:line="360" w:lineRule="auto"/>
              <w:jc w:val="center"/>
              <w:rPr>
                <w:rFonts w:ascii="宋体" w:hAnsi="宋体"/>
                <w:color w:val="auto"/>
                <w:kern w:val="0"/>
                <w:sz w:val="20"/>
                <w:szCs w:val="21"/>
              </w:rPr>
            </w:pPr>
          </w:p>
        </w:tc>
        <w:tc>
          <w:tcPr>
            <w:tcW w:w="2268" w:type="dxa"/>
            <w:vAlign w:val="top"/>
          </w:tcPr>
          <w:p w14:paraId="1BD8113C">
            <w:pPr>
              <w:adjustRightInd w:val="0"/>
              <w:snapToGrid w:val="0"/>
              <w:spacing w:before="156" w:beforeLines="50" w:line="360" w:lineRule="auto"/>
              <w:jc w:val="center"/>
              <w:rPr>
                <w:rFonts w:ascii="宋体" w:hAnsi="宋体"/>
                <w:color w:val="auto"/>
                <w:kern w:val="0"/>
                <w:sz w:val="20"/>
                <w:szCs w:val="21"/>
              </w:rPr>
            </w:pPr>
          </w:p>
        </w:tc>
        <w:tc>
          <w:tcPr>
            <w:tcW w:w="1722" w:type="dxa"/>
            <w:vAlign w:val="top"/>
          </w:tcPr>
          <w:p w14:paraId="482CF52A">
            <w:pPr>
              <w:adjustRightInd w:val="0"/>
              <w:snapToGrid w:val="0"/>
              <w:spacing w:before="156" w:beforeLines="50" w:line="360" w:lineRule="auto"/>
              <w:jc w:val="center"/>
              <w:rPr>
                <w:rFonts w:ascii="宋体" w:hAnsi="宋体"/>
                <w:color w:val="auto"/>
                <w:kern w:val="0"/>
                <w:sz w:val="20"/>
                <w:szCs w:val="21"/>
              </w:rPr>
            </w:pPr>
          </w:p>
        </w:tc>
      </w:tr>
      <w:tr w14:paraId="07CF7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25AA8917">
            <w:pPr>
              <w:adjustRightInd w:val="0"/>
              <w:snapToGrid w:val="0"/>
              <w:spacing w:before="156" w:beforeLines="50" w:line="360" w:lineRule="auto"/>
              <w:jc w:val="center"/>
              <w:rPr>
                <w:rFonts w:ascii="宋体" w:hAnsi="宋体"/>
                <w:color w:val="auto"/>
                <w:kern w:val="0"/>
                <w:sz w:val="20"/>
                <w:szCs w:val="21"/>
              </w:rPr>
            </w:pPr>
          </w:p>
        </w:tc>
        <w:tc>
          <w:tcPr>
            <w:tcW w:w="1871" w:type="dxa"/>
            <w:tcBorders>
              <w:right w:val="single" w:color="auto" w:sz="4" w:space="0"/>
            </w:tcBorders>
            <w:vAlign w:val="top"/>
          </w:tcPr>
          <w:p w14:paraId="59107649">
            <w:pPr>
              <w:adjustRightInd w:val="0"/>
              <w:snapToGrid w:val="0"/>
              <w:spacing w:before="156" w:beforeLines="50" w:line="360" w:lineRule="auto"/>
              <w:jc w:val="center"/>
              <w:rPr>
                <w:rFonts w:ascii="宋体" w:hAnsi="宋体"/>
                <w:color w:val="auto"/>
                <w:kern w:val="0"/>
                <w:sz w:val="20"/>
                <w:szCs w:val="21"/>
              </w:rPr>
            </w:pPr>
          </w:p>
        </w:tc>
        <w:tc>
          <w:tcPr>
            <w:tcW w:w="2410" w:type="dxa"/>
            <w:tcBorders>
              <w:left w:val="single" w:color="auto" w:sz="4" w:space="0"/>
            </w:tcBorders>
            <w:vAlign w:val="top"/>
          </w:tcPr>
          <w:p w14:paraId="05A5EC97">
            <w:pPr>
              <w:adjustRightInd w:val="0"/>
              <w:snapToGrid w:val="0"/>
              <w:spacing w:before="156" w:beforeLines="50" w:line="360" w:lineRule="auto"/>
              <w:jc w:val="center"/>
              <w:rPr>
                <w:rFonts w:ascii="宋体" w:hAnsi="宋体"/>
                <w:color w:val="auto"/>
                <w:kern w:val="0"/>
                <w:sz w:val="20"/>
                <w:szCs w:val="21"/>
              </w:rPr>
            </w:pPr>
          </w:p>
        </w:tc>
        <w:tc>
          <w:tcPr>
            <w:tcW w:w="2268" w:type="dxa"/>
            <w:vAlign w:val="top"/>
          </w:tcPr>
          <w:p w14:paraId="0BB8B56E">
            <w:pPr>
              <w:adjustRightInd w:val="0"/>
              <w:snapToGrid w:val="0"/>
              <w:spacing w:before="156" w:beforeLines="50" w:line="360" w:lineRule="auto"/>
              <w:jc w:val="center"/>
              <w:rPr>
                <w:rFonts w:ascii="宋体" w:hAnsi="宋体"/>
                <w:color w:val="auto"/>
                <w:kern w:val="0"/>
                <w:sz w:val="20"/>
                <w:szCs w:val="21"/>
              </w:rPr>
            </w:pPr>
          </w:p>
        </w:tc>
        <w:tc>
          <w:tcPr>
            <w:tcW w:w="1722" w:type="dxa"/>
            <w:vAlign w:val="top"/>
          </w:tcPr>
          <w:p w14:paraId="46DFE1AA">
            <w:pPr>
              <w:adjustRightInd w:val="0"/>
              <w:snapToGrid w:val="0"/>
              <w:spacing w:before="156" w:beforeLines="50" w:line="360" w:lineRule="auto"/>
              <w:jc w:val="center"/>
              <w:rPr>
                <w:rFonts w:ascii="宋体" w:hAnsi="宋体"/>
                <w:color w:val="auto"/>
                <w:kern w:val="0"/>
                <w:sz w:val="20"/>
                <w:szCs w:val="21"/>
              </w:rPr>
            </w:pPr>
          </w:p>
        </w:tc>
      </w:tr>
      <w:tr w14:paraId="4EFD99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44D6E3A3">
            <w:pPr>
              <w:adjustRightInd w:val="0"/>
              <w:snapToGrid w:val="0"/>
              <w:spacing w:before="156" w:beforeLines="50" w:line="360" w:lineRule="auto"/>
              <w:jc w:val="center"/>
              <w:rPr>
                <w:rFonts w:ascii="宋体" w:hAnsi="宋体"/>
                <w:color w:val="auto"/>
                <w:kern w:val="0"/>
                <w:sz w:val="20"/>
                <w:szCs w:val="21"/>
              </w:rPr>
            </w:pPr>
          </w:p>
        </w:tc>
        <w:tc>
          <w:tcPr>
            <w:tcW w:w="1871" w:type="dxa"/>
            <w:tcBorders>
              <w:right w:val="single" w:color="auto" w:sz="4" w:space="0"/>
            </w:tcBorders>
            <w:vAlign w:val="top"/>
          </w:tcPr>
          <w:p w14:paraId="558C19ED">
            <w:pPr>
              <w:adjustRightInd w:val="0"/>
              <w:snapToGrid w:val="0"/>
              <w:spacing w:before="156" w:beforeLines="50" w:line="360" w:lineRule="auto"/>
              <w:jc w:val="center"/>
              <w:rPr>
                <w:rFonts w:ascii="宋体" w:hAnsi="宋体"/>
                <w:color w:val="auto"/>
                <w:kern w:val="0"/>
                <w:sz w:val="20"/>
                <w:szCs w:val="21"/>
              </w:rPr>
            </w:pPr>
          </w:p>
        </w:tc>
        <w:tc>
          <w:tcPr>
            <w:tcW w:w="2410" w:type="dxa"/>
            <w:tcBorders>
              <w:left w:val="single" w:color="auto" w:sz="4" w:space="0"/>
            </w:tcBorders>
            <w:vAlign w:val="top"/>
          </w:tcPr>
          <w:p w14:paraId="21E7D654">
            <w:pPr>
              <w:adjustRightInd w:val="0"/>
              <w:snapToGrid w:val="0"/>
              <w:spacing w:before="156" w:beforeLines="50" w:line="360" w:lineRule="auto"/>
              <w:jc w:val="center"/>
              <w:rPr>
                <w:rFonts w:ascii="宋体" w:hAnsi="宋体"/>
                <w:color w:val="auto"/>
                <w:kern w:val="0"/>
                <w:sz w:val="20"/>
                <w:szCs w:val="21"/>
              </w:rPr>
            </w:pPr>
          </w:p>
        </w:tc>
        <w:tc>
          <w:tcPr>
            <w:tcW w:w="2268" w:type="dxa"/>
            <w:vAlign w:val="top"/>
          </w:tcPr>
          <w:p w14:paraId="3CF1DECE">
            <w:pPr>
              <w:adjustRightInd w:val="0"/>
              <w:snapToGrid w:val="0"/>
              <w:spacing w:before="156" w:beforeLines="50" w:line="360" w:lineRule="auto"/>
              <w:jc w:val="center"/>
              <w:rPr>
                <w:rFonts w:ascii="宋体" w:hAnsi="宋体"/>
                <w:color w:val="auto"/>
                <w:kern w:val="0"/>
                <w:sz w:val="20"/>
                <w:szCs w:val="21"/>
              </w:rPr>
            </w:pPr>
          </w:p>
        </w:tc>
        <w:tc>
          <w:tcPr>
            <w:tcW w:w="1722" w:type="dxa"/>
            <w:vAlign w:val="top"/>
          </w:tcPr>
          <w:p w14:paraId="238F74CD">
            <w:pPr>
              <w:adjustRightInd w:val="0"/>
              <w:snapToGrid w:val="0"/>
              <w:spacing w:before="156" w:beforeLines="50" w:line="360" w:lineRule="auto"/>
              <w:jc w:val="center"/>
              <w:rPr>
                <w:rFonts w:ascii="宋体" w:hAnsi="宋体"/>
                <w:color w:val="auto"/>
                <w:kern w:val="0"/>
                <w:sz w:val="20"/>
                <w:szCs w:val="21"/>
              </w:rPr>
            </w:pPr>
          </w:p>
        </w:tc>
      </w:tr>
      <w:tr w14:paraId="2846EB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5FF5859B">
            <w:pPr>
              <w:adjustRightInd w:val="0"/>
              <w:snapToGrid w:val="0"/>
              <w:spacing w:before="156" w:beforeLines="50" w:line="360" w:lineRule="auto"/>
              <w:jc w:val="center"/>
              <w:rPr>
                <w:rFonts w:ascii="宋体" w:hAnsi="宋体"/>
                <w:color w:val="auto"/>
                <w:kern w:val="0"/>
                <w:sz w:val="20"/>
                <w:szCs w:val="21"/>
              </w:rPr>
            </w:pPr>
          </w:p>
        </w:tc>
        <w:tc>
          <w:tcPr>
            <w:tcW w:w="1871" w:type="dxa"/>
            <w:tcBorders>
              <w:right w:val="single" w:color="auto" w:sz="4" w:space="0"/>
            </w:tcBorders>
            <w:vAlign w:val="top"/>
          </w:tcPr>
          <w:p w14:paraId="20070468">
            <w:pPr>
              <w:adjustRightInd w:val="0"/>
              <w:snapToGrid w:val="0"/>
              <w:spacing w:before="156" w:beforeLines="50" w:line="360" w:lineRule="auto"/>
              <w:jc w:val="center"/>
              <w:rPr>
                <w:rFonts w:ascii="宋体" w:hAnsi="宋体"/>
                <w:color w:val="auto"/>
                <w:kern w:val="0"/>
                <w:sz w:val="20"/>
                <w:szCs w:val="21"/>
              </w:rPr>
            </w:pPr>
          </w:p>
        </w:tc>
        <w:tc>
          <w:tcPr>
            <w:tcW w:w="2410" w:type="dxa"/>
            <w:tcBorders>
              <w:left w:val="single" w:color="auto" w:sz="4" w:space="0"/>
            </w:tcBorders>
            <w:vAlign w:val="top"/>
          </w:tcPr>
          <w:p w14:paraId="11EB8620">
            <w:pPr>
              <w:adjustRightInd w:val="0"/>
              <w:snapToGrid w:val="0"/>
              <w:spacing w:before="156" w:beforeLines="50" w:line="360" w:lineRule="auto"/>
              <w:jc w:val="center"/>
              <w:rPr>
                <w:rFonts w:ascii="宋体" w:hAnsi="宋体"/>
                <w:color w:val="auto"/>
                <w:kern w:val="0"/>
                <w:sz w:val="20"/>
                <w:szCs w:val="21"/>
              </w:rPr>
            </w:pPr>
          </w:p>
        </w:tc>
        <w:tc>
          <w:tcPr>
            <w:tcW w:w="2268" w:type="dxa"/>
            <w:vAlign w:val="top"/>
          </w:tcPr>
          <w:p w14:paraId="13E1809E">
            <w:pPr>
              <w:adjustRightInd w:val="0"/>
              <w:snapToGrid w:val="0"/>
              <w:spacing w:before="156" w:beforeLines="50" w:line="360" w:lineRule="auto"/>
              <w:jc w:val="center"/>
              <w:rPr>
                <w:rFonts w:ascii="宋体" w:hAnsi="宋体"/>
                <w:color w:val="auto"/>
                <w:kern w:val="0"/>
                <w:sz w:val="20"/>
                <w:szCs w:val="21"/>
              </w:rPr>
            </w:pPr>
          </w:p>
        </w:tc>
        <w:tc>
          <w:tcPr>
            <w:tcW w:w="1722" w:type="dxa"/>
            <w:vAlign w:val="top"/>
          </w:tcPr>
          <w:p w14:paraId="611B5FA9">
            <w:pPr>
              <w:adjustRightInd w:val="0"/>
              <w:snapToGrid w:val="0"/>
              <w:spacing w:before="156" w:beforeLines="50" w:line="360" w:lineRule="auto"/>
              <w:jc w:val="center"/>
              <w:rPr>
                <w:rFonts w:ascii="宋体" w:hAnsi="宋体"/>
                <w:color w:val="auto"/>
                <w:kern w:val="0"/>
                <w:sz w:val="20"/>
                <w:szCs w:val="21"/>
              </w:rPr>
            </w:pPr>
          </w:p>
        </w:tc>
      </w:tr>
      <w:tr w14:paraId="17CCB6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6060DC84">
            <w:pPr>
              <w:adjustRightInd w:val="0"/>
              <w:snapToGrid w:val="0"/>
              <w:spacing w:before="156" w:beforeLines="50" w:line="360" w:lineRule="auto"/>
              <w:jc w:val="center"/>
              <w:rPr>
                <w:rFonts w:ascii="宋体" w:hAnsi="宋体"/>
                <w:color w:val="auto"/>
                <w:kern w:val="0"/>
                <w:sz w:val="20"/>
                <w:szCs w:val="21"/>
              </w:rPr>
            </w:pPr>
          </w:p>
        </w:tc>
        <w:tc>
          <w:tcPr>
            <w:tcW w:w="1871" w:type="dxa"/>
            <w:tcBorders>
              <w:right w:val="single" w:color="auto" w:sz="4" w:space="0"/>
            </w:tcBorders>
            <w:vAlign w:val="top"/>
          </w:tcPr>
          <w:p w14:paraId="424783A3">
            <w:pPr>
              <w:adjustRightInd w:val="0"/>
              <w:snapToGrid w:val="0"/>
              <w:spacing w:before="156" w:beforeLines="50" w:line="360" w:lineRule="auto"/>
              <w:jc w:val="center"/>
              <w:rPr>
                <w:rFonts w:ascii="宋体" w:hAnsi="宋体"/>
                <w:color w:val="auto"/>
                <w:kern w:val="0"/>
                <w:sz w:val="20"/>
                <w:szCs w:val="21"/>
              </w:rPr>
            </w:pPr>
          </w:p>
        </w:tc>
        <w:tc>
          <w:tcPr>
            <w:tcW w:w="2410" w:type="dxa"/>
            <w:tcBorders>
              <w:left w:val="single" w:color="auto" w:sz="4" w:space="0"/>
            </w:tcBorders>
            <w:vAlign w:val="top"/>
          </w:tcPr>
          <w:p w14:paraId="03B5AA78">
            <w:pPr>
              <w:adjustRightInd w:val="0"/>
              <w:snapToGrid w:val="0"/>
              <w:spacing w:before="156" w:beforeLines="50" w:line="360" w:lineRule="auto"/>
              <w:jc w:val="center"/>
              <w:rPr>
                <w:rFonts w:ascii="宋体" w:hAnsi="宋体"/>
                <w:color w:val="auto"/>
                <w:kern w:val="0"/>
                <w:sz w:val="20"/>
                <w:szCs w:val="21"/>
              </w:rPr>
            </w:pPr>
          </w:p>
        </w:tc>
        <w:tc>
          <w:tcPr>
            <w:tcW w:w="2268" w:type="dxa"/>
            <w:vAlign w:val="top"/>
          </w:tcPr>
          <w:p w14:paraId="066ABD51">
            <w:pPr>
              <w:adjustRightInd w:val="0"/>
              <w:snapToGrid w:val="0"/>
              <w:spacing w:before="156" w:beforeLines="50" w:line="360" w:lineRule="auto"/>
              <w:jc w:val="center"/>
              <w:rPr>
                <w:rFonts w:ascii="宋体" w:hAnsi="宋体"/>
                <w:color w:val="auto"/>
                <w:kern w:val="0"/>
                <w:sz w:val="20"/>
                <w:szCs w:val="21"/>
              </w:rPr>
            </w:pPr>
          </w:p>
        </w:tc>
        <w:tc>
          <w:tcPr>
            <w:tcW w:w="1722" w:type="dxa"/>
            <w:vAlign w:val="top"/>
          </w:tcPr>
          <w:p w14:paraId="75AAB93D">
            <w:pPr>
              <w:adjustRightInd w:val="0"/>
              <w:snapToGrid w:val="0"/>
              <w:spacing w:before="156" w:beforeLines="50" w:line="360" w:lineRule="auto"/>
              <w:jc w:val="center"/>
              <w:rPr>
                <w:rFonts w:ascii="宋体" w:hAnsi="宋体"/>
                <w:color w:val="auto"/>
                <w:kern w:val="0"/>
                <w:sz w:val="20"/>
                <w:szCs w:val="21"/>
              </w:rPr>
            </w:pPr>
          </w:p>
        </w:tc>
      </w:tr>
      <w:tr w14:paraId="7FF382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6A560EB6">
            <w:pPr>
              <w:adjustRightInd w:val="0"/>
              <w:snapToGrid w:val="0"/>
              <w:spacing w:before="156" w:beforeLines="50" w:line="360" w:lineRule="auto"/>
              <w:jc w:val="center"/>
              <w:rPr>
                <w:rFonts w:ascii="宋体" w:hAnsi="宋体"/>
                <w:color w:val="auto"/>
                <w:kern w:val="0"/>
                <w:sz w:val="20"/>
                <w:szCs w:val="21"/>
              </w:rPr>
            </w:pPr>
          </w:p>
        </w:tc>
        <w:tc>
          <w:tcPr>
            <w:tcW w:w="1871" w:type="dxa"/>
            <w:tcBorders>
              <w:right w:val="single" w:color="auto" w:sz="4" w:space="0"/>
            </w:tcBorders>
            <w:vAlign w:val="top"/>
          </w:tcPr>
          <w:p w14:paraId="7F15561F">
            <w:pPr>
              <w:adjustRightInd w:val="0"/>
              <w:snapToGrid w:val="0"/>
              <w:spacing w:before="156" w:beforeLines="50" w:line="360" w:lineRule="auto"/>
              <w:jc w:val="center"/>
              <w:rPr>
                <w:rFonts w:ascii="宋体" w:hAnsi="宋体"/>
                <w:color w:val="auto"/>
                <w:kern w:val="0"/>
                <w:sz w:val="20"/>
                <w:szCs w:val="21"/>
              </w:rPr>
            </w:pPr>
          </w:p>
        </w:tc>
        <w:tc>
          <w:tcPr>
            <w:tcW w:w="2410" w:type="dxa"/>
            <w:tcBorders>
              <w:left w:val="single" w:color="auto" w:sz="4" w:space="0"/>
            </w:tcBorders>
            <w:vAlign w:val="top"/>
          </w:tcPr>
          <w:p w14:paraId="29558B71">
            <w:pPr>
              <w:adjustRightInd w:val="0"/>
              <w:snapToGrid w:val="0"/>
              <w:spacing w:before="156" w:beforeLines="50" w:line="360" w:lineRule="auto"/>
              <w:jc w:val="center"/>
              <w:rPr>
                <w:rFonts w:ascii="宋体" w:hAnsi="宋体"/>
                <w:color w:val="auto"/>
                <w:kern w:val="0"/>
                <w:sz w:val="20"/>
                <w:szCs w:val="21"/>
              </w:rPr>
            </w:pPr>
          </w:p>
        </w:tc>
        <w:tc>
          <w:tcPr>
            <w:tcW w:w="2268" w:type="dxa"/>
            <w:vAlign w:val="top"/>
          </w:tcPr>
          <w:p w14:paraId="3509BBCD">
            <w:pPr>
              <w:adjustRightInd w:val="0"/>
              <w:snapToGrid w:val="0"/>
              <w:spacing w:before="156" w:beforeLines="50" w:line="360" w:lineRule="auto"/>
              <w:jc w:val="center"/>
              <w:rPr>
                <w:rFonts w:ascii="宋体" w:hAnsi="宋体"/>
                <w:color w:val="auto"/>
                <w:kern w:val="0"/>
                <w:sz w:val="20"/>
                <w:szCs w:val="21"/>
              </w:rPr>
            </w:pPr>
          </w:p>
        </w:tc>
        <w:tc>
          <w:tcPr>
            <w:tcW w:w="1722" w:type="dxa"/>
            <w:vAlign w:val="top"/>
          </w:tcPr>
          <w:p w14:paraId="0698E3F8">
            <w:pPr>
              <w:adjustRightInd w:val="0"/>
              <w:snapToGrid w:val="0"/>
              <w:spacing w:before="156" w:beforeLines="50" w:line="360" w:lineRule="auto"/>
              <w:jc w:val="center"/>
              <w:rPr>
                <w:rFonts w:ascii="宋体" w:hAnsi="宋体"/>
                <w:color w:val="auto"/>
                <w:kern w:val="0"/>
                <w:sz w:val="20"/>
                <w:szCs w:val="21"/>
              </w:rPr>
            </w:pPr>
          </w:p>
        </w:tc>
      </w:tr>
      <w:tr w14:paraId="3EBEFE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532A3FAE">
            <w:pPr>
              <w:adjustRightInd w:val="0"/>
              <w:snapToGrid w:val="0"/>
              <w:spacing w:before="156" w:beforeLines="50" w:line="360" w:lineRule="auto"/>
              <w:jc w:val="center"/>
              <w:rPr>
                <w:rFonts w:ascii="宋体" w:hAnsi="宋体"/>
                <w:color w:val="auto"/>
                <w:kern w:val="0"/>
                <w:sz w:val="20"/>
                <w:szCs w:val="21"/>
              </w:rPr>
            </w:pPr>
          </w:p>
        </w:tc>
        <w:tc>
          <w:tcPr>
            <w:tcW w:w="1871" w:type="dxa"/>
            <w:tcBorders>
              <w:right w:val="single" w:color="auto" w:sz="4" w:space="0"/>
            </w:tcBorders>
            <w:vAlign w:val="top"/>
          </w:tcPr>
          <w:p w14:paraId="08E00D8D">
            <w:pPr>
              <w:adjustRightInd w:val="0"/>
              <w:snapToGrid w:val="0"/>
              <w:spacing w:before="156" w:beforeLines="50" w:line="360" w:lineRule="auto"/>
              <w:jc w:val="center"/>
              <w:rPr>
                <w:rFonts w:ascii="宋体" w:hAnsi="宋体"/>
                <w:color w:val="auto"/>
                <w:kern w:val="0"/>
                <w:sz w:val="20"/>
                <w:szCs w:val="21"/>
              </w:rPr>
            </w:pPr>
          </w:p>
        </w:tc>
        <w:tc>
          <w:tcPr>
            <w:tcW w:w="2410" w:type="dxa"/>
            <w:tcBorders>
              <w:left w:val="single" w:color="auto" w:sz="4" w:space="0"/>
            </w:tcBorders>
            <w:vAlign w:val="top"/>
          </w:tcPr>
          <w:p w14:paraId="2FEA27FB">
            <w:pPr>
              <w:adjustRightInd w:val="0"/>
              <w:snapToGrid w:val="0"/>
              <w:spacing w:before="156" w:beforeLines="50" w:line="360" w:lineRule="auto"/>
              <w:jc w:val="center"/>
              <w:rPr>
                <w:rFonts w:ascii="宋体" w:hAnsi="宋体"/>
                <w:color w:val="auto"/>
                <w:kern w:val="0"/>
                <w:sz w:val="20"/>
                <w:szCs w:val="21"/>
              </w:rPr>
            </w:pPr>
          </w:p>
        </w:tc>
        <w:tc>
          <w:tcPr>
            <w:tcW w:w="2268" w:type="dxa"/>
            <w:vAlign w:val="top"/>
          </w:tcPr>
          <w:p w14:paraId="47F2C54E">
            <w:pPr>
              <w:adjustRightInd w:val="0"/>
              <w:snapToGrid w:val="0"/>
              <w:spacing w:before="156" w:beforeLines="50" w:line="360" w:lineRule="auto"/>
              <w:jc w:val="center"/>
              <w:rPr>
                <w:rFonts w:ascii="宋体" w:hAnsi="宋体"/>
                <w:color w:val="auto"/>
                <w:kern w:val="0"/>
                <w:sz w:val="20"/>
                <w:szCs w:val="21"/>
              </w:rPr>
            </w:pPr>
          </w:p>
        </w:tc>
        <w:tc>
          <w:tcPr>
            <w:tcW w:w="1722" w:type="dxa"/>
            <w:vAlign w:val="top"/>
          </w:tcPr>
          <w:p w14:paraId="6F40E6DF">
            <w:pPr>
              <w:adjustRightInd w:val="0"/>
              <w:snapToGrid w:val="0"/>
              <w:spacing w:before="156" w:beforeLines="50" w:line="360" w:lineRule="auto"/>
              <w:jc w:val="center"/>
              <w:rPr>
                <w:rFonts w:ascii="宋体" w:hAnsi="宋体"/>
                <w:color w:val="auto"/>
                <w:kern w:val="0"/>
                <w:sz w:val="20"/>
                <w:szCs w:val="21"/>
              </w:rPr>
            </w:pPr>
          </w:p>
        </w:tc>
      </w:tr>
      <w:tr w14:paraId="38427E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5370BD9C">
            <w:pPr>
              <w:adjustRightInd w:val="0"/>
              <w:snapToGrid w:val="0"/>
              <w:spacing w:before="156" w:beforeLines="50" w:line="360" w:lineRule="auto"/>
              <w:jc w:val="center"/>
              <w:rPr>
                <w:rFonts w:ascii="宋体" w:hAnsi="宋体"/>
                <w:color w:val="auto"/>
                <w:kern w:val="0"/>
                <w:sz w:val="20"/>
                <w:szCs w:val="21"/>
              </w:rPr>
            </w:pPr>
          </w:p>
        </w:tc>
        <w:tc>
          <w:tcPr>
            <w:tcW w:w="1871" w:type="dxa"/>
            <w:tcBorders>
              <w:right w:val="single" w:color="auto" w:sz="4" w:space="0"/>
            </w:tcBorders>
            <w:vAlign w:val="top"/>
          </w:tcPr>
          <w:p w14:paraId="61A13322">
            <w:pPr>
              <w:adjustRightInd w:val="0"/>
              <w:snapToGrid w:val="0"/>
              <w:spacing w:before="156" w:beforeLines="50" w:line="360" w:lineRule="auto"/>
              <w:jc w:val="center"/>
              <w:rPr>
                <w:rFonts w:ascii="宋体" w:hAnsi="宋体"/>
                <w:color w:val="auto"/>
                <w:kern w:val="0"/>
                <w:sz w:val="20"/>
                <w:szCs w:val="21"/>
              </w:rPr>
            </w:pPr>
          </w:p>
        </w:tc>
        <w:tc>
          <w:tcPr>
            <w:tcW w:w="2410" w:type="dxa"/>
            <w:tcBorders>
              <w:left w:val="single" w:color="auto" w:sz="4" w:space="0"/>
            </w:tcBorders>
            <w:vAlign w:val="top"/>
          </w:tcPr>
          <w:p w14:paraId="464165F2">
            <w:pPr>
              <w:adjustRightInd w:val="0"/>
              <w:snapToGrid w:val="0"/>
              <w:spacing w:before="156" w:beforeLines="50" w:line="360" w:lineRule="auto"/>
              <w:jc w:val="center"/>
              <w:rPr>
                <w:rFonts w:ascii="宋体" w:hAnsi="宋体"/>
                <w:color w:val="auto"/>
                <w:kern w:val="0"/>
                <w:sz w:val="20"/>
                <w:szCs w:val="21"/>
              </w:rPr>
            </w:pPr>
          </w:p>
        </w:tc>
        <w:tc>
          <w:tcPr>
            <w:tcW w:w="2268" w:type="dxa"/>
            <w:vAlign w:val="top"/>
          </w:tcPr>
          <w:p w14:paraId="3BDB7DF4">
            <w:pPr>
              <w:adjustRightInd w:val="0"/>
              <w:snapToGrid w:val="0"/>
              <w:spacing w:before="156" w:beforeLines="50" w:line="360" w:lineRule="auto"/>
              <w:jc w:val="center"/>
              <w:rPr>
                <w:rFonts w:ascii="宋体" w:hAnsi="宋体"/>
                <w:color w:val="auto"/>
                <w:kern w:val="0"/>
                <w:sz w:val="20"/>
                <w:szCs w:val="21"/>
              </w:rPr>
            </w:pPr>
          </w:p>
        </w:tc>
        <w:tc>
          <w:tcPr>
            <w:tcW w:w="1722" w:type="dxa"/>
            <w:vAlign w:val="top"/>
          </w:tcPr>
          <w:p w14:paraId="20F46FE4">
            <w:pPr>
              <w:adjustRightInd w:val="0"/>
              <w:snapToGrid w:val="0"/>
              <w:spacing w:before="156" w:beforeLines="50" w:line="360" w:lineRule="auto"/>
              <w:jc w:val="center"/>
              <w:rPr>
                <w:rFonts w:ascii="宋体" w:hAnsi="宋体"/>
                <w:color w:val="auto"/>
                <w:kern w:val="0"/>
                <w:sz w:val="20"/>
                <w:szCs w:val="21"/>
              </w:rPr>
            </w:pPr>
          </w:p>
        </w:tc>
      </w:tr>
      <w:tr w14:paraId="01D1FB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5526E743">
            <w:pPr>
              <w:adjustRightInd w:val="0"/>
              <w:snapToGrid w:val="0"/>
              <w:spacing w:before="156" w:beforeLines="50" w:line="360" w:lineRule="auto"/>
              <w:jc w:val="center"/>
              <w:rPr>
                <w:rFonts w:ascii="宋体" w:hAnsi="宋体"/>
                <w:color w:val="auto"/>
                <w:kern w:val="0"/>
                <w:sz w:val="20"/>
                <w:szCs w:val="21"/>
              </w:rPr>
            </w:pPr>
          </w:p>
        </w:tc>
        <w:tc>
          <w:tcPr>
            <w:tcW w:w="1871" w:type="dxa"/>
            <w:tcBorders>
              <w:right w:val="single" w:color="auto" w:sz="4" w:space="0"/>
            </w:tcBorders>
            <w:vAlign w:val="top"/>
          </w:tcPr>
          <w:p w14:paraId="4FFB86E1">
            <w:pPr>
              <w:adjustRightInd w:val="0"/>
              <w:snapToGrid w:val="0"/>
              <w:spacing w:before="156" w:beforeLines="50" w:line="360" w:lineRule="auto"/>
              <w:jc w:val="center"/>
              <w:rPr>
                <w:rFonts w:ascii="宋体" w:hAnsi="宋体"/>
                <w:color w:val="auto"/>
                <w:kern w:val="0"/>
                <w:sz w:val="20"/>
                <w:szCs w:val="21"/>
              </w:rPr>
            </w:pPr>
          </w:p>
        </w:tc>
        <w:tc>
          <w:tcPr>
            <w:tcW w:w="2410" w:type="dxa"/>
            <w:tcBorders>
              <w:left w:val="single" w:color="auto" w:sz="4" w:space="0"/>
            </w:tcBorders>
            <w:vAlign w:val="top"/>
          </w:tcPr>
          <w:p w14:paraId="6F1980DD">
            <w:pPr>
              <w:adjustRightInd w:val="0"/>
              <w:snapToGrid w:val="0"/>
              <w:spacing w:before="156" w:beforeLines="50" w:line="360" w:lineRule="auto"/>
              <w:jc w:val="center"/>
              <w:rPr>
                <w:rFonts w:ascii="宋体" w:hAnsi="宋体"/>
                <w:color w:val="auto"/>
                <w:kern w:val="0"/>
                <w:sz w:val="20"/>
                <w:szCs w:val="21"/>
              </w:rPr>
            </w:pPr>
          </w:p>
        </w:tc>
        <w:tc>
          <w:tcPr>
            <w:tcW w:w="2268" w:type="dxa"/>
            <w:vAlign w:val="top"/>
          </w:tcPr>
          <w:p w14:paraId="323A902A">
            <w:pPr>
              <w:adjustRightInd w:val="0"/>
              <w:snapToGrid w:val="0"/>
              <w:spacing w:before="156" w:beforeLines="50" w:line="360" w:lineRule="auto"/>
              <w:jc w:val="center"/>
              <w:rPr>
                <w:rFonts w:ascii="宋体" w:hAnsi="宋体"/>
                <w:color w:val="auto"/>
                <w:kern w:val="0"/>
                <w:sz w:val="20"/>
                <w:szCs w:val="21"/>
              </w:rPr>
            </w:pPr>
          </w:p>
        </w:tc>
        <w:tc>
          <w:tcPr>
            <w:tcW w:w="1722" w:type="dxa"/>
            <w:vAlign w:val="top"/>
          </w:tcPr>
          <w:p w14:paraId="1D25694D">
            <w:pPr>
              <w:adjustRightInd w:val="0"/>
              <w:snapToGrid w:val="0"/>
              <w:spacing w:before="156" w:beforeLines="50" w:line="360" w:lineRule="auto"/>
              <w:jc w:val="center"/>
              <w:rPr>
                <w:rFonts w:ascii="宋体" w:hAnsi="宋体"/>
                <w:color w:val="auto"/>
                <w:kern w:val="0"/>
                <w:sz w:val="20"/>
                <w:szCs w:val="21"/>
              </w:rPr>
            </w:pPr>
          </w:p>
        </w:tc>
      </w:tr>
      <w:tr w14:paraId="6CE054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89" w:type="dxa"/>
            <w:vAlign w:val="top"/>
          </w:tcPr>
          <w:p w14:paraId="7798FA5D">
            <w:pPr>
              <w:adjustRightInd w:val="0"/>
              <w:snapToGrid w:val="0"/>
              <w:spacing w:before="156" w:beforeLines="50" w:line="360" w:lineRule="auto"/>
              <w:jc w:val="center"/>
              <w:rPr>
                <w:rFonts w:ascii="宋体" w:hAnsi="宋体"/>
                <w:color w:val="auto"/>
                <w:kern w:val="0"/>
                <w:sz w:val="20"/>
                <w:szCs w:val="21"/>
              </w:rPr>
            </w:pPr>
          </w:p>
        </w:tc>
        <w:tc>
          <w:tcPr>
            <w:tcW w:w="1871" w:type="dxa"/>
            <w:tcBorders>
              <w:right w:val="single" w:color="auto" w:sz="4" w:space="0"/>
            </w:tcBorders>
            <w:vAlign w:val="top"/>
          </w:tcPr>
          <w:p w14:paraId="66841B9A">
            <w:pPr>
              <w:adjustRightInd w:val="0"/>
              <w:snapToGrid w:val="0"/>
              <w:spacing w:before="156" w:beforeLines="50" w:line="360" w:lineRule="auto"/>
              <w:jc w:val="center"/>
              <w:rPr>
                <w:rFonts w:ascii="宋体" w:hAnsi="宋体"/>
                <w:color w:val="auto"/>
                <w:kern w:val="0"/>
                <w:sz w:val="20"/>
                <w:szCs w:val="21"/>
              </w:rPr>
            </w:pPr>
          </w:p>
        </w:tc>
        <w:tc>
          <w:tcPr>
            <w:tcW w:w="2410" w:type="dxa"/>
            <w:tcBorders>
              <w:left w:val="single" w:color="auto" w:sz="4" w:space="0"/>
            </w:tcBorders>
            <w:vAlign w:val="top"/>
          </w:tcPr>
          <w:p w14:paraId="54745751">
            <w:pPr>
              <w:adjustRightInd w:val="0"/>
              <w:snapToGrid w:val="0"/>
              <w:spacing w:before="156" w:beforeLines="50" w:line="360" w:lineRule="auto"/>
              <w:jc w:val="center"/>
              <w:rPr>
                <w:rFonts w:ascii="宋体" w:hAnsi="宋体"/>
                <w:color w:val="auto"/>
                <w:kern w:val="0"/>
                <w:sz w:val="20"/>
                <w:szCs w:val="21"/>
              </w:rPr>
            </w:pPr>
          </w:p>
        </w:tc>
        <w:tc>
          <w:tcPr>
            <w:tcW w:w="2268" w:type="dxa"/>
            <w:vAlign w:val="top"/>
          </w:tcPr>
          <w:p w14:paraId="18A69549">
            <w:pPr>
              <w:adjustRightInd w:val="0"/>
              <w:snapToGrid w:val="0"/>
              <w:spacing w:before="156" w:beforeLines="50" w:line="360" w:lineRule="auto"/>
              <w:jc w:val="center"/>
              <w:rPr>
                <w:rFonts w:ascii="宋体" w:hAnsi="宋体"/>
                <w:color w:val="auto"/>
                <w:kern w:val="0"/>
                <w:sz w:val="20"/>
                <w:szCs w:val="21"/>
              </w:rPr>
            </w:pPr>
          </w:p>
        </w:tc>
        <w:tc>
          <w:tcPr>
            <w:tcW w:w="1722" w:type="dxa"/>
            <w:vAlign w:val="top"/>
          </w:tcPr>
          <w:p w14:paraId="136700A0">
            <w:pPr>
              <w:adjustRightInd w:val="0"/>
              <w:snapToGrid w:val="0"/>
              <w:spacing w:before="156" w:beforeLines="50" w:line="360" w:lineRule="auto"/>
              <w:jc w:val="center"/>
              <w:rPr>
                <w:rFonts w:ascii="宋体" w:hAnsi="宋体"/>
                <w:color w:val="auto"/>
                <w:kern w:val="0"/>
                <w:sz w:val="20"/>
                <w:szCs w:val="21"/>
              </w:rPr>
            </w:pPr>
          </w:p>
        </w:tc>
      </w:tr>
    </w:tbl>
    <w:p w14:paraId="55DDB37A">
      <w:pPr>
        <w:rPr>
          <w:color w:val="auto"/>
        </w:rPr>
        <w:sectPr>
          <w:pgSz w:w="11906" w:h="16838"/>
          <w:pgMar w:top="1474" w:right="1474" w:bottom="1474" w:left="1588" w:header="851" w:footer="992" w:gutter="0"/>
          <w:cols w:space="720" w:num="1"/>
          <w:docGrid w:type="lines" w:linePitch="312" w:charSpace="0"/>
        </w:sectPr>
      </w:pPr>
    </w:p>
    <w:p w14:paraId="7F744707">
      <w:pPr>
        <w:keepNext/>
        <w:keepLines/>
        <w:spacing w:line="360" w:lineRule="auto"/>
        <w:jc w:val="center"/>
        <w:outlineLvl w:val="1"/>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谈判响应声明(格式)</w:t>
      </w:r>
    </w:p>
    <w:p w14:paraId="3E5CCEC9">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 (采购人、采购代理机构)</w:t>
      </w:r>
      <w:r>
        <w:rPr>
          <w:rFonts w:hint="eastAsia" w:ascii="宋体" w:hAnsi="宋体"/>
          <w:color w:val="000000" w:themeColor="text1"/>
          <w:szCs w:val="21"/>
          <w14:textFill>
            <w14:solidFill>
              <w14:schemeClr w14:val="tx1"/>
            </w14:solidFill>
          </w14:textFill>
        </w:rPr>
        <w:t>：</w:t>
      </w:r>
    </w:p>
    <w:p w14:paraId="7D6C5C85">
      <w:pPr>
        <w:adjustRightInd w:val="0"/>
        <w:snapToGrid w:val="0"/>
        <w:spacing w:before="156" w:beforeLines="50"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根据贵方为</w:t>
      </w:r>
      <w:r>
        <w:rPr>
          <w:rFonts w:hint="eastAsia" w:ascii="宋体" w:hAnsi="宋体"/>
          <w:color w:val="000000" w:themeColor="text1"/>
          <w:szCs w:val="21"/>
          <w:u w:val="single"/>
          <w14:textFill>
            <w14:solidFill>
              <w14:schemeClr w14:val="tx1"/>
            </w14:solidFill>
          </w14:textFill>
        </w:rPr>
        <w:t>（项目名称）</w:t>
      </w:r>
      <w:r>
        <w:rPr>
          <w:rFonts w:hint="eastAsia" w:ascii="宋体" w:hAnsi="宋体"/>
          <w:color w:val="000000" w:themeColor="text1"/>
          <w:szCs w:val="21"/>
          <w14:textFill>
            <w14:solidFill>
              <w14:schemeClr w14:val="tx1"/>
            </w14:solidFill>
          </w14:textFill>
        </w:rPr>
        <w:t>的谈判邀请（</w:t>
      </w:r>
      <w:r>
        <w:rPr>
          <w:rFonts w:hint="eastAsia" w:ascii="宋体" w:hAnsi="宋体"/>
          <w:color w:val="000000" w:themeColor="text1"/>
          <w:lang w:eastAsia="zh-CN"/>
          <w14:textFill>
            <w14:solidFill>
              <w14:schemeClr w14:val="tx1"/>
            </w14:solidFill>
          </w14:textFill>
        </w:rPr>
        <w:t>采购编号</w:t>
      </w:r>
      <w:r>
        <w:rPr>
          <w:rFonts w:hint="eastAsia" w:ascii="宋体" w:hAnsi="宋体"/>
          <w:iCs/>
          <w:color w:val="000000" w:themeColor="text1"/>
          <w14:textFill>
            <w14:solidFill>
              <w14:schemeClr w14:val="tx1"/>
            </w14:solidFill>
          </w14:textFill>
        </w:rPr>
        <w:t>：</w:t>
      </w:r>
      <w:r>
        <w:rPr>
          <w:rFonts w:hint="eastAsia" w:ascii="宋体" w:hAnsi="宋体"/>
          <w:iCs/>
          <w:color w:val="000000" w:themeColor="text1"/>
          <w:u w:val="single"/>
          <w14:textFill>
            <w14:solidFill>
              <w14:schemeClr w14:val="tx1"/>
            </w14:solidFill>
          </w14:textFill>
        </w:rPr>
        <w:t xml:space="preserve">           </w:t>
      </w:r>
      <w:r>
        <w:rPr>
          <w:rFonts w:hint="eastAsia" w:ascii="宋体" w:hAnsi="宋体"/>
          <w:iCs/>
          <w:color w:val="000000" w:themeColor="text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委托代理编号：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），签字代表</w:t>
      </w:r>
      <w:r>
        <w:rPr>
          <w:rFonts w:hint="eastAsia" w:ascii="宋体" w:hAnsi="宋体"/>
          <w:color w:val="000000" w:themeColor="text1"/>
          <w:szCs w:val="21"/>
          <w:u w:val="single"/>
          <w14:textFill>
            <w14:solidFill>
              <w14:schemeClr w14:val="tx1"/>
            </w14:solidFill>
          </w14:textFill>
        </w:rPr>
        <w:t xml:space="preserve"> （姓名、职务）</w:t>
      </w:r>
      <w:r>
        <w:rPr>
          <w:rFonts w:hint="eastAsia" w:ascii="宋体" w:hAnsi="宋体"/>
          <w:color w:val="000000" w:themeColor="text1"/>
          <w:szCs w:val="21"/>
          <w14:textFill>
            <w14:solidFill>
              <w14:schemeClr w14:val="tx1"/>
            </w14:solidFill>
          </w14:textFill>
        </w:rPr>
        <w:t>经正式授权并代表供应商</w:t>
      </w:r>
      <w:r>
        <w:rPr>
          <w:rFonts w:hint="eastAsia" w:ascii="宋体" w:hAnsi="宋体"/>
          <w:color w:val="000000" w:themeColor="text1"/>
          <w:szCs w:val="21"/>
          <w:u w:val="single"/>
          <w14:textFill>
            <w14:solidFill>
              <w14:schemeClr w14:val="tx1"/>
            </w14:solidFill>
          </w14:textFill>
        </w:rPr>
        <w:t xml:space="preserve"> （供应商名称）</w:t>
      </w:r>
      <w:r>
        <w:rPr>
          <w:rFonts w:hint="eastAsia" w:ascii="宋体" w:hAnsi="宋体"/>
          <w:color w:val="000000" w:themeColor="text1"/>
          <w:szCs w:val="21"/>
          <w14:textFill>
            <w14:solidFill>
              <w14:schemeClr w14:val="tx1"/>
            </w14:solidFill>
          </w14:textFill>
        </w:rPr>
        <w:t>提交响应文件正本一份,副本</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份；响应文件电子文档：一份，参加采购项目第</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包谈判，并在此声明，所递交的响应文件内容完整、真实。</w:t>
      </w:r>
    </w:p>
    <w:p w14:paraId="762B747F">
      <w:pPr>
        <w:adjustRightInd w:val="0"/>
        <w:snapToGrid w:val="0"/>
        <w:spacing w:before="156" w:beforeLines="50"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一、我方已详细审查谈判文件。我们完全理解并同意放弃对这方面有不明及误解的权力。</w:t>
      </w:r>
    </w:p>
    <w:p w14:paraId="4F2020A0">
      <w:pPr>
        <w:adjustRightInd w:val="0"/>
        <w:snapToGrid w:val="0"/>
        <w:spacing w:before="156" w:beforeLines="50" w:line="360" w:lineRule="auto"/>
        <w:ind w:firstLine="420" w:firstLineChars="200"/>
        <w:rPr>
          <w:rFonts w:ascii="宋体" w:hAnsi="宋体" w:cs="Courier New"/>
          <w:bCs/>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二、我方愿意向贵方提供任何与本项采购有关的数据、情况和技术资料。若贵方需要，我方愿意提供我方作出的一切承诺的证明材料。</w:t>
      </w:r>
    </w:p>
    <w:p w14:paraId="5AE89FF2">
      <w:pPr>
        <w:adjustRightInd w:val="0"/>
        <w:snapToGrid w:val="0"/>
        <w:spacing w:before="156" w:beforeLines="50"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三、我方愿意按谈判文件规定和谈判小组要求重新提交响应文件和最后报价。</w:t>
      </w:r>
    </w:p>
    <w:p w14:paraId="264F536A">
      <w:pPr>
        <w:adjustRightInd w:val="0"/>
        <w:snapToGrid w:val="0"/>
        <w:spacing w:before="156" w:beforeLines="50"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四、我方同意在谈判文件中规定的提交首次响应文件截止时间起</w:t>
      </w:r>
      <w:r>
        <w:rPr>
          <w:rFonts w:hint="eastAsia" w:ascii="宋体" w:hAnsi="宋体" w:cs="Courier New"/>
          <w:color w:val="000000" w:themeColor="text1"/>
          <w:szCs w:val="21"/>
          <w:u w:val="single"/>
          <w:lang w:val="en-US" w:eastAsia="zh-CN"/>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日内(响应文件有效期)遵守本响应文件中的承诺且在此期限期满之前均具有法律约束力。</w:t>
      </w:r>
    </w:p>
    <w:p w14:paraId="47544293">
      <w:pPr>
        <w:adjustRightInd w:val="0"/>
        <w:snapToGrid w:val="0"/>
        <w:spacing w:before="156" w:beforeLines="50"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五、我方承诺遵守《政府采购法》及实施条例、《政府采购非招标方式管理办法》（财政部第74号令）的有关规定，保证在获得成交资格后，按照谈判文件确定的事项签订政府采购合同，履行双方所签订的合同，并承担合同规定的责任和义务。</w:t>
      </w:r>
    </w:p>
    <w:p w14:paraId="1E7D4C6E">
      <w:pPr>
        <w:adjustRightInd w:val="0"/>
        <w:snapToGrid w:val="0"/>
        <w:spacing w:before="156" w:beforeLines="50"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六、我方承诺在参与竞争性谈判过程中，若出现《政府采购法》第七十七条、《政府采购法实施条例》第七十二条和《政府采购非招标方式管理办法》第五十四条规定之情形，我方同意接受条款规定作出的处罚。</w:t>
      </w:r>
    </w:p>
    <w:p w14:paraId="3C68375C">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七、我方的联系方式：</w:t>
      </w:r>
    </w:p>
    <w:p w14:paraId="51C335BD">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；邮编：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；电话：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；电子邮箱：</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18B706D1">
      <w:pPr>
        <w:adjustRightInd w:val="0"/>
        <w:snapToGrid w:val="0"/>
        <w:spacing w:before="156" w:beforeLines="50" w:line="360" w:lineRule="auto"/>
        <w:rPr>
          <w:rFonts w:ascii="宋体" w:hAnsi="宋体" w:cs="Courier New"/>
          <w:color w:val="000000" w:themeColor="text1"/>
          <w:szCs w:val="21"/>
          <w14:textFill>
            <w14:solidFill>
              <w14:schemeClr w14:val="tx1"/>
            </w14:solidFill>
          </w14:textFill>
        </w:rPr>
      </w:pPr>
    </w:p>
    <w:p w14:paraId="6A9EB449">
      <w:pPr>
        <w:adjustRightInd w:val="0"/>
        <w:snapToGrid w:val="0"/>
        <w:spacing w:before="156" w:beforeLines="50" w:line="360" w:lineRule="auto"/>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供应商名称(盖单位公章)：</w:t>
      </w:r>
    </w:p>
    <w:p w14:paraId="32E331E0">
      <w:pPr>
        <w:adjustRightInd w:val="0"/>
        <w:snapToGrid w:val="0"/>
        <w:spacing w:before="156" w:beforeLines="50" w:line="360" w:lineRule="auto"/>
        <w:rPr>
          <w:rFonts w:ascii="宋体" w:hAnsi="宋体"/>
          <w:color w:val="000000" w:themeColor="text1"/>
          <w:szCs w:val="21"/>
          <w:u w:val="single"/>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或其授权的代理人（签字或印章）：</w:t>
      </w:r>
    </w:p>
    <w:p w14:paraId="18A6F54E">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5B127778">
      <w:pPr>
        <w:keepNext w:val="0"/>
        <w:keepLines w:val="0"/>
        <w:widowControl/>
        <w:suppressLineNumbers w:val="0"/>
        <w:adjustRightInd w:val="0"/>
        <w:spacing w:before="0" w:beforeLines="50" w:beforeAutospacing="0" w:after="0" w:afterAutospacing="1" w:line="360" w:lineRule="auto"/>
        <w:ind w:left="0" w:right="0"/>
        <w:jc w:val="center"/>
        <w:outlineLvl w:val="2"/>
        <w:rPr>
          <w:rStyle w:val="28"/>
          <w:rFonts w:hint="eastAsia" w:ascii="黑体" w:hAnsi="宋体" w:eastAsia="黑体" w:cs="黑体"/>
          <w:kern w:val="0"/>
          <w:sz w:val="28"/>
          <w:szCs w:val="28"/>
          <w:lang w:val="en-US" w:eastAsia="zh-CN" w:bidi="ar"/>
        </w:rPr>
      </w:pPr>
    </w:p>
    <w:p w14:paraId="7A8ABB02">
      <w:pPr>
        <w:keepNext w:val="0"/>
        <w:keepLines w:val="0"/>
        <w:widowControl/>
        <w:suppressLineNumbers w:val="0"/>
        <w:adjustRightInd w:val="0"/>
        <w:spacing w:before="0" w:beforeLines="50" w:beforeAutospacing="0" w:after="0" w:afterAutospacing="1" w:line="360" w:lineRule="auto"/>
        <w:ind w:left="0" w:right="0"/>
        <w:jc w:val="center"/>
        <w:outlineLvl w:val="2"/>
        <w:rPr>
          <w:rStyle w:val="28"/>
          <w:rFonts w:hint="eastAsia" w:ascii="黑体" w:hAnsi="宋体" w:eastAsia="黑体" w:cs="黑体"/>
          <w:kern w:val="0"/>
          <w:sz w:val="28"/>
          <w:szCs w:val="28"/>
          <w:lang w:val="en-US" w:eastAsia="zh-CN" w:bidi="ar"/>
        </w:rPr>
      </w:pPr>
    </w:p>
    <w:p w14:paraId="62D3E3C0">
      <w:pPr>
        <w:keepNext w:val="0"/>
        <w:keepLines w:val="0"/>
        <w:widowControl/>
        <w:suppressLineNumbers w:val="0"/>
        <w:adjustRightInd w:val="0"/>
        <w:spacing w:before="0" w:beforeLines="50" w:beforeAutospacing="0" w:after="0" w:afterAutospacing="1" w:line="360" w:lineRule="auto"/>
        <w:ind w:left="0" w:right="0"/>
        <w:jc w:val="center"/>
        <w:outlineLvl w:val="2"/>
      </w:pPr>
      <w:r>
        <w:rPr>
          <w:rStyle w:val="28"/>
          <w:rFonts w:hint="eastAsia" w:ascii="黑体" w:hAnsi="宋体" w:eastAsia="黑体" w:cs="黑体"/>
          <w:kern w:val="0"/>
          <w:sz w:val="28"/>
          <w:szCs w:val="28"/>
          <w:lang w:val="en-US" w:eastAsia="zh-CN" w:bidi="ar"/>
        </w:rPr>
        <w:t>供应商资格声明（格式）</w:t>
      </w:r>
    </w:p>
    <w:p w14:paraId="639376BC">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Times New Roman"/>
          <w:kern w:val="2"/>
          <w:sz w:val="21"/>
          <w:szCs w:val="21"/>
          <w:lang w:val="en-US" w:eastAsia="zh-CN" w:bidi="ar"/>
        </w:rPr>
        <w:t>致</w:t>
      </w:r>
      <w:r>
        <w:rPr>
          <w:rFonts w:hint="eastAsia" w:ascii="宋体" w:hAnsi="宋体" w:eastAsia="宋体" w:cs="宋体"/>
          <w:kern w:val="0"/>
          <w:sz w:val="21"/>
          <w:szCs w:val="21"/>
          <w:u w:val="single"/>
          <w:lang w:val="en-US" w:eastAsia="zh-CN" w:bidi="ar"/>
        </w:rPr>
        <w:t>            </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(采购人、采购代理机构)：</w:t>
      </w:r>
    </w:p>
    <w:p w14:paraId="7287240A">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按照《中华人民共和国政府采购法》第二十二条和招标文件的规定，我单位郑重声明如下：</w:t>
      </w:r>
    </w:p>
    <w:p w14:paraId="05748619">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一、我单位是按照中华人民共和国法律规定登记注册的，注册地点为</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，全称为</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，统一社会信用代码为</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 ，法定代表人（单位负责人）为</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，具有独立承担民事责任的能力。</w:t>
      </w:r>
    </w:p>
    <w:p w14:paraId="3C174925">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二、我单位具有良好的商业信誉和健全的财务会计制度。</w:t>
      </w:r>
    </w:p>
    <w:p w14:paraId="403039C1">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三、我单位依法进行纳税和社会保险申报并实际履行了义务。</w:t>
      </w:r>
    </w:p>
    <w:p w14:paraId="09B7554B">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四、我单位具有履行本项目采购合同所必需的设备和专业技术能力。</w:t>
      </w:r>
    </w:p>
    <w:p w14:paraId="51FCF25C">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五、我单位在参加采购项目政府采购活动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24BB4577">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六、我单位未因违法经营被政府采购监管部门禁止参加政府采购活动（禁止期限已经届满的除外）。</w:t>
      </w:r>
    </w:p>
    <w:p w14:paraId="433A0178">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七、我单位具备法律、行政法规规定的其他条件。</w:t>
      </w:r>
    </w:p>
    <w:p w14:paraId="0FAA2976">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八、与我单位存在“单位负责人为同一人或者存在直接控股、管理关系”的其他法人单位信息如下（如无，填写“无”）：</w:t>
      </w:r>
    </w:p>
    <w:p w14:paraId="78F942F3">
      <w:pPr>
        <w:keepNext w:val="0"/>
        <w:keepLines w:val="0"/>
        <w:widowControl/>
        <w:suppressLineNumbers w:val="0"/>
        <w:adjustRightInd w:val="0"/>
        <w:spacing w:before="0" w:beforeLines="50" w:beforeAutospacing="0" w:after="0" w:afterAutospacing="1" w:line="360" w:lineRule="auto"/>
        <w:ind w:left="0" w:right="0" w:firstLine="420" w:firstLineChars="200"/>
        <w:jc w:val="left"/>
      </w:pPr>
      <w:r>
        <w:rPr>
          <w:rFonts w:hint="eastAsia" w:ascii="宋体" w:hAnsi="宋体" w:eastAsia="宋体" w:cs="宋体"/>
          <w:kern w:val="0"/>
          <w:sz w:val="21"/>
          <w:szCs w:val="21"/>
          <w:lang w:val="en-US" w:eastAsia="zh-CN" w:bidi="ar"/>
        </w:rPr>
        <w:t>1、与我单位的法定代表人（单位负责人）为同一人的其他法人单位如下：</w:t>
      </w:r>
      <w:r>
        <w:rPr>
          <w:rFonts w:hint="eastAsia" w:ascii="宋体" w:hAnsi="宋体" w:eastAsia="宋体" w:cs="宋体"/>
          <w:kern w:val="0"/>
          <w:sz w:val="21"/>
          <w:szCs w:val="21"/>
          <w:u w:val="single"/>
          <w:lang w:val="en-US" w:eastAsia="zh-CN" w:bidi="ar"/>
        </w:rPr>
        <w:t>        </w:t>
      </w:r>
    </w:p>
    <w:p w14:paraId="27E19E02">
      <w:pPr>
        <w:keepNext w:val="0"/>
        <w:keepLines w:val="0"/>
        <w:widowControl/>
        <w:suppressLineNumbers w:val="0"/>
        <w:adjustRightInd w:val="0"/>
        <w:spacing w:before="0" w:beforeLines="50" w:beforeAutospacing="0" w:after="0" w:afterAutospacing="1" w:line="360" w:lineRule="auto"/>
        <w:ind w:left="0" w:right="0" w:firstLine="420" w:firstLineChars="200"/>
        <w:jc w:val="left"/>
      </w:pPr>
      <w:r>
        <w:rPr>
          <w:rFonts w:hint="eastAsia" w:ascii="宋体" w:hAnsi="宋体" w:eastAsia="宋体" w:cs="宋体"/>
          <w:kern w:val="0"/>
          <w:sz w:val="21"/>
          <w:szCs w:val="21"/>
          <w:lang w:val="en-US" w:eastAsia="zh-CN" w:bidi="ar"/>
        </w:rPr>
        <w:t>2、我单位直接控股的其他法人单位如下：</w:t>
      </w:r>
      <w:r>
        <w:rPr>
          <w:rFonts w:hint="eastAsia" w:ascii="宋体" w:hAnsi="宋体" w:eastAsia="宋体" w:cs="宋体"/>
          <w:kern w:val="0"/>
          <w:sz w:val="21"/>
          <w:szCs w:val="21"/>
          <w:u w:val="single"/>
          <w:lang w:val="en-US" w:eastAsia="zh-CN" w:bidi="ar"/>
        </w:rPr>
        <w:t>        </w:t>
      </w:r>
    </w:p>
    <w:p w14:paraId="23F7CB7F">
      <w:pPr>
        <w:keepNext w:val="0"/>
        <w:keepLines w:val="0"/>
        <w:widowControl/>
        <w:suppressLineNumbers w:val="0"/>
        <w:adjustRightInd w:val="0"/>
        <w:spacing w:before="0" w:beforeLines="50" w:beforeAutospacing="0" w:after="0" w:afterAutospacing="1" w:line="360" w:lineRule="auto"/>
        <w:ind w:left="0" w:right="0" w:firstLine="420" w:firstLineChars="200"/>
        <w:jc w:val="left"/>
      </w:pPr>
      <w:r>
        <w:rPr>
          <w:rFonts w:hint="eastAsia" w:ascii="宋体" w:hAnsi="宋体" w:eastAsia="宋体" w:cs="宋体"/>
          <w:kern w:val="0"/>
          <w:sz w:val="21"/>
          <w:szCs w:val="21"/>
          <w:lang w:val="en-US" w:eastAsia="zh-CN" w:bidi="ar"/>
        </w:rPr>
        <w:t>3、与我单位存在管理关系的其他法人单位如下：</w:t>
      </w:r>
      <w:r>
        <w:rPr>
          <w:rFonts w:hint="eastAsia" w:ascii="宋体" w:hAnsi="宋体" w:eastAsia="宋体" w:cs="宋体"/>
          <w:kern w:val="0"/>
          <w:sz w:val="21"/>
          <w:szCs w:val="21"/>
          <w:u w:val="single"/>
          <w:lang w:val="en-US" w:eastAsia="zh-CN" w:bidi="ar"/>
        </w:rPr>
        <w:t>        </w:t>
      </w:r>
    </w:p>
    <w:p w14:paraId="1616C539">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九、我单位不属于为本项目提供整体设计、规范编制或者项目管理、监理、检测等服务的投标人。</w:t>
      </w:r>
    </w:p>
    <w:p w14:paraId="15535219">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十、我单位无以下不良信用记录情形：</w:t>
      </w:r>
    </w:p>
    <w:p w14:paraId="1A57313D">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1、在“信用中国”网站被列入失信被执行人和重大税收违法案件当事人名单；</w:t>
      </w:r>
    </w:p>
    <w:p w14:paraId="7ECC96BC">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2、在“中国政府采购网”网站被列入政府采购严重违法失信行为记录名单；</w:t>
      </w:r>
    </w:p>
    <w:p w14:paraId="7AF4D5AE">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3、不符合《政府采购法》第二十二条规定的条件。</w:t>
      </w:r>
    </w:p>
    <w:p w14:paraId="35622712">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我单位保证上述声明的事项都是真实的，如有虚假，我单位愿意承担相应的法律责任，并承担因此所造成的一切损失。</w:t>
      </w:r>
    </w:p>
    <w:p w14:paraId="2734EAD4">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我单位保证随时按照要求提供能够证明上述声明事项真实性的任何有效文件。</w:t>
      </w:r>
    </w:p>
    <w:p w14:paraId="713A1464">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1"/>
          <w:szCs w:val="21"/>
          <w:lang w:val="en-US" w:eastAsia="zh-CN" w:bidi="ar"/>
        </w:rPr>
        <w:t> </w:t>
      </w:r>
    </w:p>
    <w:p w14:paraId="13C93A56">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1"/>
          <w:szCs w:val="21"/>
          <w:lang w:val="en-US" w:eastAsia="zh-CN" w:bidi="ar"/>
        </w:rPr>
        <w:t> </w:t>
      </w:r>
    </w:p>
    <w:p w14:paraId="18A25A71">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1"/>
          <w:szCs w:val="21"/>
          <w:lang w:val="en-US" w:eastAsia="zh-CN" w:bidi="ar"/>
        </w:rPr>
        <w:t>供应商名称（盖单位公章）：</w:t>
      </w:r>
    </w:p>
    <w:p w14:paraId="6B18A22B">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1"/>
          <w:szCs w:val="21"/>
          <w:lang w:val="en-US" w:eastAsia="zh-CN" w:bidi="ar"/>
        </w:rPr>
        <w:t>法定代表人（单位负责人）或委托代理人：（签字或印章）</w:t>
      </w:r>
    </w:p>
    <w:p w14:paraId="00BA5DFA">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1"/>
          <w:szCs w:val="21"/>
          <w:lang w:val="en-US" w:eastAsia="zh-CN" w:bidi="ar"/>
        </w:rPr>
        <w:t>日期：   年 月 日</w:t>
      </w:r>
    </w:p>
    <w:p w14:paraId="1C261720"/>
    <w:p w14:paraId="715B4A49">
      <w:pPr>
        <w:pStyle w:val="2"/>
        <w:sectPr>
          <w:pgSz w:w="11906" w:h="16838"/>
          <w:pgMar w:top="1474" w:right="1474" w:bottom="1474" w:left="1588" w:header="851" w:footer="992" w:gutter="0"/>
          <w:cols w:space="720" w:num="1"/>
          <w:docGrid w:type="lines" w:linePitch="312" w:charSpace="0"/>
        </w:sectPr>
      </w:pPr>
    </w:p>
    <w:p w14:paraId="43434EE7">
      <w:pPr>
        <w:keepNext/>
        <w:keepLines/>
        <w:spacing w:line="360" w:lineRule="auto"/>
        <w:jc w:val="center"/>
        <w:outlineLvl w:val="1"/>
        <w:rPr>
          <w:rFonts w:ascii="黑体" w:hAnsi="黑体" w:eastAsia="黑体"/>
          <w:b/>
          <w:bCs/>
          <w:color w:val="auto"/>
          <w:sz w:val="28"/>
          <w:szCs w:val="28"/>
        </w:rPr>
      </w:pPr>
      <w:bookmarkStart w:id="183" w:name="_Toc1389"/>
      <w:bookmarkStart w:id="184" w:name="_Toc107998028"/>
      <w:r>
        <w:rPr>
          <w:rFonts w:hint="eastAsia" w:ascii="黑体" w:hAnsi="黑体" w:eastAsia="黑体"/>
          <w:b/>
          <w:bCs/>
          <w:color w:val="auto"/>
          <w:sz w:val="28"/>
          <w:szCs w:val="28"/>
        </w:rPr>
        <w:t>一、报价表及报价文件(格式)</w:t>
      </w:r>
      <w:bookmarkEnd w:id="183"/>
      <w:bookmarkEnd w:id="184"/>
    </w:p>
    <w:p w14:paraId="632273FD">
      <w:pPr>
        <w:keepNext/>
        <w:keepLines/>
        <w:spacing w:before="260" w:after="260" w:line="416" w:lineRule="auto"/>
        <w:outlineLvl w:val="2"/>
        <w:rPr>
          <w:rFonts w:ascii="宋体" w:hAnsi="宋体"/>
          <w:b/>
          <w:bCs/>
          <w:color w:val="auto"/>
          <w:szCs w:val="21"/>
        </w:rPr>
      </w:pPr>
      <w:bookmarkStart w:id="185" w:name="_Toc107998029"/>
      <w:bookmarkStart w:id="186" w:name="_Toc28086"/>
      <w:r>
        <w:rPr>
          <w:rFonts w:hint="eastAsia" w:ascii="宋体" w:hAnsi="宋体"/>
          <w:b/>
          <w:bCs/>
          <w:color w:val="auto"/>
          <w:szCs w:val="21"/>
        </w:rPr>
        <w:t>附件</w:t>
      </w:r>
      <w:r>
        <w:rPr>
          <w:rFonts w:ascii="宋体" w:hAnsi="宋体"/>
          <w:b/>
          <w:bCs/>
          <w:color w:val="auto"/>
          <w:szCs w:val="21"/>
        </w:rPr>
        <w:t>1</w:t>
      </w:r>
      <w:r>
        <w:rPr>
          <w:rFonts w:hint="eastAsia" w:ascii="宋体" w:hAnsi="宋体"/>
          <w:b/>
          <w:bCs/>
          <w:color w:val="auto"/>
          <w:szCs w:val="21"/>
        </w:rPr>
        <w:t>-1 报价表</w:t>
      </w:r>
      <w:bookmarkEnd w:id="185"/>
      <w:bookmarkEnd w:id="186"/>
    </w:p>
    <w:p w14:paraId="229295B5">
      <w:pPr>
        <w:jc w:val="center"/>
        <w:rPr>
          <w:rFonts w:ascii="黑体" w:hAnsi="黑体" w:eastAsia="黑体"/>
          <w:b/>
          <w:color w:val="auto"/>
          <w:sz w:val="28"/>
          <w:szCs w:val="28"/>
        </w:rPr>
      </w:pPr>
      <w:r>
        <w:rPr>
          <w:rFonts w:hint="eastAsia" w:ascii="黑体" w:hAnsi="黑体" w:eastAsia="黑体"/>
          <w:b/>
          <w:color w:val="auto"/>
          <w:sz w:val="28"/>
          <w:szCs w:val="28"/>
        </w:rPr>
        <w:t>报价表</w:t>
      </w:r>
    </w:p>
    <w:p w14:paraId="506640BE">
      <w:pPr>
        <w:adjustRightInd w:val="0"/>
        <w:snapToGrid w:val="0"/>
        <w:spacing w:line="360" w:lineRule="auto"/>
        <w:ind w:left="-88" w:leftChars="-42"/>
        <w:jc w:val="center"/>
        <w:rPr>
          <w:rFonts w:ascii="仿宋_GB2312" w:hAnsi="宋体" w:eastAsia="仿宋_GB2312"/>
          <w:color w:val="auto"/>
          <w:sz w:val="24"/>
        </w:rPr>
      </w:pPr>
    </w:p>
    <w:p w14:paraId="26133FD9">
      <w:pPr>
        <w:adjustRightInd w:val="0"/>
        <w:snapToGrid w:val="0"/>
        <w:spacing w:before="156" w:beforeLines="50" w:line="360" w:lineRule="auto"/>
        <w:rPr>
          <w:rFonts w:ascii="宋体" w:hAnsi="宋体"/>
          <w:color w:val="auto"/>
          <w:szCs w:val="21"/>
        </w:rPr>
      </w:pPr>
      <w:r>
        <w:rPr>
          <w:rFonts w:hint="eastAsia" w:ascii="宋体" w:hAnsi="宋体"/>
          <w:color w:val="auto"/>
          <w:szCs w:val="21"/>
          <w:lang w:eastAsia="zh-CN"/>
        </w:rPr>
        <w:t>采购编号</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项目名称：</w:t>
      </w:r>
      <w:r>
        <w:rPr>
          <w:rFonts w:hint="eastAsia" w:ascii="宋体" w:hAnsi="宋体"/>
          <w:color w:val="auto"/>
          <w:szCs w:val="21"/>
          <w:u w:val="single"/>
        </w:rPr>
        <w:t xml:space="preserve">                      </w:t>
      </w:r>
    </w:p>
    <w:p w14:paraId="78BEBA2F">
      <w:pPr>
        <w:adjustRightInd w:val="0"/>
        <w:snapToGrid w:val="0"/>
        <w:spacing w:before="156" w:beforeLines="50" w:line="360" w:lineRule="auto"/>
        <w:rPr>
          <w:rFonts w:ascii="宋体" w:hAnsi="宋体"/>
          <w:b/>
          <w:color w:val="auto"/>
          <w:szCs w:val="21"/>
        </w:rPr>
      </w:pPr>
      <w:r>
        <w:rPr>
          <w:rFonts w:hint="eastAsia" w:ascii="宋体" w:hAnsi="宋体"/>
          <w:color w:val="auto"/>
          <w:szCs w:val="21"/>
        </w:rPr>
        <w:t>包号：</w:t>
      </w:r>
      <w:r>
        <w:rPr>
          <w:rFonts w:hint="eastAsia" w:ascii="宋体" w:hAnsi="宋体"/>
          <w:color w:val="auto"/>
          <w:szCs w:val="21"/>
          <w:u w:val="single"/>
        </w:rPr>
        <w:t xml:space="preserve">                      </w:t>
      </w:r>
      <w:r>
        <w:rPr>
          <w:rFonts w:hint="eastAsia" w:ascii="宋体" w:hAnsi="宋体"/>
          <w:color w:val="auto"/>
          <w:szCs w:val="21"/>
        </w:rPr>
        <w:t xml:space="preserve">                       包名称：</w:t>
      </w:r>
      <w:r>
        <w:rPr>
          <w:rFonts w:hint="eastAsia" w:ascii="宋体" w:hAnsi="宋体"/>
          <w:color w:val="auto"/>
          <w:szCs w:val="21"/>
          <w:u w:val="single"/>
        </w:rPr>
        <w:t xml:space="preserve">                        </w:t>
      </w:r>
    </w:p>
    <w:tbl>
      <w:tblPr>
        <w:tblStyle w:val="25"/>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14:paraId="53A241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14:paraId="53AF8CBA">
            <w:pPr>
              <w:adjustRightInd w:val="0"/>
              <w:snapToGrid w:val="0"/>
              <w:spacing w:before="156" w:beforeLines="50" w:line="360" w:lineRule="auto"/>
              <w:jc w:val="center"/>
              <w:rPr>
                <w:rFonts w:ascii="宋体" w:hAnsi="宋体"/>
                <w:b/>
                <w:color w:val="auto"/>
                <w:kern w:val="0"/>
                <w:sz w:val="20"/>
                <w:szCs w:val="21"/>
              </w:rPr>
            </w:pPr>
            <w:r>
              <w:rPr>
                <w:rFonts w:hint="eastAsia" w:ascii="宋体" w:hAnsi="宋体"/>
                <w:b/>
                <w:color w:val="auto"/>
                <w:kern w:val="0"/>
                <w:szCs w:val="21"/>
              </w:rPr>
              <w:t>报价</w:t>
            </w:r>
          </w:p>
        </w:tc>
        <w:tc>
          <w:tcPr>
            <w:tcW w:w="3119" w:type="dxa"/>
            <w:vAlign w:val="center"/>
          </w:tcPr>
          <w:p w14:paraId="3462C6AA">
            <w:pPr>
              <w:adjustRightInd w:val="0"/>
              <w:snapToGrid w:val="0"/>
              <w:spacing w:before="156" w:beforeLines="50" w:line="360" w:lineRule="auto"/>
              <w:jc w:val="center"/>
              <w:rPr>
                <w:rFonts w:ascii="宋体" w:hAnsi="宋体"/>
                <w:b/>
                <w:color w:val="auto"/>
                <w:kern w:val="0"/>
                <w:szCs w:val="21"/>
              </w:rPr>
            </w:pPr>
            <w:r>
              <w:rPr>
                <w:rFonts w:hint="eastAsia" w:ascii="宋体" w:hAnsi="宋体"/>
                <w:b/>
                <w:color w:val="auto"/>
                <w:kern w:val="0"/>
                <w:szCs w:val="21"/>
              </w:rPr>
              <w:t>其他内容</w:t>
            </w:r>
          </w:p>
        </w:tc>
      </w:tr>
      <w:tr w14:paraId="7AA556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14:paraId="5EB0349A">
            <w:pPr>
              <w:adjustRightInd w:val="0"/>
              <w:snapToGrid w:val="0"/>
              <w:spacing w:before="156" w:beforeLines="50" w:line="360" w:lineRule="auto"/>
              <w:jc w:val="center"/>
              <w:rPr>
                <w:rFonts w:ascii="宋体" w:hAnsi="宋体"/>
                <w:color w:val="auto"/>
                <w:kern w:val="0"/>
                <w:szCs w:val="21"/>
              </w:rPr>
            </w:pPr>
            <w:r>
              <w:rPr>
                <w:rFonts w:hint="eastAsia" w:ascii="宋体" w:hAnsi="宋体"/>
                <w:color w:val="auto"/>
                <w:kern w:val="0"/>
                <w:szCs w:val="21"/>
              </w:rPr>
              <w:t>小写金额：</w:t>
            </w:r>
            <w:r>
              <w:rPr>
                <w:rFonts w:hint="eastAsia" w:ascii="宋体" w:hAnsi="宋体"/>
                <w:color w:val="auto"/>
                <w:kern w:val="0"/>
                <w:szCs w:val="21"/>
                <w:u w:val="single"/>
              </w:rPr>
              <w:t xml:space="preserve">               </w:t>
            </w:r>
            <w:r>
              <w:rPr>
                <w:rFonts w:hint="eastAsia" w:ascii="宋体" w:hAnsi="宋体"/>
                <w:color w:val="auto"/>
                <w:kern w:val="0"/>
                <w:szCs w:val="21"/>
              </w:rPr>
              <w:t>（</w:t>
            </w:r>
            <w:r>
              <w:rPr>
                <w:rFonts w:hint="eastAsia" w:ascii="宋体" w:hAnsi="宋体"/>
                <w:color w:val="auto"/>
                <w:kern w:val="0"/>
                <w:sz w:val="20"/>
                <w:szCs w:val="21"/>
              </w:rPr>
              <w:t>人民币元</w:t>
            </w:r>
            <w:r>
              <w:rPr>
                <w:rFonts w:hint="eastAsia" w:ascii="宋体" w:hAnsi="宋体"/>
                <w:color w:val="auto"/>
                <w:kern w:val="0"/>
                <w:szCs w:val="21"/>
              </w:rPr>
              <w:t>）</w:t>
            </w:r>
          </w:p>
          <w:p w14:paraId="462EB75F">
            <w:pPr>
              <w:adjustRightInd w:val="0"/>
              <w:snapToGrid w:val="0"/>
              <w:spacing w:before="156" w:beforeLines="50" w:line="360" w:lineRule="auto"/>
              <w:jc w:val="center"/>
              <w:rPr>
                <w:rFonts w:ascii="宋体" w:hAnsi="宋体"/>
                <w:color w:val="auto"/>
                <w:kern w:val="0"/>
                <w:szCs w:val="21"/>
                <w:u w:val="single"/>
              </w:rPr>
            </w:pPr>
            <w:r>
              <w:rPr>
                <w:rFonts w:hint="eastAsia" w:ascii="宋体" w:hAnsi="宋体"/>
                <w:color w:val="auto"/>
                <w:kern w:val="0"/>
                <w:szCs w:val="21"/>
              </w:rPr>
              <w:t>大写金额：</w:t>
            </w:r>
            <w:r>
              <w:rPr>
                <w:rFonts w:hint="eastAsia" w:ascii="宋体" w:hAnsi="宋体"/>
                <w:color w:val="auto"/>
                <w:kern w:val="0"/>
                <w:szCs w:val="21"/>
                <w:u w:val="single"/>
              </w:rPr>
              <w:t xml:space="preserve">              </w:t>
            </w:r>
            <w:r>
              <w:rPr>
                <w:rFonts w:hint="eastAsia" w:ascii="宋体" w:hAnsi="宋体"/>
                <w:color w:val="auto"/>
                <w:kern w:val="0"/>
                <w:szCs w:val="21"/>
              </w:rPr>
              <w:t>（</w:t>
            </w:r>
            <w:r>
              <w:rPr>
                <w:rFonts w:hint="eastAsia" w:ascii="宋体" w:hAnsi="宋体"/>
                <w:color w:val="auto"/>
                <w:kern w:val="0"/>
                <w:sz w:val="20"/>
                <w:szCs w:val="21"/>
              </w:rPr>
              <w:t>人民币元</w:t>
            </w:r>
            <w:r>
              <w:rPr>
                <w:rFonts w:hint="eastAsia" w:ascii="宋体" w:hAnsi="宋体"/>
                <w:color w:val="auto"/>
                <w:kern w:val="0"/>
                <w:szCs w:val="21"/>
              </w:rPr>
              <w:t>）</w:t>
            </w:r>
          </w:p>
          <w:p w14:paraId="33FDE077">
            <w:pPr>
              <w:adjustRightInd w:val="0"/>
              <w:snapToGrid w:val="0"/>
              <w:spacing w:before="156" w:beforeLines="50" w:line="360" w:lineRule="auto"/>
              <w:jc w:val="center"/>
              <w:rPr>
                <w:rFonts w:ascii="宋体" w:hAnsi="宋体"/>
                <w:color w:val="auto"/>
                <w:kern w:val="0"/>
                <w:sz w:val="20"/>
                <w:szCs w:val="21"/>
              </w:rPr>
            </w:pPr>
            <w:r>
              <w:rPr>
                <w:rFonts w:hint="eastAsia" w:ascii="宋体" w:hAnsi="宋体"/>
                <w:color w:val="auto"/>
                <w:kern w:val="0"/>
                <w:szCs w:val="21"/>
              </w:rPr>
              <w:t>（</w:t>
            </w:r>
            <w:r>
              <w:rPr>
                <w:rFonts w:hint="eastAsia" w:ascii="黑体" w:hAnsi="黑体" w:eastAsia="黑体"/>
                <w:color w:val="auto"/>
                <w:kern w:val="0"/>
                <w:sz w:val="24"/>
              </w:rPr>
              <w:t>大写金额与小写金额不一致时，以大写金额为准</w:t>
            </w:r>
            <w:r>
              <w:rPr>
                <w:rFonts w:hint="eastAsia" w:ascii="宋体" w:hAnsi="宋体"/>
                <w:color w:val="auto"/>
                <w:kern w:val="0"/>
                <w:szCs w:val="21"/>
              </w:rPr>
              <w:t>）</w:t>
            </w:r>
          </w:p>
        </w:tc>
        <w:tc>
          <w:tcPr>
            <w:tcW w:w="3119" w:type="dxa"/>
            <w:vAlign w:val="center"/>
          </w:tcPr>
          <w:p w14:paraId="386B0AAF">
            <w:pPr>
              <w:adjustRightInd w:val="0"/>
              <w:snapToGrid w:val="0"/>
              <w:spacing w:before="156" w:beforeLines="50" w:line="360" w:lineRule="auto"/>
              <w:jc w:val="center"/>
              <w:rPr>
                <w:rFonts w:ascii="宋体" w:hAnsi="宋体"/>
                <w:color w:val="auto"/>
                <w:kern w:val="0"/>
                <w:szCs w:val="21"/>
              </w:rPr>
            </w:pPr>
          </w:p>
        </w:tc>
      </w:tr>
    </w:tbl>
    <w:p w14:paraId="78C44D2C">
      <w:pPr>
        <w:adjustRightInd w:val="0"/>
        <w:snapToGrid w:val="0"/>
        <w:spacing w:before="156" w:beforeLines="50" w:line="360" w:lineRule="auto"/>
        <w:rPr>
          <w:rFonts w:ascii="宋体" w:hAnsi="宋体"/>
          <w:color w:val="auto"/>
          <w:szCs w:val="21"/>
        </w:rPr>
      </w:pPr>
      <w:r>
        <w:rPr>
          <w:rFonts w:hint="eastAsia" w:ascii="宋体" w:hAnsi="宋体"/>
          <w:b w:val="0"/>
          <w:bCs/>
          <w:color w:val="auto"/>
          <w:szCs w:val="21"/>
        </w:rPr>
        <w:t>注：</w:t>
      </w:r>
      <w:r>
        <w:rPr>
          <w:rFonts w:hint="eastAsia" w:ascii="宋体" w:hAnsi="宋体"/>
          <w:color w:val="auto"/>
          <w:szCs w:val="21"/>
        </w:rPr>
        <w:t>本表须按包填写，一个“包号”一份。</w:t>
      </w:r>
    </w:p>
    <w:p w14:paraId="4C468B42">
      <w:pPr>
        <w:adjustRightInd w:val="0"/>
        <w:snapToGrid w:val="0"/>
        <w:spacing w:before="156" w:beforeLines="50" w:line="360" w:lineRule="auto"/>
        <w:ind w:firstLine="420" w:firstLineChars="200"/>
        <w:rPr>
          <w:rFonts w:ascii="宋体" w:hAnsi="宋体"/>
          <w:color w:val="auto"/>
          <w:szCs w:val="21"/>
        </w:rPr>
      </w:pPr>
    </w:p>
    <w:p w14:paraId="6E43E7CA">
      <w:pPr>
        <w:adjustRightInd w:val="0"/>
        <w:snapToGrid w:val="0"/>
        <w:spacing w:before="156" w:beforeLines="50" w:line="360" w:lineRule="auto"/>
        <w:ind w:firstLine="420" w:firstLineChars="200"/>
        <w:rPr>
          <w:rFonts w:ascii="宋体" w:hAnsi="宋体"/>
          <w:color w:val="auto"/>
          <w:szCs w:val="21"/>
        </w:rPr>
      </w:pPr>
    </w:p>
    <w:p w14:paraId="6E8CE46A">
      <w:pPr>
        <w:adjustRightInd w:val="0"/>
        <w:snapToGrid w:val="0"/>
        <w:spacing w:before="156" w:beforeLines="50" w:line="360" w:lineRule="auto"/>
        <w:ind w:firstLine="420" w:firstLineChars="200"/>
        <w:rPr>
          <w:rFonts w:ascii="宋体" w:hAnsi="宋体"/>
          <w:color w:val="auto"/>
          <w:szCs w:val="21"/>
        </w:rPr>
      </w:pPr>
    </w:p>
    <w:p w14:paraId="136FCEC2">
      <w:pPr>
        <w:adjustRightInd w:val="0"/>
        <w:snapToGrid w:val="0"/>
        <w:spacing w:line="360" w:lineRule="auto"/>
        <w:rPr>
          <w:rFonts w:ascii="宋体" w:hAnsi="宋体"/>
          <w:color w:val="auto"/>
          <w:szCs w:val="21"/>
        </w:rPr>
      </w:pPr>
    </w:p>
    <w:p w14:paraId="24132B38">
      <w:pPr>
        <w:adjustRightInd w:val="0"/>
        <w:snapToGrid w:val="0"/>
        <w:spacing w:line="360" w:lineRule="auto"/>
        <w:rPr>
          <w:rFonts w:ascii="宋体" w:hAnsi="宋体"/>
          <w:color w:val="auto"/>
          <w:szCs w:val="21"/>
        </w:rPr>
      </w:pPr>
      <w:r>
        <w:rPr>
          <w:rFonts w:hint="eastAsia" w:ascii="宋体" w:hAnsi="宋体"/>
          <w:color w:val="auto"/>
          <w:szCs w:val="21"/>
        </w:rPr>
        <w:t>供应商名称（盖单位公章）：</w:t>
      </w:r>
    </w:p>
    <w:p w14:paraId="7BED2BB5">
      <w:pPr>
        <w:adjustRightInd w:val="0"/>
        <w:snapToGrid w:val="0"/>
        <w:spacing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p>
    <w:p w14:paraId="6190A742">
      <w:pPr>
        <w:adjustRightInd w:val="0"/>
        <w:snapToGrid w:val="0"/>
        <w:spacing w:line="36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14:paraId="27F64967">
      <w:pPr>
        <w:adjustRightInd w:val="0"/>
        <w:snapToGrid w:val="0"/>
        <w:jc w:val="center"/>
        <w:rPr>
          <w:rFonts w:ascii="黑体" w:hAnsi="黑体" w:eastAsia="黑体"/>
          <w:bCs/>
          <w:color w:val="auto"/>
          <w:sz w:val="30"/>
          <w:szCs w:val="30"/>
        </w:rPr>
        <w:sectPr>
          <w:pgSz w:w="11906" w:h="16838"/>
          <w:pgMar w:top="1418" w:right="1418" w:bottom="1134" w:left="1418" w:header="851" w:footer="992" w:gutter="0"/>
          <w:cols w:space="720" w:num="1"/>
          <w:docGrid w:type="linesAndChars" w:linePitch="312" w:charSpace="0"/>
        </w:sectPr>
      </w:pPr>
    </w:p>
    <w:p w14:paraId="3B0F0C67">
      <w:pPr>
        <w:keepNext/>
        <w:keepLines/>
        <w:adjustRightInd w:val="0"/>
        <w:snapToGrid w:val="0"/>
        <w:spacing w:before="156" w:beforeLines="50" w:line="360" w:lineRule="auto"/>
        <w:outlineLvl w:val="2"/>
        <w:rPr>
          <w:rFonts w:ascii="宋体" w:hAnsi="宋体"/>
          <w:b/>
          <w:bCs/>
          <w:color w:val="auto"/>
          <w:szCs w:val="21"/>
        </w:rPr>
      </w:pPr>
      <w:bookmarkStart w:id="187" w:name="_Toc8671"/>
      <w:bookmarkStart w:id="188" w:name="_Toc107998030"/>
      <w:r>
        <w:rPr>
          <w:rFonts w:hint="eastAsia" w:ascii="宋体" w:hAnsi="宋体"/>
          <w:b/>
          <w:bCs/>
          <w:color w:val="auto"/>
          <w:szCs w:val="21"/>
        </w:rPr>
        <w:t>附件</w:t>
      </w:r>
      <w:r>
        <w:rPr>
          <w:rFonts w:ascii="宋体" w:hAnsi="宋体"/>
          <w:b/>
          <w:bCs/>
          <w:color w:val="auto"/>
          <w:szCs w:val="21"/>
        </w:rPr>
        <w:t>1</w:t>
      </w:r>
      <w:r>
        <w:rPr>
          <w:rFonts w:hint="eastAsia" w:ascii="宋体" w:hAnsi="宋体"/>
          <w:b/>
          <w:bCs/>
          <w:color w:val="auto"/>
          <w:szCs w:val="21"/>
        </w:rPr>
        <w:t>-2分项报价说明</w:t>
      </w:r>
      <w:bookmarkEnd w:id="187"/>
      <w:bookmarkEnd w:id="188"/>
    </w:p>
    <w:p w14:paraId="7C953F2C">
      <w:pPr>
        <w:autoSpaceDE w:val="0"/>
        <w:autoSpaceDN w:val="0"/>
        <w:adjustRightInd w:val="0"/>
        <w:snapToGrid w:val="0"/>
        <w:spacing w:before="156" w:beforeLines="50" w:line="360" w:lineRule="auto"/>
        <w:jc w:val="center"/>
        <w:rPr>
          <w:rFonts w:ascii="宋体" w:hAnsi="宋体" w:cs="微软雅黑"/>
          <w:color w:val="auto"/>
          <w:kern w:val="0"/>
          <w:szCs w:val="21"/>
        </w:rPr>
      </w:pPr>
      <w:r>
        <w:rPr>
          <w:rFonts w:hint="eastAsia" w:ascii="黑体" w:hAnsi="宋体" w:eastAsia="黑体" w:cs="微软雅黑"/>
          <w:b/>
          <w:color w:val="auto"/>
          <w:spacing w:val="-2"/>
          <w:kern w:val="0"/>
          <w:sz w:val="28"/>
          <w:szCs w:val="28"/>
        </w:rPr>
        <w:t>分</w:t>
      </w:r>
      <w:r>
        <w:rPr>
          <w:rFonts w:hint="eastAsia" w:ascii="黑体" w:hAnsi="宋体" w:eastAsia="黑体" w:cs="微软雅黑"/>
          <w:b/>
          <w:color w:val="auto"/>
          <w:kern w:val="0"/>
          <w:sz w:val="28"/>
          <w:szCs w:val="28"/>
        </w:rPr>
        <w:t>项</w:t>
      </w:r>
      <w:r>
        <w:rPr>
          <w:rFonts w:hint="eastAsia" w:ascii="黑体" w:hAnsi="宋体" w:eastAsia="黑体" w:cs="微软雅黑"/>
          <w:b/>
          <w:color w:val="auto"/>
          <w:spacing w:val="-2"/>
          <w:kern w:val="0"/>
          <w:sz w:val="28"/>
          <w:szCs w:val="28"/>
        </w:rPr>
        <w:t>报</w:t>
      </w:r>
      <w:r>
        <w:rPr>
          <w:rFonts w:hint="eastAsia" w:ascii="黑体" w:hAnsi="宋体" w:eastAsia="黑体" w:cs="微软雅黑"/>
          <w:b/>
          <w:color w:val="auto"/>
          <w:kern w:val="0"/>
          <w:sz w:val="28"/>
          <w:szCs w:val="28"/>
        </w:rPr>
        <w:t>价说明</w:t>
      </w:r>
    </w:p>
    <w:p w14:paraId="23A505BD">
      <w:pPr>
        <w:autoSpaceDE w:val="0"/>
        <w:autoSpaceDN w:val="0"/>
        <w:adjustRightInd w:val="0"/>
        <w:snapToGrid w:val="0"/>
        <w:spacing w:before="156" w:beforeLines="50" w:line="360" w:lineRule="auto"/>
        <w:jc w:val="left"/>
        <w:rPr>
          <w:rFonts w:ascii="宋体" w:hAnsi="宋体" w:cs="微软雅黑"/>
          <w:color w:val="auto"/>
          <w:kern w:val="0"/>
          <w:szCs w:val="21"/>
        </w:rPr>
      </w:pPr>
      <w:r>
        <w:rPr>
          <w:rFonts w:hint="eastAsia" w:ascii="宋体" w:hAnsi="宋体" w:cs="微软雅黑"/>
          <w:color w:val="auto"/>
          <w:kern w:val="0"/>
          <w:szCs w:val="21"/>
        </w:rPr>
        <w:t>注：1</w:t>
      </w:r>
      <w:r>
        <w:rPr>
          <w:rFonts w:hint="eastAsia" w:ascii="宋体" w:hAnsi="宋体" w:cs="微软雅黑"/>
          <w:color w:val="auto"/>
          <w:kern w:val="0"/>
          <w:szCs w:val="21"/>
          <w:lang w:val="en-US" w:eastAsia="zh-CN"/>
        </w:rPr>
        <w:t>.</w:t>
      </w:r>
      <w:r>
        <w:rPr>
          <w:rFonts w:hint="eastAsia" w:ascii="宋体" w:hAnsi="宋体" w:cs="微软雅黑"/>
          <w:color w:val="auto"/>
          <w:kern w:val="0"/>
          <w:szCs w:val="21"/>
        </w:rPr>
        <w:t>供应商应按谈判文件第二章相关要求，对本节</w:t>
      </w:r>
      <w:r>
        <w:rPr>
          <w:rFonts w:hint="eastAsia" w:ascii="宋体" w:hAnsi="宋体"/>
          <w:bCs/>
          <w:color w:val="auto"/>
          <w:szCs w:val="21"/>
        </w:rPr>
        <w:t>“</w:t>
      </w:r>
      <w:r>
        <w:rPr>
          <w:rFonts w:hint="eastAsia" w:ascii="宋体" w:hAnsi="宋体" w:cs="微软雅黑"/>
          <w:color w:val="auto"/>
          <w:kern w:val="0"/>
          <w:szCs w:val="21"/>
        </w:rPr>
        <w:t>分项报价明细表</w:t>
      </w:r>
      <w:r>
        <w:rPr>
          <w:rFonts w:hint="eastAsia" w:ascii="宋体" w:hAnsi="宋体"/>
          <w:bCs/>
          <w:color w:val="auto"/>
          <w:szCs w:val="21"/>
        </w:rPr>
        <w:t>”进行</w:t>
      </w:r>
      <w:r>
        <w:rPr>
          <w:rFonts w:hint="eastAsia" w:ascii="宋体" w:hAnsi="宋体" w:cs="微软雅黑"/>
          <w:color w:val="auto"/>
          <w:kern w:val="0"/>
          <w:szCs w:val="21"/>
        </w:rPr>
        <w:t>编制，并说明。</w:t>
      </w:r>
    </w:p>
    <w:p w14:paraId="4395240E">
      <w:pPr>
        <w:autoSpaceDE w:val="0"/>
        <w:autoSpaceDN w:val="0"/>
        <w:adjustRightInd w:val="0"/>
        <w:snapToGrid w:val="0"/>
        <w:spacing w:before="156" w:beforeLines="50" w:line="360" w:lineRule="auto"/>
        <w:ind w:left="0" w:leftChars="0" w:firstLine="420" w:firstLineChars="200"/>
        <w:jc w:val="left"/>
        <w:rPr>
          <w:rFonts w:ascii="宋体" w:hAnsi="宋体" w:cs="微软雅黑"/>
          <w:color w:val="auto"/>
          <w:kern w:val="0"/>
          <w:szCs w:val="21"/>
        </w:rPr>
      </w:pPr>
      <w:r>
        <w:rPr>
          <w:rFonts w:hint="eastAsia" w:ascii="宋体" w:hAnsi="宋体" w:cs="微软雅黑"/>
          <w:color w:val="auto"/>
          <w:kern w:val="0"/>
          <w:szCs w:val="21"/>
        </w:rPr>
        <w:t>2</w:t>
      </w:r>
      <w:r>
        <w:rPr>
          <w:rFonts w:hint="eastAsia" w:ascii="宋体" w:hAnsi="宋体" w:cs="微软雅黑"/>
          <w:color w:val="auto"/>
          <w:kern w:val="0"/>
          <w:szCs w:val="21"/>
          <w:lang w:val="en-US" w:eastAsia="zh-CN"/>
        </w:rPr>
        <w:t>.</w:t>
      </w:r>
      <w:r>
        <w:rPr>
          <w:rFonts w:hint="eastAsia" w:ascii="宋体" w:hAnsi="宋体" w:cs="微软雅黑"/>
          <w:color w:val="auto"/>
          <w:kern w:val="0"/>
          <w:szCs w:val="21"/>
        </w:rPr>
        <w:t>附件</w:t>
      </w:r>
      <w:r>
        <w:rPr>
          <w:rFonts w:ascii="宋体" w:hAnsi="宋体" w:cs="微软雅黑"/>
          <w:color w:val="auto"/>
          <w:kern w:val="0"/>
          <w:szCs w:val="21"/>
        </w:rPr>
        <w:t>1</w:t>
      </w:r>
      <w:r>
        <w:rPr>
          <w:rFonts w:hint="eastAsia" w:ascii="宋体" w:hAnsi="宋体" w:cs="微软雅黑"/>
          <w:color w:val="auto"/>
          <w:kern w:val="0"/>
          <w:szCs w:val="21"/>
        </w:rPr>
        <w:t>-3</w:t>
      </w:r>
      <w:r>
        <w:rPr>
          <w:rFonts w:hint="eastAsia" w:ascii="华文中宋" w:hAnsi="华文中宋" w:eastAsia="华文中宋" w:cs="微软雅黑"/>
          <w:color w:val="auto"/>
          <w:kern w:val="0"/>
          <w:szCs w:val="21"/>
        </w:rPr>
        <w:t>“分项报价明细表”</w:t>
      </w:r>
      <w:r>
        <w:rPr>
          <w:rFonts w:hint="eastAsia" w:ascii="宋体" w:hAnsi="宋体" w:cs="微软雅黑"/>
          <w:color w:val="auto"/>
          <w:kern w:val="0"/>
          <w:szCs w:val="21"/>
        </w:rPr>
        <w:t>按第三章第二节要求进行编制。</w:t>
      </w:r>
    </w:p>
    <w:p w14:paraId="0D5AB0B3">
      <w:pPr>
        <w:keepNext/>
        <w:keepLines/>
        <w:adjustRightInd w:val="0"/>
        <w:snapToGrid w:val="0"/>
        <w:spacing w:before="156" w:beforeLines="50" w:line="360" w:lineRule="auto"/>
        <w:outlineLvl w:val="2"/>
        <w:rPr>
          <w:rFonts w:ascii="宋体" w:hAnsi="宋体"/>
          <w:b/>
          <w:bCs/>
          <w:color w:val="auto"/>
          <w:szCs w:val="21"/>
        </w:rPr>
      </w:pPr>
      <w:bookmarkStart w:id="189" w:name="_Toc20686"/>
      <w:bookmarkStart w:id="190" w:name="_Toc107998031"/>
      <w:r>
        <w:rPr>
          <w:rFonts w:hint="eastAsia" w:ascii="宋体" w:hAnsi="宋体" w:cs="宋体"/>
          <w:b/>
          <w:bCs/>
          <w:color w:val="auto"/>
          <w:szCs w:val="21"/>
        </w:rPr>
        <w:t>附件</w:t>
      </w:r>
      <w:r>
        <w:rPr>
          <w:rFonts w:ascii="宋体" w:hAnsi="宋体" w:cs="宋体"/>
          <w:b/>
          <w:bCs/>
          <w:color w:val="auto"/>
          <w:szCs w:val="21"/>
        </w:rPr>
        <w:t>1</w:t>
      </w:r>
      <w:r>
        <w:rPr>
          <w:rFonts w:hint="eastAsia" w:ascii="宋体" w:hAnsi="宋体" w:cs="宋体"/>
          <w:b/>
          <w:bCs/>
          <w:color w:val="auto"/>
          <w:szCs w:val="21"/>
        </w:rPr>
        <w:t>-3</w:t>
      </w:r>
      <w:r>
        <w:rPr>
          <w:rFonts w:hint="eastAsia" w:ascii="宋体" w:hAnsi="宋体"/>
          <w:b/>
          <w:bCs/>
          <w:color w:val="auto"/>
          <w:spacing w:val="-2"/>
          <w:position w:val="-3"/>
          <w:szCs w:val="21"/>
        </w:rPr>
        <w:t>分</w:t>
      </w:r>
      <w:r>
        <w:rPr>
          <w:rFonts w:hint="eastAsia" w:ascii="宋体" w:hAnsi="宋体"/>
          <w:b/>
          <w:bCs/>
          <w:color w:val="auto"/>
          <w:position w:val="-3"/>
          <w:szCs w:val="21"/>
        </w:rPr>
        <w:t>项</w:t>
      </w:r>
      <w:r>
        <w:rPr>
          <w:rFonts w:hint="eastAsia" w:ascii="宋体" w:hAnsi="宋体"/>
          <w:b/>
          <w:bCs/>
          <w:color w:val="auto"/>
          <w:spacing w:val="-2"/>
          <w:position w:val="-3"/>
          <w:szCs w:val="21"/>
        </w:rPr>
        <w:t>报</w:t>
      </w:r>
      <w:r>
        <w:rPr>
          <w:rFonts w:hint="eastAsia" w:ascii="宋体" w:hAnsi="宋体"/>
          <w:b/>
          <w:bCs/>
          <w:color w:val="auto"/>
          <w:position w:val="-3"/>
          <w:szCs w:val="21"/>
        </w:rPr>
        <w:t>价明细表</w:t>
      </w:r>
      <w:bookmarkEnd w:id="189"/>
      <w:bookmarkEnd w:id="190"/>
    </w:p>
    <w:p w14:paraId="0F790EF4">
      <w:pPr>
        <w:adjustRightInd w:val="0"/>
        <w:snapToGrid w:val="0"/>
        <w:spacing w:before="156" w:beforeLines="50" w:line="360" w:lineRule="auto"/>
        <w:jc w:val="center"/>
        <w:rPr>
          <w:rFonts w:ascii="黑体" w:hAnsi="宋体" w:eastAsia="黑体" w:cs="微软雅黑"/>
          <w:b/>
          <w:color w:val="auto"/>
          <w:kern w:val="0"/>
          <w:position w:val="-3"/>
          <w:sz w:val="28"/>
          <w:szCs w:val="28"/>
        </w:rPr>
      </w:pPr>
      <w:r>
        <w:rPr>
          <w:rFonts w:hint="eastAsia" w:ascii="黑体" w:hAnsi="宋体" w:eastAsia="黑体" w:cs="微软雅黑"/>
          <w:b/>
          <w:color w:val="auto"/>
          <w:spacing w:val="-2"/>
          <w:kern w:val="0"/>
          <w:position w:val="-3"/>
          <w:sz w:val="28"/>
          <w:szCs w:val="28"/>
        </w:rPr>
        <w:t>分</w:t>
      </w:r>
      <w:r>
        <w:rPr>
          <w:rFonts w:hint="eastAsia" w:ascii="黑体" w:hAnsi="宋体" w:eastAsia="黑体" w:cs="微软雅黑"/>
          <w:b/>
          <w:color w:val="auto"/>
          <w:kern w:val="0"/>
          <w:position w:val="-3"/>
          <w:sz w:val="28"/>
          <w:szCs w:val="28"/>
        </w:rPr>
        <w:t>项</w:t>
      </w:r>
      <w:r>
        <w:rPr>
          <w:rFonts w:hint="eastAsia" w:ascii="黑体" w:hAnsi="宋体" w:eastAsia="黑体" w:cs="微软雅黑"/>
          <w:b/>
          <w:color w:val="auto"/>
          <w:spacing w:val="-2"/>
          <w:kern w:val="0"/>
          <w:position w:val="-3"/>
          <w:sz w:val="28"/>
          <w:szCs w:val="28"/>
        </w:rPr>
        <w:t>报</w:t>
      </w:r>
      <w:r>
        <w:rPr>
          <w:rFonts w:hint="eastAsia" w:ascii="黑体" w:hAnsi="宋体" w:eastAsia="黑体" w:cs="微软雅黑"/>
          <w:b/>
          <w:color w:val="auto"/>
          <w:kern w:val="0"/>
          <w:position w:val="-3"/>
          <w:sz w:val="28"/>
          <w:szCs w:val="28"/>
        </w:rPr>
        <w:t>价明细表（服务类适用）</w:t>
      </w:r>
    </w:p>
    <w:p w14:paraId="3F40224F">
      <w:pPr>
        <w:adjustRightInd w:val="0"/>
        <w:snapToGrid w:val="0"/>
        <w:spacing w:before="156" w:beforeLines="50" w:line="360" w:lineRule="auto"/>
        <w:rPr>
          <w:rFonts w:ascii="宋体" w:hAnsi="宋体"/>
          <w:color w:val="auto"/>
          <w:szCs w:val="21"/>
        </w:rPr>
      </w:pPr>
      <w:r>
        <w:rPr>
          <w:rFonts w:hint="eastAsia" w:ascii="宋体" w:hAnsi="宋体"/>
          <w:color w:val="auto"/>
          <w:szCs w:val="21"/>
          <w:lang w:eastAsia="zh-CN"/>
        </w:rPr>
        <w:t>采购编号</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项目名称：</w:t>
      </w:r>
      <w:r>
        <w:rPr>
          <w:rFonts w:hint="eastAsia" w:ascii="宋体" w:hAnsi="宋体"/>
          <w:color w:val="auto"/>
          <w:szCs w:val="21"/>
          <w:u w:val="single"/>
        </w:rPr>
        <w:t xml:space="preserve">                        </w:t>
      </w:r>
    </w:p>
    <w:p w14:paraId="6800CFBC">
      <w:pPr>
        <w:adjustRightInd w:val="0"/>
        <w:snapToGrid w:val="0"/>
        <w:spacing w:before="156" w:beforeLines="50" w:line="360" w:lineRule="auto"/>
        <w:rPr>
          <w:rFonts w:ascii="宋体" w:hAnsi="宋体"/>
          <w:b/>
          <w:color w:val="auto"/>
          <w:szCs w:val="21"/>
        </w:rPr>
      </w:pPr>
      <w:r>
        <w:rPr>
          <w:rFonts w:hint="eastAsia" w:ascii="宋体" w:hAnsi="宋体"/>
          <w:color w:val="auto"/>
          <w:szCs w:val="21"/>
        </w:rPr>
        <w:t>包号：</w:t>
      </w:r>
      <w:r>
        <w:rPr>
          <w:rFonts w:hint="eastAsia" w:ascii="宋体" w:hAnsi="宋体"/>
          <w:color w:val="auto"/>
          <w:szCs w:val="21"/>
          <w:u w:val="single"/>
        </w:rPr>
        <w:t xml:space="preserve">                      </w:t>
      </w:r>
      <w:r>
        <w:rPr>
          <w:rFonts w:hint="eastAsia" w:ascii="宋体" w:hAnsi="宋体"/>
          <w:color w:val="auto"/>
          <w:szCs w:val="21"/>
        </w:rPr>
        <w:t xml:space="preserve">                       包名称：</w:t>
      </w:r>
      <w:r>
        <w:rPr>
          <w:rFonts w:hint="eastAsia" w:ascii="宋体" w:hAnsi="宋体"/>
          <w:color w:val="auto"/>
          <w:szCs w:val="21"/>
          <w:u w:val="single"/>
        </w:rPr>
        <w:t xml:space="preserve">                        </w:t>
      </w:r>
    </w:p>
    <w:tbl>
      <w:tblPr>
        <w:tblStyle w:val="25"/>
        <w:tblW w:w="85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4"/>
        <w:gridCol w:w="1471"/>
        <w:gridCol w:w="1320"/>
        <w:gridCol w:w="1086"/>
        <w:gridCol w:w="1403"/>
        <w:gridCol w:w="1306"/>
        <w:gridCol w:w="1180"/>
      </w:tblGrid>
      <w:tr w14:paraId="5127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550" w:type="dxa"/>
            <w:gridSpan w:val="7"/>
            <w:tcBorders>
              <w:top w:val="nil"/>
              <w:left w:val="nil"/>
              <w:bottom w:val="nil"/>
              <w:right w:val="nil"/>
            </w:tcBorders>
            <w:shd w:val="clear" w:color="auto" w:fill="auto"/>
            <w:vAlign w:val="center"/>
          </w:tcPr>
          <w:p w14:paraId="43F8B36E">
            <w:pPr>
              <w:keepNext w:val="0"/>
              <w:keepLines w:val="0"/>
              <w:widowControl/>
              <w:suppressLineNumbers w:val="0"/>
              <w:jc w:val="center"/>
              <w:textAlignment w:val="center"/>
              <w:rPr>
                <w:rFonts w:hint="eastAsia" w:ascii="宋体" w:hAnsi="宋体" w:eastAsia="宋体" w:cs="宋体"/>
                <w:b/>
                <w:bCs/>
                <w:i w:val="0"/>
                <w:iCs w:val="0"/>
                <w:color w:val="0000FF"/>
                <w:kern w:val="0"/>
                <w:sz w:val="24"/>
                <w:szCs w:val="24"/>
                <w:u w:val="none"/>
                <w:lang w:val="en-US" w:eastAsia="zh-CN" w:bidi="ar"/>
              </w:rPr>
            </w:pPr>
            <w:r>
              <w:rPr>
                <w:rFonts w:hint="eastAsia" w:ascii="宋体" w:hAnsi="宋体" w:eastAsia="宋体" w:cs="宋体"/>
                <w:b/>
                <w:bCs/>
                <w:i w:val="0"/>
                <w:iCs w:val="0"/>
                <w:color w:val="0000FF"/>
                <w:kern w:val="0"/>
                <w:sz w:val="24"/>
                <w:szCs w:val="24"/>
                <w:u w:val="none"/>
                <w:lang w:val="en-US" w:eastAsia="zh-CN" w:bidi="ar"/>
              </w:rPr>
              <w:t>鹤北新城城中村改造安置区项目（一期）桩基础检测（一期剩余工程量）</w:t>
            </w:r>
          </w:p>
          <w:p w14:paraId="572AED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FF"/>
                <w:kern w:val="0"/>
                <w:sz w:val="24"/>
                <w:szCs w:val="24"/>
                <w:u w:val="none"/>
                <w:lang w:val="en-US" w:eastAsia="zh-CN" w:bidi="ar"/>
              </w:rPr>
              <w:t>报价</w:t>
            </w:r>
            <w:r>
              <w:rPr>
                <w:rFonts w:hint="eastAsia" w:ascii="宋体" w:hAnsi="宋体" w:eastAsia="宋体" w:cs="宋体"/>
                <w:b/>
                <w:bCs/>
                <w:i w:val="0"/>
                <w:iCs w:val="0"/>
                <w:color w:val="0000FF"/>
                <w:kern w:val="0"/>
                <w:sz w:val="24"/>
                <w:szCs w:val="24"/>
                <w:u w:val="none"/>
                <w:lang w:val="en-US" w:eastAsia="zh-CN" w:bidi="ar"/>
              </w:rPr>
              <w:t>一览表</w:t>
            </w:r>
          </w:p>
        </w:tc>
      </w:tr>
      <w:tr w14:paraId="77550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2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序号</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5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栋号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5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总桩数（根）</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6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9"/>
                <w:lang w:val="en-US" w:eastAsia="zh-CN" w:bidi="ar"/>
              </w:rPr>
              <w:t>高应变</w:t>
            </w:r>
            <w:r>
              <w:rPr>
                <w:rStyle w:val="43"/>
                <w:lang w:val="en-US" w:eastAsia="zh-CN" w:bidi="ar"/>
              </w:rPr>
              <w:t>（根）</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8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低应变（根）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A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单桩竖向抗压静载</w:t>
            </w:r>
            <w:r>
              <w:rPr>
                <w:rFonts w:hint="eastAsia" w:ascii="宋体" w:hAnsi="宋体" w:cs="宋体"/>
                <w:i w:val="0"/>
                <w:iCs w:val="0"/>
                <w:color w:val="000000"/>
                <w:kern w:val="0"/>
                <w:sz w:val="22"/>
                <w:szCs w:val="22"/>
                <w:u w:val="none"/>
                <w:lang w:val="en-US" w:eastAsia="zh-CN" w:bidi="ar"/>
              </w:rPr>
              <w:t>（KN）</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2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单桩竖向抗拔静载</w:t>
            </w:r>
            <w:r>
              <w:rPr>
                <w:rFonts w:hint="eastAsia" w:ascii="宋体" w:hAnsi="宋体" w:cs="宋体"/>
                <w:i w:val="0"/>
                <w:iCs w:val="0"/>
                <w:color w:val="000000"/>
                <w:kern w:val="0"/>
                <w:sz w:val="22"/>
                <w:szCs w:val="22"/>
                <w:u w:val="none"/>
                <w:lang w:val="en-US" w:eastAsia="zh-CN" w:bidi="ar"/>
              </w:rPr>
              <w:t>（KN）</w:t>
            </w:r>
          </w:p>
        </w:tc>
      </w:tr>
      <w:tr w14:paraId="188A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D8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18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地下车库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77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FB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E1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2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2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DFA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D3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6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大门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D9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AF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39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5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D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0A9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0C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74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4#</w:t>
            </w:r>
            <w:r>
              <w:rPr>
                <w:rStyle w:val="43"/>
                <w:lang w:val="en-US" w:eastAsia="zh-CN" w:bidi="ar"/>
              </w:rPr>
              <w:t>商业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CD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29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DE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A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6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AFD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23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cs="Times New Roman"/>
                <w:i w:val="0"/>
                <w:iCs w:val="0"/>
                <w:color w:val="000000"/>
                <w:kern w:val="0"/>
                <w:sz w:val="24"/>
                <w:szCs w:val="24"/>
                <w:u w:val="none"/>
                <w:lang w:val="en-US" w:eastAsia="zh-CN" w:bidi="ar"/>
              </w:rPr>
              <w:t>4</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DC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20#</w:t>
            </w:r>
            <w:r>
              <w:rPr>
                <w:rStyle w:val="43"/>
                <w:lang w:val="en-US" w:eastAsia="zh-CN" w:bidi="ar"/>
              </w:rPr>
              <w:t>叠墅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D8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FB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49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E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E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0168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7AFA">
            <w:pPr>
              <w:keepNext w:val="0"/>
              <w:keepLines w:val="0"/>
              <w:widowControl/>
              <w:suppressLineNumbers w:val="0"/>
              <w:jc w:val="center"/>
              <w:textAlignment w:val="center"/>
              <w:rPr>
                <w:rFonts w:hint="eastAsia" w:ascii="Times New Roman" w:hAnsi="Times New Roman" w:eastAsia="宋体"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5</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1E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21#</w:t>
            </w:r>
            <w:r>
              <w:rPr>
                <w:rStyle w:val="43"/>
                <w:lang w:val="en-US" w:eastAsia="zh-CN" w:bidi="ar"/>
              </w:rPr>
              <w:t>叠墅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B4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70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C9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0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B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69C2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6B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cs="Times New Roman"/>
                <w:i w:val="0"/>
                <w:iCs w:val="0"/>
                <w:color w:val="000000"/>
                <w:kern w:val="0"/>
                <w:sz w:val="24"/>
                <w:szCs w:val="24"/>
                <w:u w:val="none"/>
                <w:lang w:val="en-US" w:eastAsia="zh-CN" w:bidi="ar"/>
              </w:rPr>
              <w:t>6</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E0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22#</w:t>
            </w:r>
            <w:r>
              <w:rPr>
                <w:rStyle w:val="43"/>
                <w:lang w:val="en-US" w:eastAsia="zh-CN" w:bidi="ar"/>
              </w:rPr>
              <w:t>叠墅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69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06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00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8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1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827B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ED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cs="Times New Roman"/>
                <w:i w:val="0"/>
                <w:iCs w:val="0"/>
                <w:color w:val="000000"/>
                <w:kern w:val="0"/>
                <w:sz w:val="24"/>
                <w:szCs w:val="24"/>
                <w:u w:val="none"/>
                <w:lang w:val="en-US" w:eastAsia="zh-CN" w:bidi="ar"/>
              </w:rPr>
              <w:t>7</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E3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23#</w:t>
            </w:r>
            <w:r>
              <w:rPr>
                <w:rStyle w:val="43"/>
                <w:lang w:val="en-US" w:eastAsia="zh-CN" w:bidi="ar"/>
              </w:rPr>
              <w:t>叠墅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81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A9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09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4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9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1A95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6A9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合计检测数量</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B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A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2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6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02EA2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7079B">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控制价</w:t>
            </w:r>
            <w:r>
              <w:rPr>
                <w:rFonts w:hint="eastAsia" w:ascii="宋体" w:hAnsi="宋体" w:cs="宋体"/>
                <w:i w:val="0"/>
                <w:iCs w:val="0"/>
                <w:color w:val="0000FF"/>
                <w:kern w:val="0"/>
                <w:sz w:val="22"/>
                <w:szCs w:val="22"/>
                <w:u w:val="none"/>
                <w:lang w:val="en-US" w:eastAsia="zh-CN" w:bidi="ar"/>
              </w:rPr>
              <w:t>单价</w:t>
            </w:r>
            <w:r>
              <w:rPr>
                <w:rFonts w:hint="eastAsia" w:ascii="宋体" w:hAnsi="宋体" w:eastAsia="宋体" w:cs="宋体"/>
                <w:i w:val="0"/>
                <w:iCs w:val="0"/>
                <w:color w:val="0000FF"/>
                <w:kern w:val="0"/>
                <w:sz w:val="22"/>
                <w:szCs w:val="22"/>
                <w:u w:val="none"/>
                <w:lang w:val="en-US" w:eastAsia="zh-CN" w:bidi="ar"/>
              </w:rPr>
              <w:t>（</w:t>
            </w:r>
            <w:r>
              <w:rPr>
                <w:rFonts w:hint="eastAsia" w:ascii="宋体" w:hAnsi="宋体" w:cs="宋体"/>
                <w:i w:val="0"/>
                <w:iCs w:val="0"/>
                <w:color w:val="0000FF"/>
                <w:kern w:val="0"/>
                <w:sz w:val="22"/>
                <w:szCs w:val="22"/>
                <w:u w:val="none"/>
                <w:lang w:val="en-US" w:eastAsia="zh-CN" w:bidi="ar"/>
              </w:rPr>
              <w:t>元</w:t>
            </w:r>
            <w:r>
              <w:rPr>
                <w:rFonts w:hint="eastAsia" w:ascii="宋体" w:hAnsi="宋体" w:eastAsia="宋体" w:cs="宋体"/>
                <w:i w:val="0"/>
                <w:iCs w:val="0"/>
                <w:color w:val="0000FF"/>
                <w:kern w:val="0"/>
                <w:sz w:val="22"/>
                <w:szCs w:val="22"/>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C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1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5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0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r>
      <w:tr w14:paraId="75C4E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316A">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cs="宋体"/>
                <w:i w:val="0"/>
                <w:iCs w:val="0"/>
                <w:color w:val="0000FF"/>
                <w:kern w:val="0"/>
                <w:sz w:val="22"/>
                <w:szCs w:val="22"/>
                <w:u w:val="none"/>
                <w:lang w:val="en-US" w:eastAsia="zh-CN" w:bidi="ar"/>
              </w:rPr>
              <w:t>控制总价（元）</w:t>
            </w:r>
          </w:p>
        </w:tc>
        <w:tc>
          <w:tcPr>
            <w:tcW w:w="49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C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298965</w:t>
            </w:r>
          </w:p>
        </w:tc>
      </w:tr>
      <w:tr w14:paraId="10EBA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96B5">
            <w:pPr>
              <w:keepNext w:val="0"/>
              <w:keepLines w:val="0"/>
              <w:widowControl/>
              <w:suppressLineNumbers w:val="0"/>
              <w:jc w:val="center"/>
              <w:textAlignment w:val="center"/>
              <w:rPr>
                <w:rFonts w:hint="default"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报价单价</w:t>
            </w:r>
            <w:r>
              <w:rPr>
                <w:rFonts w:hint="eastAsia" w:ascii="宋体" w:hAnsi="宋体" w:cs="宋体"/>
                <w:i w:val="0"/>
                <w:iCs w:val="0"/>
                <w:color w:val="0000FF"/>
                <w:kern w:val="0"/>
                <w:sz w:val="22"/>
                <w:szCs w:val="22"/>
                <w:u w:val="none"/>
                <w:lang w:val="en-US" w:eastAsia="zh-CN" w:bidi="ar"/>
              </w:rPr>
              <w:t>（元）</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D9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0E3E">
            <w:pPr>
              <w:keepNext w:val="0"/>
              <w:keepLines w:val="0"/>
              <w:widowControl/>
              <w:suppressLineNumbers w:val="0"/>
              <w:jc w:val="center"/>
              <w:textAlignment w:val="cente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AF42">
            <w:pPr>
              <w:keepNext w:val="0"/>
              <w:keepLines w:val="0"/>
              <w:widowControl/>
              <w:suppressLineNumbers w:val="0"/>
              <w:jc w:val="center"/>
              <w:textAlignment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22F4">
            <w:pPr>
              <w:keepNext w:val="0"/>
              <w:keepLines w:val="0"/>
              <w:widowControl/>
              <w:suppressLineNumbers w:val="0"/>
              <w:jc w:val="center"/>
              <w:textAlignment w:val="center"/>
            </w:pPr>
          </w:p>
        </w:tc>
      </w:tr>
      <w:tr w14:paraId="0BE5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A5E6">
            <w:pPr>
              <w:keepNext w:val="0"/>
              <w:keepLines w:val="0"/>
              <w:widowControl/>
              <w:suppressLineNumbers w:val="0"/>
              <w:jc w:val="center"/>
              <w:textAlignment w:val="center"/>
              <w:rPr>
                <w:rFonts w:hint="default"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报价总价</w:t>
            </w:r>
            <w:r>
              <w:rPr>
                <w:rFonts w:hint="eastAsia" w:ascii="宋体" w:hAnsi="宋体" w:cs="宋体"/>
                <w:i w:val="0"/>
                <w:iCs w:val="0"/>
                <w:color w:val="0000FF"/>
                <w:kern w:val="0"/>
                <w:sz w:val="22"/>
                <w:szCs w:val="22"/>
                <w:u w:val="none"/>
                <w:lang w:val="en-US" w:eastAsia="zh-CN" w:bidi="ar"/>
              </w:rPr>
              <w:t>（元）</w:t>
            </w:r>
          </w:p>
        </w:tc>
        <w:tc>
          <w:tcPr>
            <w:tcW w:w="49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DD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B9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85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55E7">
            <w:pPr>
              <w:keepNext w:val="0"/>
              <w:keepLines w:val="0"/>
              <w:widowControl/>
              <w:suppressLineNumbers w:val="0"/>
              <w:ind w:left="660" w:hanging="660" w:hangingChars="3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p w14:paraId="7A85CFB6">
            <w:pPr>
              <w:keepNext w:val="0"/>
              <w:keepLines w:val="0"/>
              <w:widowControl/>
              <w:suppressLineNumbers w:val="0"/>
              <w:ind w:left="660" w:hanging="660" w:hanging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上述工程量为暂估量，具体实施时按实结算。  </w:t>
            </w:r>
          </w:p>
          <w:p w14:paraId="440EF99B">
            <w:pPr>
              <w:keepNext w:val="0"/>
              <w:keepLines w:val="0"/>
              <w:widowControl/>
              <w:suppressLineNumbers w:val="0"/>
              <w:ind w:left="600" w:leftChars="0" w:hanging="600" w:hangingChars="3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2、以上单价、总价均为含税价。  </w:t>
            </w:r>
          </w:p>
        </w:tc>
      </w:tr>
    </w:tbl>
    <w:p w14:paraId="4A612FAE">
      <w:pPr>
        <w:adjustRightInd w:val="0"/>
        <w:snapToGrid w:val="0"/>
        <w:spacing w:line="360" w:lineRule="auto"/>
        <w:rPr>
          <w:rFonts w:ascii="宋体" w:hAnsi="宋体"/>
          <w:color w:val="auto"/>
          <w:szCs w:val="21"/>
        </w:rPr>
      </w:pPr>
      <w:r>
        <w:rPr>
          <w:rFonts w:hint="eastAsia" w:ascii="宋体" w:hAnsi="宋体"/>
          <w:color w:val="auto"/>
          <w:szCs w:val="21"/>
        </w:rPr>
        <w:t>注：</w:t>
      </w:r>
      <w:r>
        <w:rPr>
          <w:rFonts w:hint="eastAsia" w:ascii="宋体" w:hAnsi="宋体"/>
          <w:color w:val="auto"/>
          <w:szCs w:val="21"/>
          <w:lang w:val="en-US" w:eastAsia="zh-CN"/>
        </w:rPr>
        <w:t>1.</w:t>
      </w:r>
      <w:r>
        <w:rPr>
          <w:rFonts w:hint="eastAsia" w:ascii="宋体" w:hAnsi="宋体"/>
          <w:b/>
          <w:color w:val="auto"/>
          <w:szCs w:val="21"/>
        </w:rPr>
        <w:t>本表应对应</w:t>
      </w:r>
      <w:r>
        <w:rPr>
          <w:rFonts w:hint="eastAsia" w:ascii="宋体" w:hAnsi="宋体"/>
          <w:color w:val="auto"/>
          <w:szCs w:val="21"/>
        </w:rPr>
        <w:t>“</w:t>
      </w:r>
      <w:r>
        <w:rPr>
          <w:rFonts w:hint="eastAsia" w:ascii="宋体" w:hAnsi="宋体"/>
          <w:b/>
          <w:color w:val="auto"/>
          <w:szCs w:val="21"/>
        </w:rPr>
        <w:t>报价表</w:t>
      </w:r>
      <w:r>
        <w:rPr>
          <w:rFonts w:hint="eastAsia" w:ascii="宋体" w:hAnsi="宋体"/>
          <w:color w:val="auto"/>
          <w:szCs w:val="21"/>
        </w:rPr>
        <w:t>”</w:t>
      </w:r>
      <w:r>
        <w:rPr>
          <w:rFonts w:hint="eastAsia" w:ascii="宋体" w:hAnsi="宋体"/>
          <w:b/>
          <w:color w:val="auto"/>
          <w:szCs w:val="21"/>
        </w:rPr>
        <w:t>，按包填写</w:t>
      </w:r>
      <w:r>
        <w:rPr>
          <w:rFonts w:hint="eastAsia" w:ascii="宋体" w:hAnsi="宋体"/>
          <w:color w:val="auto"/>
          <w:szCs w:val="21"/>
        </w:rPr>
        <w:t>。供应商如果不提供分项报价明细表，其</w:t>
      </w:r>
      <w:r>
        <w:rPr>
          <w:rFonts w:hint="eastAsia" w:ascii="宋体" w:hAnsi="宋体"/>
          <w:b/>
          <w:color w:val="auto"/>
          <w:szCs w:val="21"/>
        </w:rPr>
        <w:t>响应无效</w:t>
      </w:r>
      <w:r>
        <w:rPr>
          <w:rFonts w:hint="eastAsia" w:ascii="宋体" w:hAnsi="宋体"/>
          <w:color w:val="auto"/>
          <w:szCs w:val="21"/>
        </w:rPr>
        <w:t>。</w:t>
      </w:r>
    </w:p>
    <w:p w14:paraId="632DFC2A">
      <w:pPr>
        <w:adjustRightInd w:val="0"/>
        <w:snapToGrid w:val="0"/>
        <w:spacing w:line="360" w:lineRule="auto"/>
        <w:ind w:left="0" w:leftChars="0" w:firstLine="420" w:firstLineChars="200"/>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不得填写“免费”或“赠与”，也不得进行“零”报价，否则</w:t>
      </w:r>
      <w:r>
        <w:rPr>
          <w:rFonts w:hint="eastAsia" w:ascii="宋体" w:hAnsi="宋体"/>
          <w:b/>
          <w:color w:val="auto"/>
          <w:szCs w:val="21"/>
        </w:rPr>
        <w:t>响应无效</w:t>
      </w:r>
      <w:r>
        <w:rPr>
          <w:rFonts w:hint="eastAsia" w:ascii="宋体" w:hAnsi="宋体"/>
          <w:color w:val="auto"/>
          <w:szCs w:val="21"/>
        </w:rPr>
        <w:t>。</w:t>
      </w:r>
    </w:p>
    <w:p w14:paraId="0499F4DD">
      <w:pPr>
        <w:adjustRightInd w:val="0"/>
        <w:snapToGrid w:val="0"/>
        <w:spacing w:line="360" w:lineRule="auto"/>
        <w:rPr>
          <w:rFonts w:ascii="宋体" w:hAnsi="宋体"/>
          <w:color w:val="auto"/>
          <w:szCs w:val="21"/>
        </w:rPr>
      </w:pPr>
    </w:p>
    <w:p w14:paraId="374AD1BD">
      <w:pPr>
        <w:adjustRightInd w:val="0"/>
        <w:snapToGrid w:val="0"/>
        <w:spacing w:line="360" w:lineRule="auto"/>
        <w:rPr>
          <w:rFonts w:ascii="宋体" w:hAnsi="宋体"/>
          <w:color w:val="auto"/>
          <w:szCs w:val="21"/>
        </w:rPr>
      </w:pPr>
      <w:r>
        <w:rPr>
          <w:rFonts w:hint="eastAsia" w:ascii="宋体" w:hAnsi="宋体"/>
          <w:color w:val="auto"/>
          <w:szCs w:val="21"/>
        </w:rPr>
        <w:t>供应商名称（盖单位公章）：</w:t>
      </w:r>
    </w:p>
    <w:p w14:paraId="368185DB">
      <w:pPr>
        <w:adjustRightInd w:val="0"/>
        <w:snapToGrid w:val="0"/>
        <w:spacing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p>
    <w:p w14:paraId="07A3125A">
      <w:pPr>
        <w:adjustRightInd w:val="0"/>
        <w:snapToGrid w:val="0"/>
        <w:spacing w:line="360" w:lineRule="auto"/>
        <w:rPr>
          <w:rFonts w:ascii="黑体" w:hAnsi="黑体" w:eastAsia="黑体"/>
          <w:bCs/>
          <w:color w:val="auto"/>
          <w:sz w:val="32"/>
          <w:szCs w:val="32"/>
        </w:rPr>
        <w:sectPr>
          <w:pgSz w:w="11906" w:h="16838"/>
          <w:pgMar w:top="1418" w:right="1418" w:bottom="1134" w:left="1418" w:header="851" w:footer="992" w:gutter="0"/>
          <w:cols w:space="720" w:num="1"/>
          <w:docGrid w:type="linesAndChars" w:linePitch="312" w:charSpace="0"/>
        </w:sect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14:paraId="026F2D59">
      <w:pPr>
        <w:keepNext/>
        <w:keepLines/>
        <w:spacing w:line="360" w:lineRule="auto"/>
        <w:jc w:val="center"/>
        <w:outlineLvl w:val="1"/>
        <w:rPr>
          <w:rFonts w:ascii="黑体" w:hAnsi="黑体" w:eastAsia="黑体"/>
          <w:b/>
          <w:bCs/>
          <w:color w:val="auto"/>
          <w:sz w:val="28"/>
          <w:szCs w:val="28"/>
        </w:rPr>
      </w:pPr>
      <w:bookmarkStart w:id="191" w:name="_Toc20516"/>
      <w:bookmarkStart w:id="192" w:name="_Toc107998033"/>
      <w:r>
        <w:rPr>
          <w:rFonts w:hint="eastAsia" w:ascii="黑体" w:hAnsi="黑体" w:eastAsia="黑体"/>
          <w:b/>
          <w:bCs/>
          <w:color w:val="auto"/>
          <w:sz w:val="28"/>
          <w:szCs w:val="28"/>
        </w:rPr>
        <w:t>二、谈判响应声明(格式)</w:t>
      </w:r>
      <w:bookmarkEnd w:id="191"/>
      <w:bookmarkEnd w:id="192"/>
    </w:p>
    <w:p w14:paraId="054C2A0A">
      <w:pPr>
        <w:adjustRightInd w:val="0"/>
        <w:snapToGrid w:val="0"/>
        <w:spacing w:before="156" w:beforeLines="50" w:line="360" w:lineRule="auto"/>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(采购人、采购代理机构)</w:t>
      </w:r>
      <w:r>
        <w:rPr>
          <w:rFonts w:hint="eastAsia" w:ascii="宋体" w:hAnsi="宋体"/>
          <w:color w:val="auto"/>
          <w:szCs w:val="21"/>
        </w:rPr>
        <w:t>：</w:t>
      </w:r>
    </w:p>
    <w:p w14:paraId="669AC85A">
      <w:pPr>
        <w:adjustRightInd w:val="0"/>
        <w:snapToGrid w:val="0"/>
        <w:spacing w:before="156" w:beforeLines="50" w:line="360" w:lineRule="auto"/>
        <w:ind w:firstLine="435"/>
        <w:rPr>
          <w:rFonts w:ascii="宋体" w:hAnsi="宋体"/>
          <w:color w:val="auto"/>
          <w:szCs w:val="21"/>
        </w:rPr>
      </w:pPr>
      <w:r>
        <w:rPr>
          <w:rFonts w:hint="eastAsia" w:ascii="宋体" w:hAnsi="宋体"/>
          <w:color w:val="auto"/>
          <w:szCs w:val="21"/>
        </w:rPr>
        <w:t>根据贵方为</w:t>
      </w:r>
      <w:r>
        <w:rPr>
          <w:rFonts w:hint="eastAsia" w:ascii="宋体" w:hAnsi="宋体"/>
          <w:color w:val="auto"/>
          <w:szCs w:val="21"/>
          <w:u w:val="single"/>
        </w:rPr>
        <w:t>（项目名称）</w:t>
      </w:r>
      <w:r>
        <w:rPr>
          <w:rFonts w:hint="eastAsia" w:ascii="宋体" w:hAnsi="宋体"/>
          <w:color w:val="auto"/>
          <w:szCs w:val="21"/>
        </w:rPr>
        <w:t>的谈判邀请（</w:t>
      </w:r>
      <w:r>
        <w:rPr>
          <w:rFonts w:hint="eastAsia" w:ascii="宋体" w:hAnsi="宋体"/>
          <w:color w:val="auto"/>
          <w:lang w:eastAsia="zh-CN"/>
        </w:rPr>
        <w:t>采购编号</w:t>
      </w:r>
      <w:r>
        <w:rPr>
          <w:rFonts w:hint="eastAsia" w:ascii="宋体" w:hAnsi="宋体"/>
          <w:iCs/>
          <w:color w:val="auto"/>
        </w:rPr>
        <w:t>：</w:t>
      </w:r>
      <w:r>
        <w:rPr>
          <w:rFonts w:hint="eastAsia" w:ascii="宋体" w:hAnsi="宋体"/>
          <w:iCs/>
          <w:color w:val="auto"/>
          <w:u w:val="single"/>
        </w:rPr>
        <w:t xml:space="preserve">           </w:t>
      </w:r>
      <w:r>
        <w:rPr>
          <w:rFonts w:hint="eastAsia" w:ascii="宋体" w:hAnsi="宋体"/>
          <w:iCs/>
          <w:color w:val="auto"/>
        </w:rPr>
        <w:t xml:space="preserve"> ，</w:t>
      </w:r>
      <w:r>
        <w:rPr>
          <w:rFonts w:hint="eastAsia" w:ascii="宋体" w:hAnsi="宋体"/>
          <w:color w:val="auto"/>
          <w:szCs w:val="21"/>
        </w:rPr>
        <w:t>委托代理编号：</w:t>
      </w:r>
      <w:r>
        <w:rPr>
          <w:rFonts w:hint="eastAsia" w:ascii="宋体" w:hAnsi="宋体"/>
          <w:color w:val="auto"/>
          <w:szCs w:val="21"/>
          <w:u w:val="single"/>
        </w:rPr>
        <w:t xml:space="preserve">   </w:t>
      </w:r>
      <w:r>
        <w:rPr>
          <w:rFonts w:hint="eastAsia" w:ascii="宋体" w:hAnsi="宋体"/>
          <w:color w:val="auto"/>
          <w:szCs w:val="21"/>
        </w:rPr>
        <w:t xml:space="preserve"> ），签字代表</w:t>
      </w:r>
      <w:r>
        <w:rPr>
          <w:rFonts w:hint="eastAsia" w:ascii="宋体" w:hAnsi="宋体"/>
          <w:color w:val="auto"/>
          <w:szCs w:val="21"/>
          <w:u w:val="single"/>
        </w:rPr>
        <w:t xml:space="preserve"> （姓名、职务）</w:t>
      </w:r>
      <w:r>
        <w:rPr>
          <w:rFonts w:hint="eastAsia" w:ascii="宋体" w:hAnsi="宋体"/>
          <w:color w:val="auto"/>
          <w:szCs w:val="21"/>
        </w:rPr>
        <w:t>经正式授权并代表供应商</w:t>
      </w:r>
      <w:r>
        <w:rPr>
          <w:rFonts w:hint="eastAsia" w:ascii="宋体" w:hAnsi="宋体"/>
          <w:color w:val="auto"/>
          <w:szCs w:val="21"/>
          <w:u w:val="single"/>
        </w:rPr>
        <w:t xml:space="preserve"> （供应商名称）</w:t>
      </w:r>
      <w:r>
        <w:rPr>
          <w:rFonts w:hint="eastAsia" w:ascii="宋体" w:hAnsi="宋体"/>
          <w:color w:val="auto"/>
          <w:szCs w:val="21"/>
        </w:rPr>
        <w:t>提交响应文件正本一份,副本</w:t>
      </w:r>
      <w:r>
        <w:rPr>
          <w:rFonts w:hint="eastAsia" w:ascii="宋体" w:hAnsi="宋体"/>
          <w:color w:val="auto"/>
          <w:szCs w:val="21"/>
          <w:u w:val="single"/>
        </w:rPr>
        <w:t xml:space="preserve">  </w:t>
      </w:r>
      <w:r>
        <w:rPr>
          <w:rFonts w:hint="eastAsia" w:ascii="宋体" w:hAnsi="宋体"/>
          <w:color w:val="auto"/>
          <w:szCs w:val="21"/>
        </w:rPr>
        <w:t>份；响应文件电子文档：一份，参加采购项目第</w:t>
      </w:r>
      <w:r>
        <w:rPr>
          <w:rFonts w:hint="eastAsia" w:ascii="宋体" w:hAnsi="宋体"/>
          <w:color w:val="auto"/>
          <w:szCs w:val="21"/>
          <w:u w:val="single"/>
        </w:rPr>
        <w:t xml:space="preserve">    </w:t>
      </w:r>
      <w:r>
        <w:rPr>
          <w:rFonts w:hint="eastAsia" w:ascii="宋体" w:hAnsi="宋体"/>
          <w:color w:val="auto"/>
          <w:szCs w:val="21"/>
        </w:rPr>
        <w:t>包谈判，并在此声明，所递交的响应文件内容完整、真实。</w:t>
      </w:r>
    </w:p>
    <w:p w14:paraId="407DE7FB">
      <w:pPr>
        <w:adjustRightInd w:val="0"/>
        <w:snapToGrid w:val="0"/>
        <w:spacing w:before="156" w:beforeLines="50" w:line="360" w:lineRule="auto"/>
        <w:ind w:firstLine="420" w:firstLineChars="200"/>
        <w:rPr>
          <w:rFonts w:ascii="宋体" w:hAnsi="宋体" w:cs="Courier New"/>
          <w:color w:val="auto"/>
          <w:szCs w:val="21"/>
        </w:rPr>
      </w:pPr>
      <w:r>
        <w:rPr>
          <w:rFonts w:hint="eastAsia" w:ascii="宋体" w:hAnsi="宋体" w:cs="Courier New"/>
          <w:color w:val="auto"/>
          <w:szCs w:val="21"/>
        </w:rPr>
        <w:t>一、我方已详细审查谈判文件。我们完全理解并同意放弃对这方面有不明及误解的权力。</w:t>
      </w:r>
    </w:p>
    <w:p w14:paraId="6726E0CA">
      <w:pPr>
        <w:adjustRightInd w:val="0"/>
        <w:snapToGrid w:val="0"/>
        <w:spacing w:before="156" w:beforeLines="50" w:line="360" w:lineRule="auto"/>
        <w:ind w:firstLine="420" w:firstLineChars="200"/>
        <w:rPr>
          <w:rFonts w:ascii="宋体" w:hAnsi="宋体" w:cs="Courier New"/>
          <w:bCs/>
          <w:color w:val="auto"/>
          <w:szCs w:val="21"/>
        </w:rPr>
      </w:pPr>
      <w:r>
        <w:rPr>
          <w:rFonts w:hint="eastAsia" w:ascii="宋体" w:hAnsi="宋体" w:cs="Courier New"/>
          <w:color w:val="auto"/>
          <w:szCs w:val="21"/>
        </w:rPr>
        <w:t>二、我方愿意向贵方提供任何与本项采购有关的数据、情况和技术资料。若贵方需要，我方愿意提供我方作出的一切承诺的证明材料。</w:t>
      </w:r>
    </w:p>
    <w:p w14:paraId="3100B6C1">
      <w:pPr>
        <w:adjustRightInd w:val="0"/>
        <w:snapToGrid w:val="0"/>
        <w:spacing w:before="156" w:beforeLines="50" w:line="360" w:lineRule="auto"/>
        <w:ind w:firstLine="420" w:firstLineChars="200"/>
        <w:rPr>
          <w:rFonts w:ascii="宋体" w:hAnsi="宋体" w:cs="Courier New"/>
          <w:color w:val="auto"/>
          <w:szCs w:val="21"/>
        </w:rPr>
      </w:pPr>
      <w:r>
        <w:rPr>
          <w:rFonts w:hint="eastAsia" w:ascii="宋体" w:hAnsi="宋体" w:cs="Courier New"/>
          <w:color w:val="auto"/>
          <w:szCs w:val="21"/>
        </w:rPr>
        <w:t>三、我方愿意按谈判文件规定和谈判小组要求重新提交响应文件和最后报价。</w:t>
      </w:r>
    </w:p>
    <w:p w14:paraId="200C9869">
      <w:pPr>
        <w:adjustRightInd w:val="0"/>
        <w:snapToGrid w:val="0"/>
        <w:spacing w:before="156" w:beforeLines="50" w:line="360" w:lineRule="auto"/>
        <w:ind w:firstLine="420" w:firstLineChars="200"/>
        <w:rPr>
          <w:rFonts w:ascii="宋体" w:hAnsi="宋体" w:cs="Courier New"/>
          <w:color w:val="auto"/>
          <w:szCs w:val="21"/>
        </w:rPr>
      </w:pPr>
      <w:r>
        <w:rPr>
          <w:rFonts w:hint="eastAsia" w:ascii="宋体" w:hAnsi="宋体" w:cs="Courier New"/>
          <w:color w:val="auto"/>
          <w:szCs w:val="21"/>
        </w:rPr>
        <w:t>四、我方同意在谈判文件中规定的提交首次响应文件截止时间起</w:t>
      </w:r>
      <w:r>
        <w:rPr>
          <w:rFonts w:hint="eastAsia" w:ascii="宋体" w:hAnsi="宋体" w:cs="Courier New"/>
          <w:color w:val="auto"/>
          <w:szCs w:val="21"/>
          <w:u w:val="single"/>
          <w:lang w:val="en-US" w:eastAsia="zh-CN"/>
        </w:rPr>
        <w:t xml:space="preserve">   </w:t>
      </w:r>
      <w:r>
        <w:rPr>
          <w:rFonts w:hint="eastAsia" w:ascii="宋体" w:hAnsi="宋体" w:cs="Courier New"/>
          <w:color w:val="auto"/>
          <w:szCs w:val="21"/>
        </w:rPr>
        <w:t>日内(响应文件有效期)遵守本响应文件中的承诺且在此期限期满之前均具有法律约束力。</w:t>
      </w:r>
    </w:p>
    <w:p w14:paraId="43D35348">
      <w:pPr>
        <w:adjustRightInd w:val="0"/>
        <w:snapToGrid w:val="0"/>
        <w:spacing w:before="156" w:beforeLines="50" w:line="360" w:lineRule="auto"/>
        <w:ind w:firstLine="420" w:firstLineChars="200"/>
        <w:rPr>
          <w:rFonts w:ascii="宋体" w:hAnsi="宋体" w:cs="Courier New"/>
          <w:color w:val="auto"/>
          <w:szCs w:val="21"/>
        </w:rPr>
      </w:pPr>
      <w:r>
        <w:rPr>
          <w:rFonts w:hint="eastAsia" w:ascii="宋体" w:hAnsi="宋体" w:cs="Courier New"/>
          <w:color w:val="auto"/>
          <w:szCs w:val="21"/>
        </w:rPr>
        <w:t>五、我方承诺遵守《政府采购法》及实施条例、《政府采购非招标方式管理办法》（财政部第74号令）的有关规定，保证在获得成交资格后，按照谈判文件确定的事项签订政府采购合同，履行双方所签订的合同，并承担合同规定的责任和义务。</w:t>
      </w:r>
    </w:p>
    <w:p w14:paraId="557C3F93">
      <w:pPr>
        <w:adjustRightInd w:val="0"/>
        <w:snapToGrid w:val="0"/>
        <w:spacing w:before="156" w:beforeLines="50" w:line="360" w:lineRule="auto"/>
        <w:ind w:firstLine="420" w:firstLineChars="200"/>
        <w:rPr>
          <w:rFonts w:ascii="宋体" w:hAnsi="宋体" w:cs="Courier New"/>
          <w:color w:val="auto"/>
          <w:szCs w:val="21"/>
        </w:rPr>
      </w:pPr>
      <w:r>
        <w:rPr>
          <w:rFonts w:hint="eastAsia" w:ascii="宋体" w:hAnsi="宋体" w:cs="Courier New"/>
          <w:color w:val="auto"/>
          <w:szCs w:val="21"/>
        </w:rPr>
        <w:t>六、我方承诺在参与竞争性谈判过程中，若出现《政府采购法》第七十七条、《政府采购法实施条例》第七十二条和《政府采购非招标方式管理办法》第五十四条规定之情形，我方同意接受条款规定作出的处罚。</w:t>
      </w:r>
    </w:p>
    <w:p w14:paraId="6FF3479B">
      <w:pPr>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七、我方的联系方式：</w:t>
      </w:r>
    </w:p>
    <w:p w14:paraId="750686A9">
      <w:pPr>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；电子邮箱：</w:t>
      </w:r>
      <w:r>
        <w:rPr>
          <w:rFonts w:hint="eastAsia" w:ascii="宋体" w:hAnsi="宋体"/>
          <w:color w:val="auto"/>
          <w:szCs w:val="21"/>
          <w:u w:val="single"/>
        </w:rPr>
        <w:t xml:space="preserve">              </w:t>
      </w:r>
      <w:r>
        <w:rPr>
          <w:rFonts w:hint="eastAsia" w:ascii="宋体" w:hAnsi="宋体"/>
          <w:color w:val="auto"/>
          <w:szCs w:val="21"/>
        </w:rPr>
        <w:t>。</w:t>
      </w:r>
    </w:p>
    <w:p w14:paraId="1919074E">
      <w:pPr>
        <w:adjustRightInd w:val="0"/>
        <w:snapToGrid w:val="0"/>
        <w:spacing w:before="156" w:beforeLines="50" w:line="360" w:lineRule="auto"/>
        <w:rPr>
          <w:rFonts w:ascii="宋体" w:hAnsi="宋体" w:cs="Courier New"/>
          <w:color w:val="auto"/>
          <w:szCs w:val="21"/>
        </w:rPr>
      </w:pPr>
    </w:p>
    <w:p w14:paraId="300897E9">
      <w:pPr>
        <w:adjustRightInd w:val="0"/>
        <w:snapToGrid w:val="0"/>
        <w:spacing w:before="156" w:beforeLines="50" w:line="360" w:lineRule="auto"/>
        <w:rPr>
          <w:rFonts w:ascii="宋体" w:hAnsi="宋体" w:cs="Courier New"/>
          <w:color w:val="auto"/>
          <w:szCs w:val="21"/>
        </w:rPr>
      </w:pPr>
      <w:r>
        <w:rPr>
          <w:rFonts w:hint="eastAsia" w:ascii="宋体" w:hAnsi="宋体" w:cs="Courier New"/>
          <w:color w:val="auto"/>
          <w:szCs w:val="21"/>
        </w:rPr>
        <w:t>供应商名称(盖单位公章)：</w:t>
      </w:r>
    </w:p>
    <w:p w14:paraId="1446502C">
      <w:pPr>
        <w:adjustRightInd w:val="0"/>
        <w:snapToGrid w:val="0"/>
        <w:spacing w:before="156" w:beforeLines="50" w:line="360" w:lineRule="auto"/>
        <w:rPr>
          <w:rFonts w:ascii="宋体" w:hAnsi="宋体"/>
          <w:color w:val="auto"/>
          <w:szCs w:val="21"/>
          <w:u w:val="single"/>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p>
    <w:p w14:paraId="5118E913">
      <w:pPr>
        <w:adjustRightInd w:val="0"/>
        <w:snapToGrid w:val="0"/>
        <w:spacing w:before="156" w:beforeLines="50" w:line="36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14:paraId="6C995D81">
      <w:pPr>
        <w:adjustRightInd w:val="0"/>
        <w:snapToGrid w:val="0"/>
        <w:spacing w:before="156" w:beforeLines="50" w:line="360" w:lineRule="auto"/>
        <w:rPr>
          <w:rFonts w:ascii="宋体" w:hAnsi="宋体"/>
          <w:color w:val="auto"/>
          <w:szCs w:val="21"/>
        </w:rPr>
      </w:pPr>
    </w:p>
    <w:p w14:paraId="6786BECB">
      <w:pPr>
        <w:pStyle w:val="2"/>
        <w:sectPr>
          <w:pgSz w:w="11906" w:h="16838"/>
          <w:pgMar w:top="1418" w:right="1418" w:bottom="1134" w:left="1418" w:header="851" w:footer="992" w:gutter="0"/>
          <w:cols w:space="720" w:num="1"/>
          <w:docGrid w:type="linesAndChars" w:linePitch="312" w:charSpace="0"/>
        </w:sectPr>
      </w:pPr>
    </w:p>
    <w:p w14:paraId="7F5C584C">
      <w:pPr>
        <w:keepNext/>
        <w:keepLines/>
        <w:spacing w:line="360" w:lineRule="auto"/>
        <w:jc w:val="center"/>
        <w:outlineLvl w:val="1"/>
        <w:rPr>
          <w:rFonts w:hint="eastAsia" w:ascii="黑体" w:hAnsi="黑体" w:eastAsia="黑体"/>
          <w:b/>
          <w:bCs/>
          <w:color w:val="auto"/>
          <w:sz w:val="28"/>
          <w:szCs w:val="28"/>
          <w:lang w:eastAsia="zh-CN"/>
        </w:rPr>
      </w:pPr>
      <w:bookmarkStart w:id="193" w:name="_Toc21858"/>
      <w:bookmarkStart w:id="194" w:name="_Toc107998034"/>
      <w:r>
        <w:rPr>
          <w:rFonts w:hint="eastAsia" w:ascii="黑体" w:hAnsi="黑体" w:eastAsia="黑体"/>
          <w:b/>
          <w:bCs/>
          <w:color w:val="auto"/>
          <w:sz w:val="28"/>
          <w:szCs w:val="28"/>
        </w:rPr>
        <w:t>三、保证金</w:t>
      </w:r>
      <w:bookmarkEnd w:id="193"/>
      <w:bookmarkEnd w:id="194"/>
      <w:r>
        <w:rPr>
          <w:rFonts w:hint="eastAsia" w:ascii="黑体" w:hAnsi="黑体" w:eastAsia="黑体"/>
          <w:b/>
          <w:bCs/>
          <w:color w:val="auto"/>
          <w:sz w:val="28"/>
          <w:szCs w:val="28"/>
          <w:lang w:eastAsia="zh-CN"/>
        </w:rPr>
        <w:t>（</w:t>
      </w:r>
      <w:r>
        <w:rPr>
          <w:rFonts w:hint="eastAsia" w:ascii="黑体" w:hAnsi="黑体" w:eastAsia="黑体"/>
          <w:b/>
          <w:bCs/>
          <w:color w:val="auto"/>
          <w:sz w:val="28"/>
          <w:szCs w:val="28"/>
          <w:lang w:val="en-US" w:eastAsia="zh-CN"/>
        </w:rPr>
        <w:t>本项目不适用</w:t>
      </w:r>
      <w:r>
        <w:rPr>
          <w:rFonts w:hint="eastAsia" w:ascii="黑体" w:hAnsi="黑体" w:eastAsia="黑体"/>
          <w:b/>
          <w:bCs/>
          <w:color w:val="auto"/>
          <w:sz w:val="28"/>
          <w:szCs w:val="28"/>
          <w:lang w:eastAsia="zh-CN"/>
        </w:rPr>
        <w:t>）</w:t>
      </w:r>
    </w:p>
    <w:p w14:paraId="6C4A8C68">
      <w:pPr>
        <w:autoSpaceDE w:val="0"/>
        <w:autoSpaceDN w:val="0"/>
        <w:adjustRightInd w:val="0"/>
        <w:jc w:val="left"/>
        <w:rPr>
          <w:rFonts w:ascii="宋体" w:hAnsi="宋体"/>
          <w:color w:val="auto"/>
          <w:szCs w:val="21"/>
        </w:rPr>
      </w:pPr>
    </w:p>
    <w:p w14:paraId="74788BA9">
      <w:pPr>
        <w:adjustRightInd w:val="0"/>
        <w:snapToGrid w:val="0"/>
        <w:spacing w:before="156" w:beforeLines="50" w:line="360" w:lineRule="auto"/>
        <w:ind w:firstLine="420" w:firstLineChars="200"/>
        <w:jc w:val="left"/>
        <w:rPr>
          <w:rFonts w:ascii="宋体" w:hAnsi="宋体"/>
          <w:color w:val="auto"/>
        </w:rPr>
        <w:sectPr>
          <w:pgSz w:w="11906" w:h="16838"/>
          <w:pgMar w:top="1418" w:right="1418" w:bottom="1134" w:left="1418" w:header="851" w:footer="992" w:gutter="0"/>
          <w:cols w:space="720" w:num="1"/>
          <w:docGrid w:type="linesAndChars" w:linePitch="312" w:charSpace="0"/>
        </w:sectPr>
      </w:pPr>
    </w:p>
    <w:p w14:paraId="0846F2D4">
      <w:pPr>
        <w:keepNext/>
        <w:keepLines/>
        <w:spacing w:line="360" w:lineRule="auto"/>
        <w:jc w:val="center"/>
        <w:outlineLvl w:val="1"/>
        <w:rPr>
          <w:rFonts w:ascii="黑体" w:hAnsi="黑体" w:eastAsia="黑体"/>
          <w:b/>
          <w:bCs/>
          <w:color w:val="auto"/>
          <w:sz w:val="28"/>
          <w:szCs w:val="28"/>
        </w:rPr>
      </w:pPr>
      <w:bookmarkStart w:id="195" w:name="_Toc30742"/>
      <w:bookmarkStart w:id="196" w:name="_Toc107998035"/>
      <w:r>
        <w:rPr>
          <w:rFonts w:hint="eastAsia" w:ascii="黑体" w:hAnsi="黑体" w:eastAsia="黑体"/>
          <w:b/>
          <w:bCs/>
          <w:color w:val="auto"/>
          <w:sz w:val="28"/>
          <w:szCs w:val="28"/>
        </w:rPr>
        <w:t>四、授权委托书(格式)</w:t>
      </w:r>
      <w:bookmarkEnd w:id="195"/>
      <w:bookmarkEnd w:id="196"/>
    </w:p>
    <w:p w14:paraId="0332B640">
      <w:pPr>
        <w:autoSpaceDE w:val="0"/>
        <w:autoSpaceDN w:val="0"/>
        <w:adjustRightInd w:val="0"/>
        <w:snapToGrid w:val="0"/>
        <w:spacing w:before="156" w:beforeLines="50" w:line="360" w:lineRule="auto"/>
        <w:ind w:firstLine="420" w:firstLineChars="200"/>
        <w:jc w:val="left"/>
        <w:rPr>
          <w:rFonts w:ascii="宋体" w:hAnsi="宋体" w:cs="宋体"/>
          <w:color w:val="auto"/>
          <w:kern w:val="0"/>
          <w:szCs w:val="21"/>
        </w:rPr>
      </w:pPr>
    </w:p>
    <w:p w14:paraId="717B288F">
      <w:pPr>
        <w:autoSpaceDE w:val="0"/>
        <w:autoSpaceDN w:val="0"/>
        <w:adjustRightInd w:val="0"/>
        <w:snapToGrid w:val="0"/>
        <w:spacing w:before="156" w:beforeLines="5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（姓名、职务）</w:t>
      </w:r>
      <w:r>
        <w:rPr>
          <w:rFonts w:hint="eastAsia" w:ascii="宋体" w:hAnsi="宋体" w:cs="宋体"/>
          <w:color w:val="auto"/>
          <w:kern w:val="0"/>
          <w:szCs w:val="21"/>
        </w:rPr>
        <w:t xml:space="preserve">系 </w:t>
      </w:r>
      <w:r>
        <w:rPr>
          <w:rFonts w:hint="eastAsia" w:ascii="宋体" w:hAnsi="宋体" w:cs="宋体"/>
          <w:color w:val="auto"/>
          <w:kern w:val="0"/>
          <w:szCs w:val="21"/>
          <w:u w:val="single"/>
        </w:rPr>
        <w:t>（</w:t>
      </w:r>
      <w:r>
        <w:rPr>
          <w:rFonts w:hint="eastAsia" w:ascii="宋体" w:hAnsi="宋体"/>
          <w:color w:val="auto"/>
          <w:szCs w:val="21"/>
          <w:u w:val="single"/>
        </w:rPr>
        <w:t>供应商</w:t>
      </w:r>
      <w:r>
        <w:rPr>
          <w:rFonts w:hint="eastAsia" w:ascii="宋体" w:hAnsi="宋体" w:cs="宋体"/>
          <w:color w:val="auto"/>
          <w:kern w:val="0"/>
          <w:szCs w:val="21"/>
          <w:u w:val="single"/>
        </w:rPr>
        <w:t>名称）</w:t>
      </w:r>
      <w:r>
        <w:rPr>
          <w:rFonts w:hint="eastAsia" w:ascii="宋体" w:hAnsi="宋体" w:cs="宋体"/>
          <w:color w:val="auto"/>
          <w:kern w:val="0"/>
          <w:szCs w:val="21"/>
        </w:rPr>
        <w:t>的法定代表人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s="宋体"/>
          <w:color w:val="auto"/>
          <w:kern w:val="0"/>
          <w:szCs w:val="21"/>
        </w:rPr>
        <w:t>，现授权</w:t>
      </w:r>
      <w:r>
        <w:rPr>
          <w:rFonts w:hint="eastAsia" w:ascii="宋体" w:hAnsi="宋体" w:cs="宋体"/>
          <w:color w:val="auto"/>
          <w:kern w:val="0"/>
          <w:szCs w:val="21"/>
          <w:u w:val="single"/>
        </w:rPr>
        <w:t>（姓名、职务）</w:t>
      </w:r>
      <w:r>
        <w:rPr>
          <w:rFonts w:hint="eastAsia" w:ascii="宋体" w:hAnsi="宋体" w:cs="宋体"/>
          <w:color w:val="auto"/>
          <w:kern w:val="0"/>
          <w:szCs w:val="21"/>
        </w:rPr>
        <w:t>为我方代理人。代理人根据授权，以我方名义：(1)签署、澄清、补正、修改、撤回、提交</w:t>
      </w:r>
      <w:r>
        <w:rPr>
          <w:rFonts w:hint="eastAsia" w:ascii="宋体" w:hAnsi="宋体" w:cs="宋体"/>
          <w:color w:val="auto"/>
          <w:kern w:val="0"/>
          <w:szCs w:val="21"/>
          <w:u w:val="single"/>
        </w:rPr>
        <w:t>（项目名称、</w:t>
      </w:r>
      <w:r>
        <w:rPr>
          <w:rFonts w:hint="eastAsia" w:ascii="宋体" w:hAnsi="宋体"/>
          <w:color w:val="auto"/>
          <w:szCs w:val="21"/>
          <w:u w:val="single"/>
          <w:lang w:eastAsia="zh-CN"/>
        </w:rPr>
        <w:t>采购编号</w:t>
      </w:r>
      <w:r>
        <w:rPr>
          <w:rFonts w:hint="eastAsia" w:ascii="宋体" w:hAnsi="宋体" w:cs="宋体"/>
          <w:color w:val="auto"/>
          <w:kern w:val="0"/>
          <w:szCs w:val="21"/>
          <w:u w:val="single"/>
        </w:rPr>
        <w:t>、委托代理编号）</w:t>
      </w:r>
      <w:r>
        <w:rPr>
          <w:rFonts w:hint="eastAsia" w:ascii="宋体" w:hAnsi="宋体" w:cs="宋体"/>
          <w:color w:val="auto"/>
          <w:kern w:val="0"/>
          <w:szCs w:val="21"/>
        </w:rPr>
        <w:t>响应文件；(2)签署并重新提交响应文件及最后报价；(3)退出谈判（如可能）；(4)签订合同和处理有关事宜，其法律后果由我方承担。</w:t>
      </w:r>
    </w:p>
    <w:p w14:paraId="1525FD3A">
      <w:pPr>
        <w:autoSpaceDE w:val="0"/>
        <w:autoSpaceDN w:val="0"/>
        <w:adjustRightInd w:val="0"/>
        <w:snapToGrid w:val="0"/>
        <w:spacing w:before="156" w:beforeLines="5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委托期限：</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p w14:paraId="5EEB9241">
      <w:pPr>
        <w:adjustRightInd w:val="0"/>
        <w:snapToGrid w:val="0"/>
        <w:spacing w:before="156" w:beforeLines="50" w:line="360" w:lineRule="auto"/>
        <w:ind w:firstLine="435"/>
        <w:rPr>
          <w:rFonts w:ascii="宋体" w:hAnsi="宋体" w:cs="宋体"/>
          <w:color w:val="auto"/>
          <w:kern w:val="0"/>
          <w:szCs w:val="21"/>
        </w:rPr>
      </w:pPr>
      <w:r>
        <w:rPr>
          <w:rFonts w:hint="eastAsia" w:ascii="宋体" w:hAnsi="宋体" w:cs="宋体"/>
          <w:color w:val="auto"/>
          <w:kern w:val="0"/>
          <w:szCs w:val="21"/>
        </w:rPr>
        <w:t>代理人无转委托权。</w:t>
      </w:r>
    </w:p>
    <w:p w14:paraId="7122D47F">
      <w:pPr>
        <w:adjustRightInd w:val="0"/>
        <w:snapToGrid w:val="0"/>
        <w:spacing w:before="156" w:beforeLines="50" w:line="360" w:lineRule="auto"/>
        <w:ind w:firstLine="435"/>
        <w:rPr>
          <w:rFonts w:ascii="宋体" w:hAnsi="宋体" w:cs="微软雅黑"/>
          <w:color w:val="auto"/>
          <w:kern w:val="0"/>
          <w:szCs w:val="21"/>
        </w:rPr>
      </w:pPr>
      <w:r>
        <w:rPr>
          <w:rFonts w:hint="eastAsia" w:ascii="宋体" w:hAnsi="宋体"/>
          <w:color w:val="auto"/>
          <w:szCs w:val="21"/>
        </w:rPr>
        <w:t>本授权书于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日签字生效，特此声明。</w:t>
      </w:r>
    </w:p>
    <w:tbl>
      <w:tblPr>
        <w:tblStyle w:val="2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14:paraId="0EAB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14:paraId="7460020C">
            <w:pPr>
              <w:adjustRightInd w:val="0"/>
              <w:snapToGrid w:val="0"/>
              <w:spacing w:line="360" w:lineRule="auto"/>
              <w:jc w:val="center"/>
              <w:rPr>
                <w:rFonts w:ascii="宋体" w:hAnsi="宋体"/>
                <w:color w:val="auto"/>
                <w:szCs w:val="21"/>
              </w:rPr>
            </w:pPr>
            <w:r>
              <w:rPr>
                <w:rFonts w:hint="eastAsia" w:ascii="宋体" w:hAnsi="宋体"/>
                <w:color w:val="auto"/>
                <w:szCs w:val="21"/>
              </w:rPr>
              <w:t>委托代理人身份证（正面）</w:t>
            </w:r>
            <w:r>
              <w:rPr>
                <w:rFonts w:hint="eastAsia" w:ascii="宋体" w:hAnsi="宋体" w:eastAsia="宋体" w:cs="微软雅黑"/>
                <w:color w:val="auto"/>
                <w:spacing w:val="-2"/>
                <w:kern w:val="0"/>
                <w:szCs w:val="21"/>
              </w:rPr>
              <w:t>复</w:t>
            </w:r>
            <w:r>
              <w:rPr>
                <w:rFonts w:hint="eastAsia" w:ascii="宋体" w:hAnsi="宋体" w:eastAsia="宋体" w:cs="微软雅黑"/>
                <w:color w:val="auto"/>
                <w:kern w:val="0"/>
                <w:szCs w:val="21"/>
              </w:rPr>
              <w:t>印</w:t>
            </w:r>
            <w:r>
              <w:rPr>
                <w:rFonts w:hint="eastAsia" w:ascii="宋体" w:hAnsi="宋体" w:eastAsia="宋体" w:cs="微软雅黑"/>
                <w:color w:val="auto"/>
                <w:spacing w:val="-2"/>
                <w:kern w:val="0"/>
                <w:szCs w:val="21"/>
              </w:rPr>
              <w:t>件</w:t>
            </w:r>
          </w:p>
        </w:tc>
        <w:tc>
          <w:tcPr>
            <w:tcW w:w="3899" w:type="dxa"/>
            <w:vAlign w:val="center"/>
          </w:tcPr>
          <w:p w14:paraId="17E37046">
            <w:pPr>
              <w:adjustRightInd w:val="0"/>
              <w:snapToGrid w:val="0"/>
              <w:spacing w:line="360" w:lineRule="auto"/>
              <w:jc w:val="center"/>
              <w:rPr>
                <w:rFonts w:ascii="宋体" w:hAnsi="宋体"/>
                <w:color w:val="auto"/>
                <w:szCs w:val="21"/>
              </w:rPr>
            </w:pPr>
            <w:r>
              <w:rPr>
                <w:rFonts w:hint="eastAsia" w:ascii="宋体" w:hAnsi="宋体"/>
                <w:color w:val="auto"/>
                <w:szCs w:val="21"/>
              </w:rPr>
              <w:t>委托代理人身份证（反面）</w:t>
            </w:r>
            <w:r>
              <w:rPr>
                <w:rFonts w:hint="eastAsia" w:ascii="宋体" w:hAnsi="宋体" w:eastAsia="宋体" w:cs="微软雅黑"/>
                <w:color w:val="auto"/>
                <w:spacing w:val="-2"/>
                <w:kern w:val="0"/>
                <w:szCs w:val="21"/>
              </w:rPr>
              <w:t>复</w:t>
            </w:r>
            <w:r>
              <w:rPr>
                <w:rFonts w:hint="eastAsia" w:ascii="宋体" w:hAnsi="宋体" w:eastAsia="宋体" w:cs="微软雅黑"/>
                <w:color w:val="auto"/>
                <w:kern w:val="0"/>
                <w:szCs w:val="21"/>
              </w:rPr>
              <w:t>印</w:t>
            </w:r>
            <w:r>
              <w:rPr>
                <w:rFonts w:hint="eastAsia" w:ascii="宋体" w:hAnsi="宋体" w:eastAsia="宋体" w:cs="微软雅黑"/>
                <w:color w:val="auto"/>
                <w:spacing w:val="-2"/>
                <w:kern w:val="0"/>
                <w:szCs w:val="21"/>
              </w:rPr>
              <w:t>件</w:t>
            </w:r>
          </w:p>
        </w:tc>
      </w:tr>
      <w:tr w14:paraId="33C1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14:paraId="28E77459">
            <w:pPr>
              <w:adjustRightInd w:val="0"/>
              <w:snapToGrid w:val="0"/>
              <w:spacing w:line="360" w:lineRule="auto"/>
              <w:jc w:val="center"/>
              <w:rPr>
                <w:rFonts w:ascii="宋体" w:hAnsi="宋体"/>
                <w:color w:val="auto"/>
                <w:szCs w:val="21"/>
              </w:rPr>
            </w:pPr>
            <w:r>
              <w:rPr>
                <w:rFonts w:hint="eastAsia" w:ascii="宋体" w:hAnsi="宋体"/>
                <w:color w:val="auto"/>
                <w:szCs w:val="21"/>
              </w:rPr>
              <w:t>法定代表人身份证（正面）</w:t>
            </w:r>
            <w:r>
              <w:rPr>
                <w:rFonts w:hint="eastAsia" w:ascii="宋体" w:hAnsi="宋体" w:eastAsia="宋体" w:cs="微软雅黑"/>
                <w:color w:val="auto"/>
                <w:spacing w:val="-2"/>
                <w:kern w:val="0"/>
                <w:szCs w:val="21"/>
              </w:rPr>
              <w:t>复</w:t>
            </w:r>
            <w:r>
              <w:rPr>
                <w:rFonts w:hint="eastAsia" w:ascii="宋体" w:hAnsi="宋体" w:eastAsia="宋体" w:cs="微软雅黑"/>
                <w:color w:val="auto"/>
                <w:kern w:val="0"/>
                <w:szCs w:val="21"/>
              </w:rPr>
              <w:t>印</w:t>
            </w:r>
            <w:r>
              <w:rPr>
                <w:rFonts w:hint="eastAsia" w:ascii="宋体" w:hAnsi="宋体" w:eastAsia="宋体" w:cs="微软雅黑"/>
                <w:color w:val="auto"/>
                <w:spacing w:val="-2"/>
                <w:kern w:val="0"/>
                <w:szCs w:val="21"/>
              </w:rPr>
              <w:t>件</w:t>
            </w:r>
          </w:p>
        </w:tc>
        <w:tc>
          <w:tcPr>
            <w:tcW w:w="3899" w:type="dxa"/>
            <w:vAlign w:val="center"/>
          </w:tcPr>
          <w:p w14:paraId="632F05E9">
            <w:pPr>
              <w:adjustRightInd w:val="0"/>
              <w:snapToGrid w:val="0"/>
              <w:spacing w:line="360" w:lineRule="auto"/>
              <w:jc w:val="center"/>
              <w:rPr>
                <w:rFonts w:ascii="宋体" w:hAnsi="宋体"/>
                <w:color w:val="auto"/>
                <w:szCs w:val="21"/>
              </w:rPr>
            </w:pPr>
            <w:r>
              <w:rPr>
                <w:rFonts w:hint="eastAsia" w:ascii="宋体" w:hAnsi="宋体"/>
                <w:color w:val="auto"/>
                <w:szCs w:val="21"/>
              </w:rPr>
              <w:t>法定代表人身份证（反面）</w:t>
            </w:r>
            <w:r>
              <w:rPr>
                <w:rFonts w:hint="eastAsia" w:ascii="宋体" w:hAnsi="宋体" w:eastAsia="宋体" w:cs="微软雅黑"/>
                <w:color w:val="auto"/>
                <w:spacing w:val="-2"/>
                <w:kern w:val="0"/>
                <w:szCs w:val="21"/>
              </w:rPr>
              <w:t>复</w:t>
            </w:r>
            <w:r>
              <w:rPr>
                <w:rFonts w:hint="eastAsia" w:ascii="宋体" w:hAnsi="宋体" w:eastAsia="宋体" w:cs="微软雅黑"/>
                <w:color w:val="auto"/>
                <w:kern w:val="0"/>
                <w:szCs w:val="21"/>
              </w:rPr>
              <w:t>印</w:t>
            </w:r>
            <w:r>
              <w:rPr>
                <w:rFonts w:hint="eastAsia" w:ascii="宋体" w:hAnsi="宋体" w:eastAsia="宋体" w:cs="微软雅黑"/>
                <w:color w:val="auto"/>
                <w:spacing w:val="-2"/>
                <w:kern w:val="0"/>
                <w:szCs w:val="21"/>
              </w:rPr>
              <w:t>件</w:t>
            </w:r>
          </w:p>
        </w:tc>
      </w:tr>
    </w:tbl>
    <w:p w14:paraId="1056076D">
      <w:pPr>
        <w:adjustRightInd w:val="0"/>
        <w:snapToGrid w:val="0"/>
        <w:spacing w:before="156" w:beforeLines="50" w:line="360" w:lineRule="auto"/>
        <w:ind w:firstLine="420" w:firstLineChars="200"/>
        <w:rPr>
          <w:rFonts w:ascii="宋体" w:hAnsi="宋体"/>
          <w:color w:val="auto"/>
          <w:szCs w:val="21"/>
        </w:rPr>
      </w:pPr>
    </w:p>
    <w:p w14:paraId="6D3CFD8F">
      <w:pPr>
        <w:adjustRightInd w:val="0"/>
        <w:snapToGrid w:val="0"/>
        <w:spacing w:before="156" w:beforeLines="50" w:line="360" w:lineRule="auto"/>
        <w:ind w:firstLine="420" w:firstLineChars="200"/>
        <w:rPr>
          <w:rFonts w:ascii="宋体" w:hAnsi="宋体"/>
          <w:color w:val="auto"/>
          <w:szCs w:val="21"/>
        </w:rPr>
      </w:pPr>
    </w:p>
    <w:p w14:paraId="099D540A">
      <w:pPr>
        <w:adjustRightInd w:val="0"/>
        <w:snapToGrid w:val="0"/>
        <w:spacing w:before="156" w:beforeLines="50" w:line="360" w:lineRule="auto"/>
        <w:rPr>
          <w:rFonts w:ascii="宋体" w:hAnsi="宋体"/>
          <w:color w:val="auto"/>
          <w:szCs w:val="21"/>
        </w:rPr>
      </w:pPr>
      <w:r>
        <w:rPr>
          <w:rFonts w:hint="eastAsia" w:ascii="宋体" w:hAnsi="宋体"/>
          <w:color w:val="auto"/>
          <w:szCs w:val="21"/>
        </w:rPr>
        <w:t>注：供应商代表不是供应商的法定代表人（单位负责人）的提供。</w:t>
      </w:r>
    </w:p>
    <w:p w14:paraId="38C7483B">
      <w:pPr>
        <w:adjustRightInd w:val="0"/>
        <w:snapToGrid w:val="0"/>
        <w:spacing w:before="156" w:beforeLines="50" w:line="360" w:lineRule="auto"/>
        <w:ind w:firstLine="420" w:firstLineChars="200"/>
        <w:rPr>
          <w:rFonts w:ascii="宋体" w:hAnsi="宋体"/>
          <w:color w:val="auto"/>
          <w:szCs w:val="21"/>
        </w:rPr>
      </w:pPr>
    </w:p>
    <w:p w14:paraId="1DC94FFE">
      <w:pPr>
        <w:adjustRightInd w:val="0"/>
        <w:snapToGrid w:val="0"/>
        <w:spacing w:before="156" w:beforeLines="50" w:line="360" w:lineRule="auto"/>
        <w:ind w:firstLine="420" w:firstLineChars="200"/>
        <w:rPr>
          <w:rFonts w:ascii="宋体" w:hAnsi="宋体"/>
          <w:color w:val="auto"/>
          <w:szCs w:val="21"/>
        </w:rPr>
      </w:pPr>
    </w:p>
    <w:p w14:paraId="1A68FB0D">
      <w:pPr>
        <w:adjustRightInd w:val="0"/>
        <w:snapToGrid w:val="0"/>
        <w:spacing w:before="156" w:beforeLines="50" w:line="360" w:lineRule="auto"/>
        <w:rPr>
          <w:rFonts w:ascii="宋体" w:hAnsi="宋体" w:cs="Courier New"/>
          <w:color w:val="auto"/>
          <w:szCs w:val="21"/>
        </w:rPr>
      </w:pPr>
      <w:r>
        <w:rPr>
          <w:rFonts w:hint="eastAsia" w:ascii="宋体" w:hAnsi="宋体" w:cs="Courier New"/>
          <w:color w:val="auto"/>
          <w:szCs w:val="21"/>
        </w:rPr>
        <w:t>供应商名称(盖单位公章)：</w:t>
      </w:r>
    </w:p>
    <w:p w14:paraId="459B64D6">
      <w:pPr>
        <w:adjustRightInd w:val="0"/>
        <w:snapToGrid w:val="0"/>
        <w:spacing w:before="156" w:beforeLines="50" w:line="360" w:lineRule="auto"/>
        <w:rPr>
          <w:rFonts w:ascii="宋体" w:hAnsi="宋体" w:cs="微软雅黑"/>
          <w:color w:val="auto"/>
          <w:spacing w:val="-2"/>
          <w:kern w:val="0"/>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（签字或印章）：</w:t>
      </w:r>
    </w:p>
    <w:p w14:paraId="52FD1EBB">
      <w:pPr>
        <w:adjustRightInd w:val="0"/>
        <w:snapToGrid w:val="0"/>
        <w:spacing w:before="156" w:beforeLines="50" w:line="360" w:lineRule="auto"/>
        <w:rPr>
          <w:rFonts w:ascii="宋体" w:hAnsi="宋体"/>
          <w:color w:val="auto"/>
          <w:szCs w:val="21"/>
          <w:u w:val="single"/>
        </w:rPr>
      </w:pPr>
      <w:r>
        <w:rPr>
          <w:rFonts w:hint="eastAsia" w:ascii="宋体" w:hAnsi="宋体"/>
          <w:color w:val="auto"/>
          <w:szCs w:val="21"/>
        </w:rPr>
        <w:t>委托代理人（签字或印章）：</w:t>
      </w:r>
    </w:p>
    <w:p w14:paraId="6F76D2E7">
      <w:pPr>
        <w:adjustRightInd w:val="0"/>
        <w:snapToGrid w:val="0"/>
        <w:spacing w:before="156" w:beforeLines="50" w:line="360" w:lineRule="auto"/>
        <w:rPr>
          <w:rFonts w:ascii="宋体" w:hAnsi="宋体"/>
          <w:color w:val="auto"/>
        </w:rPr>
      </w:pPr>
      <w:r>
        <w:rPr>
          <w:rFonts w:hint="eastAsia" w:ascii="宋体" w:hAnsi="宋体"/>
          <w:color w:val="auto"/>
          <w:szCs w:val="21"/>
        </w:rPr>
        <w:t xml:space="preserve">日期： </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 xml:space="preserve"> 月</w:t>
      </w:r>
      <w:r>
        <w:rPr>
          <w:rFonts w:hint="eastAsia" w:ascii="宋体" w:hAnsi="宋体"/>
          <w:color w:val="auto"/>
          <w:szCs w:val="21"/>
          <w:lang w:val="en-US" w:eastAsia="zh-CN"/>
        </w:rPr>
        <w:t xml:space="preserve">    </w:t>
      </w:r>
      <w:r>
        <w:rPr>
          <w:rFonts w:hint="eastAsia" w:ascii="宋体" w:hAnsi="宋体"/>
          <w:color w:val="auto"/>
          <w:szCs w:val="21"/>
        </w:rPr>
        <w:t xml:space="preserve"> 日</w:t>
      </w:r>
      <w:r>
        <w:rPr>
          <w:rFonts w:ascii="宋体" w:hAnsi="宋体"/>
          <w:color w:val="auto"/>
        </w:rPr>
        <w:t xml:space="preserve"> </w:t>
      </w:r>
    </w:p>
    <w:p w14:paraId="5E813830">
      <w:pPr>
        <w:pStyle w:val="34"/>
        <w:rPr>
          <w:rFonts w:ascii="宋体" w:hAnsi="宋体"/>
          <w:color w:val="auto"/>
        </w:rPr>
      </w:pPr>
    </w:p>
    <w:p w14:paraId="7155C69C">
      <w:pPr>
        <w:pStyle w:val="34"/>
        <w:rPr>
          <w:rFonts w:ascii="宋体" w:hAnsi="宋体"/>
          <w:color w:val="auto"/>
        </w:rPr>
      </w:pPr>
    </w:p>
    <w:p w14:paraId="28158096">
      <w:pPr>
        <w:pStyle w:val="34"/>
        <w:rPr>
          <w:rFonts w:ascii="宋体" w:hAnsi="宋体"/>
          <w:color w:val="auto"/>
        </w:rPr>
      </w:pPr>
    </w:p>
    <w:p w14:paraId="41307E21">
      <w:pPr>
        <w:pStyle w:val="34"/>
        <w:rPr>
          <w:rFonts w:ascii="宋体" w:hAnsi="宋体"/>
          <w:color w:val="auto"/>
        </w:rPr>
      </w:pPr>
      <w:r>
        <w:rPr>
          <w:rFonts w:hint="eastAsia" w:ascii="宋体" w:hAnsi="宋体" w:eastAsia="宋体" w:cs="宋体"/>
          <w:b/>
          <w:szCs w:val="21"/>
          <w:u w:val="none"/>
        </w:rPr>
        <w:t>注：此《</w:t>
      </w:r>
      <w:r>
        <w:rPr>
          <w:rFonts w:hint="eastAsia" w:ascii="宋体" w:hAnsi="宋体" w:eastAsia="宋体" w:cs="宋体"/>
          <w:b/>
          <w:szCs w:val="21"/>
          <w:u w:val="none"/>
          <w:lang w:eastAsia="zh-CN"/>
        </w:rPr>
        <w:t>授权委托书</w:t>
      </w:r>
      <w:r>
        <w:rPr>
          <w:rFonts w:hint="eastAsia" w:ascii="宋体" w:hAnsi="宋体" w:eastAsia="宋体" w:cs="宋体"/>
          <w:b/>
          <w:szCs w:val="21"/>
          <w:u w:val="none"/>
        </w:rPr>
        <w:t>》须另单独备一份原件与投标文件同时分别递交以供开标时现场</w:t>
      </w:r>
      <w:r>
        <w:rPr>
          <w:rFonts w:hint="eastAsia" w:ascii="宋体" w:hAnsi="宋体" w:eastAsia="宋体" w:cs="宋体"/>
          <w:b/>
          <w:szCs w:val="21"/>
          <w:u w:val="none"/>
          <w:lang w:eastAsia="zh-CN"/>
        </w:rPr>
        <w:t>监督人员</w:t>
      </w:r>
      <w:r>
        <w:rPr>
          <w:rFonts w:hint="eastAsia" w:ascii="宋体" w:hAnsi="宋体" w:eastAsia="宋体" w:cs="宋体"/>
          <w:b/>
          <w:szCs w:val="21"/>
          <w:u w:val="none"/>
        </w:rPr>
        <w:t>和业主方审核。</w:t>
      </w:r>
    </w:p>
    <w:p w14:paraId="1AB5A144">
      <w:pPr>
        <w:pStyle w:val="6"/>
        <w:jc w:val="center"/>
      </w:pPr>
      <w:bookmarkStart w:id="197" w:name="_Toc9315"/>
      <w:bookmarkStart w:id="198" w:name="_Toc23231"/>
      <w:bookmarkStart w:id="199" w:name="_Toc27619"/>
      <w:bookmarkStart w:id="200" w:name="_Toc34637791"/>
      <w:bookmarkStart w:id="201" w:name="_Toc14607"/>
      <w:bookmarkStart w:id="202" w:name="_Toc20483"/>
      <w:r>
        <w:rPr>
          <w:rFonts w:hint="eastAsia"/>
        </w:rPr>
        <w:t>法定代表人（单位负责人）身份证明(格式)</w:t>
      </w:r>
      <w:bookmarkEnd w:id="197"/>
      <w:bookmarkEnd w:id="198"/>
      <w:bookmarkEnd w:id="199"/>
      <w:bookmarkEnd w:id="200"/>
      <w:bookmarkEnd w:id="201"/>
      <w:bookmarkEnd w:id="202"/>
    </w:p>
    <w:p w14:paraId="5C0E9672">
      <w:pPr>
        <w:tabs>
          <w:tab w:val="left" w:pos="3880"/>
        </w:tabs>
        <w:autoSpaceDE w:val="0"/>
        <w:autoSpaceDN w:val="0"/>
        <w:adjustRightInd w:val="0"/>
        <w:snapToGrid w:val="0"/>
        <w:spacing w:before="156" w:beforeLines="50" w:line="360" w:lineRule="auto"/>
        <w:ind w:left="100" w:right="-20"/>
        <w:jc w:val="left"/>
        <w:rPr>
          <w:rFonts w:ascii="宋体" w:hAnsi="宋体" w:cs="微软雅黑"/>
          <w:color w:val="000000"/>
          <w:kern w:val="0"/>
          <w:position w:val="-4"/>
          <w:szCs w:val="21"/>
        </w:rPr>
      </w:pPr>
    </w:p>
    <w:p w14:paraId="5D8A2E75">
      <w:pPr>
        <w:tabs>
          <w:tab w:val="left" w:pos="3880"/>
        </w:tabs>
        <w:autoSpaceDE w:val="0"/>
        <w:autoSpaceDN w:val="0"/>
        <w:adjustRightInd w:val="0"/>
        <w:snapToGrid w:val="0"/>
        <w:spacing w:before="156" w:beforeLines="50" w:line="360" w:lineRule="auto"/>
        <w:ind w:left="100" w:right="-20"/>
        <w:jc w:val="left"/>
        <w:rPr>
          <w:rFonts w:ascii="宋体" w:hAnsi="宋体" w:cs="微软雅黑"/>
          <w:color w:val="000000"/>
          <w:kern w:val="0"/>
          <w:szCs w:val="21"/>
        </w:rPr>
      </w:pPr>
      <w:r>
        <w:rPr>
          <w:rFonts w:hint="eastAsia" w:ascii="宋体" w:hAnsi="宋体" w:cs="微软雅黑"/>
          <w:color w:val="000000"/>
          <w:kern w:val="0"/>
          <w:position w:val="-4"/>
          <w:szCs w:val="21"/>
        </w:rPr>
        <w:t>供应商名</w:t>
      </w:r>
      <w:r>
        <w:rPr>
          <w:rFonts w:hint="eastAsia" w:ascii="宋体" w:hAnsi="宋体" w:cs="微软雅黑"/>
          <w:color w:val="000000"/>
          <w:spacing w:val="-2"/>
          <w:kern w:val="0"/>
          <w:position w:val="-4"/>
          <w:szCs w:val="21"/>
        </w:rPr>
        <w:t>称</w:t>
      </w:r>
      <w:r>
        <w:rPr>
          <w:rFonts w:hint="eastAsia" w:ascii="宋体" w:hAnsi="宋体" w:cs="微软雅黑"/>
          <w:color w:val="000000"/>
          <w:kern w:val="0"/>
          <w:position w:val="-4"/>
          <w:szCs w:val="21"/>
        </w:rPr>
        <w:t>：</w:t>
      </w:r>
      <w:r>
        <w:rPr>
          <w:rFonts w:hint="eastAsia" w:ascii="宋体" w:hAnsi="宋体"/>
          <w:color w:val="000000"/>
          <w:szCs w:val="21"/>
          <w:u w:val="single"/>
        </w:rPr>
        <w:t xml:space="preserve">                 </w:t>
      </w:r>
    </w:p>
    <w:p w14:paraId="56F806EE">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ascii="宋体" w:hAnsi="宋体" w:cs="微软雅黑"/>
          <w:color w:val="000000"/>
          <w:kern w:val="0"/>
          <w:position w:val="-2"/>
          <w:szCs w:val="21"/>
        </w:rPr>
      </w:pPr>
      <w:r>
        <w:rPr>
          <w:rFonts w:hint="eastAsia" w:ascii="宋体" w:hAnsi="宋体" w:cs="微软雅黑"/>
          <w:color w:val="000000"/>
          <w:kern w:val="0"/>
          <w:position w:val="-2"/>
          <w:szCs w:val="21"/>
        </w:rPr>
        <w:t>统一社会信用代码：</w:t>
      </w:r>
      <w:r>
        <w:rPr>
          <w:rFonts w:hint="eastAsia" w:ascii="宋体" w:hAnsi="宋体"/>
          <w:color w:val="000000"/>
          <w:szCs w:val="21"/>
          <w:u w:val="single"/>
        </w:rPr>
        <w:t xml:space="preserve">                 </w:t>
      </w:r>
    </w:p>
    <w:p w14:paraId="204AC67D">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ascii="宋体" w:hAnsi="宋体" w:cs="微软雅黑"/>
          <w:color w:val="000000"/>
          <w:kern w:val="0"/>
          <w:position w:val="-2"/>
          <w:szCs w:val="21"/>
        </w:rPr>
      </w:pPr>
      <w:r>
        <w:rPr>
          <w:rFonts w:hint="eastAsia" w:ascii="宋体" w:hAnsi="宋体" w:cs="微软雅黑"/>
          <w:color w:val="000000"/>
          <w:kern w:val="0"/>
          <w:position w:val="-2"/>
          <w:szCs w:val="21"/>
        </w:rPr>
        <w:t>注册地址：</w:t>
      </w:r>
      <w:r>
        <w:rPr>
          <w:rFonts w:hint="eastAsia" w:ascii="宋体" w:hAnsi="宋体"/>
          <w:color w:val="000000"/>
          <w:szCs w:val="21"/>
          <w:u w:val="single"/>
        </w:rPr>
        <w:t xml:space="preserve">                 </w:t>
      </w:r>
    </w:p>
    <w:p w14:paraId="12C0D2FE">
      <w:pPr>
        <w:tabs>
          <w:tab w:val="left" w:pos="2400"/>
          <w:tab w:val="left" w:pos="3880"/>
          <w:tab w:val="left" w:pos="5340"/>
          <w:tab w:val="left" w:pos="6820"/>
        </w:tabs>
        <w:autoSpaceDE w:val="0"/>
        <w:autoSpaceDN w:val="0"/>
        <w:adjustRightInd w:val="0"/>
        <w:snapToGrid w:val="0"/>
        <w:spacing w:before="156" w:beforeLines="50" w:line="360" w:lineRule="auto"/>
        <w:ind w:left="102" w:right="-23" w:firstLine="420" w:firstLineChars="200"/>
        <w:jc w:val="left"/>
        <w:rPr>
          <w:rFonts w:ascii="宋体" w:hAnsi="宋体" w:cs="微软雅黑"/>
          <w:color w:val="000000"/>
          <w:kern w:val="0"/>
          <w:szCs w:val="21"/>
        </w:rPr>
      </w:pPr>
      <w:r>
        <w:rPr>
          <w:rFonts w:hint="eastAsia" w:ascii="宋体" w:hAnsi="宋体" w:cs="微软雅黑"/>
          <w:color w:val="000000"/>
          <w:kern w:val="0"/>
          <w:position w:val="-2"/>
          <w:szCs w:val="21"/>
        </w:rPr>
        <w:t>姓名</w:t>
      </w:r>
      <w:r>
        <w:rPr>
          <w:rFonts w:hint="eastAsia" w:ascii="宋体" w:hAnsi="宋体" w:cs="微软雅黑"/>
          <w:color w:val="000000"/>
          <w:spacing w:val="-2"/>
          <w:kern w:val="0"/>
          <w:position w:val="-2"/>
          <w:szCs w:val="21"/>
        </w:rPr>
        <w:t>：</w:t>
      </w:r>
      <w:r>
        <w:rPr>
          <w:rFonts w:hint="eastAsia" w:ascii="宋体" w:hAnsi="宋体"/>
          <w:color w:val="000000"/>
          <w:szCs w:val="21"/>
          <w:u w:val="single"/>
        </w:rPr>
        <w:t xml:space="preserve">         </w:t>
      </w:r>
      <w:r>
        <w:rPr>
          <w:rFonts w:hint="eastAsia" w:ascii="宋体" w:hAnsi="宋体" w:cs="微软雅黑"/>
          <w:color w:val="000000"/>
          <w:kern w:val="0"/>
          <w:position w:val="-2"/>
          <w:szCs w:val="21"/>
        </w:rPr>
        <w:t>性别</w:t>
      </w:r>
      <w:r>
        <w:rPr>
          <w:rFonts w:hint="eastAsia" w:ascii="宋体" w:hAnsi="宋体" w:cs="微软雅黑"/>
          <w:color w:val="000000"/>
          <w:spacing w:val="-2"/>
          <w:kern w:val="0"/>
          <w:position w:val="-2"/>
          <w:szCs w:val="21"/>
        </w:rPr>
        <w:t>：</w:t>
      </w:r>
      <w:r>
        <w:rPr>
          <w:rFonts w:hint="eastAsia" w:ascii="宋体" w:hAnsi="宋体"/>
          <w:color w:val="000000"/>
          <w:szCs w:val="21"/>
          <w:u w:val="single"/>
        </w:rPr>
        <w:t xml:space="preserve">         </w:t>
      </w:r>
      <w:r>
        <w:rPr>
          <w:rFonts w:hint="eastAsia" w:ascii="宋体" w:hAnsi="宋体" w:cs="微软雅黑"/>
          <w:color w:val="000000"/>
          <w:kern w:val="0"/>
          <w:position w:val="-2"/>
          <w:szCs w:val="21"/>
        </w:rPr>
        <w:t>年</w:t>
      </w:r>
      <w:r>
        <w:rPr>
          <w:rFonts w:hint="eastAsia" w:ascii="宋体" w:hAnsi="宋体" w:cs="微软雅黑"/>
          <w:color w:val="000000"/>
          <w:spacing w:val="-2"/>
          <w:kern w:val="0"/>
          <w:position w:val="-2"/>
          <w:szCs w:val="21"/>
        </w:rPr>
        <w:t>龄</w:t>
      </w:r>
      <w:r>
        <w:rPr>
          <w:rFonts w:hint="eastAsia" w:ascii="宋体" w:hAnsi="宋体" w:cs="微软雅黑"/>
          <w:color w:val="000000"/>
          <w:kern w:val="0"/>
          <w:position w:val="-2"/>
          <w:szCs w:val="21"/>
        </w:rPr>
        <w:t>：</w:t>
      </w:r>
      <w:r>
        <w:rPr>
          <w:rFonts w:hint="eastAsia" w:ascii="宋体" w:hAnsi="宋体"/>
          <w:color w:val="000000"/>
          <w:szCs w:val="21"/>
          <w:u w:val="single"/>
        </w:rPr>
        <w:t xml:space="preserve">         </w:t>
      </w:r>
      <w:r>
        <w:rPr>
          <w:rFonts w:hint="eastAsia" w:ascii="宋体" w:hAnsi="宋体" w:cs="微软雅黑"/>
          <w:color w:val="000000"/>
          <w:kern w:val="0"/>
          <w:position w:val="-2"/>
          <w:szCs w:val="21"/>
        </w:rPr>
        <w:t>职</w:t>
      </w:r>
      <w:r>
        <w:rPr>
          <w:rFonts w:hint="eastAsia" w:ascii="宋体" w:hAnsi="宋体" w:cs="微软雅黑"/>
          <w:color w:val="000000"/>
          <w:spacing w:val="-2"/>
          <w:kern w:val="0"/>
          <w:position w:val="-2"/>
          <w:szCs w:val="21"/>
        </w:rPr>
        <w:t>务</w:t>
      </w:r>
      <w:r>
        <w:rPr>
          <w:rFonts w:hint="eastAsia" w:ascii="宋体" w:hAnsi="宋体" w:cs="微软雅黑"/>
          <w:color w:val="000000"/>
          <w:kern w:val="0"/>
          <w:position w:val="-2"/>
          <w:szCs w:val="21"/>
        </w:rPr>
        <w:t>：</w:t>
      </w:r>
      <w:r>
        <w:rPr>
          <w:rFonts w:hint="eastAsia" w:ascii="宋体" w:hAnsi="宋体"/>
          <w:color w:val="000000"/>
          <w:szCs w:val="21"/>
          <w:u w:val="single"/>
        </w:rPr>
        <w:t xml:space="preserve">         </w:t>
      </w:r>
      <w:r>
        <w:rPr>
          <w:rFonts w:hint="eastAsia" w:ascii="宋体" w:hAnsi="宋体" w:cs="微软雅黑"/>
          <w:color w:val="000000"/>
          <w:kern w:val="0"/>
          <w:position w:val="-2"/>
          <w:szCs w:val="21"/>
        </w:rPr>
        <w:t>系</w:t>
      </w:r>
      <w:r>
        <w:rPr>
          <w:rFonts w:hint="eastAsia" w:ascii="宋体" w:hAnsi="宋体"/>
          <w:color w:val="000000"/>
          <w:szCs w:val="21"/>
          <w:u w:val="single"/>
        </w:rPr>
        <w:t xml:space="preserve">         </w:t>
      </w:r>
      <w:r>
        <w:rPr>
          <w:rFonts w:hint="eastAsia" w:ascii="宋体" w:hAnsi="宋体" w:cs="微软雅黑"/>
          <w:color w:val="000000"/>
          <w:spacing w:val="-2"/>
          <w:kern w:val="0"/>
          <w:position w:val="-2"/>
          <w:szCs w:val="21"/>
        </w:rPr>
        <w:t>（</w:t>
      </w:r>
      <w:r>
        <w:rPr>
          <w:rFonts w:hint="eastAsia" w:ascii="宋体" w:hAnsi="宋体" w:cs="微软雅黑"/>
          <w:color w:val="000000"/>
          <w:kern w:val="0"/>
          <w:position w:val="-2"/>
          <w:szCs w:val="21"/>
        </w:rPr>
        <w:t>供应商</w:t>
      </w:r>
      <w:r>
        <w:rPr>
          <w:rFonts w:hint="eastAsia" w:ascii="宋体" w:hAnsi="宋体" w:cs="微软雅黑"/>
          <w:color w:val="000000"/>
          <w:spacing w:val="-2"/>
          <w:kern w:val="0"/>
          <w:position w:val="-2"/>
          <w:szCs w:val="21"/>
        </w:rPr>
        <w:t>名</w:t>
      </w:r>
      <w:r>
        <w:rPr>
          <w:rFonts w:hint="eastAsia" w:ascii="宋体" w:hAnsi="宋体" w:cs="微软雅黑"/>
          <w:color w:val="000000"/>
          <w:kern w:val="0"/>
          <w:position w:val="-2"/>
          <w:szCs w:val="21"/>
        </w:rPr>
        <w:t>称</w:t>
      </w:r>
      <w:r>
        <w:rPr>
          <w:rFonts w:hint="eastAsia" w:ascii="宋体" w:hAnsi="宋体" w:cs="微软雅黑"/>
          <w:color w:val="000000"/>
          <w:spacing w:val="-2"/>
          <w:kern w:val="0"/>
          <w:position w:val="-2"/>
          <w:szCs w:val="21"/>
        </w:rPr>
        <w:t>）</w:t>
      </w:r>
      <w:r>
        <w:rPr>
          <w:rFonts w:hint="eastAsia" w:ascii="宋体" w:hAnsi="宋体" w:cs="微软雅黑"/>
          <w:color w:val="000000"/>
          <w:kern w:val="0"/>
          <w:position w:val="-2"/>
          <w:szCs w:val="21"/>
        </w:rPr>
        <w:t>的</w:t>
      </w:r>
      <w:r>
        <w:rPr>
          <w:rFonts w:hint="eastAsia" w:ascii="宋体" w:hAnsi="宋体" w:cs="微软雅黑"/>
          <w:color w:val="000000"/>
          <w:spacing w:val="-2"/>
          <w:kern w:val="0"/>
          <w:position w:val="-2"/>
          <w:szCs w:val="21"/>
        </w:rPr>
        <w:t>法定</w:t>
      </w:r>
      <w:r>
        <w:rPr>
          <w:rFonts w:hint="eastAsia" w:ascii="宋体" w:hAnsi="宋体" w:cs="微软雅黑"/>
          <w:color w:val="000000"/>
          <w:kern w:val="0"/>
          <w:position w:val="-2"/>
          <w:szCs w:val="21"/>
        </w:rPr>
        <w:t>代表</w:t>
      </w:r>
      <w:r>
        <w:rPr>
          <w:rFonts w:hint="eastAsia" w:ascii="宋体" w:hAnsi="宋体" w:cs="微软雅黑"/>
          <w:color w:val="000000"/>
          <w:spacing w:val="-2"/>
          <w:kern w:val="0"/>
          <w:position w:val="-2"/>
          <w:szCs w:val="21"/>
        </w:rPr>
        <w:t>人</w:t>
      </w:r>
      <w:r>
        <w:rPr>
          <w:rFonts w:hint="eastAsia" w:ascii="宋体" w:hAnsi="宋体" w:cs="微软雅黑"/>
          <w:color w:val="000000"/>
          <w:kern w:val="0"/>
          <w:position w:val="-2"/>
          <w:szCs w:val="21"/>
        </w:rPr>
        <w:t>（</w:t>
      </w:r>
      <w:r>
        <w:rPr>
          <w:rFonts w:hint="eastAsia" w:ascii="宋体" w:hAnsi="宋体" w:cs="微软雅黑"/>
          <w:color w:val="000000"/>
          <w:spacing w:val="-2"/>
          <w:kern w:val="0"/>
          <w:position w:val="-2"/>
          <w:szCs w:val="21"/>
        </w:rPr>
        <w:t>单</w:t>
      </w:r>
      <w:r>
        <w:rPr>
          <w:rFonts w:hint="eastAsia" w:ascii="宋体" w:hAnsi="宋体" w:cs="微软雅黑"/>
          <w:color w:val="000000"/>
          <w:kern w:val="0"/>
          <w:position w:val="-2"/>
          <w:szCs w:val="21"/>
        </w:rPr>
        <w:t>位</w:t>
      </w:r>
      <w:r>
        <w:rPr>
          <w:rFonts w:hint="eastAsia" w:ascii="宋体" w:hAnsi="宋体" w:cs="微软雅黑"/>
          <w:color w:val="000000"/>
          <w:spacing w:val="-2"/>
          <w:kern w:val="0"/>
          <w:position w:val="-2"/>
          <w:szCs w:val="21"/>
        </w:rPr>
        <w:t>负</w:t>
      </w:r>
      <w:r>
        <w:rPr>
          <w:rFonts w:hint="eastAsia" w:ascii="宋体" w:hAnsi="宋体" w:cs="微软雅黑"/>
          <w:color w:val="000000"/>
          <w:kern w:val="0"/>
          <w:position w:val="-2"/>
          <w:szCs w:val="21"/>
        </w:rPr>
        <w:t>责</w:t>
      </w:r>
      <w:r>
        <w:rPr>
          <w:rFonts w:hint="eastAsia" w:ascii="宋体" w:hAnsi="宋体" w:cs="微软雅黑"/>
          <w:color w:val="000000"/>
          <w:spacing w:val="-2"/>
          <w:kern w:val="0"/>
          <w:position w:val="-2"/>
          <w:szCs w:val="21"/>
        </w:rPr>
        <w:t>人</w:t>
      </w:r>
      <w:r>
        <w:rPr>
          <w:rFonts w:hint="eastAsia" w:ascii="宋体" w:hAnsi="宋体" w:cs="微软雅黑"/>
          <w:color w:val="000000"/>
          <w:spacing w:val="-106"/>
          <w:kern w:val="0"/>
          <w:position w:val="-2"/>
          <w:szCs w:val="21"/>
        </w:rPr>
        <w:t>）</w:t>
      </w:r>
      <w:r>
        <w:rPr>
          <w:rFonts w:hint="eastAsia" w:ascii="宋体" w:hAnsi="宋体" w:cs="微软雅黑"/>
          <w:color w:val="000000"/>
          <w:kern w:val="0"/>
          <w:position w:val="-2"/>
          <w:szCs w:val="21"/>
        </w:rPr>
        <w:t>。</w:t>
      </w:r>
    </w:p>
    <w:p w14:paraId="0F6C3EFD">
      <w:pPr>
        <w:autoSpaceDE w:val="0"/>
        <w:autoSpaceDN w:val="0"/>
        <w:adjustRightInd w:val="0"/>
        <w:snapToGrid w:val="0"/>
        <w:spacing w:before="156" w:beforeLines="50" w:line="360" w:lineRule="auto"/>
        <w:ind w:left="520" w:right="-20"/>
        <w:jc w:val="left"/>
        <w:rPr>
          <w:rFonts w:ascii="宋体" w:hAnsi="宋体" w:cs="微软雅黑"/>
          <w:color w:val="000000"/>
          <w:kern w:val="0"/>
          <w:szCs w:val="21"/>
        </w:rPr>
      </w:pPr>
      <w:r>
        <w:rPr>
          <w:rFonts w:hint="eastAsia" w:ascii="宋体" w:hAnsi="宋体" w:cs="微软雅黑"/>
          <w:color w:val="000000"/>
          <w:kern w:val="0"/>
          <w:szCs w:val="21"/>
        </w:rPr>
        <w:t>特此</w:t>
      </w:r>
      <w:r>
        <w:rPr>
          <w:rFonts w:hint="eastAsia" w:ascii="宋体" w:hAnsi="宋体" w:cs="微软雅黑"/>
          <w:color w:val="000000"/>
          <w:spacing w:val="-2"/>
          <w:kern w:val="0"/>
          <w:szCs w:val="21"/>
        </w:rPr>
        <w:t>证</w:t>
      </w:r>
      <w:r>
        <w:rPr>
          <w:rFonts w:hint="eastAsia" w:ascii="宋体" w:hAnsi="宋体" w:cs="微软雅黑"/>
          <w:color w:val="000000"/>
          <w:kern w:val="0"/>
          <w:szCs w:val="21"/>
        </w:rPr>
        <w:t>明。</w:t>
      </w:r>
    </w:p>
    <w:p w14:paraId="53BE4417">
      <w:pPr>
        <w:autoSpaceDE w:val="0"/>
        <w:autoSpaceDN w:val="0"/>
        <w:adjustRightInd w:val="0"/>
        <w:snapToGrid w:val="0"/>
        <w:spacing w:before="156" w:beforeLines="50" w:line="360" w:lineRule="auto"/>
        <w:ind w:left="100" w:right="4231"/>
        <w:jc w:val="left"/>
        <w:rPr>
          <w:rFonts w:ascii="宋体" w:hAnsi="宋体" w:cs="微软雅黑"/>
          <w:color w:val="000000"/>
          <w:kern w:val="0"/>
          <w:szCs w:val="21"/>
        </w:rPr>
      </w:pPr>
      <w:r>
        <w:rPr>
          <w:rFonts w:hint="eastAsia" w:ascii="宋体" w:hAnsi="宋体" w:cs="微软雅黑"/>
          <w:color w:val="000000"/>
          <w:kern w:val="0"/>
          <w:szCs w:val="21"/>
        </w:rPr>
        <w:t>附：</w:t>
      </w:r>
      <w:r>
        <w:rPr>
          <w:rFonts w:hint="eastAsia" w:ascii="宋体" w:hAnsi="宋体" w:cs="微软雅黑"/>
          <w:color w:val="000000"/>
          <w:spacing w:val="-2"/>
          <w:kern w:val="0"/>
          <w:szCs w:val="21"/>
        </w:rPr>
        <w:t>法</w:t>
      </w:r>
      <w:r>
        <w:rPr>
          <w:rFonts w:hint="eastAsia" w:ascii="宋体" w:hAnsi="宋体" w:cs="微软雅黑"/>
          <w:color w:val="000000"/>
          <w:kern w:val="0"/>
          <w:szCs w:val="21"/>
        </w:rPr>
        <w:t>定</w:t>
      </w:r>
      <w:r>
        <w:rPr>
          <w:rFonts w:hint="eastAsia" w:ascii="宋体" w:hAnsi="宋体" w:cs="微软雅黑"/>
          <w:color w:val="000000"/>
          <w:spacing w:val="-2"/>
          <w:kern w:val="0"/>
          <w:szCs w:val="21"/>
        </w:rPr>
        <w:t>代</w:t>
      </w:r>
      <w:r>
        <w:rPr>
          <w:rFonts w:hint="eastAsia" w:ascii="宋体" w:hAnsi="宋体" w:cs="微软雅黑"/>
          <w:color w:val="000000"/>
          <w:kern w:val="0"/>
          <w:szCs w:val="21"/>
        </w:rPr>
        <w:t>表</w:t>
      </w:r>
      <w:r>
        <w:rPr>
          <w:rFonts w:hint="eastAsia" w:ascii="宋体" w:hAnsi="宋体" w:cs="微软雅黑"/>
          <w:color w:val="000000"/>
          <w:spacing w:val="-2"/>
          <w:kern w:val="0"/>
          <w:szCs w:val="21"/>
        </w:rPr>
        <w:t>人</w:t>
      </w:r>
      <w:r>
        <w:rPr>
          <w:rFonts w:hint="eastAsia" w:ascii="宋体" w:hAnsi="宋体" w:cs="微软雅黑"/>
          <w:color w:val="000000"/>
          <w:kern w:val="0"/>
          <w:szCs w:val="21"/>
        </w:rPr>
        <w:t>（</w:t>
      </w:r>
      <w:r>
        <w:rPr>
          <w:rFonts w:hint="eastAsia" w:ascii="宋体" w:hAnsi="宋体" w:cs="微软雅黑"/>
          <w:color w:val="000000"/>
          <w:spacing w:val="-2"/>
          <w:kern w:val="0"/>
          <w:szCs w:val="21"/>
        </w:rPr>
        <w:t>单</w:t>
      </w:r>
      <w:r>
        <w:rPr>
          <w:rFonts w:hint="eastAsia" w:ascii="宋体" w:hAnsi="宋体" w:cs="微软雅黑"/>
          <w:color w:val="000000"/>
          <w:kern w:val="0"/>
          <w:szCs w:val="21"/>
        </w:rPr>
        <w:t>位</w:t>
      </w:r>
      <w:r>
        <w:rPr>
          <w:rFonts w:hint="eastAsia" w:ascii="宋体" w:hAnsi="宋体" w:cs="微软雅黑"/>
          <w:color w:val="000000"/>
          <w:spacing w:val="-2"/>
          <w:kern w:val="0"/>
          <w:szCs w:val="21"/>
        </w:rPr>
        <w:t>负</w:t>
      </w:r>
      <w:r>
        <w:rPr>
          <w:rFonts w:hint="eastAsia" w:ascii="宋体" w:hAnsi="宋体" w:cs="微软雅黑"/>
          <w:color w:val="000000"/>
          <w:kern w:val="0"/>
          <w:szCs w:val="21"/>
        </w:rPr>
        <w:t>责人</w:t>
      </w:r>
      <w:r>
        <w:rPr>
          <w:rFonts w:hint="eastAsia" w:ascii="宋体" w:hAnsi="宋体" w:cs="微软雅黑"/>
          <w:color w:val="000000"/>
          <w:spacing w:val="-2"/>
          <w:kern w:val="0"/>
          <w:szCs w:val="21"/>
        </w:rPr>
        <w:t>）</w:t>
      </w:r>
      <w:r>
        <w:rPr>
          <w:rFonts w:hint="eastAsia" w:ascii="宋体" w:hAnsi="宋体" w:cs="微软雅黑"/>
          <w:color w:val="000000"/>
          <w:kern w:val="0"/>
          <w:szCs w:val="21"/>
        </w:rPr>
        <w:t>身</w:t>
      </w:r>
      <w:r>
        <w:rPr>
          <w:rFonts w:hint="eastAsia" w:ascii="宋体" w:hAnsi="宋体" w:cs="微软雅黑"/>
          <w:color w:val="000000"/>
          <w:spacing w:val="-2"/>
          <w:kern w:val="0"/>
          <w:szCs w:val="21"/>
        </w:rPr>
        <w:t>份</w:t>
      </w:r>
      <w:r>
        <w:rPr>
          <w:rFonts w:hint="eastAsia" w:ascii="宋体" w:hAnsi="宋体" w:cs="微软雅黑"/>
          <w:color w:val="000000"/>
          <w:kern w:val="0"/>
          <w:szCs w:val="21"/>
        </w:rPr>
        <w:t>证</w:t>
      </w:r>
      <w:r>
        <w:rPr>
          <w:rFonts w:hint="eastAsia" w:ascii="宋体" w:hAnsi="宋体" w:cs="微软雅黑"/>
          <w:color w:val="000000"/>
          <w:spacing w:val="-2"/>
          <w:kern w:val="0"/>
          <w:szCs w:val="21"/>
        </w:rPr>
        <w:t>复</w:t>
      </w:r>
      <w:r>
        <w:rPr>
          <w:rFonts w:hint="eastAsia" w:ascii="宋体" w:hAnsi="宋体" w:cs="微软雅黑"/>
          <w:color w:val="000000"/>
          <w:kern w:val="0"/>
          <w:szCs w:val="21"/>
        </w:rPr>
        <w:t>印</w:t>
      </w:r>
      <w:r>
        <w:rPr>
          <w:rFonts w:hint="eastAsia" w:ascii="宋体" w:hAnsi="宋体" w:cs="微软雅黑"/>
          <w:color w:val="000000"/>
          <w:spacing w:val="-2"/>
          <w:kern w:val="0"/>
          <w:szCs w:val="21"/>
        </w:rPr>
        <w:t>件</w:t>
      </w:r>
      <w:r>
        <w:rPr>
          <w:rFonts w:hint="eastAsia" w:ascii="宋体" w:hAnsi="宋体" w:cs="微软雅黑"/>
          <w:color w:val="000000"/>
          <w:kern w:val="0"/>
          <w:szCs w:val="21"/>
        </w:rPr>
        <w:t>。</w:t>
      </w:r>
    </w:p>
    <w:tbl>
      <w:tblPr>
        <w:tblStyle w:val="2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14:paraId="38BD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14:paraId="5A30A31B">
            <w:pPr>
              <w:adjustRightInd w:val="0"/>
              <w:snapToGrid w:val="0"/>
              <w:spacing w:before="156" w:beforeLines="50" w:line="360" w:lineRule="auto"/>
              <w:jc w:val="center"/>
              <w:rPr>
                <w:rFonts w:ascii="宋体" w:hAnsi="宋体"/>
                <w:color w:val="000000"/>
                <w:szCs w:val="21"/>
              </w:rPr>
            </w:pPr>
            <w:r>
              <w:rPr>
                <w:rFonts w:hint="eastAsia" w:ascii="宋体" w:hAnsi="宋体"/>
                <w:color w:val="000000"/>
                <w:szCs w:val="21"/>
              </w:rPr>
              <w:t>身份证（正面）</w:t>
            </w:r>
            <w:r>
              <w:rPr>
                <w:rFonts w:hint="eastAsia" w:ascii="宋体" w:hAnsi="宋体" w:cs="微软雅黑"/>
                <w:color w:val="000000"/>
                <w:spacing w:val="-2"/>
                <w:kern w:val="0"/>
                <w:szCs w:val="21"/>
              </w:rPr>
              <w:t>复</w:t>
            </w:r>
            <w:r>
              <w:rPr>
                <w:rFonts w:hint="eastAsia" w:ascii="宋体" w:hAnsi="宋体" w:cs="微软雅黑"/>
                <w:color w:val="000000"/>
                <w:kern w:val="0"/>
                <w:szCs w:val="21"/>
              </w:rPr>
              <w:t>印</w:t>
            </w:r>
            <w:r>
              <w:rPr>
                <w:rFonts w:hint="eastAsia" w:ascii="宋体" w:hAnsi="宋体" w:cs="微软雅黑"/>
                <w:color w:val="000000"/>
                <w:spacing w:val="-2"/>
                <w:kern w:val="0"/>
                <w:szCs w:val="21"/>
              </w:rPr>
              <w:t>件</w:t>
            </w:r>
          </w:p>
        </w:tc>
        <w:tc>
          <w:tcPr>
            <w:tcW w:w="3899" w:type="dxa"/>
            <w:vAlign w:val="center"/>
          </w:tcPr>
          <w:p w14:paraId="44098131">
            <w:pPr>
              <w:adjustRightInd w:val="0"/>
              <w:snapToGrid w:val="0"/>
              <w:spacing w:before="156" w:beforeLines="50" w:line="360" w:lineRule="auto"/>
              <w:jc w:val="center"/>
              <w:rPr>
                <w:rFonts w:ascii="宋体" w:hAnsi="宋体"/>
                <w:color w:val="000000"/>
                <w:szCs w:val="21"/>
              </w:rPr>
            </w:pPr>
            <w:r>
              <w:rPr>
                <w:rFonts w:hint="eastAsia" w:ascii="宋体" w:hAnsi="宋体"/>
                <w:color w:val="000000"/>
                <w:szCs w:val="21"/>
              </w:rPr>
              <w:t>身份证（反面）</w:t>
            </w:r>
            <w:r>
              <w:rPr>
                <w:rFonts w:hint="eastAsia" w:ascii="宋体" w:hAnsi="宋体" w:cs="微软雅黑"/>
                <w:color w:val="000000"/>
                <w:spacing w:val="-2"/>
                <w:kern w:val="0"/>
                <w:szCs w:val="21"/>
              </w:rPr>
              <w:t>复</w:t>
            </w:r>
            <w:r>
              <w:rPr>
                <w:rFonts w:hint="eastAsia" w:ascii="宋体" w:hAnsi="宋体" w:cs="微软雅黑"/>
                <w:color w:val="000000"/>
                <w:kern w:val="0"/>
                <w:szCs w:val="21"/>
              </w:rPr>
              <w:t>印</w:t>
            </w:r>
            <w:r>
              <w:rPr>
                <w:rFonts w:hint="eastAsia" w:ascii="宋体" w:hAnsi="宋体" w:cs="微软雅黑"/>
                <w:color w:val="000000"/>
                <w:spacing w:val="-2"/>
                <w:kern w:val="0"/>
                <w:szCs w:val="21"/>
              </w:rPr>
              <w:t>件</w:t>
            </w:r>
          </w:p>
        </w:tc>
      </w:tr>
    </w:tbl>
    <w:p w14:paraId="091B9D9C">
      <w:pPr>
        <w:adjustRightInd w:val="0"/>
        <w:snapToGrid w:val="0"/>
        <w:spacing w:before="156" w:beforeLines="50" w:line="360" w:lineRule="auto"/>
        <w:rPr>
          <w:rFonts w:ascii="宋体" w:hAnsi="宋体"/>
          <w:color w:val="000000"/>
          <w:szCs w:val="21"/>
        </w:rPr>
      </w:pPr>
    </w:p>
    <w:p w14:paraId="32181D16">
      <w:pPr>
        <w:adjustRightInd w:val="0"/>
        <w:snapToGrid w:val="0"/>
        <w:spacing w:before="156" w:beforeLines="50" w:line="360" w:lineRule="auto"/>
        <w:rPr>
          <w:rFonts w:ascii="宋体" w:hAnsi="宋体"/>
          <w:color w:val="000000"/>
          <w:szCs w:val="21"/>
        </w:rPr>
      </w:pPr>
      <w:r>
        <w:rPr>
          <w:rFonts w:hint="eastAsia" w:ascii="宋体" w:hAnsi="宋体"/>
          <w:color w:val="000000"/>
          <w:szCs w:val="21"/>
        </w:rPr>
        <w:t>注：供应商代表为法定代表人（单位负责人）的提供。供应商为自然人的无需提供。</w:t>
      </w:r>
    </w:p>
    <w:p w14:paraId="6082B8DD">
      <w:pPr>
        <w:adjustRightInd w:val="0"/>
        <w:snapToGrid w:val="0"/>
        <w:spacing w:before="156" w:beforeLines="50" w:line="360" w:lineRule="auto"/>
        <w:rPr>
          <w:rFonts w:ascii="宋体" w:hAnsi="宋体"/>
          <w:color w:val="000000"/>
          <w:szCs w:val="21"/>
        </w:rPr>
      </w:pPr>
    </w:p>
    <w:p w14:paraId="41D5375B">
      <w:pPr>
        <w:pStyle w:val="12"/>
        <w:adjustRightInd w:val="0"/>
        <w:snapToGrid w:val="0"/>
        <w:spacing w:before="156" w:beforeLines="50" w:line="360" w:lineRule="auto"/>
        <w:rPr>
          <w:rFonts w:hAnsi="宋体"/>
          <w:color w:val="000000"/>
        </w:rPr>
      </w:pPr>
      <w:r>
        <w:rPr>
          <w:rFonts w:hint="eastAsia" w:hAnsi="宋体"/>
          <w:color w:val="000000"/>
        </w:rPr>
        <w:t>供应商名称(盖单位公章)：</w:t>
      </w:r>
    </w:p>
    <w:p w14:paraId="468672E3">
      <w:pPr>
        <w:adjustRightInd w:val="0"/>
        <w:snapToGrid w:val="0"/>
        <w:spacing w:before="156" w:beforeLines="50" w:line="360" w:lineRule="auto"/>
        <w:ind w:right="24"/>
        <w:rPr>
          <w:rFonts w:ascii="仿宋_GB2312" w:hAnsi="宋体" w:eastAsia="仿宋_GB2312"/>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171491FB">
      <w:pPr>
        <w:pStyle w:val="5"/>
        <w:jc w:val="center"/>
        <w:rPr>
          <w:color w:val="000000"/>
        </w:rPr>
      </w:pPr>
    </w:p>
    <w:p w14:paraId="33F8996E">
      <w:pPr>
        <w:pStyle w:val="5"/>
        <w:jc w:val="center"/>
        <w:rPr>
          <w:color w:val="000000"/>
        </w:rPr>
      </w:pPr>
    </w:p>
    <w:p w14:paraId="6281CED5">
      <w:pPr>
        <w:pStyle w:val="5"/>
        <w:jc w:val="center"/>
        <w:rPr>
          <w:color w:val="000000"/>
        </w:rPr>
      </w:pPr>
    </w:p>
    <w:p w14:paraId="77C41739">
      <w:pPr>
        <w:pStyle w:val="5"/>
        <w:jc w:val="center"/>
        <w:rPr>
          <w:color w:val="000000"/>
        </w:rPr>
      </w:pPr>
    </w:p>
    <w:p w14:paraId="6BD1E02A">
      <w:pPr>
        <w:widowControl/>
        <w:topLinePunct/>
        <w:spacing w:line="440" w:lineRule="atLeast"/>
        <w:jc w:val="left"/>
        <w:rPr>
          <w:rFonts w:hint="eastAsia" w:ascii="宋体" w:hAnsi="宋体" w:eastAsia="宋体" w:cs="宋体"/>
          <w:b/>
          <w:szCs w:val="21"/>
          <w:u w:val="none"/>
          <w:lang w:eastAsia="zh-CN"/>
        </w:rPr>
      </w:pPr>
      <w:r>
        <w:rPr>
          <w:rFonts w:hint="eastAsia" w:ascii="宋体" w:hAnsi="宋体" w:eastAsia="宋体" w:cs="宋体"/>
          <w:b/>
          <w:szCs w:val="21"/>
          <w:u w:val="none"/>
        </w:rPr>
        <w:t>注：此《法定代表人身份证明》须另单独备一份原件与投标文件同时分别递交以供开标时现场</w:t>
      </w:r>
      <w:r>
        <w:rPr>
          <w:rFonts w:hint="eastAsia" w:ascii="宋体" w:hAnsi="宋体" w:eastAsia="宋体" w:cs="宋体"/>
          <w:b/>
          <w:szCs w:val="21"/>
          <w:u w:val="none"/>
          <w:lang w:eastAsia="zh-CN"/>
        </w:rPr>
        <w:t>监督人员</w:t>
      </w:r>
      <w:r>
        <w:rPr>
          <w:rFonts w:hint="eastAsia" w:ascii="宋体" w:hAnsi="宋体" w:eastAsia="宋体" w:cs="宋体"/>
          <w:b/>
          <w:szCs w:val="21"/>
          <w:u w:val="none"/>
        </w:rPr>
        <w:t>和业主方审核</w:t>
      </w:r>
      <w:r>
        <w:rPr>
          <w:rFonts w:hint="eastAsia" w:ascii="宋体" w:hAnsi="宋体" w:eastAsia="宋体" w:cs="宋体"/>
          <w:b/>
          <w:szCs w:val="21"/>
          <w:u w:val="none"/>
          <w:lang w:eastAsia="zh-CN"/>
        </w:rPr>
        <w:t>。</w:t>
      </w:r>
    </w:p>
    <w:p w14:paraId="3B996907">
      <w:pPr>
        <w:pStyle w:val="34"/>
        <w:rPr>
          <w:rFonts w:ascii="宋体" w:hAnsi="宋体"/>
          <w:color w:val="auto"/>
        </w:rPr>
      </w:pPr>
    </w:p>
    <w:p w14:paraId="744F7213">
      <w:pPr>
        <w:pStyle w:val="34"/>
        <w:ind w:left="0" w:leftChars="0" w:firstLine="0" w:firstLineChars="0"/>
        <w:sectPr>
          <w:pgSz w:w="11906" w:h="16838"/>
          <w:pgMar w:top="1418" w:right="1418" w:bottom="1134" w:left="1418" w:header="851" w:footer="992" w:gutter="0"/>
          <w:cols w:space="720" w:num="1"/>
          <w:docGrid w:type="linesAndChars" w:linePitch="312" w:charSpace="0"/>
        </w:sectPr>
      </w:pPr>
    </w:p>
    <w:p w14:paraId="7F176D73">
      <w:pPr>
        <w:keepNext/>
        <w:keepLines/>
        <w:adjustRightInd w:val="0"/>
        <w:snapToGrid w:val="0"/>
        <w:spacing w:before="156" w:beforeLines="50" w:line="360" w:lineRule="auto"/>
        <w:jc w:val="center"/>
        <w:outlineLvl w:val="1"/>
        <w:rPr>
          <w:rFonts w:ascii="黑体" w:hAnsi="黑体" w:eastAsia="黑体"/>
          <w:b/>
          <w:bCs/>
          <w:color w:val="auto"/>
          <w:sz w:val="28"/>
          <w:szCs w:val="28"/>
        </w:rPr>
      </w:pPr>
      <w:bookmarkStart w:id="203" w:name="_Toc107998036"/>
      <w:bookmarkStart w:id="204" w:name="_Toc14438"/>
      <w:bookmarkStart w:id="205" w:name="_Toc22201157"/>
      <w:r>
        <w:rPr>
          <w:rFonts w:hint="eastAsia" w:ascii="黑体" w:hAnsi="黑体" w:eastAsia="黑体"/>
          <w:b/>
          <w:bCs/>
          <w:color w:val="auto"/>
          <w:sz w:val="28"/>
          <w:szCs w:val="28"/>
        </w:rPr>
        <w:t>五、供应商资格审查材料</w:t>
      </w:r>
      <w:bookmarkEnd w:id="203"/>
      <w:bookmarkEnd w:id="204"/>
    </w:p>
    <w:p w14:paraId="4489FD2B">
      <w:pPr>
        <w:keepNext/>
        <w:keepLines/>
        <w:adjustRightInd w:val="0"/>
        <w:snapToGrid w:val="0"/>
        <w:spacing w:before="156" w:beforeLines="50" w:line="360" w:lineRule="auto"/>
        <w:outlineLvl w:val="2"/>
        <w:rPr>
          <w:rFonts w:ascii="宋体" w:hAnsi="宋体" w:eastAsia="宋体"/>
          <w:b/>
          <w:bCs/>
          <w:color w:val="auto"/>
          <w:szCs w:val="21"/>
        </w:rPr>
      </w:pPr>
      <w:bookmarkStart w:id="206" w:name="_Toc32547"/>
      <w:bookmarkStart w:id="207" w:name="_Toc107998044"/>
      <w:bookmarkStart w:id="208" w:name="_Toc62225545"/>
      <w:r>
        <w:rPr>
          <w:rFonts w:hint="eastAsia" w:ascii="宋体" w:hAnsi="宋体" w:eastAsia="宋体"/>
          <w:b/>
          <w:bCs/>
          <w:color w:val="auto"/>
          <w:szCs w:val="21"/>
        </w:rPr>
        <w:t>附件</w:t>
      </w:r>
      <w:r>
        <w:rPr>
          <w:rFonts w:ascii="宋体" w:hAnsi="宋体" w:eastAsia="宋体"/>
          <w:b/>
          <w:bCs/>
          <w:color w:val="auto"/>
          <w:szCs w:val="21"/>
        </w:rPr>
        <w:t>5</w:t>
      </w:r>
      <w:r>
        <w:rPr>
          <w:rFonts w:hint="eastAsia" w:ascii="宋体" w:hAnsi="宋体" w:eastAsia="宋体"/>
          <w:b/>
          <w:bCs/>
          <w:color w:val="auto"/>
          <w:szCs w:val="21"/>
        </w:rPr>
        <w:t>-</w:t>
      </w:r>
      <w:r>
        <w:rPr>
          <w:rFonts w:ascii="宋体" w:hAnsi="宋体" w:eastAsia="宋体"/>
          <w:b/>
          <w:bCs/>
          <w:color w:val="auto"/>
          <w:szCs w:val="21"/>
        </w:rPr>
        <w:t>1</w:t>
      </w:r>
      <w:r>
        <w:rPr>
          <w:rFonts w:hint="eastAsia" w:ascii="宋体" w:hAnsi="宋体" w:eastAsia="宋体"/>
          <w:b/>
          <w:bCs/>
          <w:color w:val="auto"/>
          <w:szCs w:val="21"/>
        </w:rPr>
        <w:t xml:space="preserve"> 资格更新证明材料</w:t>
      </w:r>
      <w:bookmarkEnd w:id="206"/>
      <w:bookmarkEnd w:id="207"/>
      <w:bookmarkEnd w:id="208"/>
    </w:p>
    <w:p w14:paraId="5C1EC583">
      <w:pPr>
        <w:adjustRightInd w:val="0"/>
        <w:snapToGrid w:val="0"/>
        <w:spacing w:before="156" w:beforeLines="50" w:line="360" w:lineRule="auto"/>
        <w:jc w:val="center"/>
        <w:rPr>
          <w:rFonts w:ascii="仿宋_GB2312" w:hAnsi="宋体" w:eastAsia="仿宋_GB2312"/>
          <w:b/>
          <w:color w:val="auto"/>
          <w:sz w:val="28"/>
          <w:szCs w:val="28"/>
        </w:rPr>
      </w:pPr>
      <w:r>
        <w:rPr>
          <w:rFonts w:hint="eastAsia" w:ascii="黑体" w:hAnsi="宋体" w:eastAsia="黑体"/>
          <w:b/>
          <w:color w:val="auto"/>
          <w:sz w:val="28"/>
          <w:szCs w:val="28"/>
        </w:rPr>
        <w:t>供应商的资格更新证明材料</w:t>
      </w:r>
    </w:p>
    <w:p w14:paraId="1C76DDEF">
      <w:pPr>
        <w:adjustRightInd w:val="0"/>
        <w:snapToGrid w:val="0"/>
        <w:spacing w:before="156" w:beforeLines="50" w:line="360" w:lineRule="auto"/>
        <w:rPr>
          <w:rFonts w:ascii="宋体" w:hAnsi="宋体"/>
          <w:color w:val="auto"/>
          <w:szCs w:val="21"/>
        </w:rPr>
      </w:pPr>
      <w:r>
        <w:rPr>
          <w:rFonts w:hint="eastAsia" w:ascii="宋体" w:hAnsi="宋体" w:eastAsia="宋体"/>
          <w:b w:val="0"/>
          <w:bCs/>
          <w:color w:val="auto"/>
          <w:szCs w:val="21"/>
        </w:rPr>
        <w:t>注</w:t>
      </w:r>
      <w:r>
        <w:rPr>
          <w:rFonts w:hint="eastAsia" w:ascii="宋体" w:hAnsi="宋体"/>
          <w:b w:val="0"/>
          <w:bCs/>
          <w:color w:val="auto"/>
        </w:rPr>
        <w:t>：</w:t>
      </w:r>
      <w:r>
        <w:rPr>
          <w:rFonts w:hint="eastAsia" w:ascii="宋体" w:hAnsi="宋体" w:cs="宋体"/>
          <w:b w:val="0"/>
          <w:bCs/>
          <w:color w:val="auto"/>
          <w:kern w:val="0"/>
          <w:szCs w:val="21"/>
          <w:lang w:val="zh-CN"/>
        </w:rPr>
        <w:t>根据</w:t>
      </w:r>
      <w:r>
        <w:rPr>
          <w:rFonts w:hint="eastAsia" w:ascii="宋体" w:hAnsi="宋体" w:cs="宋体"/>
          <w:color w:val="auto"/>
          <w:kern w:val="0"/>
          <w:szCs w:val="21"/>
          <w:lang w:val="zh-CN"/>
        </w:rPr>
        <w:t>谈判文件第二章第10.1款规定，被邀请的</w:t>
      </w:r>
      <w:r>
        <w:rPr>
          <w:rFonts w:hint="eastAsia" w:ascii="宋体" w:hAnsi="宋体"/>
          <w:color w:val="auto"/>
          <w:szCs w:val="21"/>
        </w:rPr>
        <w:t>供应商在提交资格证明材料</w:t>
      </w:r>
      <w:r>
        <w:rPr>
          <w:rFonts w:hint="eastAsia" w:ascii="宋体" w:hAnsi="宋体"/>
          <w:bCs/>
          <w:color w:val="auto"/>
          <w:szCs w:val="21"/>
        </w:rPr>
        <w:t>起</w:t>
      </w:r>
      <w:r>
        <w:rPr>
          <w:rFonts w:hint="eastAsia" w:ascii="宋体" w:hAnsi="宋体"/>
          <w:color w:val="auto"/>
          <w:szCs w:val="21"/>
        </w:rPr>
        <w:t>至</w:t>
      </w:r>
      <w:r>
        <w:rPr>
          <w:rFonts w:hint="eastAsia" w:ascii="宋体" w:hAnsi="宋体" w:cs="宋体"/>
          <w:color w:val="auto"/>
          <w:kern w:val="0"/>
          <w:szCs w:val="21"/>
        </w:rPr>
        <w:t>提交首次响应文件</w:t>
      </w:r>
      <w:r>
        <w:rPr>
          <w:rFonts w:hint="eastAsia" w:ascii="宋体" w:hAnsi="宋体"/>
          <w:color w:val="auto"/>
          <w:szCs w:val="21"/>
        </w:rPr>
        <w:t>止，其资格条件发生变化，影响或者可能影响资格条件的，应随本响应文件提供更新或者补充的资格证明材料。</w:t>
      </w:r>
    </w:p>
    <w:p w14:paraId="6621E20F">
      <w:pPr>
        <w:adjustRightInd w:val="0"/>
        <w:snapToGrid w:val="0"/>
        <w:spacing w:before="156" w:beforeLines="50" w:line="360" w:lineRule="auto"/>
        <w:rPr>
          <w:rFonts w:ascii="宋体" w:hAnsi="宋体"/>
          <w:color w:val="auto"/>
          <w:szCs w:val="21"/>
        </w:rPr>
        <w:sectPr>
          <w:footerReference r:id="rId8" w:type="even"/>
          <w:pgSz w:w="11906" w:h="16838"/>
          <w:pgMar w:top="1418" w:right="1418" w:bottom="1134" w:left="1418" w:header="851" w:footer="992" w:gutter="0"/>
          <w:cols w:space="720" w:num="1"/>
          <w:docGrid w:type="linesAndChars" w:linePitch="312" w:charSpace="0"/>
        </w:sectPr>
      </w:pPr>
    </w:p>
    <w:p w14:paraId="3036A325">
      <w:pPr>
        <w:keepNext/>
        <w:keepLines/>
        <w:spacing w:line="360" w:lineRule="auto"/>
        <w:jc w:val="center"/>
        <w:outlineLvl w:val="1"/>
        <w:rPr>
          <w:rFonts w:ascii="黑体" w:hAnsi="黑体" w:eastAsia="黑体"/>
          <w:b/>
          <w:bCs/>
          <w:color w:val="auto"/>
          <w:sz w:val="28"/>
          <w:szCs w:val="28"/>
        </w:rPr>
      </w:pPr>
      <w:bookmarkStart w:id="209" w:name="_Toc107998045"/>
      <w:bookmarkStart w:id="210" w:name="_Toc20754"/>
      <w:r>
        <w:rPr>
          <w:rFonts w:hint="eastAsia" w:ascii="黑体" w:hAnsi="黑体" w:eastAsia="黑体"/>
          <w:b/>
          <w:bCs/>
          <w:color w:val="auto"/>
          <w:sz w:val="28"/>
          <w:szCs w:val="28"/>
        </w:rPr>
        <w:t>六、采购需求的响应</w:t>
      </w:r>
      <w:bookmarkEnd w:id="205"/>
      <w:bookmarkEnd w:id="209"/>
      <w:bookmarkEnd w:id="210"/>
    </w:p>
    <w:p w14:paraId="2C04F0A5">
      <w:pPr>
        <w:adjustRightInd w:val="0"/>
        <w:snapToGrid w:val="0"/>
        <w:spacing w:line="360" w:lineRule="auto"/>
        <w:rPr>
          <w:rFonts w:ascii="宋体" w:hAnsi="宋体"/>
          <w:b/>
          <w:color w:val="auto"/>
          <w:szCs w:val="21"/>
        </w:rPr>
      </w:pPr>
    </w:p>
    <w:p w14:paraId="438E7EAB">
      <w:pPr>
        <w:adjustRightInd w:val="0"/>
        <w:snapToGrid w:val="0"/>
        <w:spacing w:line="360" w:lineRule="auto"/>
        <w:rPr>
          <w:b/>
          <w:color w:val="auto"/>
        </w:rPr>
      </w:pPr>
      <w:r>
        <w:rPr>
          <w:rFonts w:hint="eastAsia" w:ascii="宋体" w:hAnsi="宋体"/>
          <w:b/>
          <w:color w:val="auto"/>
          <w:szCs w:val="21"/>
        </w:rPr>
        <w:t>编制说明</w:t>
      </w:r>
      <w:r>
        <w:rPr>
          <w:rFonts w:hint="eastAsia" w:ascii="宋体" w:hAnsi="宋体"/>
          <w:bCs/>
          <w:color w:val="auto"/>
          <w:szCs w:val="21"/>
        </w:rPr>
        <w:t>：</w:t>
      </w:r>
      <w:r>
        <w:rPr>
          <w:rFonts w:hint="eastAsia"/>
          <w:b/>
          <w:color w:val="auto"/>
        </w:rPr>
        <w:t>供应商应按谈判文件第三章采购需求自行编写采购需求响应文件（其内容可包括，且不限于详细的技术指标和性能、售后服务和技术服务的组织及保证措施等，格式自拟）。</w:t>
      </w:r>
    </w:p>
    <w:p w14:paraId="5413F28A">
      <w:pPr>
        <w:rPr>
          <w:color w:val="auto"/>
        </w:rPr>
      </w:pPr>
    </w:p>
    <w:p w14:paraId="06EBBC57">
      <w:pPr>
        <w:tabs>
          <w:tab w:val="left" w:pos="6208"/>
        </w:tabs>
        <w:adjustRightInd w:val="0"/>
        <w:snapToGrid w:val="0"/>
        <w:spacing w:line="360" w:lineRule="auto"/>
        <w:ind w:left="-88" w:leftChars="-42"/>
        <w:rPr>
          <w:rFonts w:ascii="宋体" w:hAnsi="宋体"/>
          <w:bCs/>
          <w:color w:val="auto"/>
          <w:szCs w:val="21"/>
        </w:rPr>
      </w:pPr>
    </w:p>
    <w:p w14:paraId="772E34A8">
      <w:pPr>
        <w:adjustRightInd w:val="0"/>
        <w:snapToGrid w:val="0"/>
        <w:spacing w:line="360" w:lineRule="auto"/>
        <w:rPr>
          <w:rFonts w:ascii="宋体" w:hAnsi="宋体"/>
          <w:color w:val="auto"/>
          <w:szCs w:val="21"/>
        </w:rPr>
      </w:pPr>
    </w:p>
    <w:p w14:paraId="6E31996E">
      <w:pPr>
        <w:adjustRightInd w:val="0"/>
        <w:snapToGrid w:val="0"/>
        <w:spacing w:line="360" w:lineRule="auto"/>
        <w:rPr>
          <w:rFonts w:ascii="宋体" w:hAnsi="宋体"/>
          <w:color w:val="auto"/>
          <w:szCs w:val="21"/>
        </w:rPr>
      </w:pPr>
      <w:r>
        <w:rPr>
          <w:rFonts w:hint="eastAsia" w:ascii="宋体" w:hAnsi="宋体"/>
          <w:color w:val="auto"/>
          <w:szCs w:val="21"/>
        </w:rPr>
        <w:t>供应商名称（盖单位公章）：</w:t>
      </w:r>
    </w:p>
    <w:p w14:paraId="6996A350">
      <w:pPr>
        <w:adjustRightInd w:val="0"/>
        <w:snapToGrid w:val="0"/>
        <w:spacing w:line="360" w:lineRule="auto"/>
        <w:rPr>
          <w:rFonts w:ascii="宋体" w:hAnsi="宋体"/>
          <w:color w:val="auto"/>
          <w:szCs w:val="21"/>
          <w:u w:val="single"/>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p>
    <w:p w14:paraId="5D573A52">
      <w:pPr>
        <w:adjustRightInd w:val="0"/>
        <w:snapToGrid w:val="0"/>
        <w:spacing w:line="36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14:paraId="29E44051">
      <w:pPr>
        <w:rPr>
          <w:color w:val="auto"/>
        </w:rPr>
      </w:pPr>
    </w:p>
    <w:p w14:paraId="088FEE8B">
      <w:pPr>
        <w:rPr>
          <w:color w:val="auto"/>
        </w:rPr>
      </w:pPr>
    </w:p>
    <w:p w14:paraId="5BE0D72D">
      <w:pPr>
        <w:keepNext/>
        <w:keepLines/>
        <w:spacing w:before="260" w:after="260" w:line="416" w:lineRule="auto"/>
        <w:outlineLvl w:val="2"/>
        <w:rPr>
          <w:rFonts w:ascii="宋体" w:hAnsi="宋体"/>
          <w:b/>
          <w:bCs/>
          <w:color w:val="auto"/>
          <w:szCs w:val="21"/>
        </w:rPr>
      </w:pPr>
      <w:bookmarkStart w:id="211" w:name="_Toc107998046"/>
      <w:bookmarkStart w:id="212" w:name="_Toc28990"/>
      <w:bookmarkStart w:id="213" w:name="_Toc22201158"/>
      <w:r>
        <w:rPr>
          <w:rFonts w:hint="eastAsia" w:ascii="宋体" w:hAnsi="宋体"/>
          <w:b/>
          <w:bCs/>
          <w:color w:val="auto"/>
          <w:szCs w:val="21"/>
        </w:rPr>
        <w:t>附件</w:t>
      </w:r>
      <w:r>
        <w:rPr>
          <w:rFonts w:ascii="宋体" w:hAnsi="宋体"/>
          <w:b/>
          <w:bCs/>
          <w:color w:val="auto"/>
          <w:szCs w:val="21"/>
        </w:rPr>
        <w:t>6</w:t>
      </w:r>
      <w:r>
        <w:rPr>
          <w:rFonts w:hint="eastAsia" w:ascii="宋体" w:hAnsi="宋体"/>
          <w:b/>
          <w:bCs/>
          <w:color w:val="auto"/>
          <w:szCs w:val="21"/>
        </w:rPr>
        <w:t>-1 响应一览表</w:t>
      </w:r>
      <w:bookmarkEnd w:id="211"/>
      <w:bookmarkEnd w:id="212"/>
      <w:bookmarkEnd w:id="213"/>
    </w:p>
    <w:p w14:paraId="3CBB2148">
      <w:pPr>
        <w:adjustRightInd w:val="0"/>
        <w:snapToGrid w:val="0"/>
        <w:spacing w:before="156" w:beforeLines="50" w:line="360" w:lineRule="auto"/>
        <w:jc w:val="center"/>
        <w:rPr>
          <w:rFonts w:ascii="黑体" w:hAnsi="黑体" w:eastAsia="黑体"/>
          <w:b/>
          <w:bCs/>
          <w:color w:val="auto"/>
          <w:sz w:val="28"/>
          <w:szCs w:val="28"/>
        </w:rPr>
      </w:pPr>
      <w:r>
        <w:rPr>
          <w:rFonts w:hint="eastAsia" w:ascii="黑体" w:hAnsi="黑体" w:eastAsia="黑体"/>
          <w:b/>
          <w:bCs/>
          <w:color w:val="auto"/>
          <w:sz w:val="28"/>
          <w:szCs w:val="28"/>
        </w:rPr>
        <w:t>响应一览表</w:t>
      </w:r>
    </w:p>
    <w:p w14:paraId="79B16451">
      <w:pPr>
        <w:adjustRightInd w:val="0"/>
        <w:snapToGrid w:val="0"/>
        <w:spacing w:before="50" w:line="360" w:lineRule="auto"/>
        <w:rPr>
          <w:rFonts w:ascii="宋体" w:hAnsi="宋体"/>
          <w:color w:val="auto"/>
          <w:szCs w:val="21"/>
          <w:u w:val="single"/>
        </w:rPr>
      </w:pPr>
    </w:p>
    <w:tbl>
      <w:tblPr>
        <w:tblStyle w:val="25"/>
        <w:tblW w:w="887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0"/>
        <w:gridCol w:w="1175"/>
        <w:gridCol w:w="2185"/>
        <w:gridCol w:w="2255"/>
        <w:gridCol w:w="1020"/>
        <w:gridCol w:w="838"/>
        <w:gridCol w:w="794"/>
      </w:tblGrid>
      <w:tr w14:paraId="54903B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39" w:hRule="atLeast"/>
        </w:trPr>
        <w:tc>
          <w:tcPr>
            <w:tcW w:w="610" w:type="dxa"/>
            <w:vAlign w:val="center"/>
          </w:tcPr>
          <w:p w14:paraId="02FD3754">
            <w:pPr>
              <w:adjustRightInd w:val="0"/>
              <w:snapToGrid w:val="0"/>
              <w:jc w:val="center"/>
              <w:rPr>
                <w:color w:val="auto"/>
                <w:szCs w:val="21"/>
              </w:rPr>
            </w:pPr>
            <w:r>
              <w:rPr>
                <w:rFonts w:hint="eastAsia"/>
                <w:color w:val="auto"/>
                <w:szCs w:val="21"/>
              </w:rPr>
              <w:t xml:space="preserve">包号 </w:t>
            </w:r>
          </w:p>
        </w:tc>
        <w:tc>
          <w:tcPr>
            <w:tcW w:w="1175" w:type="dxa"/>
            <w:vAlign w:val="center"/>
          </w:tcPr>
          <w:p w14:paraId="63C90D56">
            <w:pPr>
              <w:adjustRightInd w:val="0"/>
              <w:snapToGrid w:val="0"/>
              <w:jc w:val="center"/>
              <w:rPr>
                <w:color w:val="auto"/>
                <w:szCs w:val="21"/>
              </w:rPr>
            </w:pPr>
            <w:r>
              <w:rPr>
                <w:rFonts w:hint="eastAsia"/>
                <w:color w:val="auto"/>
                <w:szCs w:val="21"/>
              </w:rPr>
              <w:t>包名称</w:t>
            </w:r>
          </w:p>
        </w:tc>
        <w:tc>
          <w:tcPr>
            <w:tcW w:w="2185" w:type="dxa"/>
            <w:vAlign w:val="center"/>
          </w:tcPr>
          <w:p w14:paraId="2D0BD1EA">
            <w:pPr>
              <w:adjustRightInd w:val="0"/>
              <w:snapToGrid w:val="0"/>
              <w:jc w:val="center"/>
              <w:rPr>
                <w:color w:val="auto"/>
                <w:szCs w:val="21"/>
              </w:rPr>
            </w:pPr>
            <w:r>
              <w:rPr>
                <w:rFonts w:hint="eastAsia"/>
                <w:color w:val="auto"/>
                <w:szCs w:val="21"/>
              </w:rPr>
              <w:t>标的名称</w:t>
            </w:r>
          </w:p>
        </w:tc>
        <w:tc>
          <w:tcPr>
            <w:tcW w:w="2255" w:type="dxa"/>
            <w:tcBorders>
              <w:left w:val="single" w:color="auto" w:sz="4" w:space="0"/>
            </w:tcBorders>
            <w:vAlign w:val="center"/>
          </w:tcPr>
          <w:p w14:paraId="4AA5BB14">
            <w:pPr>
              <w:adjustRightInd w:val="0"/>
              <w:snapToGrid w:val="0"/>
              <w:jc w:val="center"/>
              <w:rPr>
                <w:color w:val="auto"/>
                <w:szCs w:val="21"/>
              </w:rPr>
            </w:pPr>
            <w:r>
              <w:rPr>
                <w:rFonts w:hint="eastAsia"/>
                <w:color w:val="auto"/>
                <w:szCs w:val="21"/>
              </w:rPr>
              <w:t>简要技术要求</w:t>
            </w:r>
          </w:p>
        </w:tc>
        <w:tc>
          <w:tcPr>
            <w:tcW w:w="1020" w:type="dxa"/>
            <w:tcBorders>
              <w:left w:val="single" w:color="auto" w:sz="4" w:space="0"/>
            </w:tcBorders>
            <w:vAlign w:val="center"/>
          </w:tcPr>
          <w:p w14:paraId="04FBA61A">
            <w:pPr>
              <w:adjustRightInd w:val="0"/>
              <w:snapToGrid w:val="0"/>
              <w:jc w:val="center"/>
              <w:rPr>
                <w:rFonts w:ascii="宋体" w:hAnsi="宋体" w:cs="宋体"/>
                <w:color w:val="auto"/>
                <w:kern w:val="0"/>
                <w:szCs w:val="21"/>
              </w:rPr>
            </w:pPr>
            <w:r>
              <w:rPr>
                <w:rFonts w:hint="eastAsia"/>
                <w:color w:val="auto"/>
                <w:szCs w:val="21"/>
              </w:rPr>
              <w:t>数量</w:t>
            </w:r>
          </w:p>
        </w:tc>
        <w:tc>
          <w:tcPr>
            <w:tcW w:w="838" w:type="dxa"/>
            <w:vAlign w:val="center"/>
          </w:tcPr>
          <w:p w14:paraId="51E55400">
            <w:pPr>
              <w:adjustRightInd w:val="0"/>
              <w:snapToGrid w:val="0"/>
              <w:jc w:val="center"/>
              <w:rPr>
                <w:color w:val="auto"/>
                <w:szCs w:val="21"/>
              </w:rPr>
            </w:pPr>
            <w:r>
              <w:rPr>
                <w:rFonts w:hint="eastAsia"/>
                <w:color w:val="auto"/>
                <w:szCs w:val="21"/>
              </w:rPr>
              <w:t>节能产品</w:t>
            </w:r>
          </w:p>
        </w:tc>
        <w:tc>
          <w:tcPr>
            <w:tcW w:w="794" w:type="dxa"/>
            <w:vAlign w:val="center"/>
          </w:tcPr>
          <w:p w14:paraId="5FA7ABD9">
            <w:pPr>
              <w:adjustRightInd w:val="0"/>
              <w:snapToGrid w:val="0"/>
              <w:jc w:val="center"/>
              <w:rPr>
                <w:color w:val="auto"/>
                <w:szCs w:val="21"/>
              </w:rPr>
            </w:pPr>
            <w:r>
              <w:rPr>
                <w:rFonts w:hint="eastAsia"/>
                <w:color w:val="auto"/>
                <w:szCs w:val="21"/>
              </w:rPr>
              <w:t>进口产品</w:t>
            </w:r>
          </w:p>
        </w:tc>
      </w:tr>
      <w:tr w14:paraId="72799E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3" w:hRule="atLeast"/>
        </w:trPr>
        <w:tc>
          <w:tcPr>
            <w:tcW w:w="610" w:type="dxa"/>
            <w:vMerge w:val="restart"/>
            <w:vAlign w:val="top"/>
          </w:tcPr>
          <w:p w14:paraId="47DFDF8D">
            <w:pPr>
              <w:adjustRightInd w:val="0"/>
              <w:snapToGrid w:val="0"/>
              <w:spacing w:before="156" w:beforeLines="50" w:line="360" w:lineRule="auto"/>
              <w:rPr>
                <w:color w:val="auto"/>
                <w:szCs w:val="21"/>
              </w:rPr>
            </w:pPr>
          </w:p>
        </w:tc>
        <w:tc>
          <w:tcPr>
            <w:tcW w:w="1175" w:type="dxa"/>
            <w:vMerge w:val="restart"/>
            <w:vAlign w:val="top"/>
          </w:tcPr>
          <w:p w14:paraId="1F483DA4">
            <w:pPr>
              <w:adjustRightInd w:val="0"/>
              <w:snapToGrid w:val="0"/>
              <w:spacing w:before="156" w:beforeLines="50" w:line="360" w:lineRule="auto"/>
              <w:rPr>
                <w:color w:val="auto"/>
                <w:szCs w:val="21"/>
              </w:rPr>
            </w:pPr>
          </w:p>
        </w:tc>
        <w:tc>
          <w:tcPr>
            <w:tcW w:w="2185" w:type="dxa"/>
            <w:vAlign w:val="top"/>
          </w:tcPr>
          <w:p w14:paraId="7BC42640">
            <w:pPr>
              <w:adjustRightInd w:val="0"/>
              <w:snapToGrid w:val="0"/>
              <w:spacing w:before="156" w:beforeLines="50" w:line="360" w:lineRule="auto"/>
              <w:rPr>
                <w:color w:val="auto"/>
                <w:szCs w:val="21"/>
              </w:rPr>
            </w:pPr>
          </w:p>
        </w:tc>
        <w:tc>
          <w:tcPr>
            <w:tcW w:w="2255" w:type="dxa"/>
            <w:tcBorders>
              <w:left w:val="single" w:color="auto" w:sz="4" w:space="0"/>
            </w:tcBorders>
            <w:vAlign w:val="top"/>
          </w:tcPr>
          <w:p w14:paraId="375553C3">
            <w:pPr>
              <w:adjustRightInd w:val="0"/>
              <w:snapToGrid w:val="0"/>
              <w:spacing w:before="156" w:beforeLines="50" w:line="360" w:lineRule="auto"/>
              <w:rPr>
                <w:color w:val="auto"/>
                <w:szCs w:val="21"/>
              </w:rPr>
            </w:pPr>
          </w:p>
        </w:tc>
        <w:tc>
          <w:tcPr>
            <w:tcW w:w="1020" w:type="dxa"/>
            <w:tcBorders>
              <w:left w:val="single" w:color="auto" w:sz="4" w:space="0"/>
            </w:tcBorders>
            <w:vAlign w:val="top"/>
          </w:tcPr>
          <w:p w14:paraId="58913264">
            <w:pPr>
              <w:adjustRightInd w:val="0"/>
              <w:snapToGrid w:val="0"/>
              <w:spacing w:before="156" w:beforeLines="50" w:line="360" w:lineRule="auto"/>
              <w:rPr>
                <w:color w:val="auto"/>
                <w:szCs w:val="21"/>
              </w:rPr>
            </w:pPr>
          </w:p>
        </w:tc>
        <w:tc>
          <w:tcPr>
            <w:tcW w:w="838" w:type="dxa"/>
            <w:vAlign w:val="top"/>
          </w:tcPr>
          <w:p w14:paraId="6BA36BF5">
            <w:pPr>
              <w:adjustRightInd w:val="0"/>
              <w:snapToGrid w:val="0"/>
              <w:spacing w:before="156" w:beforeLines="50" w:line="360" w:lineRule="auto"/>
              <w:rPr>
                <w:color w:val="auto"/>
                <w:szCs w:val="21"/>
              </w:rPr>
            </w:pPr>
            <w:r>
              <w:rPr>
                <w:rFonts w:hint="eastAsia" w:ascii="宋体" w:hAnsi="宋体"/>
                <w:iCs/>
                <w:color w:val="auto"/>
                <w:szCs w:val="21"/>
              </w:rPr>
              <w:sym w:font="Wingdings" w:char="00A8"/>
            </w:r>
          </w:p>
        </w:tc>
        <w:tc>
          <w:tcPr>
            <w:tcW w:w="794" w:type="dxa"/>
            <w:vAlign w:val="top"/>
          </w:tcPr>
          <w:p w14:paraId="74ACC065">
            <w:pPr>
              <w:adjustRightInd w:val="0"/>
              <w:snapToGrid w:val="0"/>
              <w:spacing w:before="156" w:beforeLines="50" w:line="360" w:lineRule="auto"/>
              <w:rPr>
                <w:color w:val="auto"/>
                <w:szCs w:val="21"/>
              </w:rPr>
            </w:pPr>
            <w:r>
              <w:rPr>
                <w:rFonts w:hint="eastAsia" w:ascii="宋体" w:hAnsi="宋体"/>
                <w:iCs/>
                <w:color w:val="auto"/>
                <w:szCs w:val="21"/>
              </w:rPr>
              <w:sym w:font="Wingdings" w:char="00A8"/>
            </w:r>
          </w:p>
        </w:tc>
      </w:tr>
      <w:tr w14:paraId="02E51A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610" w:type="dxa"/>
            <w:vMerge w:val="continue"/>
            <w:vAlign w:val="top"/>
          </w:tcPr>
          <w:p w14:paraId="09648AD9">
            <w:pPr>
              <w:adjustRightInd w:val="0"/>
              <w:snapToGrid w:val="0"/>
              <w:spacing w:before="156" w:beforeLines="50" w:line="360" w:lineRule="auto"/>
              <w:rPr>
                <w:color w:val="auto"/>
                <w:szCs w:val="21"/>
              </w:rPr>
            </w:pPr>
          </w:p>
        </w:tc>
        <w:tc>
          <w:tcPr>
            <w:tcW w:w="1175" w:type="dxa"/>
            <w:vMerge w:val="continue"/>
            <w:vAlign w:val="top"/>
          </w:tcPr>
          <w:p w14:paraId="053943CF">
            <w:pPr>
              <w:adjustRightInd w:val="0"/>
              <w:snapToGrid w:val="0"/>
              <w:spacing w:before="156" w:beforeLines="50" w:line="360" w:lineRule="auto"/>
              <w:rPr>
                <w:color w:val="auto"/>
                <w:szCs w:val="21"/>
              </w:rPr>
            </w:pPr>
          </w:p>
        </w:tc>
        <w:tc>
          <w:tcPr>
            <w:tcW w:w="2185" w:type="dxa"/>
            <w:vAlign w:val="top"/>
          </w:tcPr>
          <w:p w14:paraId="137BF0BC">
            <w:pPr>
              <w:adjustRightInd w:val="0"/>
              <w:snapToGrid w:val="0"/>
              <w:spacing w:before="156" w:beforeLines="50" w:line="360" w:lineRule="auto"/>
              <w:rPr>
                <w:color w:val="auto"/>
                <w:szCs w:val="21"/>
              </w:rPr>
            </w:pPr>
          </w:p>
        </w:tc>
        <w:tc>
          <w:tcPr>
            <w:tcW w:w="2255" w:type="dxa"/>
            <w:tcBorders>
              <w:left w:val="single" w:color="auto" w:sz="4" w:space="0"/>
            </w:tcBorders>
            <w:vAlign w:val="top"/>
          </w:tcPr>
          <w:p w14:paraId="2C05E300">
            <w:pPr>
              <w:adjustRightInd w:val="0"/>
              <w:snapToGrid w:val="0"/>
              <w:spacing w:before="156" w:beforeLines="50" w:line="360" w:lineRule="auto"/>
              <w:rPr>
                <w:color w:val="auto"/>
                <w:szCs w:val="21"/>
              </w:rPr>
            </w:pPr>
          </w:p>
        </w:tc>
        <w:tc>
          <w:tcPr>
            <w:tcW w:w="1020" w:type="dxa"/>
            <w:tcBorders>
              <w:left w:val="single" w:color="auto" w:sz="4" w:space="0"/>
            </w:tcBorders>
            <w:vAlign w:val="top"/>
          </w:tcPr>
          <w:p w14:paraId="48A4EA15">
            <w:pPr>
              <w:adjustRightInd w:val="0"/>
              <w:snapToGrid w:val="0"/>
              <w:spacing w:before="156" w:beforeLines="50" w:line="360" w:lineRule="auto"/>
              <w:rPr>
                <w:color w:val="auto"/>
                <w:szCs w:val="21"/>
              </w:rPr>
            </w:pPr>
          </w:p>
        </w:tc>
        <w:tc>
          <w:tcPr>
            <w:tcW w:w="838" w:type="dxa"/>
            <w:vAlign w:val="top"/>
          </w:tcPr>
          <w:p w14:paraId="0AA51FF0">
            <w:pPr>
              <w:adjustRightInd w:val="0"/>
              <w:snapToGrid w:val="0"/>
              <w:spacing w:before="156" w:beforeLines="50" w:line="360" w:lineRule="auto"/>
              <w:rPr>
                <w:color w:val="auto"/>
                <w:szCs w:val="21"/>
              </w:rPr>
            </w:pPr>
          </w:p>
        </w:tc>
        <w:tc>
          <w:tcPr>
            <w:tcW w:w="794" w:type="dxa"/>
            <w:vAlign w:val="top"/>
          </w:tcPr>
          <w:p w14:paraId="5C5E6219">
            <w:pPr>
              <w:adjustRightInd w:val="0"/>
              <w:snapToGrid w:val="0"/>
              <w:spacing w:before="156" w:beforeLines="50" w:line="360" w:lineRule="auto"/>
              <w:rPr>
                <w:color w:val="auto"/>
                <w:szCs w:val="21"/>
              </w:rPr>
            </w:pPr>
          </w:p>
        </w:tc>
      </w:tr>
    </w:tbl>
    <w:p w14:paraId="6879FB54">
      <w:pPr>
        <w:adjustRightInd w:val="0"/>
        <w:snapToGrid w:val="0"/>
        <w:spacing w:line="360" w:lineRule="auto"/>
        <w:rPr>
          <w:rFonts w:ascii="宋体" w:hAnsi="宋体"/>
          <w:color w:val="auto"/>
          <w:szCs w:val="21"/>
        </w:rPr>
      </w:pPr>
      <w:r>
        <w:rPr>
          <w:rFonts w:hint="eastAsia" w:ascii="宋体" w:hAnsi="宋体"/>
          <w:color w:val="auto"/>
          <w:szCs w:val="21"/>
        </w:rPr>
        <w:t>供应商名称（盖单位公章）：</w:t>
      </w:r>
    </w:p>
    <w:p w14:paraId="52D3B920">
      <w:pPr>
        <w:adjustRightInd w:val="0"/>
        <w:snapToGrid w:val="0"/>
        <w:spacing w:line="360" w:lineRule="auto"/>
        <w:rPr>
          <w:rFonts w:ascii="宋体" w:hAnsi="宋体"/>
          <w:color w:val="auto"/>
          <w:szCs w:val="21"/>
          <w:u w:val="single"/>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p>
    <w:p w14:paraId="719D84EE">
      <w:pPr>
        <w:adjustRightInd w:val="0"/>
        <w:snapToGrid w:val="0"/>
        <w:spacing w:line="36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14:paraId="599F7DEF">
      <w:pPr>
        <w:adjustRightInd w:val="0"/>
        <w:snapToGrid w:val="0"/>
        <w:spacing w:line="360" w:lineRule="auto"/>
        <w:rPr>
          <w:rFonts w:ascii="宋体" w:hAnsi="宋体"/>
          <w:color w:val="auto"/>
          <w:szCs w:val="21"/>
        </w:rPr>
      </w:pPr>
    </w:p>
    <w:p w14:paraId="34B493B1">
      <w:pPr>
        <w:adjustRightInd w:val="0"/>
        <w:snapToGrid w:val="0"/>
        <w:spacing w:line="360" w:lineRule="auto"/>
        <w:rPr>
          <w:rFonts w:ascii="宋体" w:hAnsi="宋体"/>
          <w:color w:val="auto"/>
          <w:szCs w:val="21"/>
        </w:rPr>
      </w:pPr>
    </w:p>
    <w:p w14:paraId="3328C1AC">
      <w:pPr>
        <w:adjustRightInd w:val="0"/>
        <w:snapToGrid w:val="0"/>
        <w:spacing w:line="360" w:lineRule="auto"/>
        <w:rPr>
          <w:rFonts w:ascii="黑体" w:hAnsi="宋体" w:eastAsia="黑体"/>
          <w:color w:val="auto"/>
          <w:sz w:val="28"/>
          <w:szCs w:val="28"/>
        </w:rPr>
        <w:sectPr>
          <w:pgSz w:w="11906" w:h="16838"/>
          <w:pgMar w:top="1418" w:right="1418" w:bottom="1134" w:left="1418" w:header="851" w:footer="992" w:gutter="0"/>
          <w:cols w:space="720" w:num="1"/>
          <w:docGrid w:type="linesAndChars" w:linePitch="312" w:charSpace="0"/>
        </w:sectPr>
      </w:pPr>
    </w:p>
    <w:p w14:paraId="2400A1AE">
      <w:pPr>
        <w:keepNext/>
        <w:keepLines/>
        <w:spacing w:line="360" w:lineRule="auto"/>
        <w:jc w:val="center"/>
        <w:outlineLvl w:val="1"/>
        <w:rPr>
          <w:rFonts w:ascii="黑体" w:hAnsi="黑体" w:eastAsia="黑体"/>
          <w:b/>
          <w:bCs/>
          <w:color w:val="auto"/>
          <w:sz w:val="28"/>
          <w:szCs w:val="28"/>
        </w:rPr>
      </w:pPr>
      <w:bookmarkStart w:id="214" w:name="_Toc30078"/>
      <w:bookmarkStart w:id="215" w:name="_Toc107998047"/>
      <w:bookmarkStart w:id="216" w:name="_Toc22201159"/>
      <w:r>
        <w:rPr>
          <w:rFonts w:hint="eastAsia" w:ascii="黑体" w:hAnsi="黑体" w:eastAsia="黑体"/>
          <w:b/>
          <w:bCs/>
          <w:color w:val="auto"/>
          <w:sz w:val="28"/>
          <w:szCs w:val="28"/>
        </w:rPr>
        <w:t>七、合同条款偏离表</w:t>
      </w:r>
      <w:bookmarkEnd w:id="214"/>
      <w:bookmarkEnd w:id="215"/>
      <w:bookmarkEnd w:id="216"/>
    </w:p>
    <w:p w14:paraId="141095C7">
      <w:pPr>
        <w:adjustRightInd w:val="0"/>
        <w:snapToGrid w:val="0"/>
        <w:spacing w:before="156" w:beforeLines="50" w:line="360" w:lineRule="auto"/>
        <w:rPr>
          <w:rFonts w:ascii="宋体" w:hAnsi="宋体"/>
          <w:color w:val="auto"/>
          <w:szCs w:val="21"/>
          <w:u w:val="single"/>
        </w:rPr>
      </w:pPr>
      <w:r>
        <w:rPr>
          <w:rFonts w:hint="eastAsia" w:ascii="宋体" w:hAnsi="宋体"/>
          <w:color w:val="auto"/>
          <w:szCs w:val="21"/>
          <w:lang w:eastAsia="zh-CN"/>
        </w:rPr>
        <w:t>采购编号</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项目名称：</w:t>
      </w:r>
      <w:r>
        <w:rPr>
          <w:rFonts w:hint="eastAsia" w:ascii="宋体" w:hAnsi="宋体"/>
          <w:color w:val="auto"/>
          <w:szCs w:val="21"/>
          <w:u w:val="single"/>
        </w:rPr>
        <w:t xml:space="preserve">                     </w:t>
      </w:r>
    </w:p>
    <w:p w14:paraId="6303C352">
      <w:pPr>
        <w:adjustRightInd w:val="0"/>
        <w:snapToGrid w:val="0"/>
        <w:spacing w:before="50" w:line="360" w:lineRule="auto"/>
        <w:rPr>
          <w:rFonts w:ascii="宋体" w:hAnsi="宋体"/>
          <w:color w:val="auto"/>
          <w:szCs w:val="21"/>
          <w:u w:val="single"/>
        </w:rPr>
      </w:pPr>
      <w:r>
        <w:rPr>
          <w:rFonts w:hint="eastAsia" w:ascii="宋体" w:hAnsi="宋体"/>
          <w:color w:val="auto"/>
          <w:szCs w:val="21"/>
        </w:rPr>
        <w:t>包号：</w:t>
      </w:r>
      <w:r>
        <w:rPr>
          <w:rFonts w:hint="eastAsia" w:ascii="宋体" w:hAnsi="宋体"/>
          <w:color w:val="auto"/>
          <w:szCs w:val="21"/>
          <w:u w:val="single"/>
        </w:rPr>
        <w:t xml:space="preserve">                        </w:t>
      </w:r>
      <w:r>
        <w:rPr>
          <w:rFonts w:hint="eastAsia" w:ascii="宋体" w:hAnsi="宋体"/>
          <w:color w:val="auto"/>
          <w:szCs w:val="21"/>
        </w:rPr>
        <w:t xml:space="preserve">           包名称：</w:t>
      </w:r>
      <w:r>
        <w:rPr>
          <w:rFonts w:hint="eastAsia" w:ascii="宋体" w:hAnsi="宋体"/>
          <w:color w:val="auto"/>
          <w:szCs w:val="21"/>
          <w:u w:val="single"/>
        </w:rPr>
        <w:t xml:space="preserve">                   </w:t>
      </w:r>
    </w:p>
    <w:tbl>
      <w:tblPr>
        <w:tblStyle w:val="25"/>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95"/>
        <w:gridCol w:w="2410"/>
        <w:gridCol w:w="1985"/>
        <w:gridCol w:w="2082"/>
        <w:gridCol w:w="1942"/>
      </w:tblGrid>
      <w:tr w14:paraId="54FB06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595" w:type="dxa"/>
            <w:vAlign w:val="center"/>
          </w:tcPr>
          <w:p w14:paraId="6A5109EE">
            <w:pPr>
              <w:adjustRightInd w:val="0"/>
              <w:snapToGrid w:val="0"/>
              <w:spacing w:before="50" w:line="360" w:lineRule="auto"/>
              <w:ind w:left="-88" w:leftChars="-42"/>
              <w:jc w:val="center"/>
              <w:rPr>
                <w:rFonts w:ascii="宋体" w:hAnsi="宋体"/>
                <w:color w:val="auto"/>
                <w:szCs w:val="21"/>
              </w:rPr>
            </w:pPr>
            <w:r>
              <w:rPr>
                <w:rFonts w:hint="eastAsia" w:ascii="宋体" w:hAnsi="宋体"/>
                <w:bCs/>
                <w:color w:val="auto"/>
                <w:szCs w:val="21"/>
              </w:rPr>
              <w:t>序</w:t>
            </w:r>
            <w:r>
              <w:rPr>
                <w:rFonts w:hint="eastAsia" w:ascii="宋体" w:hAnsi="宋体"/>
                <w:color w:val="auto"/>
                <w:szCs w:val="21"/>
              </w:rPr>
              <w:t>号</w:t>
            </w:r>
          </w:p>
        </w:tc>
        <w:tc>
          <w:tcPr>
            <w:tcW w:w="2410" w:type="dxa"/>
            <w:vAlign w:val="center"/>
          </w:tcPr>
          <w:p w14:paraId="156137A9">
            <w:pPr>
              <w:adjustRightInd w:val="0"/>
              <w:snapToGrid w:val="0"/>
              <w:spacing w:before="50" w:line="360" w:lineRule="auto"/>
              <w:ind w:left="-88" w:leftChars="-42"/>
              <w:jc w:val="center"/>
              <w:rPr>
                <w:rFonts w:ascii="宋体" w:hAnsi="宋体"/>
                <w:color w:val="auto"/>
                <w:szCs w:val="21"/>
              </w:rPr>
            </w:pPr>
            <w:r>
              <w:rPr>
                <w:rFonts w:hint="eastAsia" w:ascii="宋体" w:hAnsi="宋体"/>
                <w:color w:val="auto"/>
                <w:szCs w:val="21"/>
              </w:rPr>
              <w:t>谈判文件章节</w:t>
            </w:r>
            <w:r>
              <w:rPr>
                <w:rFonts w:hint="eastAsia" w:ascii="宋体" w:hAnsi="宋体"/>
                <w:bCs/>
                <w:color w:val="auto"/>
                <w:szCs w:val="21"/>
              </w:rPr>
              <w:t>条</w:t>
            </w:r>
            <w:r>
              <w:rPr>
                <w:rFonts w:hint="eastAsia" w:ascii="宋体" w:hAnsi="宋体"/>
                <w:color w:val="auto"/>
                <w:szCs w:val="21"/>
              </w:rPr>
              <w:t>款号</w:t>
            </w:r>
          </w:p>
        </w:tc>
        <w:tc>
          <w:tcPr>
            <w:tcW w:w="1985" w:type="dxa"/>
            <w:vAlign w:val="center"/>
          </w:tcPr>
          <w:p w14:paraId="03962CAF">
            <w:pPr>
              <w:adjustRightInd w:val="0"/>
              <w:snapToGrid w:val="0"/>
              <w:spacing w:before="50" w:line="360" w:lineRule="auto"/>
              <w:ind w:left="-88" w:leftChars="-42"/>
              <w:jc w:val="center"/>
              <w:rPr>
                <w:rFonts w:ascii="宋体" w:hAnsi="宋体"/>
                <w:color w:val="auto"/>
                <w:szCs w:val="21"/>
              </w:rPr>
            </w:pPr>
            <w:r>
              <w:rPr>
                <w:rFonts w:hint="eastAsia" w:ascii="宋体" w:hAnsi="宋体"/>
                <w:color w:val="auto"/>
                <w:szCs w:val="21"/>
              </w:rPr>
              <w:t>谈判</w:t>
            </w:r>
            <w:r>
              <w:rPr>
                <w:rFonts w:hint="eastAsia"/>
                <w:color w:val="auto"/>
              </w:rPr>
              <w:t>文件要求</w:t>
            </w:r>
          </w:p>
        </w:tc>
        <w:tc>
          <w:tcPr>
            <w:tcW w:w="2082" w:type="dxa"/>
            <w:tcBorders>
              <w:right w:val="single" w:color="auto" w:sz="4" w:space="0"/>
            </w:tcBorders>
            <w:vAlign w:val="center"/>
          </w:tcPr>
          <w:p w14:paraId="487F9E09">
            <w:pPr>
              <w:adjustRightInd w:val="0"/>
              <w:snapToGrid w:val="0"/>
              <w:spacing w:before="50" w:line="360" w:lineRule="auto"/>
              <w:jc w:val="center"/>
              <w:rPr>
                <w:rFonts w:ascii="宋体" w:hAnsi="宋体"/>
                <w:color w:val="auto"/>
                <w:szCs w:val="21"/>
              </w:rPr>
            </w:pPr>
            <w:r>
              <w:rPr>
                <w:rFonts w:hint="eastAsia"/>
                <w:color w:val="auto"/>
              </w:rPr>
              <w:t>响应文件的应答</w:t>
            </w:r>
          </w:p>
        </w:tc>
        <w:tc>
          <w:tcPr>
            <w:tcW w:w="1942" w:type="dxa"/>
            <w:tcBorders>
              <w:left w:val="single" w:color="auto" w:sz="4" w:space="0"/>
            </w:tcBorders>
            <w:vAlign w:val="center"/>
          </w:tcPr>
          <w:p w14:paraId="2ACDEEC5">
            <w:pPr>
              <w:adjustRightInd w:val="0"/>
              <w:snapToGrid w:val="0"/>
              <w:spacing w:before="50" w:line="360" w:lineRule="auto"/>
              <w:ind w:left="-88" w:leftChars="-42"/>
              <w:jc w:val="center"/>
              <w:rPr>
                <w:rFonts w:ascii="宋体" w:hAnsi="宋体"/>
                <w:color w:val="auto"/>
                <w:szCs w:val="21"/>
              </w:rPr>
            </w:pPr>
            <w:r>
              <w:rPr>
                <w:rFonts w:hint="eastAsia" w:ascii="宋体" w:hAnsi="宋体"/>
                <w:color w:val="auto"/>
                <w:szCs w:val="21"/>
              </w:rPr>
              <w:t>偏离说明</w:t>
            </w:r>
          </w:p>
        </w:tc>
      </w:tr>
      <w:tr w14:paraId="259355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6D336C8B">
            <w:pPr>
              <w:adjustRightInd w:val="0"/>
              <w:snapToGrid w:val="0"/>
              <w:spacing w:before="50" w:line="360" w:lineRule="auto"/>
              <w:ind w:left="-88" w:leftChars="-42"/>
              <w:jc w:val="center"/>
              <w:rPr>
                <w:rFonts w:ascii="宋体" w:hAnsi="宋体"/>
                <w:color w:val="auto"/>
                <w:szCs w:val="21"/>
              </w:rPr>
            </w:pPr>
          </w:p>
        </w:tc>
        <w:tc>
          <w:tcPr>
            <w:tcW w:w="2410" w:type="dxa"/>
            <w:vAlign w:val="center"/>
          </w:tcPr>
          <w:p w14:paraId="1DFC9D15">
            <w:pPr>
              <w:adjustRightInd w:val="0"/>
              <w:snapToGrid w:val="0"/>
              <w:spacing w:before="50" w:line="360" w:lineRule="auto"/>
              <w:ind w:left="-88" w:leftChars="-42"/>
              <w:jc w:val="center"/>
              <w:rPr>
                <w:rFonts w:ascii="宋体" w:hAnsi="宋体"/>
                <w:color w:val="auto"/>
                <w:szCs w:val="21"/>
              </w:rPr>
            </w:pPr>
          </w:p>
        </w:tc>
        <w:tc>
          <w:tcPr>
            <w:tcW w:w="1985" w:type="dxa"/>
            <w:vAlign w:val="top"/>
          </w:tcPr>
          <w:p w14:paraId="00B23ADF">
            <w:pPr>
              <w:adjustRightInd w:val="0"/>
              <w:snapToGrid w:val="0"/>
              <w:spacing w:before="50" w:line="360" w:lineRule="auto"/>
              <w:rPr>
                <w:color w:val="auto"/>
              </w:rPr>
            </w:pPr>
          </w:p>
        </w:tc>
        <w:tc>
          <w:tcPr>
            <w:tcW w:w="2082" w:type="dxa"/>
            <w:tcBorders>
              <w:right w:val="single" w:color="auto" w:sz="4" w:space="0"/>
            </w:tcBorders>
            <w:vAlign w:val="top"/>
          </w:tcPr>
          <w:p w14:paraId="665C6F4C">
            <w:pPr>
              <w:adjustRightInd w:val="0"/>
              <w:snapToGrid w:val="0"/>
              <w:spacing w:before="50" w:line="360" w:lineRule="auto"/>
              <w:rPr>
                <w:color w:val="auto"/>
              </w:rPr>
            </w:pPr>
          </w:p>
        </w:tc>
        <w:tc>
          <w:tcPr>
            <w:tcW w:w="1942" w:type="dxa"/>
            <w:tcBorders>
              <w:left w:val="single" w:color="auto" w:sz="4" w:space="0"/>
            </w:tcBorders>
            <w:vAlign w:val="top"/>
          </w:tcPr>
          <w:p w14:paraId="263BA057">
            <w:pPr>
              <w:adjustRightInd w:val="0"/>
              <w:snapToGrid w:val="0"/>
              <w:spacing w:before="50" w:line="360" w:lineRule="auto"/>
              <w:ind w:left="-88" w:leftChars="-42"/>
              <w:jc w:val="center"/>
              <w:rPr>
                <w:rFonts w:ascii="宋体" w:hAnsi="宋体"/>
                <w:color w:val="auto"/>
                <w:szCs w:val="21"/>
              </w:rPr>
            </w:pPr>
          </w:p>
        </w:tc>
      </w:tr>
      <w:tr w14:paraId="4DFD7C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5C59A649">
            <w:pPr>
              <w:adjustRightInd w:val="0"/>
              <w:snapToGrid w:val="0"/>
              <w:spacing w:before="50" w:line="360" w:lineRule="auto"/>
              <w:ind w:left="-88" w:leftChars="-42"/>
              <w:jc w:val="center"/>
              <w:rPr>
                <w:rFonts w:ascii="宋体" w:hAnsi="宋体"/>
                <w:color w:val="auto"/>
                <w:szCs w:val="21"/>
              </w:rPr>
            </w:pPr>
          </w:p>
        </w:tc>
        <w:tc>
          <w:tcPr>
            <w:tcW w:w="2410" w:type="dxa"/>
            <w:vAlign w:val="center"/>
          </w:tcPr>
          <w:p w14:paraId="59CA4B35">
            <w:pPr>
              <w:adjustRightInd w:val="0"/>
              <w:snapToGrid w:val="0"/>
              <w:spacing w:before="50" w:line="360" w:lineRule="auto"/>
              <w:ind w:left="-88" w:leftChars="-42"/>
              <w:jc w:val="center"/>
              <w:rPr>
                <w:rFonts w:ascii="宋体" w:hAnsi="宋体"/>
                <w:color w:val="auto"/>
                <w:szCs w:val="21"/>
              </w:rPr>
            </w:pPr>
          </w:p>
        </w:tc>
        <w:tc>
          <w:tcPr>
            <w:tcW w:w="1985" w:type="dxa"/>
            <w:vAlign w:val="center"/>
          </w:tcPr>
          <w:p w14:paraId="22759901">
            <w:pPr>
              <w:adjustRightInd w:val="0"/>
              <w:snapToGrid w:val="0"/>
              <w:spacing w:before="50" w:line="360" w:lineRule="auto"/>
              <w:ind w:left="-88" w:leftChars="-42"/>
              <w:jc w:val="center"/>
              <w:rPr>
                <w:rFonts w:ascii="宋体" w:hAnsi="宋体"/>
                <w:color w:val="auto"/>
                <w:szCs w:val="21"/>
              </w:rPr>
            </w:pPr>
          </w:p>
        </w:tc>
        <w:tc>
          <w:tcPr>
            <w:tcW w:w="2082" w:type="dxa"/>
            <w:tcBorders>
              <w:right w:val="single" w:color="auto" w:sz="4" w:space="0"/>
            </w:tcBorders>
            <w:vAlign w:val="center"/>
          </w:tcPr>
          <w:p w14:paraId="564FDEBB">
            <w:pPr>
              <w:adjustRightInd w:val="0"/>
              <w:snapToGrid w:val="0"/>
              <w:spacing w:before="50" w:line="360" w:lineRule="auto"/>
              <w:ind w:left="-88" w:leftChars="-42"/>
              <w:jc w:val="center"/>
              <w:rPr>
                <w:rFonts w:ascii="宋体" w:hAnsi="宋体"/>
                <w:color w:val="auto"/>
                <w:szCs w:val="21"/>
              </w:rPr>
            </w:pPr>
          </w:p>
        </w:tc>
        <w:tc>
          <w:tcPr>
            <w:tcW w:w="1942" w:type="dxa"/>
            <w:tcBorders>
              <w:left w:val="single" w:color="auto" w:sz="4" w:space="0"/>
            </w:tcBorders>
            <w:vAlign w:val="center"/>
          </w:tcPr>
          <w:p w14:paraId="7484D0C4">
            <w:pPr>
              <w:adjustRightInd w:val="0"/>
              <w:snapToGrid w:val="0"/>
              <w:spacing w:before="50" w:line="360" w:lineRule="auto"/>
              <w:ind w:left="-88" w:leftChars="-42"/>
              <w:jc w:val="center"/>
              <w:rPr>
                <w:rFonts w:ascii="宋体" w:hAnsi="宋体"/>
                <w:color w:val="auto"/>
                <w:szCs w:val="21"/>
              </w:rPr>
            </w:pPr>
          </w:p>
        </w:tc>
      </w:tr>
      <w:tr w14:paraId="6AA52E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6286B7C9">
            <w:pPr>
              <w:adjustRightInd w:val="0"/>
              <w:snapToGrid w:val="0"/>
              <w:spacing w:before="50" w:line="360" w:lineRule="auto"/>
              <w:ind w:left="-88" w:leftChars="-42"/>
              <w:jc w:val="center"/>
              <w:rPr>
                <w:rFonts w:ascii="宋体" w:hAnsi="宋体"/>
                <w:color w:val="auto"/>
                <w:szCs w:val="21"/>
              </w:rPr>
            </w:pPr>
          </w:p>
        </w:tc>
        <w:tc>
          <w:tcPr>
            <w:tcW w:w="2410" w:type="dxa"/>
            <w:vAlign w:val="center"/>
          </w:tcPr>
          <w:p w14:paraId="07FD85A0">
            <w:pPr>
              <w:adjustRightInd w:val="0"/>
              <w:snapToGrid w:val="0"/>
              <w:spacing w:before="50" w:line="360" w:lineRule="auto"/>
              <w:ind w:left="-88" w:leftChars="-42"/>
              <w:jc w:val="center"/>
              <w:rPr>
                <w:rFonts w:ascii="宋体" w:hAnsi="宋体"/>
                <w:color w:val="auto"/>
                <w:szCs w:val="21"/>
              </w:rPr>
            </w:pPr>
          </w:p>
        </w:tc>
        <w:tc>
          <w:tcPr>
            <w:tcW w:w="1985" w:type="dxa"/>
            <w:vAlign w:val="center"/>
          </w:tcPr>
          <w:p w14:paraId="02AAEC96">
            <w:pPr>
              <w:adjustRightInd w:val="0"/>
              <w:snapToGrid w:val="0"/>
              <w:spacing w:before="50" w:line="360" w:lineRule="auto"/>
              <w:ind w:left="-88" w:leftChars="-42"/>
              <w:jc w:val="center"/>
              <w:rPr>
                <w:rFonts w:ascii="宋体" w:hAnsi="宋体"/>
                <w:color w:val="auto"/>
                <w:szCs w:val="21"/>
              </w:rPr>
            </w:pPr>
          </w:p>
        </w:tc>
        <w:tc>
          <w:tcPr>
            <w:tcW w:w="2082" w:type="dxa"/>
            <w:tcBorders>
              <w:right w:val="single" w:color="auto" w:sz="4" w:space="0"/>
            </w:tcBorders>
            <w:vAlign w:val="center"/>
          </w:tcPr>
          <w:p w14:paraId="0CEAC903">
            <w:pPr>
              <w:adjustRightInd w:val="0"/>
              <w:snapToGrid w:val="0"/>
              <w:spacing w:before="50" w:line="360" w:lineRule="auto"/>
              <w:ind w:left="-88" w:leftChars="-42"/>
              <w:jc w:val="center"/>
              <w:rPr>
                <w:rFonts w:ascii="宋体" w:hAnsi="宋体"/>
                <w:color w:val="auto"/>
                <w:szCs w:val="21"/>
              </w:rPr>
            </w:pPr>
          </w:p>
        </w:tc>
        <w:tc>
          <w:tcPr>
            <w:tcW w:w="1942" w:type="dxa"/>
            <w:tcBorders>
              <w:left w:val="single" w:color="auto" w:sz="4" w:space="0"/>
            </w:tcBorders>
            <w:vAlign w:val="center"/>
          </w:tcPr>
          <w:p w14:paraId="680225EC">
            <w:pPr>
              <w:adjustRightInd w:val="0"/>
              <w:snapToGrid w:val="0"/>
              <w:spacing w:before="50" w:line="360" w:lineRule="auto"/>
              <w:ind w:left="-88" w:leftChars="-42"/>
              <w:jc w:val="center"/>
              <w:rPr>
                <w:rFonts w:ascii="宋体" w:hAnsi="宋体"/>
                <w:color w:val="auto"/>
                <w:szCs w:val="21"/>
              </w:rPr>
            </w:pPr>
          </w:p>
        </w:tc>
      </w:tr>
      <w:tr w14:paraId="4F26AD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6AB21C5C">
            <w:pPr>
              <w:adjustRightInd w:val="0"/>
              <w:snapToGrid w:val="0"/>
              <w:spacing w:before="50" w:line="360" w:lineRule="auto"/>
              <w:ind w:left="-88" w:leftChars="-42"/>
              <w:jc w:val="center"/>
              <w:rPr>
                <w:rFonts w:ascii="宋体" w:hAnsi="宋体"/>
                <w:color w:val="auto"/>
                <w:szCs w:val="21"/>
              </w:rPr>
            </w:pPr>
          </w:p>
        </w:tc>
        <w:tc>
          <w:tcPr>
            <w:tcW w:w="2410" w:type="dxa"/>
            <w:vAlign w:val="center"/>
          </w:tcPr>
          <w:p w14:paraId="0E1C6295">
            <w:pPr>
              <w:adjustRightInd w:val="0"/>
              <w:snapToGrid w:val="0"/>
              <w:spacing w:before="50" w:line="360" w:lineRule="auto"/>
              <w:ind w:left="-88" w:leftChars="-42"/>
              <w:jc w:val="center"/>
              <w:rPr>
                <w:rFonts w:ascii="宋体" w:hAnsi="宋体"/>
                <w:color w:val="auto"/>
                <w:szCs w:val="21"/>
              </w:rPr>
            </w:pPr>
          </w:p>
        </w:tc>
        <w:tc>
          <w:tcPr>
            <w:tcW w:w="1985" w:type="dxa"/>
            <w:vAlign w:val="center"/>
          </w:tcPr>
          <w:p w14:paraId="66340AE4">
            <w:pPr>
              <w:adjustRightInd w:val="0"/>
              <w:snapToGrid w:val="0"/>
              <w:spacing w:before="50" w:line="360" w:lineRule="auto"/>
              <w:ind w:left="-88" w:leftChars="-42"/>
              <w:jc w:val="center"/>
              <w:rPr>
                <w:rFonts w:ascii="宋体" w:hAnsi="宋体"/>
                <w:color w:val="auto"/>
                <w:szCs w:val="21"/>
              </w:rPr>
            </w:pPr>
          </w:p>
        </w:tc>
        <w:tc>
          <w:tcPr>
            <w:tcW w:w="2082" w:type="dxa"/>
            <w:tcBorders>
              <w:right w:val="single" w:color="auto" w:sz="4" w:space="0"/>
            </w:tcBorders>
            <w:vAlign w:val="center"/>
          </w:tcPr>
          <w:p w14:paraId="4D076477">
            <w:pPr>
              <w:adjustRightInd w:val="0"/>
              <w:snapToGrid w:val="0"/>
              <w:spacing w:before="50" w:line="360" w:lineRule="auto"/>
              <w:ind w:left="-88" w:leftChars="-42"/>
              <w:jc w:val="center"/>
              <w:rPr>
                <w:rFonts w:ascii="宋体" w:hAnsi="宋体"/>
                <w:color w:val="auto"/>
                <w:szCs w:val="21"/>
              </w:rPr>
            </w:pPr>
          </w:p>
        </w:tc>
        <w:tc>
          <w:tcPr>
            <w:tcW w:w="1942" w:type="dxa"/>
            <w:tcBorders>
              <w:left w:val="single" w:color="auto" w:sz="4" w:space="0"/>
            </w:tcBorders>
            <w:vAlign w:val="center"/>
          </w:tcPr>
          <w:p w14:paraId="5A0610A7">
            <w:pPr>
              <w:adjustRightInd w:val="0"/>
              <w:snapToGrid w:val="0"/>
              <w:spacing w:before="50" w:line="360" w:lineRule="auto"/>
              <w:ind w:left="-88" w:leftChars="-42"/>
              <w:jc w:val="center"/>
              <w:rPr>
                <w:rFonts w:ascii="宋体" w:hAnsi="宋体"/>
                <w:color w:val="auto"/>
                <w:szCs w:val="21"/>
              </w:rPr>
            </w:pPr>
          </w:p>
        </w:tc>
      </w:tr>
      <w:tr w14:paraId="3BA03D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2C6AF905">
            <w:pPr>
              <w:adjustRightInd w:val="0"/>
              <w:snapToGrid w:val="0"/>
              <w:spacing w:before="50" w:line="360" w:lineRule="auto"/>
              <w:ind w:left="-88" w:leftChars="-42"/>
              <w:jc w:val="center"/>
              <w:rPr>
                <w:rFonts w:ascii="宋体" w:hAnsi="宋体"/>
                <w:color w:val="auto"/>
                <w:szCs w:val="21"/>
              </w:rPr>
            </w:pPr>
          </w:p>
        </w:tc>
        <w:tc>
          <w:tcPr>
            <w:tcW w:w="2410" w:type="dxa"/>
            <w:vAlign w:val="center"/>
          </w:tcPr>
          <w:p w14:paraId="30E50498">
            <w:pPr>
              <w:adjustRightInd w:val="0"/>
              <w:snapToGrid w:val="0"/>
              <w:spacing w:before="50" w:line="360" w:lineRule="auto"/>
              <w:ind w:left="-88" w:leftChars="-42"/>
              <w:jc w:val="center"/>
              <w:rPr>
                <w:rFonts w:ascii="宋体" w:hAnsi="宋体"/>
                <w:color w:val="auto"/>
                <w:szCs w:val="21"/>
              </w:rPr>
            </w:pPr>
          </w:p>
        </w:tc>
        <w:tc>
          <w:tcPr>
            <w:tcW w:w="1985" w:type="dxa"/>
            <w:vAlign w:val="center"/>
          </w:tcPr>
          <w:p w14:paraId="78116F12">
            <w:pPr>
              <w:adjustRightInd w:val="0"/>
              <w:snapToGrid w:val="0"/>
              <w:spacing w:before="50" w:line="360" w:lineRule="auto"/>
              <w:ind w:left="-88" w:leftChars="-42"/>
              <w:jc w:val="center"/>
              <w:rPr>
                <w:rFonts w:ascii="宋体" w:hAnsi="宋体"/>
                <w:color w:val="auto"/>
                <w:szCs w:val="21"/>
              </w:rPr>
            </w:pPr>
          </w:p>
        </w:tc>
        <w:tc>
          <w:tcPr>
            <w:tcW w:w="2082" w:type="dxa"/>
            <w:tcBorders>
              <w:right w:val="single" w:color="auto" w:sz="4" w:space="0"/>
            </w:tcBorders>
            <w:vAlign w:val="center"/>
          </w:tcPr>
          <w:p w14:paraId="0AC54B46">
            <w:pPr>
              <w:adjustRightInd w:val="0"/>
              <w:snapToGrid w:val="0"/>
              <w:spacing w:before="50" w:line="360" w:lineRule="auto"/>
              <w:ind w:left="-88" w:leftChars="-42"/>
              <w:jc w:val="center"/>
              <w:rPr>
                <w:rFonts w:ascii="宋体" w:hAnsi="宋体"/>
                <w:color w:val="auto"/>
                <w:szCs w:val="21"/>
              </w:rPr>
            </w:pPr>
          </w:p>
        </w:tc>
        <w:tc>
          <w:tcPr>
            <w:tcW w:w="1942" w:type="dxa"/>
            <w:tcBorders>
              <w:left w:val="single" w:color="auto" w:sz="4" w:space="0"/>
            </w:tcBorders>
            <w:vAlign w:val="center"/>
          </w:tcPr>
          <w:p w14:paraId="05D84169">
            <w:pPr>
              <w:adjustRightInd w:val="0"/>
              <w:snapToGrid w:val="0"/>
              <w:spacing w:before="50" w:line="360" w:lineRule="auto"/>
              <w:ind w:left="-88" w:leftChars="-42"/>
              <w:jc w:val="center"/>
              <w:rPr>
                <w:rFonts w:ascii="宋体" w:hAnsi="宋体"/>
                <w:color w:val="auto"/>
                <w:szCs w:val="21"/>
              </w:rPr>
            </w:pPr>
          </w:p>
        </w:tc>
      </w:tr>
      <w:tr w14:paraId="306D93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777B4723">
            <w:pPr>
              <w:adjustRightInd w:val="0"/>
              <w:snapToGrid w:val="0"/>
              <w:spacing w:before="50" w:line="360" w:lineRule="auto"/>
              <w:ind w:left="-88" w:leftChars="-42"/>
              <w:jc w:val="center"/>
              <w:rPr>
                <w:rFonts w:ascii="宋体" w:hAnsi="宋体"/>
                <w:color w:val="auto"/>
                <w:szCs w:val="21"/>
              </w:rPr>
            </w:pPr>
          </w:p>
        </w:tc>
        <w:tc>
          <w:tcPr>
            <w:tcW w:w="2410" w:type="dxa"/>
            <w:vAlign w:val="center"/>
          </w:tcPr>
          <w:p w14:paraId="0DA2A0E6">
            <w:pPr>
              <w:adjustRightInd w:val="0"/>
              <w:snapToGrid w:val="0"/>
              <w:spacing w:before="50" w:line="360" w:lineRule="auto"/>
              <w:ind w:left="-88" w:leftChars="-42"/>
              <w:jc w:val="center"/>
              <w:rPr>
                <w:rFonts w:ascii="宋体" w:hAnsi="宋体"/>
                <w:color w:val="auto"/>
                <w:szCs w:val="21"/>
              </w:rPr>
            </w:pPr>
          </w:p>
        </w:tc>
        <w:tc>
          <w:tcPr>
            <w:tcW w:w="1985" w:type="dxa"/>
            <w:vAlign w:val="center"/>
          </w:tcPr>
          <w:p w14:paraId="61C3CB9F">
            <w:pPr>
              <w:adjustRightInd w:val="0"/>
              <w:snapToGrid w:val="0"/>
              <w:spacing w:before="50" w:line="360" w:lineRule="auto"/>
              <w:ind w:left="-88" w:leftChars="-42"/>
              <w:jc w:val="center"/>
              <w:rPr>
                <w:rFonts w:ascii="宋体" w:hAnsi="宋体"/>
                <w:color w:val="auto"/>
                <w:szCs w:val="21"/>
              </w:rPr>
            </w:pPr>
          </w:p>
        </w:tc>
        <w:tc>
          <w:tcPr>
            <w:tcW w:w="2082" w:type="dxa"/>
            <w:tcBorders>
              <w:right w:val="single" w:color="auto" w:sz="4" w:space="0"/>
            </w:tcBorders>
            <w:vAlign w:val="center"/>
          </w:tcPr>
          <w:p w14:paraId="3EB3917A">
            <w:pPr>
              <w:adjustRightInd w:val="0"/>
              <w:snapToGrid w:val="0"/>
              <w:spacing w:before="50" w:line="360" w:lineRule="auto"/>
              <w:ind w:left="-88" w:leftChars="-42"/>
              <w:jc w:val="center"/>
              <w:rPr>
                <w:rFonts w:ascii="宋体" w:hAnsi="宋体"/>
                <w:color w:val="auto"/>
                <w:szCs w:val="21"/>
              </w:rPr>
            </w:pPr>
          </w:p>
        </w:tc>
        <w:tc>
          <w:tcPr>
            <w:tcW w:w="1942" w:type="dxa"/>
            <w:tcBorders>
              <w:left w:val="single" w:color="auto" w:sz="4" w:space="0"/>
            </w:tcBorders>
            <w:vAlign w:val="center"/>
          </w:tcPr>
          <w:p w14:paraId="5E366E55">
            <w:pPr>
              <w:adjustRightInd w:val="0"/>
              <w:snapToGrid w:val="0"/>
              <w:spacing w:before="50" w:line="360" w:lineRule="auto"/>
              <w:ind w:left="-88" w:leftChars="-42"/>
              <w:jc w:val="center"/>
              <w:rPr>
                <w:rFonts w:ascii="宋体" w:hAnsi="宋体"/>
                <w:color w:val="auto"/>
                <w:szCs w:val="21"/>
              </w:rPr>
            </w:pPr>
          </w:p>
        </w:tc>
      </w:tr>
      <w:tr w14:paraId="062381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18F54C20">
            <w:pPr>
              <w:adjustRightInd w:val="0"/>
              <w:snapToGrid w:val="0"/>
              <w:spacing w:before="50" w:line="360" w:lineRule="auto"/>
              <w:ind w:left="-88" w:leftChars="-42"/>
              <w:jc w:val="center"/>
              <w:rPr>
                <w:rFonts w:ascii="宋体" w:hAnsi="宋体"/>
                <w:color w:val="auto"/>
                <w:szCs w:val="21"/>
              </w:rPr>
            </w:pPr>
          </w:p>
        </w:tc>
        <w:tc>
          <w:tcPr>
            <w:tcW w:w="2410" w:type="dxa"/>
            <w:vAlign w:val="center"/>
          </w:tcPr>
          <w:p w14:paraId="1F1BF13A">
            <w:pPr>
              <w:adjustRightInd w:val="0"/>
              <w:snapToGrid w:val="0"/>
              <w:spacing w:before="50" w:line="360" w:lineRule="auto"/>
              <w:ind w:left="-88" w:leftChars="-42"/>
              <w:jc w:val="center"/>
              <w:rPr>
                <w:rFonts w:ascii="宋体" w:hAnsi="宋体"/>
                <w:color w:val="auto"/>
                <w:szCs w:val="21"/>
              </w:rPr>
            </w:pPr>
          </w:p>
        </w:tc>
        <w:tc>
          <w:tcPr>
            <w:tcW w:w="1985" w:type="dxa"/>
            <w:vAlign w:val="center"/>
          </w:tcPr>
          <w:p w14:paraId="6EAB6299">
            <w:pPr>
              <w:adjustRightInd w:val="0"/>
              <w:snapToGrid w:val="0"/>
              <w:spacing w:before="50" w:line="360" w:lineRule="auto"/>
              <w:ind w:left="-88" w:leftChars="-42"/>
              <w:jc w:val="center"/>
              <w:rPr>
                <w:rFonts w:ascii="宋体" w:hAnsi="宋体"/>
                <w:color w:val="auto"/>
                <w:szCs w:val="21"/>
              </w:rPr>
            </w:pPr>
          </w:p>
        </w:tc>
        <w:tc>
          <w:tcPr>
            <w:tcW w:w="4024" w:type="dxa"/>
            <w:gridSpan w:val="2"/>
            <w:vAlign w:val="center"/>
          </w:tcPr>
          <w:p w14:paraId="573F4B7D">
            <w:pPr>
              <w:adjustRightInd w:val="0"/>
              <w:snapToGrid w:val="0"/>
              <w:spacing w:before="50" w:line="360" w:lineRule="auto"/>
              <w:ind w:firstLine="420" w:firstLineChars="200"/>
              <w:jc w:val="left"/>
              <w:rPr>
                <w:rFonts w:ascii="宋体" w:hAnsi="宋体"/>
                <w:b/>
                <w:color w:val="auto"/>
                <w:szCs w:val="21"/>
              </w:rPr>
            </w:pPr>
            <w:r>
              <w:rPr>
                <w:rFonts w:hint="eastAsia" w:ascii="宋体" w:hAnsi="宋体"/>
                <w:b/>
                <w:color w:val="auto"/>
                <w:szCs w:val="21"/>
              </w:rPr>
              <w:t>供应商保证：除本合同条款偏离表列出的偏离外，我单位对谈判文件的其他商务、合同条款完全响应，无偏离。</w:t>
            </w:r>
          </w:p>
        </w:tc>
      </w:tr>
    </w:tbl>
    <w:p w14:paraId="06E48BC4">
      <w:pPr>
        <w:adjustRightInd w:val="0"/>
        <w:snapToGrid w:val="0"/>
        <w:spacing w:before="50" w:line="360" w:lineRule="auto"/>
        <w:ind w:left="-88" w:leftChars="-42"/>
        <w:rPr>
          <w:rFonts w:ascii="宋体" w:hAnsi="宋体"/>
          <w:color w:val="auto"/>
          <w:szCs w:val="21"/>
        </w:rPr>
      </w:pPr>
      <w:r>
        <w:rPr>
          <w:rFonts w:hint="eastAsia" w:ascii="宋体" w:hAnsi="宋体"/>
          <w:b w:val="0"/>
          <w:bCs/>
          <w:color w:val="auto"/>
          <w:szCs w:val="21"/>
        </w:rPr>
        <w:t>注：</w:t>
      </w:r>
      <w:r>
        <w:rPr>
          <w:rFonts w:hint="eastAsia" w:ascii="宋体" w:hAnsi="宋体"/>
          <w:b w:val="0"/>
          <w:bCs/>
          <w:color w:val="auto"/>
          <w:szCs w:val="21"/>
          <w:lang w:val="en-US" w:eastAsia="zh-CN"/>
        </w:rPr>
        <w:t>1.</w:t>
      </w:r>
      <w:r>
        <w:rPr>
          <w:rFonts w:hint="eastAsia" w:ascii="宋体" w:hAnsi="宋体"/>
          <w:color w:val="auto"/>
          <w:szCs w:val="21"/>
        </w:rPr>
        <w:t>供应商应根据谈判文件第四章</w:t>
      </w:r>
      <w:r>
        <w:rPr>
          <w:rFonts w:hint="eastAsia" w:ascii="华文宋体" w:hAnsi="华文宋体" w:eastAsia="华文宋体"/>
          <w:color w:val="auto"/>
          <w:szCs w:val="21"/>
        </w:rPr>
        <w:t>“</w:t>
      </w:r>
      <w:r>
        <w:rPr>
          <w:rFonts w:hint="eastAsia" w:ascii="宋体" w:hAnsi="宋体"/>
          <w:color w:val="auto"/>
          <w:szCs w:val="21"/>
        </w:rPr>
        <w:t>合同草案条款</w:t>
      </w:r>
      <w:r>
        <w:rPr>
          <w:rFonts w:hint="eastAsia" w:ascii="华文宋体" w:hAnsi="华文宋体" w:eastAsia="华文宋体"/>
          <w:color w:val="auto"/>
          <w:szCs w:val="21"/>
        </w:rPr>
        <w:t>”</w:t>
      </w:r>
      <w:r>
        <w:rPr>
          <w:rFonts w:hint="eastAsia" w:ascii="宋体" w:hAnsi="宋体"/>
          <w:color w:val="auto"/>
          <w:szCs w:val="21"/>
        </w:rPr>
        <w:t>填写本表；</w:t>
      </w:r>
    </w:p>
    <w:p w14:paraId="46BEA4FE">
      <w:pPr>
        <w:adjustRightInd w:val="0"/>
        <w:snapToGrid w:val="0"/>
        <w:spacing w:before="50" w:line="360" w:lineRule="auto"/>
        <w:ind w:left="-88" w:leftChars="-42" w:firstLine="420" w:firstLineChars="200"/>
        <w:rPr>
          <w:rFonts w:ascii="宋体" w:hAnsi="宋体"/>
          <w:b/>
          <w:color w:val="auto"/>
          <w:szCs w:val="21"/>
        </w:rPr>
      </w:pPr>
      <w:r>
        <w:rPr>
          <w:rFonts w:hint="eastAsia" w:ascii="宋体" w:hAnsi="宋体"/>
          <w:color w:val="auto"/>
          <w:szCs w:val="21"/>
          <w:lang w:val="en-US" w:eastAsia="zh-CN"/>
        </w:rPr>
        <w:t>2.</w:t>
      </w:r>
      <w:r>
        <w:rPr>
          <w:rFonts w:hint="eastAsia" w:ascii="宋体" w:hAnsi="宋体"/>
          <w:b/>
          <w:color w:val="auto"/>
          <w:szCs w:val="21"/>
        </w:rPr>
        <w:t>供应商如果对谈判文件第四章“合同草案条款”的响应有偏离，应将偏离条款逐条如实应答，并作出说明；</w:t>
      </w:r>
    </w:p>
    <w:p w14:paraId="35ED342D">
      <w:pPr>
        <w:adjustRightInd w:val="0"/>
        <w:snapToGrid w:val="0"/>
        <w:spacing w:before="50" w:line="360" w:lineRule="auto"/>
        <w:ind w:left="-88" w:leftChars="-42"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如不提供此表，则视为供应商不满足谈判文件第四章的所有条款要求，其</w:t>
      </w:r>
      <w:r>
        <w:rPr>
          <w:rFonts w:hint="eastAsia" w:ascii="宋体" w:hAnsi="宋体"/>
          <w:b/>
          <w:color w:val="auto"/>
          <w:szCs w:val="21"/>
        </w:rPr>
        <w:t>响应无效</w:t>
      </w:r>
      <w:r>
        <w:rPr>
          <w:rFonts w:hint="eastAsia" w:ascii="宋体" w:hAnsi="宋体"/>
          <w:color w:val="auto"/>
          <w:szCs w:val="21"/>
        </w:rPr>
        <w:t>。</w:t>
      </w:r>
    </w:p>
    <w:p w14:paraId="19AC16A8">
      <w:pPr>
        <w:adjustRightInd w:val="0"/>
        <w:snapToGrid w:val="0"/>
        <w:spacing w:before="50" w:line="360" w:lineRule="auto"/>
        <w:ind w:left="-88" w:leftChars="-42" w:firstLine="420" w:firstLineChars="200"/>
        <w:rPr>
          <w:rFonts w:ascii="宋体" w:hAnsi="宋体"/>
          <w:color w:val="auto"/>
          <w:szCs w:val="21"/>
        </w:rPr>
      </w:pPr>
      <w:r>
        <w:rPr>
          <w:rFonts w:hint="eastAsia" w:ascii="宋体" w:hAnsi="宋体"/>
          <w:color w:val="auto"/>
          <w:szCs w:val="21"/>
          <w:lang w:val="en-US" w:eastAsia="zh-CN"/>
        </w:rPr>
        <w:t>4.</w:t>
      </w:r>
      <w:r>
        <w:rPr>
          <w:rFonts w:hint="eastAsia" w:ascii="宋体" w:hAnsi="宋体" w:eastAsia="宋体"/>
          <w:color w:val="auto"/>
          <w:szCs w:val="21"/>
        </w:rPr>
        <w:t>在采购人与成交供应商签订合同时，如成交供应商未在响应文件“合同条款偏离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34CAA846">
      <w:pPr>
        <w:adjustRightInd w:val="0"/>
        <w:snapToGrid w:val="0"/>
        <w:spacing w:before="50" w:line="360" w:lineRule="auto"/>
        <w:rPr>
          <w:rFonts w:ascii="宋体" w:hAnsi="宋体"/>
          <w:color w:val="auto"/>
          <w:szCs w:val="21"/>
        </w:rPr>
      </w:pPr>
    </w:p>
    <w:p w14:paraId="37D9F789">
      <w:pPr>
        <w:adjustRightInd w:val="0"/>
        <w:snapToGrid w:val="0"/>
        <w:spacing w:before="50" w:line="360" w:lineRule="auto"/>
        <w:rPr>
          <w:rFonts w:ascii="宋体" w:hAnsi="宋体"/>
          <w:color w:val="auto"/>
          <w:szCs w:val="21"/>
        </w:rPr>
      </w:pPr>
    </w:p>
    <w:p w14:paraId="6AFED3E0">
      <w:pPr>
        <w:adjustRightInd w:val="0"/>
        <w:snapToGrid w:val="0"/>
        <w:spacing w:before="50" w:line="360" w:lineRule="auto"/>
        <w:rPr>
          <w:rFonts w:ascii="宋体" w:hAnsi="宋体"/>
          <w:color w:val="auto"/>
          <w:szCs w:val="21"/>
        </w:rPr>
      </w:pPr>
      <w:r>
        <w:rPr>
          <w:rFonts w:hint="eastAsia" w:ascii="宋体" w:hAnsi="宋体"/>
          <w:color w:val="auto"/>
          <w:szCs w:val="21"/>
        </w:rPr>
        <w:t>供应商名称（盖单位公章）：</w:t>
      </w:r>
    </w:p>
    <w:p w14:paraId="2036782B">
      <w:pPr>
        <w:adjustRightInd w:val="0"/>
        <w:snapToGrid w:val="0"/>
        <w:spacing w:before="50"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p>
    <w:p w14:paraId="32291FB0">
      <w:pPr>
        <w:rPr>
          <w:color w:val="auto"/>
        </w:rPr>
      </w:pPr>
      <w:r>
        <w:rPr>
          <w:rFonts w:hint="eastAsia"/>
          <w:color w:val="auto"/>
        </w:rPr>
        <w:t xml:space="preserve">日期： </w:t>
      </w:r>
      <w:r>
        <w:rPr>
          <w:rFonts w:hint="eastAsia"/>
          <w:color w:val="auto"/>
          <w:lang w:val="en-US" w:eastAsia="zh-CN"/>
        </w:rPr>
        <w:t xml:space="preserve">   </w:t>
      </w:r>
      <w:r>
        <w:rPr>
          <w:rFonts w:hint="eastAsia"/>
          <w:color w:val="auto"/>
        </w:rPr>
        <w:t>年</w:t>
      </w:r>
      <w:r>
        <w:rPr>
          <w:rFonts w:hint="eastAsia"/>
          <w:color w:val="auto"/>
          <w:lang w:val="en-US" w:eastAsia="zh-CN"/>
        </w:rPr>
        <w:t xml:space="preserve">   </w:t>
      </w:r>
      <w:r>
        <w:rPr>
          <w:rFonts w:hint="eastAsia"/>
          <w:color w:val="auto"/>
        </w:rPr>
        <w:t xml:space="preserve"> 月</w:t>
      </w:r>
      <w:r>
        <w:rPr>
          <w:rFonts w:hint="eastAsia"/>
          <w:color w:val="auto"/>
          <w:lang w:val="en-US" w:eastAsia="zh-CN"/>
        </w:rPr>
        <w:t xml:space="preserve">    </w:t>
      </w:r>
      <w:r>
        <w:rPr>
          <w:rFonts w:hint="eastAsia"/>
          <w:color w:val="auto"/>
        </w:rPr>
        <w:t xml:space="preserve"> 日</w:t>
      </w:r>
    </w:p>
    <w:p w14:paraId="6866F845">
      <w:pPr>
        <w:keepNext/>
        <w:keepLines/>
        <w:spacing w:line="360" w:lineRule="auto"/>
        <w:jc w:val="center"/>
        <w:outlineLvl w:val="1"/>
        <w:rPr>
          <w:rFonts w:ascii="黑体" w:hAnsi="Arial" w:eastAsia="黑体"/>
          <w:b/>
          <w:bCs/>
          <w:color w:val="auto"/>
          <w:sz w:val="28"/>
          <w:szCs w:val="28"/>
        </w:rPr>
      </w:pPr>
      <w:r>
        <w:rPr>
          <w:rFonts w:ascii="黑体" w:hAnsi="Arial" w:eastAsia="黑体"/>
          <w:b/>
          <w:bCs/>
          <w:color w:val="auto"/>
          <w:sz w:val="28"/>
          <w:szCs w:val="28"/>
        </w:rPr>
        <w:br w:type="page"/>
      </w:r>
      <w:bookmarkStart w:id="217" w:name="_Toc22201160"/>
      <w:bookmarkStart w:id="218" w:name="_Toc107998048"/>
      <w:bookmarkStart w:id="219" w:name="_Toc1639"/>
      <w:r>
        <w:rPr>
          <w:rFonts w:hint="eastAsia" w:ascii="黑体" w:hAnsi="Arial" w:eastAsia="黑体"/>
          <w:b/>
          <w:bCs/>
          <w:color w:val="auto"/>
          <w:sz w:val="28"/>
          <w:szCs w:val="28"/>
        </w:rPr>
        <w:t>八、采购需求偏离表</w:t>
      </w:r>
      <w:bookmarkEnd w:id="217"/>
      <w:bookmarkEnd w:id="218"/>
      <w:bookmarkEnd w:id="219"/>
    </w:p>
    <w:p w14:paraId="24A4A65B">
      <w:pPr>
        <w:adjustRightInd w:val="0"/>
        <w:snapToGrid w:val="0"/>
        <w:spacing w:before="156" w:beforeLines="50" w:line="360" w:lineRule="auto"/>
        <w:rPr>
          <w:rFonts w:ascii="宋体" w:hAnsi="宋体"/>
          <w:color w:val="auto"/>
          <w:szCs w:val="21"/>
          <w:u w:val="single"/>
        </w:rPr>
      </w:pPr>
      <w:r>
        <w:rPr>
          <w:rFonts w:hint="eastAsia" w:ascii="宋体" w:hAnsi="宋体"/>
          <w:color w:val="auto"/>
          <w:szCs w:val="21"/>
          <w:lang w:eastAsia="zh-CN"/>
        </w:rPr>
        <w:t>采购编号</w:t>
      </w: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项目名称：</w:t>
      </w:r>
      <w:r>
        <w:rPr>
          <w:rFonts w:hint="eastAsia" w:ascii="宋体" w:hAnsi="宋体"/>
          <w:color w:val="auto"/>
          <w:szCs w:val="21"/>
          <w:u w:val="single"/>
        </w:rPr>
        <w:t xml:space="preserve">                    </w:t>
      </w:r>
    </w:p>
    <w:p w14:paraId="6C17D669">
      <w:pPr>
        <w:adjustRightInd w:val="0"/>
        <w:snapToGrid w:val="0"/>
        <w:spacing w:before="156" w:beforeLines="50" w:line="360" w:lineRule="auto"/>
        <w:rPr>
          <w:rFonts w:ascii="宋体" w:hAnsi="宋体"/>
          <w:color w:val="auto"/>
          <w:szCs w:val="21"/>
          <w:u w:val="single"/>
        </w:rPr>
      </w:pPr>
      <w:r>
        <w:rPr>
          <w:rFonts w:hint="eastAsia" w:ascii="宋体" w:hAnsi="宋体"/>
          <w:color w:val="auto"/>
          <w:szCs w:val="21"/>
        </w:rPr>
        <w:t>包号：</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包名称：</w:t>
      </w:r>
      <w:r>
        <w:rPr>
          <w:rFonts w:hint="eastAsia" w:ascii="宋体" w:hAnsi="宋体"/>
          <w:color w:val="auto"/>
          <w:szCs w:val="21"/>
          <w:u w:val="single"/>
        </w:rPr>
        <w:t xml:space="preserve">                   </w:t>
      </w:r>
    </w:p>
    <w:tbl>
      <w:tblPr>
        <w:tblStyle w:val="25"/>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410"/>
        <w:gridCol w:w="1985"/>
        <w:gridCol w:w="2126"/>
        <w:gridCol w:w="1756"/>
      </w:tblGrid>
      <w:tr w14:paraId="50AF48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vAlign w:val="center"/>
          </w:tcPr>
          <w:p w14:paraId="19B1A1EF">
            <w:pPr>
              <w:adjustRightInd w:val="0"/>
              <w:snapToGrid w:val="0"/>
              <w:spacing w:before="50" w:line="360" w:lineRule="auto"/>
              <w:ind w:left="-88" w:leftChars="-42"/>
              <w:jc w:val="center"/>
              <w:rPr>
                <w:rFonts w:ascii="宋体" w:hAnsi="宋体"/>
                <w:color w:val="auto"/>
                <w:szCs w:val="21"/>
              </w:rPr>
            </w:pPr>
            <w:r>
              <w:rPr>
                <w:rFonts w:hint="eastAsia" w:ascii="宋体" w:hAnsi="宋体"/>
                <w:bCs/>
                <w:color w:val="auto"/>
                <w:szCs w:val="21"/>
              </w:rPr>
              <w:t>序</w:t>
            </w:r>
            <w:r>
              <w:rPr>
                <w:rFonts w:hint="eastAsia" w:ascii="宋体" w:hAnsi="宋体"/>
                <w:color w:val="auto"/>
                <w:szCs w:val="21"/>
              </w:rPr>
              <w:t>号</w:t>
            </w:r>
          </w:p>
        </w:tc>
        <w:tc>
          <w:tcPr>
            <w:tcW w:w="2410" w:type="dxa"/>
            <w:vAlign w:val="center"/>
          </w:tcPr>
          <w:p w14:paraId="20CA500B">
            <w:pPr>
              <w:adjustRightInd w:val="0"/>
              <w:snapToGrid w:val="0"/>
              <w:spacing w:before="50" w:line="360" w:lineRule="auto"/>
              <w:ind w:left="-88" w:leftChars="-42"/>
              <w:jc w:val="center"/>
              <w:rPr>
                <w:rFonts w:ascii="宋体" w:hAnsi="宋体"/>
                <w:color w:val="auto"/>
                <w:szCs w:val="21"/>
              </w:rPr>
            </w:pPr>
            <w:r>
              <w:rPr>
                <w:rFonts w:hint="eastAsia" w:ascii="宋体" w:hAnsi="宋体"/>
                <w:color w:val="auto"/>
                <w:szCs w:val="21"/>
              </w:rPr>
              <w:t>谈判文件章节</w:t>
            </w:r>
            <w:r>
              <w:rPr>
                <w:rFonts w:hint="eastAsia" w:ascii="宋体" w:hAnsi="宋体"/>
                <w:bCs/>
                <w:color w:val="auto"/>
                <w:szCs w:val="21"/>
              </w:rPr>
              <w:t>条</w:t>
            </w:r>
            <w:r>
              <w:rPr>
                <w:rFonts w:hint="eastAsia" w:ascii="宋体" w:hAnsi="宋体"/>
                <w:color w:val="auto"/>
                <w:szCs w:val="21"/>
              </w:rPr>
              <w:t>款号</w:t>
            </w:r>
          </w:p>
        </w:tc>
        <w:tc>
          <w:tcPr>
            <w:tcW w:w="1985" w:type="dxa"/>
            <w:tcBorders>
              <w:right w:val="single" w:color="auto" w:sz="4" w:space="0"/>
            </w:tcBorders>
            <w:vAlign w:val="top"/>
          </w:tcPr>
          <w:p w14:paraId="4BBEF242">
            <w:pPr>
              <w:adjustRightInd w:val="0"/>
              <w:snapToGrid w:val="0"/>
              <w:spacing w:before="50" w:line="360" w:lineRule="auto"/>
              <w:jc w:val="center"/>
              <w:rPr>
                <w:color w:val="auto"/>
              </w:rPr>
            </w:pPr>
            <w:r>
              <w:rPr>
                <w:rFonts w:hint="eastAsia" w:ascii="宋体" w:hAnsi="宋体"/>
                <w:color w:val="auto"/>
                <w:szCs w:val="21"/>
              </w:rPr>
              <w:t>谈判</w:t>
            </w:r>
            <w:r>
              <w:rPr>
                <w:rFonts w:hint="eastAsia"/>
                <w:color w:val="auto"/>
              </w:rPr>
              <w:t>文件要求</w:t>
            </w:r>
          </w:p>
        </w:tc>
        <w:tc>
          <w:tcPr>
            <w:tcW w:w="2126" w:type="dxa"/>
            <w:tcBorders>
              <w:left w:val="single" w:color="auto" w:sz="4" w:space="0"/>
            </w:tcBorders>
            <w:vAlign w:val="top"/>
          </w:tcPr>
          <w:p w14:paraId="41D7B52A">
            <w:pPr>
              <w:adjustRightInd w:val="0"/>
              <w:snapToGrid w:val="0"/>
              <w:spacing w:before="50" w:line="360" w:lineRule="auto"/>
              <w:jc w:val="center"/>
              <w:rPr>
                <w:color w:val="auto"/>
              </w:rPr>
            </w:pPr>
            <w:r>
              <w:rPr>
                <w:rFonts w:hint="eastAsia" w:ascii="宋体" w:hAnsi="宋体"/>
                <w:color w:val="auto"/>
                <w:szCs w:val="21"/>
              </w:rPr>
              <w:t>响应</w:t>
            </w:r>
            <w:r>
              <w:rPr>
                <w:rFonts w:hint="eastAsia"/>
                <w:color w:val="auto"/>
              </w:rPr>
              <w:t>文件应答</w:t>
            </w:r>
          </w:p>
        </w:tc>
        <w:tc>
          <w:tcPr>
            <w:tcW w:w="1756" w:type="dxa"/>
            <w:vAlign w:val="center"/>
          </w:tcPr>
          <w:p w14:paraId="5237C150">
            <w:pPr>
              <w:adjustRightInd w:val="0"/>
              <w:snapToGrid w:val="0"/>
              <w:spacing w:before="50" w:line="360" w:lineRule="auto"/>
              <w:ind w:left="-88" w:leftChars="-42"/>
              <w:jc w:val="center"/>
              <w:rPr>
                <w:rFonts w:ascii="宋体" w:hAnsi="宋体"/>
                <w:color w:val="auto"/>
                <w:szCs w:val="21"/>
              </w:rPr>
            </w:pPr>
            <w:r>
              <w:rPr>
                <w:rFonts w:hint="eastAsia" w:ascii="宋体" w:hAnsi="宋体"/>
                <w:color w:val="auto"/>
                <w:szCs w:val="21"/>
              </w:rPr>
              <w:t>偏离说明</w:t>
            </w:r>
          </w:p>
        </w:tc>
      </w:tr>
      <w:tr w14:paraId="0B2F4A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5E75F38C">
            <w:pPr>
              <w:adjustRightInd w:val="0"/>
              <w:snapToGrid w:val="0"/>
              <w:spacing w:before="50" w:line="360" w:lineRule="auto"/>
              <w:ind w:left="-88" w:leftChars="-42"/>
              <w:jc w:val="center"/>
              <w:rPr>
                <w:rFonts w:ascii="宋体" w:hAnsi="宋体"/>
                <w:color w:val="auto"/>
                <w:szCs w:val="21"/>
              </w:rPr>
            </w:pPr>
          </w:p>
        </w:tc>
        <w:tc>
          <w:tcPr>
            <w:tcW w:w="2410" w:type="dxa"/>
            <w:vAlign w:val="center"/>
          </w:tcPr>
          <w:p w14:paraId="6EB1F918">
            <w:pPr>
              <w:adjustRightInd w:val="0"/>
              <w:snapToGrid w:val="0"/>
              <w:spacing w:before="50" w:line="360" w:lineRule="auto"/>
              <w:ind w:left="-88" w:leftChars="-42"/>
              <w:jc w:val="center"/>
              <w:rPr>
                <w:rFonts w:ascii="宋体" w:hAnsi="宋体"/>
                <w:color w:val="auto"/>
                <w:szCs w:val="21"/>
              </w:rPr>
            </w:pPr>
          </w:p>
        </w:tc>
        <w:tc>
          <w:tcPr>
            <w:tcW w:w="1985" w:type="dxa"/>
            <w:tcBorders>
              <w:right w:val="single" w:color="auto" w:sz="4" w:space="0"/>
            </w:tcBorders>
            <w:vAlign w:val="center"/>
          </w:tcPr>
          <w:p w14:paraId="3D2E706B">
            <w:pPr>
              <w:adjustRightInd w:val="0"/>
              <w:snapToGrid w:val="0"/>
              <w:spacing w:before="50" w:line="360" w:lineRule="auto"/>
              <w:ind w:left="-88" w:leftChars="-42"/>
              <w:jc w:val="center"/>
              <w:rPr>
                <w:rFonts w:ascii="宋体" w:hAnsi="宋体"/>
                <w:color w:val="auto"/>
                <w:szCs w:val="21"/>
              </w:rPr>
            </w:pPr>
          </w:p>
        </w:tc>
        <w:tc>
          <w:tcPr>
            <w:tcW w:w="2126" w:type="dxa"/>
            <w:tcBorders>
              <w:left w:val="single" w:color="auto" w:sz="4" w:space="0"/>
            </w:tcBorders>
            <w:vAlign w:val="center"/>
          </w:tcPr>
          <w:p w14:paraId="65AF16E6">
            <w:pPr>
              <w:adjustRightInd w:val="0"/>
              <w:snapToGrid w:val="0"/>
              <w:spacing w:before="50" w:line="360" w:lineRule="auto"/>
              <w:ind w:left="-88" w:leftChars="-42"/>
              <w:jc w:val="center"/>
              <w:rPr>
                <w:rFonts w:ascii="宋体" w:hAnsi="宋体"/>
                <w:color w:val="auto"/>
                <w:szCs w:val="21"/>
              </w:rPr>
            </w:pPr>
          </w:p>
        </w:tc>
        <w:tc>
          <w:tcPr>
            <w:tcW w:w="1756" w:type="dxa"/>
            <w:vAlign w:val="center"/>
          </w:tcPr>
          <w:p w14:paraId="60D2E8C5">
            <w:pPr>
              <w:adjustRightInd w:val="0"/>
              <w:snapToGrid w:val="0"/>
              <w:spacing w:before="50" w:line="360" w:lineRule="auto"/>
              <w:ind w:left="-88" w:leftChars="-42"/>
              <w:jc w:val="center"/>
              <w:rPr>
                <w:rFonts w:ascii="宋体" w:hAnsi="宋体"/>
                <w:color w:val="auto"/>
                <w:szCs w:val="21"/>
              </w:rPr>
            </w:pPr>
          </w:p>
        </w:tc>
      </w:tr>
      <w:tr w14:paraId="0DE104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2DF2DF54">
            <w:pPr>
              <w:adjustRightInd w:val="0"/>
              <w:snapToGrid w:val="0"/>
              <w:spacing w:before="50" w:line="360" w:lineRule="auto"/>
              <w:ind w:left="-88" w:leftChars="-42"/>
              <w:jc w:val="center"/>
              <w:rPr>
                <w:rFonts w:ascii="宋体" w:hAnsi="宋体"/>
                <w:color w:val="auto"/>
                <w:szCs w:val="21"/>
              </w:rPr>
            </w:pPr>
          </w:p>
        </w:tc>
        <w:tc>
          <w:tcPr>
            <w:tcW w:w="2410" w:type="dxa"/>
            <w:vAlign w:val="center"/>
          </w:tcPr>
          <w:p w14:paraId="303A2CA7">
            <w:pPr>
              <w:adjustRightInd w:val="0"/>
              <w:snapToGrid w:val="0"/>
              <w:spacing w:before="50" w:line="360" w:lineRule="auto"/>
              <w:ind w:left="-88" w:leftChars="-42"/>
              <w:jc w:val="center"/>
              <w:rPr>
                <w:rFonts w:ascii="宋体" w:hAnsi="宋体"/>
                <w:color w:val="auto"/>
                <w:szCs w:val="21"/>
              </w:rPr>
            </w:pPr>
          </w:p>
        </w:tc>
        <w:tc>
          <w:tcPr>
            <w:tcW w:w="1985" w:type="dxa"/>
            <w:tcBorders>
              <w:right w:val="single" w:color="auto" w:sz="4" w:space="0"/>
            </w:tcBorders>
            <w:vAlign w:val="center"/>
          </w:tcPr>
          <w:p w14:paraId="0714F33F">
            <w:pPr>
              <w:adjustRightInd w:val="0"/>
              <w:snapToGrid w:val="0"/>
              <w:spacing w:before="50" w:line="360" w:lineRule="auto"/>
              <w:ind w:left="-88" w:leftChars="-42"/>
              <w:jc w:val="center"/>
              <w:rPr>
                <w:rFonts w:ascii="宋体" w:hAnsi="宋体"/>
                <w:color w:val="auto"/>
                <w:szCs w:val="21"/>
              </w:rPr>
            </w:pPr>
          </w:p>
        </w:tc>
        <w:tc>
          <w:tcPr>
            <w:tcW w:w="2126" w:type="dxa"/>
            <w:tcBorders>
              <w:left w:val="single" w:color="auto" w:sz="4" w:space="0"/>
            </w:tcBorders>
            <w:vAlign w:val="center"/>
          </w:tcPr>
          <w:p w14:paraId="4EADA2C0">
            <w:pPr>
              <w:adjustRightInd w:val="0"/>
              <w:snapToGrid w:val="0"/>
              <w:spacing w:before="50" w:line="360" w:lineRule="auto"/>
              <w:ind w:left="-88" w:leftChars="-42"/>
              <w:jc w:val="center"/>
              <w:rPr>
                <w:rFonts w:ascii="宋体" w:hAnsi="宋体"/>
                <w:color w:val="auto"/>
                <w:szCs w:val="21"/>
              </w:rPr>
            </w:pPr>
          </w:p>
        </w:tc>
        <w:tc>
          <w:tcPr>
            <w:tcW w:w="1756" w:type="dxa"/>
            <w:vAlign w:val="center"/>
          </w:tcPr>
          <w:p w14:paraId="4E3D3FF7">
            <w:pPr>
              <w:adjustRightInd w:val="0"/>
              <w:snapToGrid w:val="0"/>
              <w:spacing w:before="50" w:line="360" w:lineRule="auto"/>
              <w:ind w:left="-88" w:leftChars="-42"/>
              <w:jc w:val="center"/>
              <w:rPr>
                <w:rFonts w:ascii="宋体" w:hAnsi="宋体"/>
                <w:color w:val="auto"/>
                <w:szCs w:val="21"/>
              </w:rPr>
            </w:pPr>
          </w:p>
        </w:tc>
      </w:tr>
      <w:tr w14:paraId="0FF6CC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75C71422">
            <w:pPr>
              <w:adjustRightInd w:val="0"/>
              <w:snapToGrid w:val="0"/>
              <w:spacing w:before="50" w:line="360" w:lineRule="auto"/>
              <w:ind w:left="-88" w:leftChars="-42"/>
              <w:jc w:val="center"/>
              <w:rPr>
                <w:rFonts w:ascii="宋体" w:hAnsi="宋体"/>
                <w:color w:val="auto"/>
                <w:szCs w:val="21"/>
              </w:rPr>
            </w:pPr>
          </w:p>
        </w:tc>
        <w:tc>
          <w:tcPr>
            <w:tcW w:w="2410" w:type="dxa"/>
            <w:vAlign w:val="center"/>
          </w:tcPr>
          <w:p w14:paraId="4862D01C">
            <w:pPr>
              <w:adjustRightInd w:val="0"/>
              <w:snapToGrid w:val="0"/>
              <w:spacing w:before="50" w:line="360" w:lineRule="auto"/>
              <w:ind w:left="-88" w:leftChars="-42"/>
              <w:jc w:val="center"/>
              <w:rPr>
                <w:rFonts w:ascii="宋体" w:hAnsi="宋体"/>
                <w:color w:val="auto"/>
                <w:szCs w:val="21"/>
              </w:rPr>
            </w:pPr>
          </w:p>
        </w:tc>
        <w:tc>
          <w:tcPr>
            <w:tcW w:w="1985" w:type="dxa"/>
            <w:tcBorders>
              <w:right w:val="single" w:color="auto" w:sz="4" w:space="0"/>
            </w:tcBorders>
            <w:vAlign w:val="center"/>
          </w:tcPr>
          <w:p w14:paraId="4D98F2E4">
            <w:pPr>
              <w:adjustRightInd w:val="0"/>
              <w:snapToGrid w:val="0"/>
              <w:spacing w:before="50" w:line="360" w:lineRule="auto"/>
              <w:ind w:left="-88" w:leftChars="-42"/>
              <w:jc w:val="center"/>
              <w:rPr>
                <w:rFonts w:ascii="宋体" w:hAnsi="宋体"/>
                <w:color w:val="auto"/>
                <w:szCs w:val="21"/>
              </w:rPr>
            </w:pPr>
          </w:p>
        </w:tc>
        <w:tc>
          <w:tcPr>
            <w:tcW w:w="2126" w:type="dxa"/>
            <w:tcBorders>
              <w:left w:val="single" w:color="auto" w:sz="4" w:space="0"/>
            </w:tcBorders>
            <w:vAlign w:val="center"/>
          </w:tcPr>
          <w:p w14:paraId="21DEF481">
            <w:pPr>
              <w:adjustRightInd w:val="0"/>
              <w:snapToGrid w:val="0"/>
              <w:spacing w:before="50" w:line="360" w:lineRule="auto"/>
              <w:ind w:left="-88" w:leftChars="-42"/>
              <w:jc w:val="center"/>
              <w:rPr>
                <w:rFonts w:ascii="宋体" w:hAnsi="宋体"/>
                <w:color w:val="auto"/>
                <w:szCs w:val="21"/>
              </w:rPr>
            </w:pPr>
          </w:p>
        </w:tc>
        <w:tc>
          <w:tcPr>
            <w:tcW w:w="1756" w:type="dxa"/>
            <w:vAlign w:val="center"/>
          </w:tcPr>
          <w:p w14:paraId="32EF3F26">
            <w:pPr>
              <w:adjustRightInd w:val="0"/>
              <w:snapToGrid w:val="0"/>
              <w:spacing w:before="50" w:line="360" w:lineRule="auto"/>
              <w:ind w:left="-88" w:leftChars="-42"/>
              <w:jc w:val="center"/>
              <w:rPr>
                <w:rFonts w:ascii="宋体" w:hAnsi="宋体"/>
                <w:color w:val="auto"/>
                <w:szCs w:val="21"/>
              </w:rPr>
            </w:pPr>
          </w:p>
        </w:tc>
      </w:tr>
      <w:tr w14:paraId="337FBD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EC7B2E0">
            <w:pPr>
              <w:adjustRightInd w:val="0"/>
              <w:snapToGrid w:val="0"/>
              <w:spacing w:before="50" w:line="360" w:lineRule="auto"/>
              <w:ind w:left="-88" w:leftChars="-42"/>
              <w:jc w:val="center"/>
              <w:rPr>
                <w:rFonts w:ascii="宋体" w:hAnsi="宋体"/>
                <w:color w:val="auto"/>
                <w:szCs w:val="21"/>
              </w:rPr>
            </w:pPr>
          </w:p>
        </w:tc>
        <w:tc>
          <w:tcPr>
            <w:tcW w:w="2410" w:type="dxa"/>
            <w:vAlign w:val="center"/>
          </w:tcPr>
          <w:p w14:paraId="0DA6EC6B">
            <w:pPr>
              <w:adjustRightInd w:val="0"/>
              <w:snapToGrid w:val="0"/>
              <w:spacing w:before="50" w:line="360" w:lineRule="auto"/>
              <w:ind w:left="-88" w:leftChars="-42"/>
              <w:jc w:val="center"/>
              <w:rPr>
                <w:rFonts w:ascii="宋体" w:hAnsi="宋体"/>
                <w:color w:val="auto"/>
                <w:szCs w:val="21"/>
              </w:rPr>
            </w:pPr>
          </w:p>
        </w:tc>
        <w:tc>
          <w:tcPr>
            <w:tcW w:w="1985" w:type="dxa"/>
            <w:tcBorders>
              <w:right w:val="single" w:color="auto" w:sz="4" w:space="0"/>
            </w:tcBorders>
            <w:vAlign w:val="center"/>
          </w:tcPr>
          <w:p w14:paraId="7A0B3003">
            <w:pPr>
              <w:adjustRightInd w:val="0"/>
              <w:snapToGrid w:val="0"/>
              <w:spacing w:before="50" w:line="360" w:lineRule="auto"/>
              <w:ind w:left="-88" w:leftChars="-42"/>
              <w:jc w:val="center"/>
              <w:rPr>
                <w:rFonts w:ascii="宋体" w:hAnsi="宋体"/>
                <w:color w:val="auto"/>
                <w:szCs w:val="21"/>
              </w:rPr>
            </w:pPr>
          </w:p>
        </w:tc>
        <w:tc>
          <w:tcPr>
            <w:tcW w:w="2126" w:type="dxa"/>
            <w:tcBorders>
              <w:left w:val="single" w:color="auto" w:sz="4" w:space="0"/>
            </w:tcBorders>
            <w:vAlign w:val="center"/>
          </w:tcPr>
          <w:p w14:paraId="1B032AEC">
            <w:pPr>
              <w:adjustRightInd w:val="0"/>
              <w:snapToGrid w:val="0"/>
              <w:spacing w:before="50" w:line="360" w:lineRule="auto"/>
              <w:ind w:left="-88" w:leftChars="-42"/>
              <w:jc w:val="center"/>
              <w:rPr>
                <w:rFonts w:ascii="宋体" w:hAnsi="宋体"/>
                <w:color w:val="auto"/>
                <w:szCs w:val="21"/>
              </w:rPr>
            </w:pPr>
          </w:p>
        </w:tc>
        <w:tc>
          <w:tcPr>
            <w:tcW w:w="1756" w:type="dxa"/>
            <w:vAlign w:val="center"/>
          </w:tcPr>
          <w:p w14:paraId="58CAB34C">
            <w:pPr>
              <w:adjustRightInd w:val="0"/>
              <w:snapToGrid w:val="0"/>
              <w:spacing w:before="50" w:line="360" w:lineRule="auto"/>
              <w:ind w:left="-88" w:leftChars="-42"/>
              <w:jc w:val="center"/>
              <w:rPr>
                <w:rFonts w:ascii="宋体" w:hAnsi="宋体"/>
                <w:color w:val="auto"/>
                <w:szCs w:val="21"/>
              </w:rPr>
            </w:pPr>
          </w:p>
        </w:tc>
      </w:tr>
      <w:tr w14:paraId="658C03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0E626276">
            <w:pPr>
              <w:adjustRightInd w:val="0"/>
              <w:snapToGrid w:val="0"/>
              <w:spacing w:before="50" w:line="360" w:lineRule="auto"/>
              <w:ind w:left="-88" w:leftChars="-42"/>
              <w:jc w:val="center"/>
              <w:rPr>
                <w:rFonts w:ascii="宋体" w:hAnsi="宋体"/>
                <w:color w:val="auto"/>
                <w:szCs w:val="21"/>
              </w:rPr>
            </w:pPr>
          </w:p>
        </w:tc>
        <w:tc>
          <w:tcPr>
            <w:tcW w:w="2410" w:type="dxa"/>
            <w:vAlign w:val="center"/>
          </w:tcPr>
          <w:p w14:paraId="0ED12642">
            <w:pPr>
              <w:adjustRightInd w:val="0"/>
              <w:snapToGrid w:val="0"/>
              <w:spacing w:before="50" w:line="360" w:lineRule="auto"/>
              <w:ind w:left="-88" w:leftChars="-42"/>
              <w:jc w:val="center"/>
              <w:rPr>
                <w:rFonts w:ascii="宋体" w:hAnsi="宋体"/>
                <w:color w:val="auto"/>
                <w:szCs w:val="21"/>
              </w:rPr>
            </w:pPr>
          </w:p>
        </w:tc>
        <w:tc>
          <w:tcPr>
            <w:tcW w:w="1985" w:type="dxa"/>
            <w:tcBorders>
              <w:right w:val="single" w:color="auto" w:sz="4" w:space="0"/>
            </w:tcBorders>
            <w:vAlign w:val="center"/>
          </w:tcPr>
          <w:p w14:paraId="0706498F">
            <w:pPr>
              <w:adjustRightInd w:val="0"/>
              <w:snapToGrid w:val="0"/>
              <w:spacing w:before="50" w:line="360" w:lineRule="auto"/>
              <w:ind w:left="-88" w:leftChars="-42"/>
              <w:jc w:val="center"/>
              <w:rPr>
                <w:rFonts w:ascii="宋体" w:hAnsi="宋体"/>
                <w:color w:val="auto"/>
                <w:szCs w:val="21"/>
              </w:rPr>
            </w:pPr>
          </w:p>
        </w:tc>
        <w:tc>
          <w:tcPr>
            <w:tcW w:w="2126" w:type="dxa"/>
            <w:tcBorders>
              <w:left w:val="single" w:color="auto" w:sz="4" w:space="0"/>
            </w:tcBorders>
            <w:vAlign w:val="center"/>
          </w:tcPr>
          <w:p w14:paraId="034EFB6F">
            <w:pPr>
              <w:adjustRightInd w:val="0"/>
              <w:snapToGrid w:val="0"/>
              <w:spacing w:before="50" w:line="360" w:lineRule="auto"/>
              <w:ind w:left="-88" w:leftChars="-42"/>
              <w:jc w:val="center"/>
              <w:rPr>
                <w:rFonts w:ascii="宋体" w:hAnsi="宋体"/>
                <w:color w:val="auto"/>
                <w:szCs w:val="21"/>
              </w:rPr>
            </w:pPr>
          </w:p>
        </w:tc>
        <w:tc>
          <w:tcPr>
            <w:tcW w:w="1756" w:type="dxa"/>
            <w:vAlign w:val="center"/>
          </w:tcPr>
          <w:p w14:paraId="4B7CF7FC">
            <w:pPr>
              <w:adjustRightInd w:val="0"/>
              <w:snapToGrid w:val="0"/>
              <w:spacing w:before="50" w:line="360" w:lineRule="auto"/>
              <w:ind w:left="-88" w:leftChars="-42"/>
              <w:jc w:val="center"/>
              <w:rPr>
                <w:rFonts w:ascii="宋体" w:hAnsi="宋体"/>
                <w:color w:val="auto"/>
                <w:szCs w:val="21"/>
              </w:rPr>
            </w:pPr>
          </w:p>
        </w:tc>
      </w:tr>
      <w:tr w14:paraId="52A16F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1508D935">
            <w:pPr>
              <w:adjustRightInd w:val="0"/>
              <w:snapToGrid w:val="0"/>
              <w:spacing w:before="50" w:line="360" w:lineRule="auto"/>
              <w:ind w:left="-88" w:leftChars="-42"/>
              <w:jc w:val="center"/>
              <w:rPr>
                <w:rFonts w:ascii="宋体" w:hAnsi="宋体"/>
                <w:color w:val="auto"/>
                <w:szCs w:val="21"/>
              </w:rPr>
            </w:pPr>
          </w:p>
        </w:tc>
        <w:tc>
          <w:tcPr>
            <w:tcW w:w="2410" w:type="dxa"/>
            <w:vAlign w:val="center"/>
          </w:tcPr>
          <w:p w14:paraId="2D5F597B">
            <w:pPr>
              <w:adjustRightInd w:val="0"/>
              <w:snapToGrid w:val="0"/>
              <w:spacing w:before="50" w:line="360" w:lineRule="auto"/>
              <w:ind w:left="-88" w:leftChars="-42"/>
              <w:jc w:val="center"/>
              <w:rPr>
                <w:rFonts w:ascii="宋体" w:hAnsi="宋体"/>
                <w:color w:val="auto"/>
                <w:szCs w:val="21"/>
              </w:rPr>
            </w:pPr>
          </w:p>
        </w:tc>
        <w:tc>
          <w:tcPr>
            <w:tcW w:w="1985" w:type="dxa"/>
            <w:tcBorders>
              <w:right w:val="single" w:color="auto" w:sz="4" w:space="0"/>
            </w:tcBorders>
            <w:vAlign w:val="center"/>
          </w:tcPr>
          <w:p w14:paraId="79A8C8CD">
            <w:pPr>
              <w:adjustRightInd w:val="0"/>
              <w:snapToGrid w:val="0"/>
              <w:spacing w:before="50" w:line="360" w:lineRule="auto"/>
              <w:ind w:left="-88" w:leftChars="-42"/>
              <w:jc w:val="center"/>
              <w:rPr>
                <w:rFonts w:ascii="宋体" w:hAnsi="宋体"/>
                <w:color w:val="auto"/>
                <w:szCs w:val="21"/>
              </w:rPr>
            </w:pPr>
          </w:p>
        </w:tc>
        <w:tc>
          <w:tcPr>
            <w:tcW w:w="3882" w:type="dxa"/>
            <w:gridSpan w:val="2"/>
            <w:tcBorders>
              <w:left w:val="single" w:color="auto" w:sz="4" w:space="0"/>
            </w:tcBorders>
            <w:vAlign w:val="center"/>
          </w:tcPr>
          <w:p w14:paraId="25FBCAD7">
            <w:pPr>
              <w:adjustRightInd w:val="0"/>
              <w:snapToGrid w:val="0"/>
              <w:spacing w:before="50" w:line="360" w:lineRule="auto"/>
              <w:ind w:firstLine="420" w:firstLineChars="200"/>
              <w:rPr>
                <w:rFonts w:ascii="宋体" w:hAnsi="宋体"/>
                <w:color w:val="auto"/>
                <w:szCs w:val="21"/>
              </w:rPr>
            </w:pPr>
            <w:r>
              <w:rPr>
                <w:rFonts w:hint="eastAsia" w:ascii="宋体" w:hAnsi="宋体"/>
                <w:b/>
                <w:color w:val="auto"/>
                <w:szCs w:val="21"/>
              </w:rPr>
              <w:t>供应商保证：除本采购需求偏离表列出的偏离外，我单位对谈判文件的其他采购需求条款完全响应，无偏离。</w:t>
            </w:r>
          </w:p>
        </w:tc>
      </w:tr>
    </w:tbl>
    <w:p w14:paraId="6D4378A8">
      <w:pPr>
        <w:adjustRightInd w:val="0"/>
        <w:snapToGrid w:val="0"/>
        <w:spacing w:before="50" w:line="360" w:lineRule="auto"/>
        <w:ind w:left="-88" w:leftChars="-42"/>
        <w:rPr>
          <w:rFonts w:ascii="宋体" w:hAnsi="宋体"/>
          <w:color w:val="auto"/>
          <w:szCs w:val="21"/>
        </w:rPr>
      </w:pPr>
      <w:r>
        <w:rPr>
          <w:rFonts w:hint="eastAsia" w:ascii="宋体" w:hAnsi="宋体"/>
          <w:b w:val="0"/>
          <w:bCs/>
          <w:color w:val="auto"/>
          <w:szCs w:val="21"/>
        </w:rPr>
        <w:t>注：</w:t>
      </w:r>
      <w:r>
        <w:rPr>
          <w:rFonts w:hint="eastAsia" w:ascii="宋体" w:hAnsi="宋体"/>
          <w:color w:val="auto"/>
          <w:szCs w:val="21"/>
          <w:lang w:val="en-US" w:eastAsia="zh-CN"/>
        </w:rPr>
        <w:t>1.</w:t>
      </w:r>
      <w:r>
        <w:rPr>
          <w:rFonts w:hint="eastAsia" w:ascii="宋体" w:hAnsi="宋体"/>
          <w:color w:val="auto"/>
          <w:szCs w:val="21"/>
        </w:rPr>
        <w:t>供应商应根据谈判文件第三章“采购需求”填写本表；</w:t>
      </w:r>
    </w:p>
    <w:p w14:paraId="73E6896A">
      <w:pPr>
        <w:adjustRightInd w:val="0"/>
        <w:snapToGrid w:val="0"/>
        <w:spacing w:before="50" w:line="360" w:lineRule="auto"/>
        <w:ind w:left="-88" w:leftChars="-42" w:firstLine="420" w:firstLineChars="200"/>
        <w:rPr>
          <w:rFonts w:ascii="宋体" w:hAnsi="宋体"/>
          <w:b/>
          <w:color w:val="auto"/>
          <w:szCs w:val="21"/>
        </w:rPr>
      </w:pPr>
      <w:r>
        <w:rPr>
          <w:rFonts w:hint="eastAsia" w:ascii="宋体" w:hAnsi="宋体"/>
          <w:color w:val="auto"/>
          <w:szCs w:val="21"/>
          <w:lang w:val="en-US" w:eastAsia="zh-CN"/>
        </w:rPr>
        <w:t>2.</w:t>
      </w:r>
      <w:r>
        <w:rPr>
          <w:rFonts w:hint="eastAsia" w:ascii="宋体" w:hAnsi="宋体"/>
          <w:b/>
          <w:color w:val="auto"/>
          <w:szCs w:val="21"/>
        </w:rPr>
        <w:t>供应商如果对谈判文件第三章“采购需求”的响应有偏离，应将偏离条款逐条如实应答，并作出说明；</w:t>
      </w:r>
    </w:p>
    <w:p w14:paraId="25DCEFC3">
      <w:pPr>
        <w:adjustRightInd w:val="0"/>
        <w:snapToGrid w:val="0"/>
        <w:spacing w:before="50" w:line="360" w:lineRule="auto"/>
        <w:ind w:left="-88" w:leftChars="-42" w:firstLine="420" w:firstLineChars="200"/>
        <w:rPr>
          <w:rFonts w:ascii="宋体" w:hAnsi="宋体"/>
          <w:b/>
          <w:color w:val="auto"/>
          <w:szCs w:val="21"/>
        </w:rPr>
      </w:pPr>
      <w:r>
        <w:rPr>
          <w:rFonts w:hint="eastAsia" w:ascii="宋体" w:hAnsi="宋体"/>
          <w:b/>
          <w:color w:val="auto"/>
          <w:szCs w:val="21"/>
          <w:lang w:val="en-US" w:eastAsia="zh-CN"/>
        </w:rPr>
        <w:t>3.</w:t>
      </w:r>
      <w:r>
        <w:rPr>
          <w:rFonts w:hint="eastAsia" w:ascii="宋体" w:hAnsi="宋体"/>
          <w:b/>
          <w:color w:val="auto"/>
          <w:szCs w:val="21"/>
        </w:rPr>
        <w:t>如不提供此表，则视为供应商不满足谈判文件第三章的所有条款要求，其响应无效。</w:t>
      </w:r>
    </w:p>
    <w:p w14:paraId="35F9AEBB">
      <w:pPr>
        <w:adjustRightInd w:val="0"/>
        <w:snapToGrid w:val="0"/>
        <w:spacing w:before="50" w:line="360" w:lineRule="auto"/>
        <w:ind w:left="-88" w:leftChars="-42" w:firstLine="420" w:firstLineChars="200"/>
        <w:rPr>
          <w:rFonts w:ascii="宋体" w:hAnsi="宋体" w:eastAsia="宋体"/>
          <w:color w:val="auto"/>
          <w:szCs w:val="21"/>
        </w:rPr>
      </w:pPr>
      <w:r>
        <w:rPr>
          <w:rFonts w:hint="eastAsia" w:ascii="宋体" w:hAnsi="宋体"/>
          <w:color w:val="auto"/>
          <w:szCs w:val="21"/>
          <w:lang w:val="en-US" w:eastAsia="zh-CN"/>
        </w:rPr>
        <w:t>4.</w:t>
      </w:r>
      <w:r>
        <w:rPr>
          <w:rFonts w:hint="eastAsia" w:ascii="宋体" w:hAnsi="宋体" w:eastAsia="宋体"/>
          <w:color w:val="auto"/>
          <w:szCs w:val="21"/>
        </w:rPr>
        <w:t>在采购人与成交供应商签订合同时，如成交供应商未在响应文件“采购需求偏离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4FF294AE">
      <w:pPr>
        <w:adjustRightInd w:val="0"/>
        <w:snapToGrid w:val="0"/>
        <w:spacing w:before="50" w:line="360" w:lineRule="auto"/>
        <w:ind w:left="-88" w:leftChars="-42" w:firstLine="420" w:firstLineChars="200"/>
        <w:rPr>
          <w:rFonts w:ascii="宋体" w:hAnsi="宋体" w:eastAsia="宋体"/>
          <w:color w:val="auto"/>
          <w:szCs w:val="21"/>
        </w:rPr>
      </w:pPr>
      <w:r>
        <w:rPr>
          <w:rFonts w:hint="eastAsia" w:ascii="宋体" w:hAnsi="宋体"/>
          <w:color w:val="auto"/>
          <w:szCs w:val="21"/>
          <w:lang w:val="en-US" w:eastAsia="zh-CN"/>
        </w:rPr>
        <w:t>5.</w:t>
      </w:r>
      <w:r>
        <w:rPr>
          <w:rFonts w:hint="eastAsia" w:ascii="宋体" w:hAnsi="宋体" w:eastAsia="宋体"/>
          <w:color w:val="auto"/>
          <w:szCs w:val="21"/>
        </w:rPr>
        <w:t>本表偏离表与本章第六节“采购需求响应”不一致时，以“采购需求响应”为准。</w:t>
      </w:r>
    </w:p>
    <w:p w14:paraId="385568B0">
      <w:pPr>
        <w:adjustRightInd w:val="0"/>
        <w:snapToGrid w:val="0"/>
        <w:spacing w:before="50" w:line="360" w:lineRule="auto"/>
        <w:rPr>
          <w:rFonts w:ascii="宋体" w:hAnsi="宋体"/>
          <w:color w:val="auto"/>
          <w:szCs w:val="21"/>
        </w:rPr>
      </w:pPr>
    </w:p>
    <w:p w14:paraId="3DEDC6E7">
      <w:pPr>
        <w:adjustRightInd w:val="0"/>
        <w:snapToGrid w:val="0"/>
        <w:spacing w:before="50" w:line="360" w:lineRule="auto"/>
        <w:rPr>
          <w:rFonts w:ascii="宋体" w:hAnsi="宋体"/>
          <w:color w:val="auto"/>
          <w:szCs w:val="21"/>
        </w:rPr>
      </w:pPr>
    </w:p>
    <w:p w14:paraId="2EDF5A9C">
      <w:pPr>
        <w:adjustRightInd w:val="0"/>
        <w:snapToGrid w:val="0"/>
        <w:spacing w:before="50" w:line="360" w:lineRule="auto"/>
        <w:rPr>
          <w:rFonts w:ascii="宋体" w:hAnsi="宋体"/>
          <w:color w:val="auto"/>
          <w:szCs w:val="21"/>
        </w:rPr>
      </w:pPr>
    </w:p>
    <w:p w14:paraId="33104BBE">
      <w:pPr>
        <w:adjustRightInd w:val="0"/>
        <w:snapToGrid w:val="0"/>
        <w:spacing w:before="50" w:line="360" w:lineRule="auto"/>
        <w:rPr>
          <w:rFonts w:ascii="宋体" w:hAnsi="宋体"/>
          <w:color w:val="auto"/>
          <w:szCs w:val="21"/>
        </w:rPr>
      </w:pPr>
      <w:r>
        <w:rPr>
          <w:rFonts w:hint="eastAsia" w:ascii="宋体" w:hAnsi="宋体"/>
          <w:color w:val="auto"/>
          <w:szCs w:val="21"/>
        </w:rPr>
        <w:t>供应商名称（盖单位公章）：</w:t>
      </w:r>
    </w:p>
    <w:p w14:paraId="16283EF0">
      <w:pPr>
        <w:adjustRightInd w:val="0"/>
        <w:snapToGrid w:val="0"/>
        <w:spacing w:before="50"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p>
    <w:p w14:paraId="3F6FC13B">
      <w:pPr>
        <w:adjustRightInd w:val="0"/>
        <w:snapToGrid w:val="0"/>
        <w:spacing w:before="50" w:line="360" w:lineRule="auto"/>
        <w:rPr>
          <w:rFonts w:ascii="宋体" w:hAnsi="宋体"/>
          <w:color w:val="auto"/>
          <w:szCs w:val="21"/>
        </w:rPr>
      </w:pPr>
      <w:r>
        <w:rPr>
          <w:rFonts w:hint="eastAsia" w:ascii="宋体" w:hAnsi="宋体"/>
          <w:color w:val="auto"/>
          <w:szCs w:val="21"/>
        </w:rPr>
        <w:t>日      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日</w:t>
      </w:r>
    </w:p>
    <w:p w14:paraId="112D300D">
      <w:pPr>
        <w:rPr>
          <w:color w:val="auto"/>
        </w:rPr>
      </w:pPr>
    </w:p>
    <w:p w14:paraId="228F17A9">
      <w:pPr>
        <w:rPr>
          <w:color w:val="auto"/>
        </w:rPr>
        <w:sectPr>
          <w:footerReference r:id="rId9" w:type="even"/>
          <w:pgSz w:w="11906" w:h="16838"/>
          <w:pgMar w:top="1418" w:right="1418" w:bottom="1134" w:left="1418" w:header="851" w:footer="992" w:gutter="0"/>
          <w:cols w:space="720" w:num="1"/>
          <w:docGrid w:type="linesAndChars" w:linePitch="312" w:charSpace="0"/>
        </w:sectPr>
      </w:pPr>
    </w:p>
    <w:p w14:paraId="2660BCF8">
      <w:pPr>
        <w:keepNext/>
        <w:keepLines/>
        <w:spacing w:line="360" w:lineRule="auto"/>
        <w:jc w:val="center"/>
        <w:outlineLvl w:val="1"/>
        <w:rPr>
          <w:rFonts w:ascii="黑体" w:hAnsi="黑体" w:eastAsia="黑体"/>
          <w:b/>
          <w:bCs/>
          <w:color w:val="auto"/>
          <w:sz w:val="28"/>
          <w:szCs w:val="28"/>
        </w:rPr>
      </w:pPr>
      <w:bookmarkStart w:id="220" w:name="_Toc22239"/>
      <w:bookmarkStart w:id="221" w:name="_Toc22201161"/>
      <w:bookmarkStart w:id="222" w:name="_Toc107998049"/>
      <w:r>
        <w:rPr>
          <w:rFonts w:ascii="Arial" w:hAnsi="Arial"/>
          <w:b/>
          <w:bCs/>
          <w:color w:val="auto"/>
          <w:sz w:val="24"/>
          <w:szCs w:val="32"/>
        </w:rPr>
        <w:t>九</w:t>
      </w:r>
      <w:r>
        <w:rPr>
          <w:rFonts w:hint="eastAsia" w:ascii="黑体" w:hAnsi="黑体" w:eastAsia="黑体"/>
          <w:b/>
          <w:bCs/>
          <w:color w:val="auto"/>
          <w:sz w:val="28"/>
          <w:szCs w:val="28"/>
        </w:rPr>
        <w:t>、享受政府采购政策优惠的证明资料</w:t>
      </w:r>
      <w:bookmarkEnd w:id="220"/>
      <w:bookmarkEnd w:id="221"/>
      <w:bookmarkEnd w:id="222"/>
    </w:p>
    <w:p w14:paraId="745B7B25">
      <w:pPr>
        <w:adjustRightInd w:val="0"/>
        <w:snapToGrid w:val="0"/>
        <w:spacing w:line="360" w:lineRule="auto"/>
        <w:rPr>
          <w:rFonts w:ascii="黑体" w:hAnsi="华文中宋" w:eastAsia="黑体" w:cs="宋体"/>
          <w:bCs/>
          <w:color w:val="auto"/>
          <w:spacing w:val="6"/>
          <w:kern w:val="0"/>
          <w:szCs w:val="21"/>
        </w:rPr>
      </w:pPr>
    </w:p>
    <w:p w14:paraId="00FA422C">
      <w:pPr>
        <w:adjustRightInd w:val="0"/>
        <w:snapToGrid w:val="0"/>
        <w:spacing w:line="360" w:lineRule="auto"/>
        <w:ind w:firstLine="444" w:firstLineChars="200"/>
        <w:rPr>
          <w:rFonts w:ascii="宋体" w:hAnsi="宋体" w:cs="宋体"/>
          <w:bCs/>
          <w:color w:val="auto"/>
          <w:spacing w:val="6"/>
          <w:kern w:val="0"/>
          <w:szCs w:val="21"/>
        </w:rPr>
      </w:pPr>
      <w:r>
        <w:rPr>
          <w:rFonts w:hint="eastAsia" w:ascii="宋体" w:hAnsi="宋体" w:cs="宋体"/>
          <w:bCs/>
          <w:color w:val="auto"/>
          <w:spacing w:val="6"/>
          <w:kern w:val="0"/>
          <w:szCs w:val="21"/>
        </w:rPr>
        <w:t>供应商符合第二章第38条、第39条、第40条、第41条要求的，应提供下列证明资料，并填写相关数据。</w:t>
      </w:r>
    </w:p>
    <w:p w14:paraId="1F6212E9">
      <w:pPr>
        <w:adjustRightInd w:val="0"/>
        <w:snapToGrid w:val="0"/>
        <w:spacing w:line="360" w:lineRule="auto"/>
        <w:rPr>
          <w:rFonts w:ascii="黑体" w:hAnsi="华文中宋" w:eastAsia="黑体" w:cs="宋体"/>
          <w:bCs/>
          <w:color w:val="auto"/>
          <w:spacing w:val="6"/>
          <w:kern w:val="0"/>
          <w:szCs w:val="21"/>
        </w:rPr>
      </w:pPr>
    </w:p>
    <w:p w14:paraId="6D80B7E0">
      <w:pPr>
        <w:keepNext/>
        <w:keepLines/>
        <w:spacing w:before="260" w:after="260" w:line="416" w:lineRule="auto"/>
        <w:outlineLvl w:val="2"/>
        <w:rPr>
          <w:rFonts w:ascii="宋体" w:hAnsi="宋体"/>
          <w:b/>
          <w:bCs/>
          <w:color w:val="000000" w:themeColor="text1"/>
          <w:szCs w:val="21"/>
          <w14:textFill>
            <w14:solidFill>
              <w14:schemeClr w14:val="tx1"/>
            </w14:solidFill>
          </w14:textFill>
        </w:rPr>
      </w:pPr>
      <w:bookmarkStart w:id="223" w:name="_Toc1869"/>
      <w:r>
        <w:rPr>
          <w:rFonts w:hint="eastAsia" w:ascii="宋体" w:hAnsi="宋体"/>
          <w:b/>
          <w:bCs/>
          <w:color w:val="000000" w:themeColor="text1"/>
          <w:szCs w:val="21"/>
          <w14:textFill>
            <w14:solidFill>
              <w14:schemeClr w14:val="tx1"/>
            </w14:solidFill>
          </w14:textFill>
        </w:rPr>
        <w:t>附件9-1中小企业声明函</w:t>
      </w:r>
      <w:bookmarkEnd w:id="223"/>
    </w:p>
    <w:p w14:paraId="7524E8F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lang w:val="en-US" w:eastAsia="zh-CN" w:bidi="ar"/>
          <w14:textFill>
            <w14:solidFill>
              <w14:schemeClr w14:val="tx1"/>
            </w14:solidFill>
          </w14:textFill>
        </w:rPr>
        <w:t>中小企业声明函（服务）</w:t>
      </w:r>
    </w:p>
    <w:p w14:paraId="1B20A0F3">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pPr>
    </w:p>
    <w:p w14:paraId="7F57876F">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（单位名称）</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的</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（项目名称）</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1975D90">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（标的名称）</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（采购文件中明确的所属行业）</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 承建（承接）企业为</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（企业名称）</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，从业人员</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人，营业收入为</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万元，资产总额为</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万元</w:t>
      </w:r>
      <w:r>
        <w:rPr>
          <w:rFonts w:hint="eastAsia" w:ascii="宋体" w:hAnsi="宋体" w:eastAsia="宋体" w:cs="宋体"/>
          <w:b/>
          <w:bCs/>
          <w:i w:val="0"/>
          <w:iCs w:val="0"/>
          <w:color w:val="000000" w:themeColor="text1"/>
          <w:kern w:val="0"/>
          <w:sz w:val="24"/>
          <w:szCs w:val="24"/>
          <w:highlight w:val="none"/>
          <w:vertAlign w:val="superscript"/>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（中型企业、小型企业、微型企业）</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 xml:space="preserve">； </w:t>
      </w:r>
    </w:p>
    <w:p w14:paraId="4DF4F749">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以上企业，不属于大企业的分支机构，不存在控股股东为大企业的情形，也不存在与大企业的负责人为同一人的情形。</w:t>
      </w:r>
    </w:p>
    <w:p w14:paraId="06D0994A">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 xml:space="preserve">本企业对上述声明内容的真实性负责。如有虚假，将依法承担相应责任。 </w:t>
      </w:r>
    </w:p>
    <w:p w14:paraId="4E9EECB7">
      <w:pPr>
        <w:keepNext w:val="0"/>
        <w:keepLines w:val="0"/>
        <w:pageBreakBefore w:val="0"/>
        <w:widowControl/>
        <w:suppressLineNumbers w:val="0"/>
        <w:kinsoku/>
        <w:wordWrap/>
        <w:overflowPunct/>
        <w:topLinePunct w:val="0"/>
        <w:autoSpaceDE/>
        <w:autoSpaceDN/>
        <w:bidi w:val="0"/>
        <w:adjustRightInd/>
        <w:snapToGrid/>
        <w:spacing w:line="500" w:lineRule="exact"/>
        <w:ind w:firstLine="4620" w:firstLineChars="2200"/>
        <w:jc w:val="left"/>
        <w:textAlignment w:val="auto"/>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pPr>
    </w:p>
    <w:p w14:paraId="496F917B">
      <w:pPr>
        <w:keepNext w:val="0"/>
        <w:keepLines w:val="0"/>
        <w:pageBreakBefore w:val="0"/>
        <w:widowControl/>
        <w:suppressLineNumbers w:val="0"/>
        <w:kinsoku/>
        <w:wordWrap/>
        <w:overflowPunct/>
        <w:topLinePunct w:val="0"/>
        <w:autoSpaceDE/>
        <w:autoSpaceDN/>
        <w:bidi w:val="0"/>
        <w:adjustRightInd/>
        <w:snapToGrid/>
        <w:spacing w:line="500" w:lineRule="exact"/>
        <w:ind w:firstLine="4620" w:firstLineChars="2200"/>
        <w:jc w:val="left"/>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企业名称（盖章）：</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w:t>
      </w:r>
    </w:p>
    <w:p w14:paraId="318D31DC">
      <w:pPr>
        <w:keepNext w:val="0"/>
        <w:keepLines w:val="0"/>
        <w:pageBreakBefore w:val="0"/>
        <w:widowControl/>
        <w:suppressLineNumbers w:val="0"/>
        <w:kinsoku/>
        <w:wordWrap/>
        <w:overflowPunct/>
        <w:topLinePunct w:val="0"/>
        <w:autoSpaceDE/>
        <w:autoSpaceDN/>
        <w:bidi w:val="0"/>
        <w:adjustRightInd/>
        <w:snapToGrid/>
        <w:spacing w:line="500" w:lineRule="exact"/>
        <w:ind w:firstLine="5880" w:firstLineChars="2800"/>
        <w:jc w:val="left"/>
        <w:textAlignment w:val="auto"/>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日期：</w:t>
      </w:r>
    </w:p>
    <w:p w14:paraId="75B97FBC">
      <w:pPr>
        <w:keepNext w:val="0"/>
        <w:keepLines w:val="0"/>
        <w:pageBreakBefore w:val="0"/>
        <w:widowControl/>
        <w:suppressLineNumbers w:val="0"/>
        <w:kinsoku/>
        <w:wordWrap/>
        <w:overflowPunct/>
        <w:topLinePunct w:val="0"/>
        <w:autoSpaceDE/>
        <w:autoSpaceDN/>
        <w:bidi w:val="0"/>
        <w:adjustRightInd/>
        <w:snapToGrid/>
        <w:spacing w:line="500" w:lineRule="exact"/>
        <w:ind w:firstLine="5880" w:firstLineChars="2800"/>
        <w:jc w:val="left"/>
        <w:textAlignment w:val="auto"/>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 xml:space="preserve">          </w:t>
      </w:r>
    </w:p>
    <w:p w14:paraId="56A62E25">
      <w:pPr>
        <w:keepNext w:val="0"/>
        <w:keepLines w:val="0"/>
        <w:pageBreakBefore w:val="0"/>
        <w:widowControl/>
        <w:suppressLineNumbers w:val="0"/>
        <w:kinsoku/>
        <w:wordWrap/>
        <w:overflowPunct/>
        <w:topLinePunct w:val="0"/>
        <w:autoSpaceDE/>
        <w:autoSpaceDN/>
        <w:bidi w:val="0"/>
        <w:adjustRightInd/>
        <w:snapToGrid/>
        <w:spacing w:line="500" w:lineRule="exact"/>
        <w:ind w:firstLine="320" w:firstLineChars="200"/>
        <w:jc w:val="left"/>
        <w:textAlignment w:val="auto"/>
        <w:rPr>
          <w:rFonts w:hint="eastAsia" w:ascii="宋体" w:hAnsi="宋体" w:eastAsia="宋体" w:cs="宋体"/>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kern w:val="0"/>
          <w:sz w:val="16"/>
          <w:szCs w:val="16"/>
          <w:highlight w:val="none"/>
          <w:lang w:val="en-US" w:eastAsia="zh-CN" w:bidi="ar"/>
          <w14:textFill>
            <w14:solidFill>
              <w14:schemeClr w14:val="tx1"/>
            </w14:solidFill>
          </w14:textFill>
        </w:rPr>
        <w:t>1、从业人员、营业收入、资产总额填报上一年度数据，无上一年度数据的新成立企业可不填报。</w:t>
      </w:r>
    </w:p>
    <w:p w14:paraId="153B8841">
      <w:pPr>
        <w:pStyle w:val="40"/>
        <w:keepNext w:val="0"/>
        <w:keepLines w:val="0"/>
        <w:pageBreakBefore w:val="0"/>
        <w:numPr>
          <w:ilvl w:val="0"/>
          <w:numId w:val="0"/>
        </w:numPr>
        <w:tabs>
          <w:tab w:val="center" w:pos="4153"/>
          <w:tab w:val="right" w:pos="8306"/>
          <w:tab w:val="clear" w:pos="993"/>
        </w:tabs>
        <w:kinsoku/>
        <w:wordWrap/>
        <w:overflowPunct/>
        <w:topLinePunct w:val="0"/>
        <w:autoSpaceDE/>
        <w:autoSpaceDN/>
        <w:bidi w:val="0"/>
        <w:spacing w:line="500" w:lineRule="exact"/>
        <w:textAlignment w:val="auto"/>
        <w:rPr>
          <w:rFonts w:hint="eastAsia"/>
          <w:b/>
          <w:bCs/>
          <w:color w:val="000000" w:themeColor="text1"/>
          <w:highlight w:val="none"/>
          <w:lang w:val="en-US" w:eastAsia="zh-CN"/>
          <w14:textFill>
            <w14:solidFill>
              <w14:schemeClr w14:val="tx1"/>
            </w14:solidFill>
          </w14:textFill>
        </w:rPr>
      </w:pPr>
    </w:p>
    <w:p w14:paraId="4372EFB3">
      <w:pPr>
        <w:adjustRightInd w:val="0"/>
        <w:snapToGrid w:val="0"/>
        <w:spacing w:line="360" w:lineRule="auto"/>
        <w:rPr>
          <w:rFonts w:ascii="宋体" w:hAnsi="宋体"/>
          <w:color w:val="000000" w:themeColor="text1"/>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注：</w:t>
      </w:r>
      <w:r>
        <w:rPr>
          <w:rFonts w:hint="eastAsia" w:ascii="宋体" w:hAnsi="宋体" w:eastAsia="宋体" w:cs="宋体"/>
          <w:b/>
          <w:bCs/>
          <w:i w:val="0"/>
          <w:color w:val="000000" w:themeColor="text1"/>
          <w:spacing w:val="6"/>
          <w:kern w:val="0"/>
          <w:szCs w:val="21"/>
          <w:highlight w:val="none"/>
          <w:lang w:bidi="ar"/>
          <w14:textFill>
            <w14:solidFill>
              <w14:schemeClr w14:val="tx1"/>
            </w14:solidFill>
          </w14:textFill>
        </w:rPr>
        <w:t>本</w:t>
      </w:r>
      <w:r>
        <w:rPr>
          <w:rFonts w:hint="eastAsia" w:ascii="宋体" w:hAnsi="宋体" w:eastAsia="宋体" w:cs="宋体"/>
          <w:b/>
          <w:bCs/>
          <w:i w:val="0"/>
          <w:color w:val="000000" w:themeColor="text1"/>
          <w:spacing w:val="6"/>
          <w:kern w:val="0"/>
          <w:szCs w:val="21"/>
          <w:highlight w:val="none"/>
          <w:lang w:eastAsia="zh-CN" w:bidi="ar"/>
          <w14:textFill>
            <w14:solidFill>
              <w14:schemeClr w14:val="tx1"/>
            </w14:solidFill>
          </w14:textFill>
        </w:rPr>
        <w:t>项目</w:t>
      </w:r>
      <w:r>
        <w:rPr>
          <w:rFonts w:hint="eastAsia" w:ascii="宋体" w:hAnsi="宋体" w:eastAsia="宋体" w:cs="宋体"/>
          <w:b/>
          <w:bCs/>
          <w:i w:val="0"/>
          <w:color w:val="000000" w:themeColor="text1"/>
          <w:spacing w:val="6"/>
          <w:kern w:val="0"/>
          <w:szCs w:val="21"/>
          <w:highlight w:val="none"/>
          <w:u w:val="single"/>
          <w:lang w:val="en-US" w:eastAsia="zh-CN" w:bidi="ar"/>
          <w14:textFill>
            <w14:solidFill>
              <w14:schemeClr w14:val="tx1"/>
            </w14:solidFill>
          </w14:textFill>
        </w:rPr>
        <w:t>非</w:t>
      </w:r>
      <w:r>
        <w:rPr>
          <w:rFonts w:hint="eastAsia" w:ascii="宋体" w:hAnsi="宋体" w:eastAsia="宋体" w:cs="宋体"/>
          <w:b/>
          <w:bCs/>
          <w:i w:val="0"/>
          <w:color w:val="000000" w:themeColor="text1"/>
          <w:spacing w:val="6"/>
          <w:kern w:val="0"/>
          <w:szCs w:val="21"/>
          <w:highlight w:val="none"/>
          <w:lang w:bidi="ar"/>
          <w14:textFill>
            <w14:solidFill>
              <w14:schemeClr w14:val="tx1"/>
            </w14:solidFill>
          </w14:textFill>
        </w:rPr>
        <w:t>专门面向中小企业或者小型、微型企业采购</w:t>
      </w:r>
      <w:r>
        <w:rPr>
          <w:rFonts w:hint="eastAsia" w:ascii="宋体" w:hAnsi="宋体" w:eastAsia="宋体" w:cs="宋体"/>
          <w:b/>
          <w:bCs/>
          <w:i w:val="0"/>
          <w:color w:val="000000" w:themeColor="text1"/>
          <w:spacing w:val="6"/>
          <w:kern w:val="0"/>
          <w:szCs w:val="21"/>
          <w:highlight w:val="none"/>
          <w:lang w:eastAsia="zh-CN" w:bidi="ar"/>
          <w14:textFill>
            <w14:solidFill>
              <w14:schemeClr w14:val="tx1"/>
            </w14:solidFill>
          </w14:textFill>
        </w:rPr>
        <w:t>，</w:t>
      </w:r>
      <w:r>
        <w:rPr>
          <w:rFonts w:hint="eastAsia" w:ascii="宋体" w:hAnsi="宋体" w:eastAsia="宋体" w:cs="宋体"/>
          <w:b/>
          <w:bCs/>
          <w:i w:val="0"/>
          <w:color w:val="000000" w:themeColor="text1"/>
          <w:spacing w:val="6"/>
          <w:kern w:val="0"/>
          <w:szCs w:val="21"/>
          <w:highlight w:val="none"/>
          <w:lang w:val="en-US" w:eastAsia="zh-CN" w:bidi="ar"/>
          <w14:textFill>
            <w14:solidFill>
              <w14:schemeClr w14:val="tx1"/>
            </w14:solidFill>
          </w14:textFill>
        </w:rPr>
        <w:t>须</w:t>
      </w:r>
      <w:r>
        <w:rPr>
          <w:rFonts w:hint="eastAsia" w:ascii="宋体" w:hAnsi="宋体" w:eastAsia="宋体" w:cs="宋体"/>
          <w:b/>
          <w:bCs/>
          <w:i w:val="0"/>
          <w:color w:val="000000" w:themeColor="text1"/>
          <w:spacing w:val="6"/>
          <w:kern w:val="0"/>
          <w:szCs w:val="21"/>
          <w:highlight w:val="none"/>
          <w:lang w:eastAsia="zh-CN" w:bidi="ar"/>
          <w14:textFill>
            <w14:solidFill>
              <w14:schemeClr w14:val="tx1"/>
            </w14:solidFill>
          </w14:textFill>
        </w:rPr>
        <w:t>提供中小企业声明函原件</w:t>
      </w:r>
      <w:r>
        <w:rPr>
          <w:rFonts w:hint="eastAsia" w:ascii="宋体" w:hAnsi="宋体" w:eastAsia="宋体" w:cs="宋体"/>
          <w:b/>
          <w:bCs/>
          <w:color w:val="000000" w:themeColor="text1"/>
          <w:spacing w:val="6"/>
          <w:kern w:val="0"/>
          <w:sz w:val="21"/>
          <w:szCs w:val="21"/>
          <w:highlight w:val="none"/>
          <w:u w:val="none"/>
          <w:lang w:val="en-US" w:eastAsia="zh-CN" w:bidi="ar"/>
          <w14:textFill>
            <w14:solidFill>
              <w14:schemeClr w14:val="tx1"/>
            </w14:solidFill>
          </w14:textFill>
        </w:rPr>
        <w:t>（本项目所属行业为“其他未列明行业”，其中供应商企业规模认定按照《中小企业划型标准规定》工信部联企业【2011】300号文执行）</w:t>
      </w:r>
      <w:r>
        <w:rPr>
          <w:rFonts w:hint="eastAsia" w:ascii="宋体" w:hAnsi="宋体" w:eastAsia="宋体" w:cs="宋体"/>
          <w:b/>
          <w:bCs/>
          <w:i w:val="0"/>
          <w:color w:val="000000" w:themeColor="text1"/>
          <w:spacing w:val="6"/>
          <w:kern w:val="0"/>
          <w:szCs w:val="21"/>
          <w:highlight w:val="none"/>
          <w:lang w:bidi="ar"/>
          <w14:textFill>
            <w14:solidFill>
              <w14:schemeClr w14:val="tx1"/>
            </w14:solidFill>
          </w14:textFill>
        </w:rPr>
        <w:t>。</w:t>
      </w:r>
    </w:p>
    <w:p w14:paraId="0D3BCD38">
      <w:pPr>
        <w:adjustRightInd w:val="0"/>
        <w:snapToGrid w:val="0"/>
        <w:spacing w:line="360" w:lineRule="auto"/>
        <w:ind w:firstLine="420" w:firstLineChars="200"/>
        <w:rPr>
          <w:rFonts w:ascii="宋体" w:hAnsi="宋体" w:cs="宋体"/>
          <w:color w:val="auto"/>
          <w:kern w:val="0"/>
          <w:szCs w:val="21"/>
        </w:rPr>
      </w:pPr>
      <w:r>
        <w:rPr>
          <w:rFonts w:ascii="黑体" w:hAnsi="黑体" w:eastAsia="黑体" w:cs="宋体"/>
          <w:b/>
          <w:color w:val="auto"/>
          <w:kern w:val="0"/>
        </w:rPr>
        <w:br w:type="page"/>
      </w:r>
    </w:p>
    <w:p w14:paraId="5452BE2F">
      <w:pPr>
        <w:keepNext/>
        <w:keepLines/>
        <w:adjustRightInd w:val="0"/>
        <w:snapToGrid w:val="0"/>
        <w:spacing w:line="360" w:lineRule="auto"/>
        <w:outlineLvl w:val="2"/>
        <w:rPr>
          <w:rFonts w:hint="eastAsia" w:ascii="宋体" w:hAnsi="宋体"/>
          <w:b/>
          <w:bCs/>
          <w:color w:val="auto"/>
          <w:spacing w:val="6"/>
          <w:szCs w:val="32"/>
        </w:rPr>
      </w:pPr>
      <w:bookmarkStart w:id="224" w:name="_Toc20023"/>
      <w:r>
        <w:rPr>
          <w:rFonts w:hint="eastAsia" w:ascii="宋体" w:hAnsi="宋体" w:cs="宋体"/>
          <w:b/>
          <w:bCs/>
          <w:color w:val="auto"/>
          <w:spacing w:val="6"/>
          <w:kern w:val="0"/>
          <w:szCs w:val="32"/>
        </w:rPr>
        <w:t>附件9-2</w:t>
      </w:r>
      <w:r>
        <w:rPr>
          <w:rFonts w:hint="eastAsia" w:ascii="宋体" w:hAnsi="宋体"/>
          <w:b/>
          <w:bCs/>
          <w:color w:val="auto"/>
          <w:spacing w:val="6"/>
          <w:szCs w:val="32"/>
        </w:rPr>
        <w:t>残疾人福利性单位声明函</w:t>
      </w:r>
      <w:bookmarkEnd w:id="224"/>
    </w:p>
    <w:p w14:paraId="1675F7DB">
      <w:pPr>
        <w:pStyle w:val="2"/>
      </w:pPr>
    </w:p>
    <w:p w14:paraId="20CBBA66">
      <w:pPr>
        <w:adjustRightInd w:val="0"/>
        <w:snapToGrid w:val="0"/>
        <w:spacing w:line="360" w:lineRule="auto"/>
        <w:jc w:val="center"/>
        <w:rPr>
          <w:rFonts w:ascii="黑体" w:hAnsi="黑体" w:eastAsia="黑体"/>
          <w:b/>
          <w:color w:val="auto"/>
          <w:spacing w:val="6"/>
          <w:sz w:val="28"/>
          <w:szCs w:val="28"/>
        </w:rPr>
      </w:pPr>
      <w:r>
        <w:rPr>
          <w:rFonts w:hint="eastAsia" w:ascii="黑体" w:hAnsi="黑体" w:eastAsia="黑体"/>
          <w:b/>
          <w:color w:val="auto"/>
          <w:spacing w:val="6"/>
          <w:sz w:val="28"/>
          <w:szCs w:val="28"/>
        </w:rPr>
        <w:t>残疾人福利性单位声明函</w:t>
      </w:r>
    </w:p>
    <w:p w14:paraId="4737CCD6">
      <w:pPr>
        <w:adjustRightInd w:val="0"/>
        <w:snapToGrid w:val="0"/>
        <w:spacing w:line="360" w:lineRule="auto"/>
        <w:jc w:val="center"/>
        <w:rPr>
          <w:rFonts w:ascii="宋体" w:hAnsi="宋体"/>
          <w:b/>
          <w:color w:val="auto"/>
          <w:spacing w:val="6"/>
          <w:szCs w:val="21"/>
        </w:rPr>
      </w:pPr>
      <w:r>
        <w:rPr>
          <w:rFonts w:hint="eastAsia" w:ascii="宋体" w:hAnsi="宋体"/>
          <w:b/>
          <w:color w:val="auto"/>
          <w:spacing w:val="6"/>
          <w:szCs w:val="21"/>
        </w:rPr>
        <w:t>(不符合政策要求的无需提供)</w:t>
      </w:r>
    </w:p>
    <w:p w14:paraId="1B3E3F79">
      <w:pPr>
        <w:adjustRightInd w:val="0"/>
        <w:snapToGrid w:val="0"/>
        <w:spacing w:line="360" w:lineRule="auto"/>
        <w:ind w:firstLine="444" w:firstLineChars="200"/>
        <w:rPr>
          <w:rFonts w:ascii="宋体" w:hAnsi="宋体"/>
          <w:color w:val="auto"/>
          <w:spacing w:val="6"/>
          <w:szCs w:val="21"/>
        </w:rPr>
      </w:pPr>
    </w:p>
    <w:p w14:paraId="04BD7966">
      <w:pPr>
        <w:adjustRightInd w:val="0"/>
        <w:snapToGrid w:val="0"/>
        <w:spacing w:line="360" w:lineRule="auto"/>
        <w:ind w:firstLine="444" w:firstLineChars="200"/>
        <w:rPr>
          <w:rFonts w:ascii="宋体" w:hAnsi="宋体"/>
          <w:color w:val="auto"/>
          <w:spacing w:val="6"/>
          <w:szCs w:val="21"/>
        </w:rPr>
      </w:pPr>
      <w:r>
        <w:rPr>
          <w:rFonts w:hint="eastAsia" w:ascii="宋体" w:hAnsi="宋体"/>
          <w:color w:val="auto"/>
          <w:spacing w:val="6"/>
          <w:szCs w:val="21"/>
        </w:rPr>
        <w:t>本单位郑重声明，根据《财政部 民政部 中国残疾人联合会关于促进残疾人就业政府采购政策的通知》（财库</w:t>
      </w:r>
      <w:r>
        <w:rPr>
          <w:rFonts w:hint="eastAsia" w:ascii="宋体" w:hAnsi="宋体"/>
          <w:color w:val="auto"/>
          <w:szCs w:val="21"/>
        </w:rPr>
        <w:t>〔2017〕141</w:t>
      </w:r>
      <w:r>
        <w:rPr>
          <w:rFonts w:hint="eastAsia" w:ascii="宋体" w:hAnsi="宋体"/>
          <w:color w:val="auto"/>
          <w:spacing w:val="6"/>
          <w:szCs w:val="21"/>
        </w:rPr>
        <w:t>号）的规定，本单位为符合条件的残疾人福利性单位，且本单位参加</w:t>
      </w:r>
      <w:r>
        <w:rPr>
          <w:rFonts w:hint="eastAsia" w:ascii="宋体" w:hAnsi="宋体"/>
          <w:color w:val="auto"/>
          <w:spacing w:val="6"/>
          <w:szCs w:val="21"/>
          <w:u w:val="single"/>
        </w:rPr>
        <w:t xml:space="preserve">             </w:t>
      </w:r>
      <w:r>
        <w:rPr>
          <w:rFonts w:hint="eastAsia" w:ascii="宋体" w:hAnsi="宋体"/>
          <w:color w:val="auto"/>
          <w:spacing w:val="6"/>
          <w:szCs w:val="21"/>
        </w:rPr>
        <w:t>单位的</w:t>
      </w:r>
      <w:r>
        <w:rPr>
          <w:rFonts w:hint="eastAsia" w:ascii="宋体" w:hAnsi="宋体"/>
          <w:color w:val="auto"/>
          <w:spacing w:val="6"/>
          <w:szCs w:val="21"/>
          <w:u w:val="single"/>
        </w:rPr>
        <w:t xml:space="preserve">               </w:t>
      </w:r>
      <w:r>
        <w:rPr>
          <w:rFonts w:hint="eastAsia" w:ascii="宋体" w:hAnsi="宋体"/>
          <w:color w:val="auto"/>
          <w:spacing w:val="6"/>
          <w:szCs w:val="21"/>
        </w:rPr>
        <w:t>项目采购活动提供本单位制造的货物（由本单位承担工程/提供服务），或者提供其他残疾人福利性单位制造的货物（不包括使用非残疾人福利性单位注册商标的货物）。</w:t>
      </w:r>
    </w:p>
    <w:p w14:paraId="50140793">
      <w:pPr>
        <w:adjustRightInd w:val="0"/>
        <w:snapToGrid w:val="0"/>
        <w:spacing w:line="360" w:lineRule="auto"/>
        <w:ind w:firstLine="444" w:firstLineChars="200"/>
        <w:rPr>
          <w:rFonts w:ascii="宋体" w:hAnsi="宋体"/>
          <w:color w:val="auto"/>
          <w:spacing w:val="6"/>
          <w:szCs w:val="21"/>
        </w:rPr>
      </w:pPr>
      <w:r>
        <w:rPr>
          <w:rFonts w:hint="eastAsia" w:ascii="宋体" w:hAnsi="宋体"/>
          <w:color w:val="auto"/>
          <w:spacing w:val="6"/>
          <w:szCs w:val="21"/>
        </w:rPr>
        <w:t>本单位对上述声明的真实性负责。如有虚假，将依法承担相应责任。</w:t>
      </w:r>
    </w:p>
    <w:p w14:paraId="3144A0E3">
      <w:pPr>
        <w:adjustRightInd w:val="0"/>
        <w:snapToGrid w:val="0"/>
        <w:spacing w:line="360" w:lineRule="auto"/>
        <w:ind w:firstLine="444" w:firstLineChars="200"/>
        <w:rPr>
          <w:rFonts w:ascii="宋体" w:hAnsi="宋体"/>
          <w:color w:val="auto"/>
          <w:spacing w:val="6"/>
          <w:szCs w:val="21"/>
        </w:rPr>
      </w:pPr>
    </w:p>
    <w:p w14:paraId="3F7908B4">
      <w:pPr>
        <w:adjustRightInd w:val="0"/>
        <w:snapToGrid w:val="0"/>
        <w:spacing w:line="360" w:lineRule="auto"/>
        <w:ind w:firstLine="444" w:firstLineChars="200"/>
        <w:rPr>
          <w:rFonts w:ascii="宋体" w:hAnsi="宋体"/>
          <w:color w:val="auto"/>
          <w:spacing w:val="6"/>
          <w:szCs w:val="21"/>
        </w:rPr>
      </w:pPr>
    </w:p>
    <w:p w14:paraId="6CE7CABA">
      <w:pPr>
        <w:tabs>
          <w:tab w:val="left" w:pos="4860"/>
        </w:tabs>
        <w:adjustRightInd w:val="0"/>
        <w:snapToGrid w:val="0"/>
        <w:spacing w:line="360" w:lineRule="auto"/>
        <w:ind w:right="1560" w:firstLine="444" w:firstLineChars="200"/>
        <w:jc w:val="center"/>
        <w:rPr>
          <w:rFonts w:ascii="宋体" w:hAnsi="宋体"/>
          <w:color w:val="auto"/>
          <w:spacing w:val="6"/>
          <w:szCs w:val="21"/>
        </w:rPr>
      </w:pPr>
      <w:r>
        <w:rPr>
          <w:rFonts w:hint="eastAsia" w:ascii="宋体" w:hAnsi="宋体"/>
          <w:color w:val="auto"/>
          <w:spacing w:val="6"/>
          <w:szCs w:val="21"/>
        </w:rPr>
        <w:t xml:space="preserve">               单位名称（盖章）：</w:t>
      </w:r>
    </w:p>
    <w:p w14:paraId="15A193C6">
      <w:pPr>
        <w:tabs>
          <w:tab w:val="left" w:pos="4860"/>
        </w:tabs>
        <w:adjustRightInd w:val="0"/>
        <w:snapToGrid w:val="0"/>
        <w:spacing w:line="360" w:lineRule="auto"/>
        <w:ind w:right="1560" w:firstLine="444" w:firstLineChars="200"/>
        <w:jc w:val="center"/>
        <w:rPr>
          <w:rFonts w:ascii="宋体" w:hAnsi="宋体"/>
          <w:color w:val="auto"/>
          <w:spacing w:val="6"/>
          <w:szCs w:val="21"/>
        </w:rPr>
      </w:pPr>
      <w:r>
        <w:rPr>
          <w:rFonts w:hint="eastAsia" w:ascii="宋体" w:hAnsi="宋体"/>
          <w:color w:val="auto"/>
          <w:spacing w:val="6"/>
          <w:szCs w:val="21"/>
        </w:rPr>
        <w:t xml:space="preserve">       日  期：</w:t>
      </w:r>
    </w:p>
    <w:p w14:paraId="0BFAE98C">
      <w:pPr>
        <w:widowControl/>
        <w:adjustRightInd w:val="0"/>
        <w:snapToGrid w:val="0"/>
        <w:spacing w:line="360" w:lineRule="auto"/>
        <w:jc w:val="left"/>
        <w:rPr>
          <w:rFonts w:ascii="宋体" w:hAnsi="宋体" w:cs="宋体"/>
          <w:color w:val="auto"/>
          <w:kern w:val="0"/>
          <w:szCs w:val="21"/>
        </w:rPr>
        <w:sectPr>
          <w:pgSz w:w="11906" w:h="16838"/>
          <w:pgMar w:top="1418" w:right="1418" w:bottom="1134" w:left="1418" w:header="851" w:footer="992" w:gutter="0"/>
          <w:cols w:space="720" w:num="1"/>
          <w:docGrid w:type="linesAndChars" w:linePitch="312" w:charSpace="0"/>
        </w:sectPr>
      </w:pPr>
    </w:p>
    <w:p w14:paraId="6447559F">
      <w:pPr>
        <w:keepNext/>
        <w:keepLines/>
        <w:adjustRightInd w:val="0"/>
        <w:snapToGrid w:val="0"/>
        <w:spacing w:line="360" w:lineRule="auto"/>
        <w:outlineLvl w:val="2"/>
        <w:rPr>
          <w:rFonts w:ascii="宋体" w:hAnsi="宋体"/>
          <w:b/>
          <w:bCs/>
          <w:color w:val="auto"/>
          <w:szCs w:val="21"/>
        </w:rPr>
      </w:pPr>
      <w:bookmarkStart w:id="225" w:name="_Toc30665"/>
      <w:r>
        <w:rPr>
          <w:rFonts w:hint="eastAsia" w:ascii="宋体" w:hAnsi="宋体" w:cs="宋体"/>
          <w:b/>
          <w:bCs/>
          <w:color w:val="auto"/>
          <w:kern w:val="0"/>
          <w:szCs w:val="21"/>
        </w:rPr>
        <w:t>附件9-3</w:t>
      </w:r>
      <w:r>
        <w:rPr>
          <w:rFonts w:hint="eastAsia" w:ascii="宋体" w:hAnsi="宋体"/>
          <w:b/>
          <w:bCs/>
          <w:color w:val="auto"/>
          <w:szCs w:val="21"/>
        </w:rPr>
        <w:t>监狱企业证明资料</w:t>
      </w:r>
      <w:bookmarkEnd w:id="225"/>
    </w:p>
    <w:p w14:paraId="43CC5E01">
      <w:pPr>
        <w:adjustRightInd w:val="0"/>
        <w:snapToGrid w:val="0"/>
        <w:spacing w:line="360" w:lineRule="auto"/>
        <w:jc w:val="center"/>
        <w:rPr>
          <w:rFonts w:ascii="黑体" w:hAnsi="宋体"/>
          <w:b/>
          <w:color w:val="auto"/>
          <w:sz w:val="28"/>
          <w:szCs w:val="28"/>
        </w:rPr>
      </w:pPr>
      <w:r>
        <w:rPr>
          <w:rFonts w:hint="eastAsia" w:ascii="黑体" w:hAnsi="宋体"/>
          <w:b/>
          <w:color w:val="auto"/>
          <w:sz w:val="28"/>
          <w:szCs w:val="28"/>
        </w:rPr>
        <w:t>监狱企业证明资料</w:t>
      </w:r>
    </w:p>
    <w:p w14:paraId="6407AC4A">
      <w:pPr>
        <w:adjustRightInd w:val="0"/>
        <w:snapToGrid w:val="0"/>
        <w:spacing w:line="360" w:lineRule="auto"/>
        <w:jc w:val="center"/>
        <w:rPr>
          <w:rFonts w:ascii="宋体" w:hAnsi="宋体"/>
          <w:b/>
          <w:color w:val="auto"/>
          <w:spacing w:val="6"/>
          <w:szCs w:val="21"/>
        </w:rPr>
      </w:pPr>
      <w:r>
        <w:rPr>
          <w:rFonts w:hint="eastAsia" w:ascii="宋体" w:hAnsi="宋体"/>
          <w:b/>
          <w:color w:val="auto"/>
          <w:spacing w:val="6"/>
          <w:szCs w:val="21"/>
        </w:rPr>
        <w:t>(不符合政策要求的无需提供)</w:t>
      </w:r>
    </w:p>
    <w:p w14:paraId="4FE28510">
      <w:pPr>
        <w:adjustRightInd w:val="0"/>
        <w:snapToGrid w:val="0"/>
        <w:spacing w:line="360" w:lineRule="auto"/>
        <w:rPr>
          <w:rFonts w:ascii="宋体" w:hAnsi="宋体"/>
          <w:color w:val="auto"/>
          <w:szCs w:val="21"/>
        </w:rPr>
      </w:pPr>
    </w:p>
    <w:p w14:paraId="2FF10123">
      <w:pPr>
        <w:adjustRightInd w:val="0"/>
        <w:snapToGrid w:val="0"/>
        <w:spacing w:line="360" w:lineRule="auto"/>
        <w:ind w:firstLine="420" w:firstLineChars="200"/>
        <w:rPr>
          <w:rFonts w:ascii="宋体" w:hAnsi="宋体"/>
          <w:color w:val="auto"/>
          <w:szCs w:val="21"/>
        </w:rPr>
      </w:pPr>
      <w:r>
        <w:rPr>
          <w:rFonts w:hint="eastAsia" w:ascii="宋体" w:hAnsi="宋体" w:eastAsia="宋体"/>
          <w:b w:val="0"/>
          <w:bCs/>
          <w:color w:val="auto"/>
          <w:szCs w:val="21"/>
        </w:rPr>
        <w:t>注</w:t>
      </w:r>
      <w:r>
        <w:rPr>
          <w:rFonts w:hint="eastAsia" w:ascii="宋体" w:hAnsi="宋体" w:cs="宋体"/>
          <w:b w:val="0"/>
          <w:bCs/>
          <w:color w:val="auto"/>
          <w:spacing w:val="6"/>
          <w:kern w:val="0"/>
          <w:szCs w:val="21"/>
        </w:rPr>
        <w:t>：</w:t>
      </w:r>
      <w:r>
        <w:rPr>
          <w:rFonts w:hint="eastAsia" w:ascii="宋体" w:hAnsi="宋体"/>
          <w:b w:val="0"/>
          <w:bCs/>
          <w:color w:val="auto"/>
          <w:szCs w:val="21"/>
        </w:rPr>
        <w:t>按</w:t>
      </w:r>
      <w:r>
        <w:rPr>
          <w:rFonts w:hint="eastAsia" w:ascii="宋体" w:hAnsi="宋体"/>
          <w:b w:val="0"/>
          <w:bCs/>
          <w:color w:val="auto"/>
          <w:spacing w:val="6"/>
          <w:szCs w:val="21"/>
        </w:rPr>
        <w:t>《</w:t>
      </w:r>
      <w:r>
        <w:rPr>
          <w:rFonts w:hint="eastAsia" w:ascii="宋体" w:hAnsi="宋体"/>
          <w:color w:val="auto"/>
          <w:szCs w:val="21"/>
        </w:rPr>
        <w:t>财政部 司法部关于政府采购支持监狱企业发展有关问题的通知</w:t>
      </w:r>
      <w:r>
        <w:rPr>
          <w:rFonts w:hint="eastAsia" w:ascii="宋体" w:hAnsi="宋体"/>
          <w:color w:val="auto"/>
          <w:spacing w:val="6"/>
          <w:szCs w:val="21"/>
        </w:rPr>
        <w:t>》</w:t>
      </w:r>
      <w:r>
        <w:rPr>
          <w:rFonts w:hint="eastAsia" w:ascii="宋体" w:hAnsi="宋体"/>
          <w:color w:val="auto"/>
          <w:szCs w:val="21"/>
        </w:rPr>
        <w:t>(财库〔2014〕68号)文件规定提供证明文件（复印件）。</w:t>
      </w:r>
    </w:p>
    <w:p w14:paraId="62CCBA82">
      <w:pPr>
        <w:adjustRightInd w:val="0"/>
        <w:snapToGrid w:val="0"/>
        <w:spacing w:line="360" w:lineRule="auto"/>
        <w:ind w:firstLine="420" w:firstLineChars="200"/>
        <w:rPr>
          <w:rFonts w:ascii="宋体" w:hAnsi="宋体"/>
          <w:color w:val="auto"/>
          <w:szCs w:val="21"/>
        </w:rPr>
      </w:pPr>
    </w:p>
    <w:p w14:paraId="2AE71170">
      <w:pPr>
        <w:adjustRightInd w:val="0"/>
        <w:snapToGrid w:val="0"/>
        <w:spacing w:line="360" w:lineRule="auto"/>
        <w:ind w:firstLine="420" w:firstLineChars="200"/>
        <w:rPr>
          <w:rFonts w:ascii="宋体" w:hAnsi="宋体"/>
          <w:color w:val="auto"/>
          <w:szCs w:val="21"/>
        </w:rPr>
        <w:sectPr>
          <w:pgSz w:w="11906" w:h="16838"/>
          <w:pgMar w:top="1418" w:right="1418" w:bottom="1134" w:left="1418" w:header="851" w:footer="992" w:gutter="0"/>
          <w:cols w:space="720" w:num="1"/>
          <w:docGrid w:type="linesAndChars" w:linePitch="312" w:charSpace="0"/>
        </w:sectPr>
      </w:pPr>
    </w:p>
    <w:p w14:paraId="27527CD5">
      <w:pPr>
        <w:keepNext/>
        <w:keepLines/>
        <w:adjustRightInd w:val="0"/>
        <w:snapToGrid w:val="0"/>
        <w:spacing w:line="360" w:lineRule="auto"/>
        <w:outlineLvl w:val="2"/>
        <w:rPr>
          <w:rFonts w:ascii="宋体" w:hAnsi="宋体"/>
          <w:b/>
          <w:bCs/>
          <w:color w:val="auto"/>
          <w:szCs w:val="21"/>
        </w:rPr>
      </w:pPr>
      <w:bookmarkStart w:id="226" w:name="_Toc107998053"/>
      <w:bookmarkStart w:id="227" w:name="_Toc11088"/>
      <w:bookmarkStart w:id="228" w:name="_Toc62225533"/>
      <w:r>
        <w:rPr>
          <w:rFonts w:hint="eastAsia" w:ascii="宋体" w:hAnsi="宋体" w:cs="宋体"/>
          <w:b/>
          <w:bCs/>
          <w:color w:val="auto"/>
          <w:spacing w:val="6"/>
          <w:kern w:val="0"/>
          <w:szCs w:val="21"/>
        </w:rPr>
        <w:t xml:space="preserve">附件9-4 </w:t>
      </w:r>
      <w:r>
        <w:rPr>
          <w:rFonts w:hint="eastAsia" w:ascii="宋体" w:hAnsi="宋体"/>
          <w:b/>
          <w:bCs/>
          <w:color w:val="auto"/>
          <w:szCs w:val="21"/>
        </w:rPr>
        <w:t>强制采购或者优先采购产品的证明材料</w:t>
      </w:r>
      <w:bookmarkEnd w:id="226"/>
      <w:bookmarkEnd w:id="227"/>
      <w:bookmarkEnd w:id="228"/>
    </w:p>
    <w:p w14:paraId="5948CD96">
      <w:pPr>
        <w:adjustRightInd w:val="0"/>
        <w:snapToGrid w:val="0"/>
        <w:spacing w:before="156" w:beforeLines="50" w:line="360" w:lineRule="auto"/>
        <w:jc w:val="center"/>
        <w:rPr>
          <w:rFonts w:ascii="黑体" w:hAnsi="黑体" w:eastAsia="黑体"/>
          <w:b/>
          <w:color w:val="auto"/>
          <w:sz w:val="28"/>
          <w:szCs w:val="28"/>
        </w:rPr>
      </w:pPr>
      <w:r>
        <w:rPr>
          <w:rFonts w:hint="eastAsia" w:ascii="黑体" w:hAnsi="黑体" w:eastAsia="黑体"/>
          <w:b/>
          <w:color w:val="auto"/>
          <w:sz w:val="28"/>
          <w:szCs w:val="28"/>
        </w:rPr>
        <w:t>强制采购或者优先采购产品</w:t>
      </w:r>
      <w:r>
        <w:rPr>
          <w:rFonts w:hint="eastAsia" w:ascii="黑体" w:hAnsi="黑体" w:eastAsia="黑体"/>
          <w:b/>
          <w:bCs/>
          <w:color w:val="auto"/>
          <w:sz w:val="28"/>
          <w:szCs w:val="28"/>
        </w:rPr>
        <w:t>的</w:t>
      </w:r>
      <w:r>
        <w:rPr>
          <w:rFonts w:hint="eastAsia" w:ascii="黑体" w:hAnsi="黑体" w:eastAsia="黑体"/>
          <w:b/>
          <w:color w:val="auto"/>
          <w:sz w:val="28"/>
          <w:szCs w:val="28"/>
        </w:rPr>
        <w:t>证明材料</w:t>
      </w:r>
    </w:p>
    <w:p w14:paraId="786063A9">
      <w:pPr>
        <w:adjustRightInd w:val="0"/>
        <w:snapToGrid w:val="0"/>
        <w:spacing w:before="156" w:beforeLines="50" w:line="360" w:lineRule="auto"/>
        <w:jc w:val="center"/>
        <w:rPr>
          <w:rFonts w:ascii="宋体" w:hAnsi="宋体"/>
          <w:b/>
          <w:color w:val="auto"/>
          <w:spacing w:val="6"/>
          <w:szCs w:val="21"/>
        </w:rPr>
      </w:pPr>
      <w:r>
        <w:rPr>
          <w:rFonts w:hint="eastAsia" w:ascii="宋体" w:hAnsi="宋体"/>
          <w:b/>
          <w:color w:val="auto"/>
          <w:spacing w:val="6"/>
          <w:szCs w:val="21"/>
        </w:rPr>
        <w:t>(不属于强制采购或者优先采购产品的无需提供)</w:t>
      </w:r>
    </w:p>
    <w:p w14:paraId="3B7FED0A">
      <w:pPr>
        <w:adjustRightInd w:val="0"/>
        <w:snapToGrid w:val="0"/>
        <w:spacing w:line="360" w:lineRule="auto"/>
        <w:ind w:firstLine="420" w:firstLineChars="200"/>
        <w:jc w:val="left"/>
        <w:rPr>
          <w:rFonts w:ascii="宋体" w:hAnsi="宋体"/>
          <w:color w:val="auto"/>
          <w:szCs w:val="21"/>
        </w:rPr>
      </w:pPr>
    </w:p>
    <w:p w14:paraId="46B3B1D7">
      <w:pPr>
        <w:adjustRightInd w:val="0"/>
        <w:snapToGrid w:val="0"/>
        <w:spacing w:line="360" w:lineRule="auto"/>
        <w:jc w:val="left"/>
        <w:rPr>
          <w:rFonts w:ascii="宋体" w:hAnsi="宋体"/>
          <w:color w:val="auto"/>
          <w:szCs w:val="21"/>
        </w:rPr>
      </w:pPr>
      <w:r>
        <w:rPr>
          <w:rFonts w:hint="eastAsia" w:ascii="宋体" w:hAnsi="宋体" w:eastAsia="宋体"/>
          <w:b w:val="0"/>
          <w:bCs/>
          <w:color w:val="auto"/>
          <w:szCs w:val="21"/>
        </w:rPr>
        <w:t>注</w:t>
      </w:r>
      <w:r>
        <w:rPr>
          <w:rFonts w:hint="eastAsia" w:ascii="宋体" w:hAnsi="宋体"/>
          <w:b w:val="0"/>
          <w:bCs/>
          <w:color w:val="auto"/>
          <w:szCs w:val="21"/>
        </w:rPr>
        <w:t>：</w:t>
      </w:r>
      <w:r>
        <w:rPr>
          <w:rFonts w:hint="eastAsia" w:ascii="宋体" w:hAnsi="宋体"/>
          <w:color w:val="auto"/>
          <w:szCs w:val="21"/>
        </w:rPr>
        <w:t>1</w:t>
      </w:r>
      <w:r>
        <w:rPr>
          <w:rFonts w:hint="eastAsia" w:ascii="宋体" w:hAnsi="宋体"/>
          <w:color w:val="auto"/>
          <w:szCs w:val="21"/>
          <w:lang w:val="en-US" w:eastAsia="zh-CN"/>
        </w:rPr>
        <w:t>.</w:t>
      </w:r>
      <w:r>
        <w:rPr>
          <w:rFonts w:hint="eastAsia" w:ascii="宋体" w:hAnsi="宋体"/>
          <w:color w:val="auto"/>
          <w:szCs w:val="21"/>
        </w:rPr>
        <w:t>供应商提供的产品</w:t>
      </w:r>
      <w:r>
        <w:rPr>
          <w:rFonts w:hint="eastAsia" w:ascii="宋体" w:hAnsi="宋体"/>
          <w:bCs/>
          <w:color w:val="auto"/>
          <w:szCs w:val="21"/>
        </w:rPr>
        <w:t>属于优先采购的</w:t>
      </w:r>
      <w:r>
        <w:rPr>
          <w:rFonts w:hint="eastAsia" w:ascii="宋体" w:hAnsi="宋体"/>
          <w:color w:val="auto"/>
          <w:szCs w:val="21"/>
        </w:rPr>
        <w:t>，应按第二章第4</w:t>
      </w:r>
      <w:r>
        <w:rPr>
          <w:rFonts w:hint="eastAsia" w:ascii="宋体" w:hAnsi="宋体"/>
          <w:color w:val="auto"/>
          <w:szCs w:val="21"/>
          <w:lang w:val="en-US" w:eastAsia="zh-CN"/>
        </w:rPr>
        <w:t>3</w:t>
      </w:r>
      <w:r>
        <w:rPr>
          <w:rFonts w:hint="eastAsia" w:ascii="宋体" w:hAnsi="宋体"/>
          <w:color w:val="auto"/>
          <w:szCs w:val="21"/>
        </w:rPr>
        <w:t>条规定提供证明材料和本章本节附页</w:t>
      </w:r>
      <w:r>
        <w:rPr>
          <w:rFonts w:hint="eastAsia" w:ascii="宋体" w:hAnsi="宋体"/>
          <w:color w:val="auto"/>
          <w:szCs w:val="21"/>
          <w:lang w:val="en-US" w:eastAsia="zh-CN"/>
        </w:rPr>
        <w:t>1</w:t>
      </w:r>
      <w:r>
        <w:rPr>
          <w:rFonts w:hint="eastAsia" w:ascii="宋体" w:hAnsi="宋体"/>
          <w:color w:val="auto"/>
          <w:szCs w:val="21"/>
        </w:rPr>
        <w:t>“优先采购产品清单”，并加盖供应商单位公章。</w:t>
      </w:r>
    </w:p>
    <w:p w14:paraId="15204B47">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w:t>
      </w:r>
      <w:r>
        <w:rPr>
          <w:rFonts w:hint="eastAsia" w:ascii="宋体" w:hAnsi="宋体"/>
          <w:color w:val="auto"/>
          <w:szCs w:val="21"/>
        </w:rPr>
        <w:t>节能产品、环境标志产品(强制采购或者优先采购产品)认证证书内容</w:t>
      </w:r>
      <w:r>
        <w:rPr>
          <w:rFonts w:hint="eastAsia" w:ascii="宋体" w:hAnsi="宋体" w:eastAsia="宋体"/>
          <w:color w:val="auto"/>
          <w:szCs w:val="21"/>
        </w:rPr>
        <w:t>注明“详见证</w:t>
      </w:r>
      <w:r>
        <w:rPr>
          <w:rFonts w:hint="eastAsia" w:ascii="宋体" w:hAnsi="宋体"/>
          <w:color w:val="auto"/>
          <w:szCs w:val="21"/>
        </w:rPr>
        <w:t>书附件</w:t>
      </w:r>
      <w:r>
        <w:rPr>
          <w:rFonts w:hint="eastAsia" w:ascii="华文中宋" w:hAnsi="华文中宋" w:eastAsia="华文中宋"/>
          <w:color w:val="auto"/>
          <w:szCs w:val="21"/>
        </w:rPr>
        <w:t>”</w:t>
      </w:r>
      <w:r>
        <w:rPr>
          <w:rFonts w:hint="eastAsia" w:ascii="宋体" w:hAnsi="宋体"/>
          <w:color w:val="auto"/>
          <w:szCs w:val="21"/>
        </w:rPr>
        <w:t>的，应提供其附件，以证明认证证书与响应文件一致。</w:t>
      </w:r>
    </w:p>
    <w:p w14:paraId="7438F184">
      <w:pPr>
        <w:adjustRightInd w:val="0"/>
        <w:snapToGrid w:val="0"/>
        <w:spacing w:line="360" w:lineRule="auto"/>
        <w:ind w:firstLine="420" w:firstLineChars="200"/>
        <w:jc w:val="left"/>
        <w:rPr>
          <w:rFonts w:ascii="宋体" w:hAnsi="宋体"/>
          <w:color w:val="auto"/>
          <w:szCs w:val="21"/>
        </w:rPr>
        <w:sectPr>
          <w:pgSz w:w="11906" w:h="16838"/>
          <w:pgMar w:top="1418" w:right="1418" w:bottom="1134" w:left="1418" w:header="851" w:footer="992" w:gutter="0"/>
          <w:cols w:space="720" w:num="1"/>
          <w:docGrid w:type="linesAndChars" w:linePitch="312" w:charSpace="0"/>
        </w:sectPr>
      </w:pPr>
    </w:p>
    <w:p w14:paraId="20136B3B">
      <w:pPr>
        <w:keepNext/>
        <w:keepLines/>
        <w:adjustRightInd w:val="0"/>
        <w:snapToGrid w:val="0"/>
        <w:spacing w:line="360" w:lineRule="auto"/>
        <w:outlineLvl w:val="3"/>
        <w:rPr>
          <w:rFonts w:ascii="宋体" w:hAnsi="宋体"/>
          <w:b/>
          <w:bCs/>
          <w:color w:val="auto"/>
          <w:szCs w:val="21"/>
        </w:rPr>
      </w:pPr>
      <w:bookmarkStart w:id="229" w:name="_Toc62225534"/>
      <w:bookmarkStart w:id="230" w:name="_Toc107998054"/>
      <w:r>
        <w:rPr>
          <w:rFonts w:hint="eastAsia" w:ascii="宋体" w:hAnsi="宋体" w:cs="宋体"/>
          <w:b/>
          <w:bCs/>
          <w:color w:val="auto"/>
          <w:spacing w:val="6"/>
          <w:kern w:val="0"/>
          <w:szCs w:val="21"/>
        </w:rPr>
        <w:t>附页1</w:t>
      </w:r>
      <w:r>
        <w:rPr>
          <w:rFonts w:hint="eastAsia" w:ascii="宋体" w:hAnsi="宋体"/>
          <w:b/>
          <w:bCs/>
          <w:color w:val="auto"/>
          <w:szCs w:val="21"/>
        </w:rPr>
        <w:t>优先采购产品清单</w:t>
      </w:r>
      <w:bookmarkEnd w:id="229"/>
      <w:bookmarkEnd w:id="230"/>
    </w:p>
    <w:p w14:paraId="73A8FB19">
      <w:pPr>
        <w:adjustRightInd w:val="0"/>
        <w:snapToGrid w:val="0"/>
        <w:spacing w:line="360" w:lineRule="auto"/>
        <w:jc w:val="center"/>
        <w:rPr>
          <w:rFonts w:ascii="宋体" w:hAnsi="宋体"/>
          <w:b/>
          <w:color w:val="auto"/>
          <w:spacing w:val="6"/>
          <w:szCs w:val="21"/>
        </w:rPr>
      </w:pPr>
      <w:r>
        <w:rPr>
          <w:rFonts w:hint="eastAsia" w:ascii="黑体" w:hAnsi="宋体" w:eastAsia="黑体"/>
          <w:b/>
          <w:color w:val="auto"/>
          <w:sz w:val="28"/>
          <w:szCs w:val="28"/>
        </w:rPr>
        <w:t>优先采购产品清单</w:t>
      </w:r>
    </w:p>
    <w:p w14:paraId="3A3F62F0">
      <w:pPr>
        <w:adjustRightInd w:val="0"/>
        <w:snapToGrid w:val="0"/>
        <w:spacing w:before="156" w:beforeLines="50" w:line="360" w:lineRule="auto"/>
        <w:rPr>
          <w:rFonts w:ascii="宋体" w:hAnsi="宋体"/>
          <w:color w:val="auto"/>
          <w:szCs w:val="21"/>
          <w:u w:val="single"/>
        </w:rPr>
      </w:pPr>
      <w:r>
        <w:rPr>
          <w:rFonts w:hint="eastAsia" w:ascii="宋体" w:hAnsi="宋体"/>
          <w:color w:val="auto"/>
          <w:szCs w:val="21"/>
          <w:lang w:eastAsia="zh-CN"/>
        </w:rPr>
        <w:t>采购编号</w:t>
      </w: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项目名称：</w:t>
      </w:r>
      <w:r>
        <w:rPr>
          <w:rFonts w:hint="eastAsia" w:ascii="宋体" w:hAnsi="宋体"/>
          <w:color w:val="auto"/>
          <w:szCs w:val="21"/>
          <w:u w:val="single"/>
        </w:rPr>
        <w:t xml:space="preserve">                    </w:t>
      </w:r>
    </w:p>
    <w:p w14:paraId="7BDE006A">
      <w:pPr>
        <w:adjustRightInd w:val="0"/>
        <w:snapToGrid w:val="0"/>
        <w:spacing w:before="156" w:beforeLines="50" w:line="360" w:lineRule="auto"/>
        <w:rPr>
          <w:rFonts w:ascii="宋体" w:hAnsi="宋体"/>
          <w:color w:val="auto"/>
          <w:szCs w:val="21"/>
          <w:u w:val="single"/>
        </w:rPr>
      </w:pPr>
      <w:r>
        <w:rPr>
          <w:rFonts w:hint="eastAsia" w:ascii="宋体" w:hAnsi="宋体"/>
          <w:color w:val="auto"/>
          <w:szCs w:val="21"/>
        </w:rPr>
        <w:t>包号：</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包名称：</w:t>
      </w:r>
      <w:r>
        <w:rPr>
          <w:rFonts w:hint="eastAsia" w:ascii="宋体" w:hAnsi="宋体"/>
          <w:color w:val="auto"/>
          <w:szCs w:val="21"/>
          <w:u w:val="single"/>
        </w:rPr>
        <w:t xml:space="preserve">                   </w:t>
      </w:r>
    </w:p>
    <w:tbl>
      <w:tblPr>
        <w:tblStyle w:val="25"/>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1"/>
        <w:gridCol w:w="1739"/>
        <w:gridCol w:w="1134"/>
        <w:gridCol w:w="1418"/>
        <w:gridCol w:w="1984"/>
        <w:gridCol w:w="1843"/>
      </w:tblGrid>
      <w:tr w14:paraId="1AC50F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8789" w:type="dxa"/>
            <w:gridSpan w:val="6"/>
            <w:vAlign w:val="center"/>
          </w:tcPr>
          <w:p w14:paraId="715006F7">
            <w:pPr>
              <w:widowControl/>
              <w:adjustRightInd w:val="0"/>
              <w:snapToGrid w:val="0"/>
              <w:spacing w:line="360" w:lineRule="auto"/>
              <w:ind w:firstLine="480" w:firstLineChars="200"/>
              <w:jc w:val="left"/>
              <w:rPr>
                <w:rFonts w:ascii="黑体" w:hAnsi="黑体" w:eastAsia="黑体"/>
                <w:color w:val="auto"/>
                <w:kern w:val="0"/>
                <w:sz w:val="24"/>
              </w:rPr>
            </w:pPr>
            <w:r>
              <w:rPr>
                <w:rFonts w:hint="eastAsia" w:ascii="黑体" w:hAnsi="宋体" w:eastAsia="黑体"/>
                <w:color w:val="auto"/>
                <w:kern w:val="0"/>
                <w:sz w:val="24"/>
              </w:rPr>
              <w:t>以下为供应商提供的政府采购优先采购产品，供应商对本表的真实性负责。如有虚假，将依法承担相应责任。</w:t>
            </w:r>
          </w:p>
        </w:tc>
      </w:tr>
      <w:tr w14:paraId="6AC199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671" w:type="dxa"/>
            <w:vAlign w:val="center"/>
          </w:tcPr>
          <w:p w14:paraId="3C05D75A">
            <w:pPr>
              <w:widowControl/>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1</w:t>
            </w:r>
          </w:p>
        </w:tc>
        <w:tc>
          <w:tcPr>
            <w:tcW w:w="1739" w:type="dxa"/>
            <w:vAlign w:val="center"/>
          </w:tcPr>
          <w:p w14:paraId="1D6E7D5E">
            <w:pPr>
              <w:widowControl/>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2</w:t>
            </w:r>
          </w:p>
        </w:tc>
        <w:tc>
          <w:tcPr>
            <w:tcW w:w="1134" w:type="dxa"/>
            <w:tcBorders>
              <w:right w:val="single" w:color="auto" w:sz="4" w:space="0"/>
            </w:tcBorders>
            <w:vAlign w:val="center"/>
          </w:tcPr>
          <w:p w14:paraId="7E267FF3">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3</w:t>
            </w:r>
          </w:p>
        </w:tc>
        <w:tc>
          <w:tcPr>
            <w:tcW w:w="1418" w:type="dxa"/>
            <w:tcBorders>
              <w:left w:val="single" w:color="auto" w:sz="4" w:space="0"/>
            </w:tcBorders>
            <w:vAlign w:val="center"/>
          </w:tcPr>
          <w:p w14:paraId="2859D564">
            <w:pPr>
              <w:widowControl/>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4</w:t>
            </w:r>
          </w:p>
        </w:tc>
        <w:tc>
          <w:tcPr>
            <w:tcW w:w="1984" w:type="dxa"/>
            <w:vAlign w:val="center"/>
          </w:tcPr>
          <w:p w14:paraId="4FA6C9F8">
            <w:pPr>
              <w:widowControl/>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5</w:t>
            </w:r>
          </w:p>
        </w:tc>
        <w:tc>
          <w:tcPr>
            <w:tcW w:w="1843" w:type="dxa"/>
            <w:vAlign w:val="center"/>
          </w:tcPr>
          <w:p w14:paraId="5089DFC6">
            <w:pPr>
              <w:widowControl/>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6</w:t>
            </w:r>
          </w:p>
        </w:tc>
      </w:tr>
      <w:tr w14:paraId="4A2A65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71" w:type="dxa"/>
            <w:vAlign w:val="center"/>
          </w:tcPr>
          <w:p w14:paraId="2020221A">
            <w:pPr>
              <w:widowControl/>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序号</w:t>
            </w:r>
          </w:p>
        </w:tc>
        <w:tc>
          <w:tcPr>
            <w:tcW w:w="1739" w:type="dxa"/>
            <w:vAlign w:val="center"/>
          </w:tcPr>
          <w:p w14:paraId="3244E486">
            <w:pPr>
              <w:widowControl/>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货物名称</w:t>
            </w:r>
          </w:p>
        </w:tc>
        <w:tc>
          <w:tcPr>
            <w:tcW w:w="1134" w:type="dxa"/>
            <w:tcBorders>
              <w:right w:val="single" w:color="auto" w:sz="4" w:space="0"/>
            </w:tcBorders>
            <w:vAlign w:val="center"/>
          </w:tcPr>
          <w:p w14:paraId="721F9C18">
            <w:pPr>
              <w:widowControl/>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规格型号</w:t>
            </w:r>
          </w:p>
        </w:tc>
        <w:tc>
          <w:tcPr>
            <w:tcW w:w="1418" w:type="dxa"/>
            <w:tcBorders>
              <w:left w:val="single" w:color="auto" w:sz="4" w:space="0"/>
            </w:tcBorders>
            <w:vAlign w:val="center"/>
          </w:tcPr>
          <w:p w14:paraId="28F5A0A1">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价格（元）</w:t>
            </w:r>
          </w:p>
        </w:tc>
        <w:tc>
          <w:tcPr>
            <w:tcW w:w="1984" w:type="dxa"/>
            <w:vAlign w:val="center"/>
          </w:tcPr>
          <w:p w14:paraId="4AE835C1">
            <w:pPr>
              <w:widowControl/>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货物制造商名称</w:t>
            </w:r>
          </w:p>
        </w:tc>
        <w:tc>
          <w:tcPr>
            <w:tcW w:w="1843" w:type="dxa"/>
            <w:vAlign w:val="center"/>
          </w:tcPr>
          <w:p w14:paraId="11A46D6E">
            <w:pPr>
              <w:widowControl/>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政策功能编码</w:t>
            </w:r>
          </w:p>
        </w:tc>
      </w:tr>
      <w:tr w14:paraId="33F417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vAlign w:val="center"/>
          </w:tcPr>
          <w:p w14:paraId="5D65B19D">
            <w:pPr>
              <w:adjustRightInd w:val="0"/>
              <w:snapToGrid w:val="0"/>
              <w:spacing w:line="360" w:lineRule="auto"/>
              <w:jc w:val="left"/>
              <w:rPr>
                <w:rFonts w:ascii="宋体" w:hAnsi="宋体"/>
                <w:b/>
                <w:color w:val="auto"/>
                <w:szCs w:val="21"/>
              </w:rPr>
            </w:pPr>
            <w:r>
              <w:rPr>
                <w:rFonts w:hint="eastAsia" w:ascii="宋体" w:hAnsi="宋体"/>
                <w:b/>
                <w:color w:val="auto"/>
                <w:szCs w:val="21"/>
              </w:rPr>
              <w:t>节能产品</w:t>
            </w:r>
          </w:p>
        </w:tc>
      </w:tr>
      <w:tr w14:paraId="7B5FF7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14:paraId="5C8151E6">
            <w:pPr>
              <w:adjustRightInd w:val="0"/>
              <w:snapToGrid w:val="0"/>
              <w:spacing w:line="360" w:lineRule="auto"/>
              <w:jc w:val="center"/>
              <w:rPr>
                <w:rFonts w:ascii="宋体" w:hAnsi="宋体"/>
                <w:b/>
                <w:color w:val="auto"/>
                <w:szCs w:val="21"/>
              </w:rPr>
            </w:pPr>
          </w:p>
        </w:tc>
        <w:tc>
          <w:tcPr>
            <w:tcW w:w="1739" w:type="dxa"/>
            <w:vAlign w:val="center"/>
          </w:tcPr>
          <w:p w14:paraId="58571169">
            <w:pPr>
              <w:adjustRightInd w:val="0"/>
              <w:snapToGrid w:val="0"/>
              <w:spacing w:line="360" w:lineRule="auto"/>
              <w:jc w:val="center"/>
              <w:rPr>
                <w:rFonts w:ascii="宋体" w:hAnsi="宋体"/>
                <w:b/>
                <w:color w:val="auto"/>
                <w:szCs w:val="21"/>
              </w:rPr>
            </w:pPr>
          </w:p>
        </w:tc>
        <w:tc>
          <w:tcPr>
            <w:tcW w:w="1134" w:type="dxa"/>
            <w:tcBorders>
              <w:right w:val="single" w:color="auto" w:sz="4" w:space="0"/>
            </w:tcBorders>
            <w:vAlign w:val="center"/>
          </w:tcPr>
          <w:p w14:paraId="41B9188D">
            <w:pPr>
              <w:adjustRightInd w:val="0"/>
              <w:snapToGrid w:val="0"/>
              <w:spacing w:line="360" w:lineRule="auto"/>
              <w:jc w:val="left"/>
              <w:rPr>
                <w:rFonts w:ascii="宋体" w:hAnsi="宋体"/>
                <w:b/>
                <w:color w:val="auto"/>
                <w:szCs w:val="21"/>
              </w:rPr>
            </w:pPr>
          </w:p>
        </w:tc>
        <w:tc>
          <w:tcPr>
            <w:tcW w:w="1418" w:type="dxa"/>
            <w:tcBorders>
              <w:left w:val="single" w:color="auto" w:sz="4" w:space="0"/>
            </w:tcBorders>
            <w:vAlign w:val="center"/>
          </w:tcPr>
          <w:p w14:paraId="0441A3A7">
            <w:pPr>
              <w:adjustRightInd w:val="0"/>
              <w:snapToGrid w:val="0"/>
              <w:spacing w:line="360" w:lineRule="auto"/>
              <w:jc w:val="left"/>
              <w:rPr>
                <w:rFonts w:ascii="宋体" w:hAnsi="宋体"/>
                <w:b/>
                <w:color w:val="auto"/>
                <w:szCs w:val="21"/>
              </w:rPr>
            </w:pPr>
          </w:p>
        </w:tc>
        <w:tc>
          <w:tcPr>
            <w:tcW w:w="1984" w:type="dxa"/>
            <w:vAlign w:val="center"/>
          </w:tcPr>
          <w:p w14:paraId="3D5FF6EC">
            <w:pPr>
              <w:adjustRightInd w:val="0"/>
              <w:snapToGrid w:val="0"/>
              <w:spacing w:line="360" w:lineRule="auto"/>
              <w:jc w:val="center"/>
              <w:rPr>
                <w:rFonts w:ascii="宋体" w:hAnsi="宋体"/>
                <w:b/>
                <w:color w:val="auto"/>
                <w:szCs w:val="21"/>
              </w:rPr>
            </w:pPr>
          </w:p>
        </w:tc>
        <w:tc>
          <w:tcPr>
            <w:tcW w:w="1843" w:type="dxa"/>
            <w:vAlign w:val="top"/>
          </w:tcPr>
          <w:p w14:paraId="7BAAB6F1">
            <w:pPr>
              <w:adjustRightInd w:val="0"/>
              <w:snapToGrid w:val="0"/>
              <w:spacing w:line="360" w:lineRule="auto"/>
              <w:jc w:val="center"/>
              <w:rPr>
                <w:rFonts w:ascii="宋体" w:hAnsi="宋体"/>
                <w:b/>
                <w:color w:val="auto"/>
                <w:szCs w:val="21"/>
              </w:rPr>
            </w:pPr>
          </w:p>
        </w:tc>
      </w:tr>
      <w:tr w14:paraId="1A5F1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14:paraId="45546DE5">
            <w:pPr>
              <w:adjustRightInd w:val="0"/>
              <w:snapToGrid w:val="0"/>
              <w:spacing w:line="360" w:lineRule="auto"/>
              <w:jc w:val="center"/>
              <w:rPr>
                <w:rFonts w:ascii="宋体" w:hAnsi="宋体"/>
                <w:color w:val="auto"/>
                <w:szCs w:val="21"/>
              </w:rPr>
            </w:pPr>
            <w:r>
              <w:rPr>
                <w:rFonts w:hint="eastAsia" w:ascii="宋体" w:hAnsi="宋体"/>
                <w:color w:val="auto"/>
                <w:szCs w:val="21"/>
              </w:rPr>
              <w:t>小计</w:t>
            </w:r>
          </w:p>
        </w:tc>
        <w:tc>
          <w:tcPr>
            <w:tcW w:w="1739" w:type="dxa"/>
            <w:vAlign w:val="center"/>
          </w:tcPr>
          <w:p w14:paraId="229FCD5E">
            <w:pPr>
              <w:adjustRightInd w:val="0"/>
              <w:snapToGrid w:val="0"/>
              <w:spacing w:line="360" w:lineRule="auto"/>
              <w:jc w:val="center"/>
              <w:rPr>
                <w:rFonts w:ascii="宋体" w:hAnsi="宋体"/>
                <w:b/>
                <w:color w:val="auto"/>
                <w:szCs w:val="21"/>
              </w:rPr>
            </w:pPr>
            <w:r>
              <w:rPr>
                <w:rFonts w:hint="eastAsia" w:ascii="宋体" w:hAnsi="宋体"/>
                <w:b/>
                <w:color w:val="auto"/>
                <w:szCs w:val="21"/>
              </w:rPr>
              <w:t>/</w:t>
            </w:r>
          </w:p>
        </w:tc>
        <w:tc>
          <w:tcPr>
            <w:tcW w:w="1134" w:type="dxa"/>
            <w:tcBorders>
              <w:right w:val="single" w:color="auto" w:sz="4" w:space="0"/>
            </w:tcBorders>
            <w:vAlign w:val="center"/>
          </w:tcPr>
          <w:p w14:paraId="4150513F">
            <w:pPr>
              <w:adjustRightInd w:val="0"/>
              <w:snapToGrid w:val="0"/>
              <w:spacing w:line="360" w:lineRule="auto"/>
              <w:jc w:val="left"/>
              <w:rPr>
                <w:rFonts w:ascii="宋体" w:hAnsi="宋体"/>
                <w:b/>
                <w:color w:val="auto"/>
                <w:szCs w:val="21"/>
              </w:rPr>
            </w:pPr>
          </w:p>
        </w:tc>
        <w:tc>
          <w:tcPr>
            <w:tcW w:w="1418" w:type="dxa"/>
            <w:tcBorders>
              <w:left w:val="single" w:color="auto" w:sz="4" w:space="0"/>
            </w:tcBorders>
            <w:vAlign w:val="center"/>
          </w:tcPr>
          <w:p w14:paraId="030C15AF">
            <w:pPr>
              <w:adjustRightInd w:val="0"/>
              <w:snapToGrid w:val="0"/>
              <w:spacing w:line="360" w:lineRule="auto"/>
              <w:jc w:val="left"/>
              <w:rPr>
                <w:rFonts w:ascii="宋体" w:hAnsi="宋体"/>
                <w:b/>
                <w:color w:val="auto"/>
                <w:szCs w:val="21"/>
              </w:rPr>
            </w:pPr>
          </w:p>
        </w:tc>
        <w:tc>
          <w:tcPr>
            <w:tcW w:w="1984" w:type="dxa"/>
            <w:vAlign w:val="center"/>
          </w:tcPr>
          <w:p w14:paraId="1BA23881">
            <w:pPr>
              <w:adjustRightInd w:val="0"/>
              <w:snapToGrid w:val="0"/>
              <w:spacing w:line="360" w:lineRule="auto"/>
              <w:jc w:val="center"/>
              <w:rPr>
                <w:rFonts w:ascii="宋体" w:hAnsi="宋体"/>
                <w:b/>
                <w:color w:val="auto"/>
                <w:szCs w:val="21"/>
              </w:rPr>
            </w:pPr>
            <w:r>
              <w:rPr>
                <w:rFonts w:hint="eastAsia" w:ascii="宋体" w:hAnsi="宋体"/>
                <w:b/>
                <w:color w:val="auto"/>
                <w:szCs w:val="21"/>
              </w:rPr>
              <w:t>/</w:t>
            </w:r>
          </w:p>
        </w:tc>
        <w:tc>
          <w:tcPr>
            <w:tcW w:w="1843" w:type="dxa"/>
            <w:vAlign w:val="top"/>
          </w:tcPr>
          <w:p w14:paraId="1ECF2E3E">
            <w:pPr>
              <w:adjustRightInd w:val="0"/>
              <w:snapToGrid w:val="0"/>
              <w:spacing w:line="360" w:lineRule="auto"/>
              <w:jc w:val="center"/>
              <w:rPr>
                <w:rFonts w:ascii="宋体" w:hAnsi="宋体"/>
                <w:b/>
                <w:color w:val="auto"/>
                <w:szCs w:val="21"/>
              </w:rPr>
            </w:pPr>
            <w:r>
              <w:rPr>
                <w:rFonts w:hint="eastAsia" w:ascii="宋体" w:hAnsi="宋体"/>
                <w:b/>
                <w:color w:val="auto"/>
                <w:szCs w:val="21"/>
              </w:rPr>
              <w:t>/</w:t>
            </w:r>
          </w:p>
        </w:tc>
      </w:tr>
      <w:tr w14:paraId="49819D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vAlign w:val="center"/>
          </w:tcPr>
          <w:p w14:paraId="37C8B825">
            <w:pPr>
              <w:adjustRightInd w:val="0"/>
              <w:snapToGrid w:val="0"/>
              <w:spacing w:line="360" w:lineRule="auto"/>
              <w:jc w:val="left"/>
              <w:rPr>
                <w:rFonts w:ascii="宋体" w:hAnsi="宋体"/>
                <w:b/>
                <w:color w:val="auto"/>
                <w:szCs w:val="21"/>
              </w:rPr>
            </w:pPr>
            <w:r>
              <w:rPr>
                <w:rFonts w:hint="eastAsia" w:ascii="宋体" w:hAnsi="宋体"/>
                <w:b/>
                <w:color w:val="auto"/>
                <w:szCs w:val="21"/>
              </w:rPr>
              <w:t>环境标志产品</w:t>
            </w:r>
          </w:p>
        </w:tc>
      </w:tr>
      <w:tr w14:paraId="41159C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14:paraId="747E77FE">
            <w:pPr>
              <w:adjustRightInd w:val="0"/>
              <w:snapToGrid w:val="0"/>
              <w:spacing w:line="360" w:lineRule="auto"/>
              <w:jc w:val="center"/>
              <w:rPr>
                <w:rFonts w:ascii="宋体" w:hAnsi="宋体"/>
                <w:b/>
                <w:color w:val="auto"/>
                <w:szCs w:val="21"/>
              </w:rPr>
            </w:pPr>
          </w:p>
        </w:tc>
        <w:tc>
          <w:tcPr>
            <w:tcW w:w="1739" w:type="dxa"/>
            <w:vAlign w:val="center"/>
          </w:tcPr>
          <w:p w14:paraId="27280996">
            <w:pPr>
              <w:adjustRightInd w:val="0"/>
              <w:snapToGrid w:val="0"/>
              <w:spacing w:line="360" w:lineRule="auto"/>
              <w:jc w:val="center"/>
              <w:rPr>
                <w:rFonts w:ascii="宋体" w:hAnsi="宋体"/>
                <w:b/>
                <w:color w:val="auto"/>
                <w:szCs w:val="21"/>
              </w:rPr>
            </w:pPr>
          </w:p>
        </w:tc>
        <w:tc>
          <w:tcPr>
            <w:tcW w:w="1134" w:type="dxa"/>
            <w:tcBorders>
              <w:right w:val="single" w:color="auto" w:sz="4" w:space="0"/>
            </w:tcBorders>
            <w:vAlign w:val="center"/>
          </w:tcPr>
          <w:p w14:paraId="1217B619">
            <w:pPr>
              <w:adjustRightInd w:val="0"/>
              <w:snapToGrid w:val="0"/>
              <w:spacing w:line="360" w:lineRule="auto"/>
              <w:jc w:val="left"/>
              <w:rPr>
                <w:rFonts w:ascii="宋体" w:hAnsi="宋体"/>
                <w:b/>
                <w:color w:val="auto"/>
                <w:szCs w:val="21"/>
              </w:rPr>
            </w:pPr>
          </w:p>
        </w:tc>
        <w:tc>
          <w:tcPr>
            <w:tcW w:w="1418" w:type="dxa"/>
            <w:tcBorders>
              <w:left w:val="single" w:color="auto" w:sz="4" w:space="0"/>
            </w:tcBorders>
            <w:vAlign w:val="center"/>
          </w:tcPr>
          <w:p w14:paraId="5D9C93E0">
            <w:pPr>
              <w:adjustRightInd w:val="0"/>
              <w:snapToGrid w:val="0"/>
              <w:spacing w:line="360" w:lineRule="auto"/>
              <w:jc w:val="left"/>
              <w:rPr>
                <w:rFonts w:ascii="宋体" w:hAnsi="宋体"/>
                <w:b/>
                <w:color w:val="auto"/>
                <w:szCs w:val="21"/>
              </w:rPr>
            </w:pPr>
          </w:p>
        </w:tc>
        <w:tc>
          <w:tcPr>
            <w:tcW w:w="1984" w:type="dxa"/>
            <w:vAlign w:val="center"/>
          </w:tcPr>
          <w:p w14:paraId="20A20CE2">
            <w:pPr>
              <w:adjustRightInd w:val="0"/>
              <w:snapToGrid w:val="0"/>
              <w:spacing w:line="360" w:lineRule="auto"/>
              <w:jc w:val="center"/>
              <w:rPr>
                <w:rFonts w:ascii="宋体" w:hAnsi="宋体"/>
                <w:b/>
                <w:color w:val="auto"/>
                <w:szCs w:val="21"/>
              </w:rPr>
            </w:pPr>
          </w:p>
        </w:tc>
        <w:tc>
          <w:tcPr>
            <w:tcW w:w="1843" w:type="dxa"/>
            <w:vAlign w:val="top"/>
          </w:tcPr>
          <w:p w14:paraId="528C5D1E">
            <w:pPr>
              <w:adjustRightInd w:val="0"/>
              <w:snapToGrid w:val="0"/>
              <w:spacing w:line="360" w:lineRule="auto"/>
              <w:jc w:val="center"/>
              <w:rPr>
                <w:rFonts w:ascii="宋体" w:hAnsi="宋体"/>
                <w:b/>
                <w:color w:val="auto"/>
                <w:szCs w:val="21"/>
              </w:rPr>
            </w:pPr>
          </w:p>
        </w:tc>
      </w:tr>
      <w:tr w14:paraId="31C033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14:paraId="26A7905C">
            <w:pPr>
              <w:adjustRightInd w:val="0"/>
              <w:snapToGrid w:val="0"/>
              <w:spacing w:line="360" w:lineRule="auto"/>
              <w:jc w:val="center"/>
              <w:rPr>
                <w:rFonts w:ascii="宋体" w:hAnsi="宋体"/>
                <w:color w:val="auto"/>
                <w:szCs w:val="21"/>
              </w:rPr>
            </w:pPr>
            <w:r>
              <w:rPr>
                <w:rFonts w:hint="eastAsia" w:ascii="宋体" w:hAnsi="宋体"/>
                <w:color w:val="auto"/>
                <w:szCs w:val="21"/>
              </w:rPr>
              <w:t>小计</w:t>
            </w:r>
          </w:p>
        </w:tc>
        <w:tc>
          <w:tcPr>
            <w:tcW w:w="1739" w:type="dxa"/>
            <w:vAlign w:val="center"/>
          </w:tcPr>
          <w:p w14:paraId="77688559">
            <w:pPr>
              <w:adjustRightInd w:val="0"/>
              <w:snapToGrid w:val="0"/>
              <w:spacing w:line="360" w:lineRule="auto"/>
              <w:jc w:val="center"/>
              <w:rPr>
                <w:rFonts w:ascii="宋体" w:hAnsi="宋体"/>
                <w:b/>
                <w:color w:val="auto"/>
                <w:szCs w:val="21"/>
              </w:rPr>
            </w:pPr>
            <w:r>
              <w:rPr>
                <w:rFonts w:hint="eastAsia" w:ascii="宋体" w:hAnsi="宋体"/>
                <w:b/>
                <w:color w:val="auto"/>
                <w:szCs w:val="21"/>
              </w:rPr>
              <w:t>/</w:t>
            </w:r>
          </w:p>
        </w:tc>
        <w:tc>
          <w:tcPr>
            <w:tcW w:w="1134" w:type="dxa"/>
            <w:tcBorders>
              <w:right w:val="single" w:color="auto" w:sz="4" w:space="0"/>
            </w:tcBorders>
            <w:vAlign w:val="center"/>
          </w:tcPr>
          <w:p w14:paraId="6FECC4BC">
            <w:pPr>
              <w:adjustRightInd w:val="0"/>
              <w:snapToGrid w:val="0"/>
              <w:spacing w:line="360" w:lineRule="auto"/>
              <w:jc w:val="left"/>
              <w:rPr>
                <w:rFonts w:ascii="宋体" w:hAnsi="宋体"/>
                <w:b/>
                <w:color w:val="auto"/>
                <w:szCs w:val="21"/>
              </w:rPr>
            </w:pPr>
          </w:p>
        </w:tc>
        <w:tc>
          <w:tcPr>
            <w:tcW w:w="1418" w:type="dxa"/>
            <w:tcBorders>
              <w:left w:val="single" w:color="auto" w:sz="4" w:space="0"/>
            </w:tcBorders>
            <w:vAlign w:val="center"/>
          </w:tcPr>
          <w:p w14:paraId="0B7E15C3">
            <w:pPr>
              <w:adjustRightInd w:val="0"/>
              <w:snapToGrid w:val="0"/>
              <w:spacing w:line="360" w:lineRule="auto"/>
              <w:jc w:val="left"/>
              <w:rPr>
                <w:rFonts w:ascii="宋体" w:hAnsi="宋体"/>
                <w:b/>
                <w:color w:val="auto"/>
                <w:szCs w:val="21"/>
              </w:rPr>
            </w:pPr>
          </w:p>
        </w:tc>
        <w:tc>
          <w:tcPr>
            <w:tcW w:w="1984" w:type="dxa"/>
            <w:vAlign w:val="center"/>
          </w:tcPr>
          <w:p w14:paraId="2BDDAAFA">
            <w:pPr>
              <w:adjustRightInd w:val="0"/>
              <w:snapToGrid w:val="0"/>
              <w:spacing w:line="360" w:lineRule="auto"/>
              <w:jc w:val="center"/>
              <w:rPr>
                <w:rFonts w:ascii="宋体" w:hAnsi="宋体"/>
                <w:b/>
                <w:color w:val="auto"/>
                <w:szCs w:val="21"/>
              </w:rPr>
            </w:pPr>
            <w:r>
              <w:rPr>
                <w:rFonts w:hint="eastAsia" w:ascii="宋体" w:hAnsi="宋体"/>
                <w:b/>
                <w:color w:val="auto"/>
                <w:szCs w:val="21"/>
              </w:rPr>
              <w:t>/</w:t>
            </w:r>
          </w:p>
        </w:tc>
        <w:tc>
          <w:tcPr>
            <w:tcW w:w="1843" w:type="dxa"/>
            <w:vAlign w:val="top"/>
          </w:tcPr>
          <w:p w14:paraId="4A50959C">
            <w:pPr>
              <w:adjustRightInd w:val="0"/>
              <w:snapToGrid w:val="0"/>
              <w:spacing w:line="360" w:lineRule="auto"/>
              <w:jc w:val="center"/>
              <w:rPr>
                <w:rFonts w:ascii="宋体" w:hAnsi="宋体"/>
                <w:b/>
                <w:color w:val="auto"/>
                <w:szCs w:val="21"/>
              </w:rPr>
            </w:pPr>
            <w:r>
              <w:rPr>
                <w:rFonts w:hint="eastAsia" w:ascii="宋体" w:hAnsi="宋体"/>
                <w:b/>
                <w:color w:val="auto"/>
                <w:szCs w:val="21"/>
              </w:rPr>
              <w:t>/</w:t>
            </w:r>
          </w:p>
        </w:tc>
      </w:tr>
      <w:tr w14:paraId="014B96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vAlign w:val="center"/>
          </w:tcPr>
          <w:p w14:paraId="27CE9046">
            <w:pPr>
              <w:adjustRightInd w:val="0"/>
              <w:snapToGrid w:val="0"/>
              <w:spacing w:line="360" w:lineRule="auto"/>
              <w:jc w:val="left"/>
              <w:rPr>
                <w:rFonts w:ascii="宋体" w:hAnsi="宋体"/>
                <w:b/>
                <w:color w:val="auto"/>
                <w:szCs w:val="21"/>
              </w:rPr>
            </w:pPr>
            <w:r>
              <w:rPr>
                <w:rFonts w:hint="eastAsia" w:ascii="宋体" w:hAnsi="宋体"/>
                <w:b/>
                <w:color w:val="auto"/>
                <w:szCs w:val="21"/>
              </w:rPr>
              <w:t>两型产品</w:t>
            </w:r>
          </w:p>
        </w:tc>
      </w:tr>
      <w:tr w14:paraId="201FC3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14:paraId="0402FA81">
            <w:pPr>
              <w:adjustRightInd w:val="0"/>
              <w:snapToGrid w:val="0"/>
              <w:spacing w:line="360" w:lineRule="auto"/>
              <w:jc w:val="center"/>
              <w:rPr>
                <w:rFonts w:ascii="宋体" w:hAnsi="宋体"/>
                <w:color w:val="auto"/>
                <w:szCs w:val="21"/>
              </w:rPr>
            </w:pPr>
          </w:p>
        </w:tc>
        <w:tc>
          <w:tcPr>
            <w:tcW w:w="1739" w:type="dxa"/>
            <w:vAlign w:val="center"/>
          </w:tcPr>
          <w:p w14:paraId="6BEDDB4F">
            <w:pPr>
              <w:adjustRightInd w:val="0"/>
              <w:snapToGrid w:val="0"/>
              <w:spacing w:line="360" w:lineRule="auto"/>
              <w:jc w:val="center"/>
              <w:rPr>
                <w:rFonts w:ascii="宋体" w:hAnsi="宋体"/>
                <w:color w:val="auto"/>
                <w:szCs w:val="21"/>
              </w:rPr>
            </w:pPr>
          </w:p>
        </w:tc>
        <w:tc>
          <w:tcPr>
            <w:tcW w:w="1134" w:type="dxa"/>
            <w:tcBorders>
              <w:right w:val="single" w:color="auto" w:sz="4" w:space="0"/>
            </w:tcBorders>
            <w:vAlign w:val="center"/>
          </w:tcPr>
          <w:p w14:paraId="1719C425">
            <w:pPr>
              <w:adjustRightInd w:val="0"/>
              <w:snapToGrid w:val="0"/>
              <w:spacing w:line="360" w:lineRule="auto"/>
              <w:jc w:val="center"/>
              <w:rPr>
                <w:rFonts w:ascii="宋体" w:hAnsi="宋体"/>
                <w:color w:val="auto"/>
                <w:szCs w:val="21"/>
              </w:rPr>
            </w:pPr>
          </w:p>
        </w:tc>
        <w:tc>
          <w:tcPr>
            <w:tcW w:w="1418" w:type="dxa"/>
            <w:tcBorders>
              <w:left w:val="single" w:color="auto" w:sz="4" w:space="0"/>
            </w:tcBorders>
            <w:vAlign w:val="center"/>
          </w:tcPr>
          <w:p w14:paraId="0076A9B9">
            <w:pPr>
              <w:adjustRightInd w:val="0"/>
              <w:snapToGrid w:val="0"/>
              <w:spacing w:line="360" w:lineRule="auto"/>
              <w:jc w:val="center"/>
              <w:rPr>
                <w:rFonts w:ascii="宋体" w:hAnsi="宋体"/>
                <w:color w:val="auto"/>
                <w:szCs w:val="21"/>
              </w:rPr>
            </w:pPr>
          </w:p>
        </w:tc>
        <w:tc>
          <w:tcPr>
            <w:tcW w:w="1984" w:type="dxa"/>
            <w:vAlign w:val="center"/>
          </w:tcPr>
          <w:p w14:paraId="45ECD646">
            <w:pPr>
              <w:adjustRightInd w:val="0"/>
              <w:snapToGrid w:val="0"/>
              <w:spacing w:line="360" w:lineRule="auto"/>
              <w:jc w:val="center"/>
              <w:rPr>
                <w:rFonts w:ascii="宋体" w:hAnsi="宋体"/>
                <w:color w:val="auto"/>
                <w:szCs w:val="21"/>
              </w:rPr>
            </w:pPr>
          </w:p>
        </w:tc>
        <w:tc>
          <w:tcPr>
            <w:tcW w:w="1843" w:type="dxa"/>
            <w:vAlign w:val="top"/>
          </w:tcPr>
          <w:p w14:paraId="18A7CA8D">
            <w:pPr>
              <w:adjustRightInd w:val="0"/>
              <w:snapToGrid w:val="0"/>
              <w:spacing w:line="360" w:lineRule="auto"/>
              <w:jc w:val="center"/>
              <w:rPr>
                <w:rFonts w:ascii="宋体" w:hAnsi="宋体"/>
                <w:color w:val="auto"/>
                <w:szCs w:val="21"/>
              </w:rPr>
            </w:pPr>
          </w:p>
        </w:tc>
      </w:tr>
      <w:tr w14:paraId="6EB508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14:paraId="5ADD93E7">
            <w:pPr>
              <w:adjustRightInd w:val="0"/>
              <w:snapToGrid w:val="0"/>
              <w:spacing w:line="360" w:lineRule="auto"/>
              <w:jc w:val="center"/>
              <w:rPr>
                <w:rFonts w:ascii="宋体" w:hAnsi="宋体"/>
                <w:color w:val="auto"/>
                <w:szCs w:val="21"/>
              </w:rPr>
            </w:pPr>
            <w:r>
              <w:rPr>
                <w:rFonts w:hint="eastAsia" w:ascii="宋体" w:hAnsi="宋体"/>
                <w:color w:val="auto"/>
                <w:szCs w:val="21"/>
              </w:rPr>
              <w:t>小计</w:t>
            </w:r>
          </w:p>
        </w:tc>
        <w:tc>
          <w:tcPr>
            <w:tcW w:w="1739" w:type="dxa"/>
            <w:vAlign w:val="center"/>
          </w:tcPr>
          <w:p w14:paraId="2CD16F04">
            <w:pPr>
              <w:adjustRightInd w:val="0"/>
              <w:snapToGrid w:val="0"/>
              <w:spacing w:line="360" w:lineRule="auto"/>
              <w:jc w:val="center"/>
              <w:rPr>
                <w:rFonts w:ascii="宋体" w:hAnsi="宋体"/>
                <w:color w:val="auto"/>
                <w:szCs w:val="21"/>
              </w:rPr>
            </w:pPr>
            <w:r>
              <w:rPr>
                <w:rFonts w:hint="eastAsia" w:ascii="宋体" w:hAnsi="宋体"/>
                <w:color w:val="auto"/>
                <w:szCs w:val="21"/>
              </w:rPr>
              <w:t>/</w:t>
            </w:r>
          </w:p>
        </w:tc>
        <w:tc>
          <w:tcPr>
            <w:tcW w:w="1134" w:type="dxa"/>
            <w:tcBorders>
              <w:right w:val="single" w:color="auto" w:sz="4" w:space="0"/>
            </w:tcBorders>
            <w:vAlign w:val="center"/>
          </w:tcPr>
          <w:p w14:paraId="78FB98EB">
            <w:pPr>
              <w:adjustRightInd w:val="0"/>
              <w:snapToGrid w:val="0"/>
              <w:spacing w:line="360" w:lineRule="auto"/>
              <w:jc w:val="center"/>
              <w:rPr>
                <w:rFonts w:ascii="宋体" w:hAnsi="宋体"/>
                <w:color w:val="auto"/>
                <w:szCs w:val="21"/>
              </w:rPr>
            </w:pPr>
          </w:p>
        </w:tc>
        <w:tc>
          <w:tcPr>
            <w:tcW w:w="1418" w:type="dxa"/>
            <w:tcBorders>
              <w:left w:val="single" w:color="auto" w:sz="4" w:space="0"/>
            </w:tcBorders>
            <w:vAlign w:val="center"/>
          </w:tcPr>
          <w:p w14:paraId="465A936A">
            <w:pPr>
              <w:adjustRightInd w:val="0"/>
              <w:snapToGrid w:val="0"/>
              <w:spacing w:line="360" w:lineRule="auto"/>
              <w:jc w:val="center"/>
              <w:rPr>
                <w:rFonts w:ascii="宋体" w:hAnsi="宋体"/>
                <w:color w:val="auto"/>
                <w:szCs w:val="21"/>
              </w:rPr>
            </w:pPr>
          </w:p>
        </w:tc>
        <w:tc>
          <w:tcPr>
            <w:tcW w:w="1984" w:type="dxa"/>
            <w:vAlign w:val="center"/>
          </w:tcPr>
          <w:p w14:paraId="0C0BEADA">
            <w:pPr>
              <w:adjustRightInd w:val="0"/>
              <w:snapToGrid w:val="0"/>
              <w:spacing w:line="360" w:lineRule="auto"/>
              <w:jc w:val="center"/>
              <w:rPr>
                <w:rFonts w:ascii="宋体" w:hAnsi="宋体"/>
                <w:color w:val="auto"/>
                <w:szCs w:val="21"/>
              </w:rPr>
            </w:pPr>
            <w:r>
              <w:rPr>
                <w:rFonts w:hint="eastAsia" w:ascii="宋体" w:hAnsi="宋体"/>
                <w:color w:val="auto"/>
                <w:szCs w:val="21"/>
              </w:rPr>
              <w:t>/</w:t>
            </w:r>
          </w:p>
        </w:tc>
        <w:tc>
          <w:tcPr>
            <w:tcW w:w="1843" w:type="dxa"/>
            <w:vAlign w:val="top"/>
          </w:tcPr>
          <w:p w14:paraId="3EC95333">
            <w:pPr>
              <w:adjustRightInd w:val="0"/>
              <w:snapToGrid w:val="0"/>
              <w:spacing w:line="360" w:lineRule="auto"/>
              <w:jc w:val="center"/>
              <w:rPr>
                <w:rFonts w:ascii="宋体" w:hAnsi="宋体"/>
                <w:color w:val="auto"/>
                <w:szCs w:val="21"/>
              </w:rPr>
            </w:pPr>
            <w:r>
              <w:rPr>
                <w:rFonts w:hint="eastAsia" w:ascii="宋体" w:hAnsi="宋体"/>
                <w:color w:val="auto"/>
                <w:szCs w:val="21"/>
              </w:rPr>
              <w:t>/</w:t>
            </w:r>
          </w:p>
        </w:tc>
      </w:tr>
    </w:tbl>
    <w:p w14:paraId="441689AC">
      <w:pPr>
        <w:adjustRightInd w:val="0"/>
        <w:snapToGrid w:val="0"/>
        <w:spacing w:line="360" w:lineRule="auto"/>
        <w:jc w:val="left"/>
        <w:rPr>
          <w:rFonts w:hint="eastAsia" w:ascii="宋体" w:hAnsi="宋体"/>
          <w:color w:val="auto"/>
          <w:szCs w:val="21"/>
        </w:rPr>
      </w:pPr>
      <w:r>
        <w:rPr>
          <w:rFonts w:hint="eastAsia" w:ascii="宋体" w:hAnsi="宋体" w:eastAsia="宋体"/>
          <w:b w:val="0"/>
          <w:bCs/>
          <w:color w:val="auto"/>
          <w:szCs w:val="21"/>
        </w:rPr>
        <w:t>注</w:t>
      </w:r>
      <w:r>
        <w:rPr>
          <w:rFonts w:hint="eastAsia" w:ascii="宋体" w:hAnsi="宋体"/>
          <w:b w:val="0"/>
          <w:bCs/>
          <w:color w:val="auto"/>
          <w:szCs w:val="21"/>
        </w:rPr>
        <w:t>：1</w:t>
      </w:r>
      <w:r>
        <w:rPr>
          <w:rFonts w:hint="eastAsia" w:ascii="宋体" w:hAnsi="宋体"/>
          <w:bCs/>
          <w:color w:val="auto"/>
          <w:szCs w:val="21"/>
          <w:lang w:val="en-US" w:eastAsia="zh-CN"/>
        </w:rPr>
        <w:t>.</w:t>
      </w:r>
      <w:r>
        <w:rPr>
          <w:rFonts w:hint="eastAsia" w:ascii="宋体" w:hAnsi="宋体"/>
          <w:color w:val="auto"/>
          <w:szCs w:val="21"/>
        </w:rPr>
        <w:t>本表用于计算政府采购优先采购产品（节能产品或者环境标志产品或者两型产品）的政府采购政策价格扣除。</w:t>
      </w:r>
    </w:p>
    <w:p w14:paraId="520432C1">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w:t>
      </w:r>
      <w:r>
        <w:rPr>
          <w:rFonts w:hint="eastAsia" w:ascii="宋体" w:hAnsi="宋体"/>
          <w:color w:val="auto"/>
          <w:szCs w:val="21"/>
        </w:rPr>
        <w:t>栏目4“价格”为综合单价，包含货物所有隐含的内容，如运输费、保险费、管理费和利润等。</w:t>
      </w:r>
    </w:p>
    <w:p w14:paraId="7A342703">
      <w:pPr>
        <w:adjustRightInd w:val="0"/>
        <w:snapToGrid w:val="0"/>
        <w:spacing w:line="360" w:lineRule="auto"/>
        <w:ind w:left="0" w:leftChars="0" w:firstLine="420" w:firstLineChars="200"/>
        <w:jc w:val="left"/>
        <w:rPr>
          <w:rFonts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w:t>
      </w:r>
      <w:r>
        <w:rPr>
          <w:rFonts w:hint="eastAsia" w:ascii="宋体" w:hAnsi="宋体"/>
          <w:color w:val="auto"/>
          <w:szCs w:val="21"/>
        </w:rPr>
        <w:t>栏目6“政策功能编码”是指货物的中国环境标志认证证书编号、中国节能标志认证证书号、两型产品编号。</w:t>
      </w:r>
    </w:p>
    <w:p w14:paraId="67C86082">
      <w:pPr>
        <w:adjustRightInd w:val="0"/>
        <w:snapToGrid w:val="0"/>
        <w:spacing w:line="360" w:lineRule="auto"/>
        <w:ind w:left="0" w:leftChars="0" w:firstLine="420" w:firstLineChars="200"/>
        <w:jc w:val="left"/>
        <w:rPr>
          <w:rFonts w:ascii="宋体" w:hAnsi="宋体"/>
          <w:color w:val="auto"/>
          <w:szCs w:val="21"/>
        </w:rPr>
      </w:pPr>
      <w:r>
        <w:rPr>
          <w:rFonts w:hint="eastAsia" w:ascii="宋体" w:hAnsi="宋体"/>
          <w:color w:val="auto"/>
          <w:szCs w:val="21"/>
        </w:rPr>
        <w:t>4</w:t>
      </w:r>
      <w:r>
        <w:rPr>
          <w:rFonts w:hint="eastAsia" w:ascii="宋体" w:hAnsi="宋体"/>
          <w:color w:val="auto"/>
          <w:szCs w:val="21"/>
          <w:lang w:val="en-US" w:eastAsia="zh-CN"/>
        </w:rPr>
        <w:t>.</w:t>
      </w:r>
      <w:r>
        <w:rPr>
          <w:rFonts w:hint="eastAsia" w:ascii="宋体" w:hAnsi="宋体"/>
          <w:color w:val="auto"/>
          <w:szCs w:val="21"/>
        </w:rPr>
        <w:t>货物同时属于节能产品、环境标志产品、两型产品的，只需填写一种。</w:t>
      </w:r>
    </w:p>
    <w:p w14:paraId="3F71FBA0">
      <w:pPr>
        <w:adjustRightInd w:val="0"/>
        <w:snapToGrid w:val="0"/>
        <w:spacing w:line="360" w:lineRule="auto"/>
        <w:rPr>
          <w:rFonts w:ascii="宋体" w:hAnsi="宋体"/>
          <w:bCs/>
          <w:color w:val="auto"/>
          <w:szCs w:val="21"/>
        </w:rPr>
      </w:pPr>
    </w:p>
    <w:p w14:paraId="24CF1822">
      <w:pPr>
        <w:adjustRightInd w:val="0"/>
        <w:snapToGrid w:val="0"/>
        <w:spacing w:line="360" w:lineRule="auto"/>
        <w:rPr>
          <w:rFonts w:ascii="宋体" w:hAnsi="宋体"/>
          <w:color w:val="auto"/>
          <w:szCs w:val="21"/>
        </w:rPr>
      </w:pPr>
    </w:p>
    <w:p w14:paraId="27B0ACDF">
      <w:pPr>
        <w:adjustRightInd w:val="0"/>
        <w:snapToGrid w:val="0"/>
        <w:spacing w:line="360" w:lineRule="auto"/>
        <w:rPr>
          <w:rFonts w:ascii="宋体" w:hAnsi="宋体"/>
          <w:color w:val="auto"/>
          <w:szCs w:val="21"/>
        </w:rPr>
      </w:pPr>
      <w:r>
        <w:rPr>
          <w:rFonts w:hint="eastAsia" w:ascii="宋体" w:hAnsi="宋体"/>
          <w:color w:val="auto"/>
          <w:szCs w:val="21"/>
        </w:rPr>
        <w:t>供应商名称（盖单位公章）：</w:t>
      </w:r>
    </w:p>
    <w:p w14:paraId="18C25116">
      <w:pPr>
        <w:adjustRightInd w:val="0"/>
        <w:snapToGrid w:val="0"/>
        <w:spacing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或者其委托代理人（签字或者印章）：</w:t>
      </w:r>
    </w:p>
    <w:p w14:paraId="79E8897A">
      <w:pPr>
        <w:rPr>
          <w:color w:val="auto"/>
        </w:rPr>
      </w:pPr>
      <w:r>
        <w:rPr>
          <w:rFonts w:hint="eastAsia"/>
          <w:color w:val="auto"/>
        </w:rPr>
        <w:t>日期：年月日</w:t>
      </w:r>
    </w:p>
    <w:p w14:paraId="3DFA14AE">
      <w:pPr>
        <w:rPr>
          <w:color w:val="auto"/>
        </w:rPr>
      </w:pPr>
    </w:p>
    <w:p w14:paraId="441D9CF3">
      <w:pPr>
        <w:widowControl/>
        <w:jc w:val="left"/>
        <w:rPr>
          <w:rFonts w:ascii="宋体" w:hAnsi="宋体" w:cs="宋体"/>
          <w:b/>
          <w:bCs/>
          <w:color w:val="auto"/>
          <w:spacing w:val="6"/>
          <w:kern w:val="0"/>
          <w:szCs w:val="21"/>
        </w:rPr>
      </w:pPr>
      <w:r>
        <w:rPr>
          <w:rFonts w:ascii="宋体" w:hAnsi="宋体" w:cs="宋体"/>
          <w:color w:val="auto"/>
          <w:spacing w:val="6"/>
          <w:kern w:val="0"/>
          <w:szCs w:val="21"/>
        </w:rPr>
        <w:br w:type="page"/>
      </w:r>
    </w:p>
    <w:p w14:paraId="3929EF76">
      <w:pPr>
        <w:keepNext/>
        <w:keepLines/>
        <w:spacing w:line="360" w:lineRule="auto"/>
        <w:jc w:val="center"/>
        <w:outlineLvl w:val="1"/>
        <w:rPr>
          <w:rFonts w:ascii="黑体" w:hAnsi="黑体" w:eastAsia="黑体"/>
          <w:b/>
          <w:bCs/>
          <w:color w:val="auto"/>
          <w:sz w:val="28"/>
          <w:szCs w:val="28"/>
        </w:rPr>
      </w:pPr>
      <w:bookmarkStart w:id="231" w:name="_Toc107998055"/>
      <w:bookmarkStart w:id="232" w:name="_Toc15988"/>
      <w:r>
        <w:rPr>
          <w:rFonts w:hint="eastAsia" w:ascii="黑体" w:hAnsi="黑体" w:eastAsia="黑体"/>
          <w:b/>
          <w:bCs/>
          <w:color w:val="auto"/>
          <w:sz w:val="28"/>
          <w:szCs w:val="28"/>
        </w:rPr>
        <w:t>十、响应标的符合谈判文件规定的证明文件</w:t>
      </w:r>
      <w:bookmarkEnd w:id="231"/>
      <w:bookmarkEnd w:id="232"/>
    </w:p>
    <w:p w14:paraId="0DF75D83">
      <w:pPr>
        <w:adjustRightInd w:val="0"/>
        <w:snapToGrid w:val="0"/>
        <w:spacing w:line="360" w:lineRule="auto"/>
        <w:rPr>
          <w:rFonts w:ascii="宋体" w:hAnsi="宋体"/>
          <w:color w:val="auto"/>
          <w:szCs w:val="21"/>
        </w:rPr>
      </w:pPr>
    </w:p>
    <w:p w14:paraId="273A442A">
      <w:pPr>
        <w:adjustRightInd w:val="0"/>
        <w:snapToGrid w:val="0"/>
        <w:spacing w:line="360" w:lineRule="auto"/>
        <w:rPr>
          <w:rFonts w:ascii="宋体" w:hAnsi="宋体"/>
          <w:color w:val="auto"/>
          <w:szCs w:val="21"/>
        </w:rPr>
      </w:pPr>
      <w:r>
        <w:rPr>
          <w:rFonts w:hint="eastAsia" w:ascii="宋体" w:hAnsi="宋体"/>
          <w:color w:val="auto"/>
          <w:szCs w:val="21"/>
        </w:rPr>
        <w:t>注：提供第三章规定的证明材料复印件。</w:t>
      </w:r>
    </w:p>
    <w:p w14:paraId="6E3F590E">
      <w:pPr>
        <w:adjustRightInd w:val="0"/>
        <w:snapToGrid w:val="0"/>
        <w:spacing w:line="360" w:lineRule="auto"/>
        <w:rPr>
          <w:rFonts w:ascii="宋体" w:hAnsi="宋体"/>
          <w:color w:val="auto"/>
        </w:rPr>
        <w:sectPr>
          <w:pgSz w:w="11906" w:h="16838"/>
          <w:pgMar w:top="1418" w:right="1418" w:bottom="1134" w:left="1418" w:header="851" w:footer="992" w:gutter="0"/>
          <w:cols w:space="720" w:num="1"/>
          <w:docGrid w:type="linesAndChars" w:linePitch="312" w:charSpace="0"/>
        </w:sectPr>
      </w:pPr>
    </w:p>
    <w:p w14:paraId="14E0E9D2">
      <w:pPr>
        <w:keepNext/>
        <w:keepLines/>
        <w:spacing w:line="360" w:lineRule="auto"/>
        <w:jc w:val="center"/>
        <w:outlineLvl w:val="1"/>
        <w:rPr>
          <w:rFonts w:ascii="黑体" w:hAnsi="黑体" w:eastAsia="黑体"/>
          <w:b/>
          <w:bCs/>
          <w:color w:val="auto"/>
          <w:sz w:val="28"/>
          <w:szCs w:val="28"/>
        </w:rPr>
      </w:pPr>
      <w:bookmarkStart w:id="233" w:name="_Toc107998056"/>
      <w:bookmarkStart w:id="234" w:name="_Toc142"/>
      <w:r>
        <w:rPr>
          <w:rFonts w:hint="eastAsia" w:ascii="黑体" w:hAnsi="黑体" w:eastAsia="黑体"/>
          <w:b/>
          <w:bCs/>
          <w:color w:val="auto"/>
          <w:sz w:val="28"/>
          <w:szCs w:val="28"/>
        </w:rPr>
        <w:t>十一、供应商认为需提供的其他资料</w:t>
      </w:r>
      <w:bookmarkEnd w:id="233"/>
      <w:bookmarkEnd w:id="234"/>
    </w:p>
    <w:p w14:paraId="1353589F">
      <w:pPr>
        <w:adjustRightInd w:val="0"/>
        <w:snapToGrid w:val="0"/>
        <w:spacing w:before="156" w:beforeLines="50" w:line="360" w:lineRule="auto"/>
        <w:rPr>
          <w:rFonts w:ascii="宋体" w:hAnsi="宋体"/>
          <w:color w:val="auto"/>
        </w:rPr>
      </w:pPr>
    </w:p>
    <w:p w14:paraId="6B7D04C3">
      <w:pPr>
        <w:adjustRightInd w:val="0"/>
        <w:snapToGrid w:val="0"/>
        <w:spacing w:before="156" w:beforeLines="50" w:line="360" w:lineRule="auto"/>
        <w:rPr>
          <w:rFonts w:ascii="宋体" w:hAnsi="宋体"/>
          <w:color w:val="auto"/>
        </w:rPr>
      </w:pPr>
      <w:r>
        <w:rPr>
          <w:rFonts w:hint="eastAsia" w:ascii="宋体" w:hAnsi="宋体"/>
          <w:color w:val="auto"/>
        </w:rPr>
        <w:t>注：供应商认为需提供的其他资料包括：</w:t>
      </w:r>
    </w:p>
    <w:p w14:paraId="3CBBBA62">
      <w:pPr>
        <w:adjustRightInd w:val="0"/>
        <w:snapToGrid w:val="0"/>
        <w:spacing w:before="156" w:beforeLines="50" w:line="360" w:lineRule="auto"/>
        <w:ind w:firstLine="420" w:firstLineChars="200"/>
        <w:rPr>
          <w:rFonts w:ascii="宋体" w:hAnsi="宋体"/>
          <w:color w:val="auto"/>
        </w:rPr>
      </w:pPr>
      <w:r>
        <w:rPr>
          <w:rFonts w:hint="eastAsia" w:ascii="宋体" w:hAnsi="宋体"/>
          <w:color w:val="auto"/>
          <w:lang w:val="en-US" w:eastAsia="zh-CN"/>
        </w:rPr>
        <w:t>1.</w:t>
      </w:r>
      <w:r>
        <w:rPr>
          <w:rFonts w:hint="eastAsia" w:ascii="宋体" w:hAnsi="宋体"/>
          <w:color w:val="auto"/>
        </w:rPr>
        <w:t>谈判文件第三章采购需求要求的其他资料；</w:t>
      </w:r>
    </w:p>
    <w:p w14:paraId="79C126EE">
      <w:pPr>
        <w:adjustRightInd w:val="0"/>
        <w:snapToGrid w:val="0"/>
        <w:spacing w:before="156" w:beforeLines="50" w:line="360" w:lineRule="auto"/>
        <w:ind w:firstLine="420" w:firstLineChars="200"/>
        <w:rPr>
          <w:rFonts w:ascii="宋体" w:hAnsi="宋体"/>
          <w:color w:val="auto"/>
        </w:rPr>
      </w:pPr>
      <w:r>
        <w:rPr>
          <w:rFonts w:hint="eastAsia" w:ascii="宋体" w:hAnsi="宋体"/>
          <w:color w:val="auto"/>
          <w:lang w:val="en-US" w:eastAsia="zh-CN"/>
        </w:rPr>
        <w:t>2.</w:t>
      </w:r>
      <w:r>
        <w:rPr>
          <w:rFonts w:hint="eastAsia" w:ascii="宋体" w:hAnsi="宋体"/>
          <w:color w:val="auto"/>
        </w:rPr>
        <w:t>谈判文件要求的其他相关资料。</w:t>
      </w:r>
    </w:p>
    <w:p w14:paraId="5B2B6A4C">
      <w:pPr>
        <w:adjustRightInd w:val="0"/>
        <w:snapToGrid w:val="0"/>
        <w:spacing w:before="156" w:beforeLines="50" w:line="360" w:lineRule="auto"/>
        <w:rPr>
          <w:rFonts w:ascii="宋体" w:hAnsi="宋体"/>
          <w:color w:val="auto"/>
        </w:rPr>
        <w:sectPr>
          <w:pgSz w:w="11906" w:h="16838"/>
          <w:pgMar w:top="1418" w:right="1418" w:bottom="1134" w:left="1418" w:header="851" w:footer="992" w:gutter="0"/>
          <w:cols w:space="720" w:num="1"/>
          <w:docGrid w:type="linesAndChars" w:linePitch="312" w:charSpace="0"/>
        </w:sectPr>
      </w:pPr>
    </w:p>
    <w:p w14:paraId="35BC736B">
      <w:pPr>
        <w:keepNext/>
        <w:keepLines/>
        <w:spacing w:line="360" w:lineRule="auto"/>
        <w:jc w:val="center"/>
        <w:outlineLvl w:val="1"/>
        <w:rPr>
          <w:rFonts w:ascii="Arial" w:hAnsi="Arial"/>
          <w:b/>
          <w:bCs/>
          <w:color w:val="auto"/>
          <w:sz w:val="32"/>
          <w:szCs w:val="32"/>
        </w:rPr>
      </w:pPr>
      <w:bookmarkStart w:id="235" w:name="_Toc107998057"/>
      <w:bookmarkStart w:id="236" w:name="_Toc31140"/>
      <w:r>
        <w:rPr>
          <w:rFonts w:hint="eastAsia" w:ascii="Arial" w:hAnsi="Arial"/>
          <w:b/>
          <w:bCs/>
          <w:color w:val="auto"/>
          <w:sz w:val="32"/>
          <w:szCs w:val="32"/>
        </w:rPr>
        <w:t>十二、最后报价</w:t>
      </w:r>
      <w:bookmarkEnd w:id="235"/>
      <w:bookmarkEnd w:id="236"/>
    </w:p>
    <w:p w14:paraId="01F2F24D">
      <w:pPr>
        <w:adjustRightInd w:val="0"/>
        <w:snapToGrid w:val="0"/>
        <w:spacing w:line="360" w:lineRule="auto"/>
        <w:rPr>
          <w:rFonts w:ascii="宋体" w:hAnsi="宋体"/>
          <w:color w:val="auto"/>
          <w:szCs w:val="21"/>
        </w:rPr>
      </w:pPr>
    </w:p>
    <w:p w14:paraId="15E20280">
      <w:pPr>
        <w:keepNext/>
        <w:keepLines/>
        <w:adjustRightInd w:val="0"/>
        <w:snapToGrid w:val="0"/>
        <w:spacing w:before="156" w:beforeLines="50" w:line="360" w:lineRule="auto"/>
        <w:outlineLvl w:val="2"/>
        <w:rPr>
          <w:rFonts w:ascii="宋体" w:hAnsi="宋体"/>
          <w:b/>
          <w:bCs/>
          <w:color w:val="auto"/>
          <w:szCs w:val="21"/>
        </w:rPr>
      </w:pPr>
      <w:bookmarkStart w:id="237" w:name="_Toc108015410"/>
      <w:bookmarkStart w:id="238" w:name="_Toc31330"/>
      <w:bookmarkStart w:id="239" w:name="_Toc107998058"/>
      <w:r>
        <w:rPr>
          <w:rFonts w:hint="eastAsia" w:ascii="宋体" w:hAnsi="宋体"/>
          <w:b/>
          <w:bCs/>
          <w:color w:val="auto"/>
          <w:szCs w:val="21"/>
        </w:rPr>
        <w:t>附件</w:t>
      </w:r>
      <w:r>
        <w:rPr>
          <w:rFonts w:ascii="宋体" w:hAnsi="宋体"/>
          <w:b/>
          <w:bCs/>
          <w:color w:val="auto"/>
          <w:szCs w:val="21"/>
        </w:rPr>
        <w:t>12</w:t>
      </w:r>
      <w:r>
        <w:rPr>
          <w:rFonts w:hint="eastAsia" w:ascii="宋体" w:hAnsi="宋体"/>
          <w:b/>
          <w:bCs/>
          <w:color w:val="auto"/>
          <w:szCs w:val="21"/>
        </w:rPr>
        <w:t>-1 报价表</w:t>
      </w:r>
      <w:bookmarkEnd w:id="237"/>
      <w:bookmarkEnd w:id="238"/>
      <w:bookmarkEnd w:id="239"/>
    </w:p>
    <w:p w14:paraId="622CB50B">
      <w:pPr>
        <w:tabs>
          <w:tab w:val="left" w:pos="1680"/>
        </w:tabs>
        <w:adjustRightInd w:val="0"/>
        <w:snapToGrid w:val="0"/>
        <w:spacing w:line="360" w:lineRule="auto"/>
        <w:jc w:val="center"/>
        <w:rPr>
          <w:rFonts w:ascii="宋体" w:hAnsi="宋体" w:cs="宋体"/>
          <w:b/>
          <w:color w:val="auto"/>
          <w:sz w:val="30"/>
          <w:szCs w:val="30"/>
        </w:rPr>
      </w:pPr>
      <w:r>
        <w:rPr>
          <w:rFonts w:hint="eastAsia" w:ascii="宋体" w:hAnsi="宋体" w:cs="宋体"/>
          <w:b/>
          <w:color w:val="auto"/>
          <w:sz w:val="30"/>
          <w:szCs w:val="30"/>
        </w:rPr>
        <w:t>报价表（最后报价）</w:t>
      </w:r>
    </w:p>
    <w:p w14:paraId="6456A5E5">
      <w:pPr>
        <w:adjustRightInd w:val="0"/>
        <w:snapToGrid w:val="0"/>
        <w:spacing w:before="156" w:beforeLines="50" w:line="360" w:lineRule="auto"/>
        <w:rPr>
          <w:rFonts w:ascii="宋体" w:hAnsi="宋体"/>
          <w:color w:val="auto"/>
          <w:szCs w:val="21"/>
        </w:rPr>
      </w:pPr>
      <w:r>
        <w:rPr>
          <w:rFonts w:hint="eastAsia" w:ascii="宋体" w:hAnsi="宋体"/>
          <w:color w:val="auto"/>
          <w:szCs w:val="21"/>
          <w:lang w:eastAsia="zh-CN"/>
        </w:rPr>
        <w:t>采购编号</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项目名称：</w:t>
      </w:r>
      <w:r>
        <w:rPr>
          <w:rFonts w:hint="eastAsia" w:ascii="宋体" w:hAnsi="宋体"/>
          <w:color w:val="auto"/>
          <w:szCs w:val="21"/>
          <w:u w:val="single"/>
        </w:rPr>
        <w:t xml:space="preserve">                   </w:t>
      </w:r>
    </w:p>
    <w:p w14:paraId="740A302B">
      <w:pPr>
        <w:adjustRightInd w:val="0"/>
        <w:snapToGrid w:val="0"/>
        <w:spacing w:before="156" w:beforeLines="50" w:line="360" w:lineRule="auto"/>
        <w:rPr>
          <w:rFonts w:ascii="宋体" w:hAnsi="宋体"/>
          <w:b/>
          <w:color w:val="auto"/>
          <w:szCs w:val="21"/>
        </w:rPr>
      </w:pPr>
      <w:r>
        <w:rPr>
          <w:rFonts w:hint="eastAsia" w:ascii="宋体" w:hAnsi="宋体"/>
          <w:color w:val="auto"/>
          <w:szCs w:val="21"/>
        </w:rPr>
        <w:t>包号：</w:t>
      </w:r>
      <w:r>
        <w:rPr>
          <w:rFonts w:hint="eastAsia" w:ascii="宋体" w:hAnsi="宋体"/>
          <w:color w:val="auto"/>
          <w:szCs w:val="21"/>
          <w:u w:val="single"/>
        </w:rPr>
        <w:t xml:space="preserve">                         </w:t>
      </w:r>
      <w:r>
        <w:rPr>
          <w:rFonts w:hint="eastAsia" w:ascii="宋体" w:hAnsi="宋体"/>
          <w:color w:val="auto"/>
          <w:szCs w:val="21"/>
        </w:rPr>
        <w:t xml:space="preserve">                   包名称：</w:t>
      </w:r>
      <w:r>
        <w:rPr>
          <w:rFonts w:hint="eastAsia" w:ascii="宋体" w:hAnsi="宋体"/>
          <w:color w:val="auto"/>
          <w:szCs w:val="21"/>
          <w:u w:val="single"/>
        </w:rPr>
        <w:t xml:space="preserve">                     </w:t>
      </w:r>
    </w:p>
    <w:tbl>
      <w:tblPr>
        <w:tblStyle w:val="25"/>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14:paraId="252919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14:paraId="79811616">
            <w:pPr>
              <w:adjustRightInd w:val="0"/>
              <w:snapToGrid w:val="0"/>
              <w:spacing w:before="156" w:beforeLines="50" w:line="360" w:lineRule="auto"/>
              <w:jc w:val="center"/>
              <w:rPr>
                <w:rFonts w:ascii="宋体" w:hAnsi="宋体"/>
                <w:b/>
                <w:color w:val="auto"/>
                <w:kern w:val="0"/>
                <w:sz w:val="20"/>
                <w:szCs w:val="21"/>
              </w:rPr>
            </w:pPr>
            <w:r>
              <w:rPr>
                <w:rFonts w:hint="eastAsia" w:ascii="宋体" w:hAnsi="宋体"/>
                <w:b/>
                <w:color w:val="auto"/>
                <w:kern w:val="0"/>
                <w:szCs w:val="21"/>
              </w:rPr>
              <w:t>报价</w:t>
            </w:r>
          </w:p>
        </w:tc>
        <w:tc>
          <w:tcPr>
            <w:tcW w:w="3119" w:type="dxa"/>
            <w:vAlign w:val="center"/>
          </w:tcPr>
          <w:p w14:paraId="1DB23F8C">
            <w:pPr>
              <w:adjustRightInd w:val="0"/>
              <w:snapToGrid w:val="0"/>
              <w:spacing w:before="156" w:beforeLines="50" w:line="360" w:lineRule="auto"/>
              <w:jc w:val="center"/>
              <w:rPr>
                <w:rFonts w:ascii="宋体" w:hAnsi="宋体"/>
                <w:b/>
                <w:color w:val="auto"/>
                <w:kern w:val="0"/>
                <w:szCs w:val="21"/>
              </w:rPr>
            </w:pPr>
            <w:r>
              <w:rPr>
                <w:rFonts w:hint="eastAsia" w:ascii="宋体" w:hAnsi="宋体"/>
                <w:b/>
                <w:color w:val="auto"/>
                <w:kern w:val="0"/>
                <w:szCs w:val="21"/>
              </w:rPr>
              <w:t>其他内容</w:t>
            </w:r>
          </w:p>
        </w:tc>
      </w:tr>
      <w:tr w14:paraId="0C249C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14:paraId="259E5600">
            <w:pPr>
              <w:adjustRightInd w:val="0"/>
              <w:snapToGrid w:val="0"/>
              <w:spacing w:before="156" w:beforeLines="50" w:line="360" w:lineRule="auto"/>
              <w:jc w:val="center"/>
              <w:rPr>
                <w:rFonts w:ascii="宋体" w:hAnsi="宋体"/>
                <w:color w:val="auto"/>
                <w:kern w:val="0"/>
                <w:szCs w:val="21"/>
              </w:rPr>
            </w:pPr>
            <w:r>
              <w:rPr>
                <w:rFonts w:hint="eastAsia" w:ascii="宋体" w:hAnsi="宋体"/>
                <w:color w:val="auto"/>
                <w:kern w:val="0"/>
                <w:szCs w:val="21"/>
              </w:rPr>
              <w:t>小写金额：</w:t>
            </w:r>
            <w:r>
              <w:rPr>
                <w:rFonts w:hint="eastAsia" w:ascii="宋体" w:hAnsi="宋体"/>
                <w:color w:val="auto"/>
                <w:kern w:val="0"/>
                <w:szCs w:val="21"/>
                <w:u w:val="single"/>
              </w:rPr>
              <w:t xml:space="preserve">              </w:t>
            </w:r>
            <w:r>
              <w:rPr>
                <w:rFonts w:hint="eastAsia" w:ascii="宋体" w:hAnsi="宋体"/>
                <w:color w:val="auto"/>
                <w:kern w:val="0"/>
                <w:szCs w:val="21"/>
              </w:rPr>
              <w:t>（</w:t>
            </w:r>
            <w:r>
              <w:rPr>
                <w:rFonts w:hint="eastAsia" w:ascii="宋体" w:hAnsi="宋体"/>
                <w:color w:val="auto"/>
                <w:kern w:val="0"/>
                <w:sz w:val="20"/>
                <w:szCs w:val="21"/>
              </w:rPr>
              <w:t>人民币元</w:t>
            </w:r>
            <w:r>
              <w:rPr>
                <w:rFonts w:hint="eastAsia" w:ascii="宋体" w:hAnsi="宋体"/>
                <w:color w:val="auto"/>
                <w:kern w:val="0"/>
                <w:szCs w:val="21"/>
              </w:rPr>
              <w:t>）</w:t>
            </w:r>
          </w:p>
          <w:p w14:paraId="02AA441A">
            <w:pPr>
              <w:adjustRightInd w:val="0"/>
              <w:snapToGrid w:val="0"/>
              <w:spacing w:before="156" w:beforeLines="50" w:line="360" w:lineRule="auto"/>
              <w:jc w:val="center"/>
              <w:rPr>
                <w:rFonts w:ascii="宋体" w:hAnsi="宋体"/>
                <w:color w:val="auto"/>
                <w:kern w:val="0"/>
                <w:szCs w:val="21"/>
                <w:u w:val="single"/>
              </w:rPr>
            </w:pPr>
            <w:r>
              <w:rPr>
                <w:rFonts w:hint="eastAsia" w:ascii="宋体" w:hAnsi="宋体"/>
                <w:color w:val="auto"/>
                <w:kern w:val="0"/>
                <w:szCs w:val="21"/>
              </w:rPr>
              <w:t>大写金额：</w:t>
            </w:r>
            <w:r>
              <w:rPr>
                <w:rFonts w:hint="eastAsia" w:ascii="宋体" w:hAnsi="宋体"/>
                <w:color w:val="auto"/>
                <w:kern w:val="0"/>
                <w:szCs w:val="21"/>
                <w:u w:val="single"/>
              </w:rPr>
              <w:t xml:space="preserve">               </w:t>
            </w:r>
            <w:r>
              <w:rPr>
                <w:rFonts w:hint="eastAsia" w:ascii="宋体" w:hAnsi="宋体"/>
                <w:color w:val="auto"/>
                <w:kern w:val="0"/>
                <w:szCs w:val="21"/>
              </w:rPr>
              <w:t>（</w:t>
            </w:r>
            <w:r>
              <w:rPr>
                <w:rFonts w:hint="eastAsia" w:ascii="宋体" w:hAnsi="宋体"/>
                <w:color w:val="auto"/>
                <w:kern w:val="0"/>
                <w:sz w:val="20"/>
                <w:szCs w:val="21"/>
              </w:rPr>
              <w:t>人民币元</w:t>
            </w:r>
            <w:r>
              <w:rPr>
                <w:rFonts w:hint="eastAsia" w:ascii="宋体" w:hAnsi="宋体"/>
                <w:color w:val="auto"/>
                <w:kern w:val="0"/>
                <w:szCs w:val="21"/>
              </w:rPr>
              <w:t>）</w:t>
            </w:r>
          </w:p>
          <w:p w14:paraId="15FC39FA">
            <w:pPr>
              <w:adjustRightInd w:val="0"/>
              <w:snapToGrid w:val="0"/>
              <w:spacing w:before="156" w:beforeLines="50" w:line="360" w:lineRule="auto"/>
              <w:jc w:val="center"/>
              <w:rPr>
                <w:rFonts w:ascii="宋体" w:hAnsi="宋体"/>
                <w:color w:val="auto"/>
                <w:kern w:val="0"/>
                <w:sz w:val="20"/>
                <w:szCs w:val="21"/>
              </w:rPr>
            </w:pPr>
            <w:r>
              <w:rPr>
                <w:rFonts w:hint="eastAsia" w:ascii="宋体" w:hAnsi="宋体"/>
                <w:color w:val="auto"/>
                <w:kern w:val="0"/>
                <w:szCs w:val="21"/>
              </w:rPr>
              <w:t>（</w:t>
            </w:r>
            <w:r>
              <w:rPr>
                <w:rFonts w:hint="eastAsia" w:ascii="黑体" w:hAnsi="黑体" w:eastAsia="黑体"/>
                <w:color w:val="auto"/>
                <w:kern w:val="0"/>
                <w:sz w:val="24"/>
              </w:rPr>
              <w:t>大写金额与小写金额不一致时，以大写金额为准</w:t>
            </w:r>
            <w:r>
              <w:rPr>
                <w:rFonts w:hint="eastAsia" w:ascii="宋体" w:hAnsi="宋体"/>
                <w:color w:val="auto"/>
                <w:kern w:val="0"/>
                <w:szCs w:val="21"/>
              </w:rPr>
              <w:t>）</w:t>
            </w:r>
          </w:p>
        </w:tc>
        <w:tc>
          <w:tcPr>
            <w:tcW w:w="3119" w:type="dxa"/>
            <w:vAlign w:val="center"/>
          </w:tcPr>
          <w:p w14:paraId="715A99C3">
            <w:pPr>
              <w:adjustRightInd w:val="0"/>
              <w:snapToGrid w:val="0"/>
              <w:spacing w:before="156" w:beforeLines="50" w:line="360" w:lineRule="auto"/>
              <w:jc w:val="center"/>
              <w:rPr>
                <w:rFonts w:ascii="宋体" w:hAnsi="宋体"/>
                <w:color w:val="auto"/>
                <w:kern w:val="0"/>
                <w:szCs w:val="21"/>
              </w:rPr>
            </w:pPr>
          </w:p>
        </w:tc>
      </w:tr>
    </w:tbl>
    <w:p w14:paraId="2ED64E7F">
      <w:pPr>
        <w:adjustRightInd w:val="0"/>
        <w:snapToGrid w:val="0"/>
        <w:spacing w:before="156" w:beforeLines="50" w:line="360" w:lineRule="auto"/>
        <w:rPr>
          <w:rFonts w:ascii="宋体" w:hAnsi="宋体"/>
          <w:color w:val="auto"/>
          <w:szCs w:val="21"/>
        </w:rPr>
      </w:pPr>
      <w:r>
        <w:rPr>
          <w:rFonts w:hint="eastAsia" w:ascii="宋体" w:hAnsi="宋体"/>
          <w:b w:val="0"/>
          <w:bCs/>
          <w:color w:val="auto"/>
          <w:szCs w:val="21"/>
        </w:rPr>
        <w:t>注：本</w:t>
      </w:r>
      <w:r>
        <w:rPr>
          <w:rFonts w:hint="eastAsia" w:ascii="宋体" w:hAnsi="宋体"/>
          <w:color w:val="auto"/>
          <w:szCs w:val="21"/>
        </w:rPr>
        <w:t>表须按包填写，一个“包号”一份。</w:t>
      </w:r>
    </w:p>
    <w:p w14:paraId="164E297E">
      <w:pPr>
        <w:adjustRightInd w:val="0"/>
        <w:snapToGrid w:val="0"/>
        <w:spacing w:before="156" w:beforeLines="50" w:line="360" w:lineRule="auto"/>
        <w:ind w:firstLine="420" w:firstLineChars="200"/>
        <w:rPr>
          <w:rFonts w:ascii="宋体" w:hAnsi="宋体"/>
          <w:color w:val="auto"/>
          <w:szCs w:val="21"/>
        </w:rPr>
      </w:pPr>
    </w:p>
    <w:p w14:paraId="0D9E8AFA">
      <w:pPr>
        <w:adjustRightInd w:val="0"/>
        <w:snapToGrid w:val="0"/>
        <w:spacing w:before="156" w:beforeLines="50" w:line="360" w:lineRule="auto"/>
        <w:ind w:firstLine="420" w:firstLineChars="200"/>
        <w:rPr>
          <w:rFonts w:ascii="宋体" w:hAnsi="宋体"/>
          <w:color w:val="auto"/>
          <w:szCs w:val="21"/>
        </w:rPr>
      </w:pPr>
    </w:p>
    <w:p w14:paraId="4D2E5D48">
      <w:pPr>
        <w:adjustRightInd w:val="0"/>
        <w:snapToGrid w:val="0"/>
        <w:spacing w:before="156" w:beforeLines="50" w:line="360" w:lineRule="auto"/>
        <w:ind w:firstLine="420" w:firstLineChars="200"/>
        <w:rPr>
          <w:rFonts w:ascii="宋体" w:hAnsi="宋体"/>
          <w:color w:val="auto"/>
          <w:szCs w:val="21"/>
        </w:rPr>
      </w:pPr>
    </w:p>
    <w:p w14:paraId="67F8F6CF">
      <w:pPr>
        <w:adjustRightInd w:val="0"/>
        <w:snapToGrid w:val="0"/>
        <w:spacing w:line="360" w:lineRule="auto"/>
        <w:rPr>
          <w:rFonts w:ascii="宋体" w:hAnsi="宋体"/>
          <w:color w:val="auto"/>
          <w:szCs w:val="21"/>
        </w:rPr>
      </w:pPr>
    </w:p>
    <w:p w14:paraId="0C19E3FD">
      <w:pPr>
        <w:adjustRightInd w:val="0"/>
        <w:snapToGrid w:val="0"/>
        <w:spacing w:line="360" w:lineRule="auto"/>
        <w:rPr>
          <w:rFonts w:ascii="宋体" w:hAnsi="宋体"/>
          <w:color w:val="auto"/>
          <w:szCs w:val="21"/>
        </w:rPr>
      </w:pPr>
      <w:r>
        <w:rPr>
          <w:rFonts w:hint="eastAsia" w:ascii="宋体" w:hAnsi="宋体"/>
          <w:color w:val="auto"/>
          <w:szCs w:val="21"/>
        </w:rPr>
        <w:t>供应商名称（盖单位公章）：</w:t>
      </w:r>
    </w:p>
    <w:p w14:paraId="0ABB6F7C">
      <w:pPr>
        <w:adjustRightInd w:val="0"/>
        <w:snapToGrid w:val="0"/>
        <w:spacing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p>
    <w:p w14:paraId="63AF82B7">
      <w:pPr>
        <w:adjustRightInd w:val="0"/>
        <w:snapToGrid w:val="0"/>
        <w:spacing w:line="36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14:paraId="6210BFBA">
      <w:pPr>
        <w:adjustRightInd w:val="0"/>
        <w:snapToGrid w:val="0"/>
        <w:spacing w:line="360" w:lineRule="auto"/>
        <w:rPr>
          <w:rFonts w:ascii="宋体" w:hAnsi="宋体" w:cs="宋体"/>
          <w:color w:val="auto"/>
          <w:szCs w:val="21"/>
        </w:rPr>
      </w:pPr>
    </w:p>
    <w:p w14:paraId="4F8244BD">
      <w:pPr>
        <w:adjustRightInd w:val="0"/>
        <w:snapToGrid w:val="0"/>
        <w:spacing w:line="360" w:lineRule="auto"/>
        <w:ind w:left="-88" w:leftChars="-42" w:firstLine="525" w:firstLineChars="250"/>
        <w:rPr>
          <w:rFonts w:ascii="宋体" w:hAnsi="宋体" w:cs="宋体"/>
          <w:color w:val="auto"/>
          <w:kern w:val="0"/>
          <w:szCs w:val="21"/>
        </w:rPr>
      </w:pPr>
    </w:p>
    <w:p w14:paraId="07B64040">
      <w:pPr>
        <w:adjustRightInd w:val="0"/>
        <w:snapToGrid w:val="0"/>
        <w:spacing w:line="360" w:lineRule="auto"/>
        <w:ind w:left="-88" w:leftChars="-42" w:firstLine="525" w:firstLineChars="250"/>
        <w:rPr>
          <w:rFonts w:ascii="宋体" w:hAnsi="宋体" w:cs="宋体"/>
          <w:color w:val="auto"/>
          <w:kern w:val="0"/>
          <w:szCs w:val="21"/>
        </w:rPr>
      </w:pPr>
    </w:p>
    <w:p w14:paraId="49EA1AFA">
      <w:pPr>
        <w:adjustRightInd w:val="0"/>
        <w:snapToGrid w:val="0"/>
        <w:spacing w:line="360" w:lineRule="auto"/>
        <w:ind w:left="-88" w:leftChars="-42" w:firstLine="525" w:firstLineChars="250"/>
        <w:rPr>
          <w:rFonts w:ascii="宋体" w:hAnsi="宋体" w:cs="宋体"/>
          <w:color w:val="auto"/>
          <w:kern w:val="0"/>
          <w:szCs w:val="21"/>
        </w:rPr>
      </w:pPr>
      <w:r>
        <w:rPr>
          <w:rFonts w:hint="eastAsia" w:ascii="宋体" w:hAnsi="宋体" w:cs="宋体"/>
          <w:color w:val="auto"/>
          <w:kern w:val="0"/>
          <w:szCs w:val="21"/>
          <w:lang w:val="en-US" w:eastAsia="zh-CN"/>
        </w:rPr>
        <w:t>说明</w:t>
      </w:r>
      <w:r>
        <w:rPr>
          <w:rFonts w:hint="eastAsia" w:ascii="宋体" w:hAnsi="宋体" w:cs="宋体"/>
          <w:color w:val="auto"/>
          <w:kern w:val="0"/>
          <w:szCs w:val="21"/>
        </w:rPr>
        <w:t>：最后报价</w:t>
      </w:r>
      <w:r>
        <w:rPr>
          <w:rFonts w:hint="eastAsia" w:ascii="宋体" w:hAnsi="宋体" w:cs="宋体"/>
          <w:color w:val="auto"/>
          <w:kern w:val="0"/>
          <w:szCs w:val="21"/>
          <w:lang w:val="en-US" w:eastAsia="zh-CN"/>
        </w:rPr>
        <w:t>相关内容和</w:t>
      </w:r>
      <w:r>
        <w:rPr>
          <w:rFonts w:hint="eastAsia" w:ascii="宋体" w:hAnsi="宋体" w:cs="宋体"/>
          <w:color w:val="auto"/>
          <w:kern w:val="0"/>
          <w:szCs w:val="21"/>
        </w:rPr>
        <w:t>表格不得装订在响应文件中，供应商需单独准备，谈判现场进行最后报价。</w:t>
      </w:r>
    </w:p>
    <w:p w14:paraId="6A64ACD1">
      <w:pPr>
        <w:adjustRightInd w:val="0"/>
        <w:snapToGrid w:val="0"/>
        <w:spacing w:line="360" w:lineRule="auto"/>
        <w:ind w:left="-88" w:leftChars="-42" w:firstLine="525" w:firstLineChars="250"/>
        <w:rPr>
          <w:rFonts w:ascii="宋体" w:hAnsi="宋体" w:cs="宋体"/>
          <w:color w:val="auto"/>
          <w:kern w:val="0"/>
          <w:szCs w:val="21"/>
        </w:rPr>
        <w:sectPr>
          <w:pgSz w:w="11906" w:h="16838"/>
          <w:pgMar w:top="1417" w:right="1417" w:bottom="1417" w:left="1417" w:header="851" w:footer="992" w:gutter="0"/>
          <w:cols w:space="720" w:num="1"/>
          <w:docGrid w:type="lines" w:linePitch="312" w:charSpace="0"/>
        </w:sectPr>
      </w:pPr>
    </w:p>
    <w:p w14:paraId="79E3BDC7">
      <w:pPr>
        <w:keepNext/>
        <w:keepLines/>
        <w:adjustRightInd w:val="0"/>
        <w:snapToGrid w:val="0"/>
        <w:spacing w:before="156" w:beforeLines="50" w:line="360" w:lineRule="auto"/>
        <w:outlineLvl w:val="2"/>
        <w:rPr>
          <w:rFonts w:ascii="宋体" w:hAnsi="宋体"/>
          <w:b/>
          <w:bCs/>
          <w:color w:val="auto"/>
          <w:szCs w:val="21"/>
        </w:rPr>
      </w:pPr>
      <w:bookmarkStart w:id="240" w:name="_Toc30099"/>
      <w:bookmarkStart w:id="241" w:name="_Toc108015411"/>
      <w:bookmarkStart w:id="242" w:name="_Toc107998059"/>
      <w:r>
        <w:rPr>
          <w:rFonts w:hint="eastAsia" w:ascii="宋体" w:hAnsi="宋体"/>
          <w:b/>
          <w:bCs/>
          <w:color w:val="auto"/>
          <w:szCs w:val="21"/>
        </w:rPr>
        <w:t>附件</w:t>
      </w:r>
      <w:r>
        <w:rPr>
          <w:rFonts w:ascii="宋体" w:hAnsi="宋体"/>
          <w:b/>
          <w:bCs/>
          <w:color w:val="auto"/>
          <w:szCs w:val="21"/>
        </w:rPr>
        <w:t>12</w:t>
      </w:r>
      <w:r>
        <w:rPr>
          <w:rFonts w:hint="eastAsia" w:ascii="宋体" w:hAnsi="宋体"/>
          <w:b/>
          <w:bCs/>
          <w:color w:val="auto"/>
          <w:szCs w:val="21"/>
        </w:rPr>
        <w:t>-2分项报价说明</w:t>
      </w:r>
      <w:bookmarkEnd w:id="240"/>
      <w:bookmarkEnd w:id="241"/>
      <w:bookmarkEnd w:id="242"/>
    </w:p>
    <w:p w14:paraId="71BE73EC">
      <w:pPr>
        <w:autoSpaceDE w:val="0"/>
        <w:autoSpaceDN w:val="0"/>
        <w:adjustRightInd w:val="0"/>
        <w:snapToGrid w:val="0"/>
        <w:spacing w:before="156" w:beforeLines="50" w:line="360" w:lineRule="auto"/>
        <w:jc w:val="center"/>
        <w:rPr>
          <w:rFonts w:ascii="宋体" w:hAnsi="宋体" w:cs="微软雅黑"/>
          <w:color w:val="auto"/>
          <w:kern w:val="0"/>
          <w:szCs w:val="21"/>
        </w:rPr>
      </w:pPr>
      <w:r>
        <w:rPr>
          <w:rFonts w:hint="eastAsia" w:ascii="黑体" w:hAnsi="宋体" w:eastAsia="黑体" w:cs="微软雅黑"/>
          <w:b/>
          <w:color w:val="auto"/>
          <w:spacing w:val="-2"/>
          <w:kern w:val="0"/>
          <w:sz w:val="28"/>
          <w:szCs w:val="28"/>
        </w:rPr>
        <w:t>分</w:t>
      </w:r>
      <w:r>
        <w:rPr>
          <w:rFonts w:hint="eastAsia" w:ascii="黑体" w:hAnsi="宋体" w:eastAsia="黑体" w:cs="微软雅黑"/>
          <w:b/>
          <w:color w:val="auto"/>
          <w:kern w:val="0"/>
          <w:sz w:val="28"/>
          <w:szCs w:val="28"/>
        </w:rPr>
        <w:t>项</w:t>
      </w:r>
      <w:r>
        <w:rPr>
          <w:rFonts w:hint="eastAsia" w:ascii="黑体" w:hAnsi="宋体" w:eastAsia="黑体" w:cs="微软雅黑"/>
          <w:b/>
          <w:color w:val="auto"/>
          <w:spacing w:val="-2"/>
          <w:kern w:val="0"/>
          <w:sz w:val="28"/>
          <w:szCs w:val="28"/>
        </w:rPr>
        <w:t>报</w:t>
      </w:r>
      <w:r>
        <w:rPr>
          <w:rFonts w:hint="eastAsia" w:ascii="黑体" w:hAnsi="宋体" w:eastAsia="黑体" w:cs="微软雅黑"/>
          <w:b/>
          <w:color w:val="auto"/>
          <w:kern w:val="0"/>
          <w:sz w:val="28"/>
          <w:szCs w:val="28"/>
        </w:rPr>
        <w:t>价说明</w:t>
      </w:r>
      <w:r>
        <w:rPr>
          <w:rFonts w:hint="eastAsia" w:ascii="宋体" w:hAnsi="宋体" w:cs="宋体"/>
          <w:b/>
          <w:color w:val="auto"/>
          <w:sz w:val="30"/>
          <w:szCs w:val="30"/>
        </w:rPr>
        <w:t>（最后报价）</w:t>
      </w:r>
    </w:p>
    <w:p w14:paraId="5AD83AAF">
      <w:pPr>
        <w:autoSpaceDE w:val="0"/>
        <w:autoSpaceDN w:val="0"/>
        <w:adjustRightInd w:val="0"/>
        <w:snapToGrid w:val="0"/>
        <w:spacing w:before="156" w:beforeLines="50" w:line="360" w:lineRule="auto"/>
        <w:jc w:val="left"/>
        <w:rPr>
          <w:color w:val="auto"/>
        </w:rPr>
      </w:pPr>
      <w:r>
        <w:rPr>
          <w:rFonts w:hint="eastAsia" w:ascii="宋体" w:hAnsi="宋体" w:cs="微软雅黑"/>
          <w:color w:val="auto"/>
          <w:kern w:val="0"/>
          <w:szCs w:val="21"/>
        </w:rPr>
        <w:t>注：1</w:t>
      </w:r>
      <w:r>
        <w:rPr>
          <w:rFonts w:hint="eastAsia" w:ascii="宋体" w:hAnsi="宋体" w:cs="微软雅黑"/>
          <w:color w:val="auto"/>
          <w:kern w:val="0"/>
          <w:szCs w:val="21"/>
          <w:lang w:val="en-US" w:eastAsia="zh-CN"/>
        </w:rPr>
        <w:t>.</w:t>
      </w:r>
      <w:r>
        <w:rPr>
          <w:rFonts w:hint="eastAsia" w:ascii="宋体" w:hAnsi="宋体" w:cs="微软雅黑"/>
          <w:color w:val="auto"/>
          <w:kern w:val="0"/>
          <w:szCs w:val="21"/>
        </w:rPr>
        <w:t>供应商应按谈判文件第二章相关要求，对本节</w:t>
      </w:r>
      <w:r>
        <w:rPr>
          <w:rFonts w:hint="eastAsia" w:ascii="宋体" w:hAnsi="宋体"/>
          <w:bCs/>
          <w:color w:val="auto"/>
          <w:szCs w:val="21"/>
        </w:rPr>
        <w:t>“</w:t>
      </w:r>
      <w:r>
        <w:rPr>
          <w:rFonts w:hint="eastAsia" w:ascii="宋体" w:hAnsi="宋体" w:cs="微软雅黑"/>
          <w:color w:val="auto"/>
          <w:kern w:val="0"/>
          <w:szCs w:val="21"/>
        </w:rPr>
        <w:t>分项报价明细表</w:t>
      </w:r>
      <w:r>
        <w:rPr>
          <w:rFonts w:hint="eastAsia" w:ascii="宋体" w:hAnsi="宋体"/>
          <w:bCs/>
          <w:color w:val="auto"/>
          <w:szCs w:val="21"/>
        </w:rPr>
        <w:t>”进行</w:t>
      </w:r>
      <w:r>
        <w:rPr>
          <w:rFonts w:hint="eastAsia" w:ascii="宋体" w:hAnsi="宋体" w:cs="微软雅黑"/>
          <w:color w:val="auto"/>
          <w:kern w:val="0"/>
          <w:szCs w:val="21"/>
        </w:rPr>
        <w:t>编制，并说明。</w:t>
      </w:r>
    </w:p>
    <w:p w14:paraId="4B6C0BAB">
      <w:pPr>
        <w:keepNext/>
        <w:keepLines/>
        <w:adjustRightInd w:val="0"/>
        <w:snapToGrid w:val="0"/>
        <w:spacing w:before="156" w:beforeLines="50" w:line="360" w:lineRule="auto"/>
        <w:outlineLvl w:val="2"/>
        <w:rPr>
          <w:rFonts w:ascii="宋体" w:hAnsi="宋体"/>
          <w:b/>
          <w:bCs/>
          <w:color w:val="auto"/>
          <w:szCs w:val="21"/>
        </w:rPr>
      </w:pPr>
      <w:bookmarkStart w:id="243" w:name="_Toc1903"/>
      <w:bookmarkStart w:id="244" w:name="_Toc107998060"/>
      <w:bookmarkStart w:id="245" w:name="_Toc108015412"/>
      <w:r>
        <w:rPr>
          <w:rFonts w:hint="eastAsia" w:ascii="宋体" w:hAnsi="宋体"/>
          <w:b/>
          <w:bCs/>
          <w:color w:val="auto"/>
          <w:szCs w:val="21"/>
        </w:rPr>
        <w:t>附件</w:t>
      </w:r>
      <w:r>
        <w:rPr>
          <w:rFonts w:ascii="宋体" w:hAnsi="宋体"/>
          <w:b/>
          <w:bCs/>
          <w:color w:val="auto"/>
          <w:szCs w:val="21"/>
        </w:rPr>
        <w:t>12</w:t>
      </w:r>
      <w:r>
        <w:rPr>
          <w:rFonts w:hint="eastAsia" w:ascii="宋体" w:hAnsi="宋体"/>
          <w:b/>
          <w:bCs/>
          <w:color w:val="auto"/>
          <w:szCs w:val="21"/>
        </w:rPr>
        <w:t>-3分项报价明细表</w:t>
      </w:r>
      <w:bookmarkEnd w:id="243"/>
      <w:bookmarkEnd w:id="244"/>
      <w:bookmarkEnd w:id="245"/>
    </w:p>
    <w:p w14:paraId="2A0729E2">
      <w:pPr>
        <w:adjustRightInd w:val="0"/>
        <w:snapToGrid w:val="0"/>
        <w:spacing w:before="156" w:beforeLines="50" w:line="360" w:lineRule="auto"/>
        <w:jc w:val="center"/>
        <w:rPr>
          <w:rFonts w:ascii="黑体" w:hAnsi="宋体" w:eastAsia="黑体" w:cs="微软雅黑"/>
          <w:b/>
          <w:color w:val="auto"/>
          <w:kern w:val="0"/>
          <w:position w:val="-3"/>
          <w:sz w:val="28"/>
          <w:szCs w:val="28"/>
        </w:rPr>
      </w:pPr>
      <w:r>
        <w:rPr>
          <w:rFonts w:hint="eastAsia" w:ascii="黑体" w:hAnsi="宋体" w:eastAsia="黑体" w:cs="微软雅黑"/>
          <w:b/>
          <w:color w:val="auto"/>
          <w:spacing w:val="-2"/>
          <w:kern w:val="0"/>
          <w:position w:val="-3"/>
          <w:sz w:val="28"/>
          <w:szCs w:val="28"/>
        </w:rPr>
        <w:t>分</w:t>
      </w:r>
      <w:r>
        <w:rPr>
          <w:rFonts w:hint="eastAsia" w:ascii="黑体" w:hAnsi="宋体" w:eastAsia="黑体" w:cs="微软雅黑"/>
          <w:b/>
          <w:color w:val="auto"/>
          <w:kern w:val="0"/>
          <w:position w:val="-3"/>
          <w:sz w:val="28"/>
          <w:szCs w:val="28"/>
        </w:rPr>
        <w:t>项</w:t>
      </w:r>
      <w:r>
        <w:rPr>
          <w:rFonts w:hint="eastAsia" w:ascii="黑体" w:hAnsi="宋体" w:eastAsia="黑体" w:cs="微软雅黑"/>
          <w:b/>
          <w:color w:val="auto"/>
          <w:spacing w:val="-2"/>
          <w:kern w:val="0"/>
          <w:position w:val="-3"/>
          <w:sz w:val="28"/>
          <w:szCs w:val="28"/>
        </w:rPr>
        <w:t>报</w:t>
      </w:r>
      <w:r>
        <w:rPr>
          <w:rFonts w:hint="eastAsia" w:ascii="黑体" w:hAnsi="宋体" w:eastAsia="黑体" w:cs="微软雅黑"/>
          <w:b/>
          <w:color w:val="auto"/>
          <w:kern w:val="0"/>
          <w:position w:val="-3"/>
          <w:sz w:val="28"/>
          <w:szCs w:val="28"/>
        </w:rPr>
        <w:t>价明细表（最后报价）（服务类适用）</w:t>
      </w:r>
    </w:p>
    <w:p w14:paraId="007E47ED">
      <w:pPr>
        <w:adjustRightInd w:val="0"/>
        <w:snapToGrid w:val="0"/>
        <w:spacing w:before="156" w:beforeLines="50" w:line="360" w:lineRule="auto"/>
        <w:rPr>
          <w:rFonts w:ascii="宋体" w:hAnsi="宋体"/>
          <w:color w:val="auto"/>
          <w:szCs w:val="21"/>
        </w:rPr>
      </w:pPr>
      <w:r>
        <w:rPr>
          <w:rFonts w:hint="eastAsia" w:ascii="宋体" w:hAnsi="宋体"/>
          <w:color w:val="auto"/>
          <w:szCs w:val="21"/>
          <w:lang w:eastAsia="zh-CN"/>
        </w:rPr>
        <w:t>采购编号</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项目名称：</w:t>
      </w:r>
      <w:r>
        <w:rPr>
          <w:rFonts w:hint="eastAsia" w:ascii="宋体" w:hAnsi="宋体"/>
          <w:color w:val="auto"/>
          <w:szCs w:val="21"/>
          <w:u w:val="single"/>
        </w:rPr>
        <w:t xml:space="preserve">                        </w:t>
      </w:r>
    </w:p>
    <w:p w14:paraId="122F41C6">
      <w:pPr>
        <w:adjustRightInd w:val="0"/>
        <w:snapToGrid w:val="0"/>
        <w:spacing w:before="156" w:beforeLines="50" w:line="360" w:lineRule="auto"/>
        <w:rPr>
          <w:rFonts w:ascii="宋体" w:hAnsi="宋体"/>
          <w:b/>
          <w:color w:val="auto"/>
          <w:szCs w:val="21"/>
        </w:rPr>
      </w:pPr>
      <w:r>
        <w:rPr>
          <w:rFonts w:hint="eastAsia" w:ascii="宋体" w:hAnsi="宋体"/>
          <w:color w:val="auto"/>
          <w:szCs w:val="21"/>
        </w:rPr>
        <w:t>包号：</w:t>
      </w:r>
      <w:r>
        <w:rPr>
          <w:rFonts w:hint="eastAsia" w:ascii="宋体" w:hAnsi="宋体"/>
          <w:color w:val="auto"/>
          <w:szCs w:val="21"/>
          <w:u w:val="single"/>
        </w:rPr>
        <w:t xml:space="preserve">                      </w:t>
      </w:r>
      <w:r>
        <w:rPr>
          <w:rFonts w:hint="eastAsia" w:ascii="宋体" w:hAnsi="宋体"/>
          <w:color w:val="auto"/>
          <w:szCs w:val="21"/>
        </w:rPr>
        <w:t xml:space="preserve">                       包名称：</w:t>
      </w:r>
      <w:r>
        <w:rPr>
          <w:rFonts w:hint="eastAsia" w:ascii="宋体" w:hAnsi="宋体"/>
          <w:color w:val="auto"/>
          <w:szCs w:val="21"/>
          <w:u w:val="single"/>
        </w:rPr>
        <w:t xml:space="preserve">                        </w:t>
      </w:r>
    </w:p>
    <w:tbl>
      <w:tblPr>
        <w:tblStyle w:val="25"/>
        <w:tblW w:w="895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1471"/>
        <w:gridCol w:w="1320"/>
        <w:gridCol w:w="1086"/>
        <w:gridCol w:w="1403"/>
        <w:gridCol w:w="1306"/>
        <w:gridCol w:w="1180"/>
        <w:gridCol w:w="401"/>
      </w:tblGrid>
      <w:tr w14:paraId="71427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8951" w:type="dxa"/>
            <w:gridSpan w:val="8"/>
            <w:tcBorders>
              <w:top w:val="nil"/>
              <w:left w:val="nil"/>
              <w:bottom w:val="nil"/>
              <w:right w:val="nil"/>
            </w:tcBorders>
            <w:shd w:val="clear" w:color="auto" w:fill="auto"/>
            <w:vAlign w:val="center"/>
          </w:tcPr>
          <w:p w14:paraId="084923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FF"/>
                <w:kern w:val="0"/>
                <w:sz w:val="24"/>
                <w:szCs w:val="24"/>
                <w:u w:val="none"/>
                <w:lang w:val="en-US" w:eastAsia="zh-CN" w:bidi="ar"/>
              </w:rPr>
              <w:t>鹤北新城城中村改造安置区项目（一期）桩基础检测（一期剩余工程量）</w:t>
            </w:r>
            <w:r>
              <w:rPr>
                <w:rFonts w:hint="eastAsia" w:ascii="宋体" w:hAnsi="宋体" w:eastAsia="宋体" w:cs="宋体"/>
                <w:b/>
                <w:bCs/>
                <w:i w:val="0"/>
                <w:iCs w:val="0"/>
                <w:color w:val="0000FF"/>
                <w:kern w:val="0"/>
                <w:sz w:val="24"/>
                <w:szCs w:val="24"/>
                <w:u w:val="none"/>
                <w:lang w:val="en-US" w:eastAsia="zh-CN" w:bidi="ar"/>
              </w:rPr>
              <w:br w:type="textWrapping"/>
            </w:r>
            <w:r>
              <w:rPr>
                <w:rFonts w:hint="eastAsia" w:ascii="宋体" w:hAnsi="宋体" w:cs="宋体"/>
                <w:b/>
                <w:bCs/>
                <w:i w:val="0"/>
                <w:iCs w:val="0"/>
                <w:color w:val="0000FF"/>
                <w:kern w:val="0"/>
                <w:sz w:val="24"/>
                <w:szCs w:val="24"/>
                <w:u w:val="none"/>
                <w:lang w:val="en-US" w:eastAsia="zh-CN" w:bidi="ar"/>
              </w:rPr>
              <w:t>报价</w:t>
            </w:r>
            <w:r>
              <w:rPr>
                <w:rFonts w:hint="eastAsia" w:ascii="宋体" w:hAnsi="宋体" w:eastAsia="宋体" w:cs="宋体"/>
                <w:b/>
                <w:bCs/>
                <w:i w:val="0"/>
                <w:iCs w:val="0"/>
                <w:color w:val="0000FF"/>
                <w:kern w:val="0"/>
                <w:sz w:val="24"/>
                <w:szCs w:val="24"/>
                <w:u w:val="none"/>
                <w:lang w:val="en-US" w:eastAsia="zh-CN" w:bidi="ar"/>
              </w:rPr>
              <w:t>一览表</w:t>
            </w:r>
          </w:p>
        </w:tc>
      </w:tr>
      <w:tr w14:paraId="265F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1" w:type="dxa"/>
          <w:trHeight w:val="54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7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序号</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F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栋号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7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总桩数（根）</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4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9"/>
                <w:lang w:val="en-US" w:eastAsia="zh-CN" w:bidi="ar"/>
              </w:rPr>
              <w:t>高应变</w:t>
            </w:r>
            <w:r>
              <w:rPr>
                <w:rStyle w:val="43"/>
                <w:lang w:val="en-US" w:eastAsia="zh-CN" w:bidi="ar"/>
              </w:rPr>
              <w:t>（根）</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9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低应变（根）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2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单桩竖向抗压静载</w:t>
            </w:r>
            <w:r>
              <w:rPr>
                <w:rFonts w:hint="eastAsia" w:ascii="宋体" w:hAnsi="宋体" w:cs="宋体"/>
                <w:i w:val="0"/>
                <w:iCs w:val="0"/>
                <w:color w:val="000000"/>
                <w:kern w:val="0"/>
                <w:sz w:val="22"/>
                <w:szCs w:val="22"/>
                <w:u w:val="none"/>
                <w:lang w:val="en-US" w:eastAsia="zh-CN" w:bidi="ar"/>
              </w:rPr>
              <w:t>（KN）</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2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单桩竖向抗拔静载</w:t>
            </w:r>
            <w:r>
              <w:rPr>
                <w:rFonts w:hint="eastAsia" w:ascii="宋体" w:hAnsi="宋体" w:cs="宋体"/>
                <w:i w:val="0"/>
                <w:iCs w:val="0"/>
                <w:color w:val="000000"/>
                <w:kern w:val="0"/>
                <w:sz w:val="22"/>
                <w:szCs w:val="22"/>
                <w:u w:val="none"/>
                <w:lang w:val="en-US" w:eastAsia="zh-CN" w:bidi="ar"/>
              </w:rPr>
              <w:t>（KN）</w:t>
            </w:r>
          </w:p>
        </w:tc>
      </w:tr>
      <w:tr w14:paraId="4F92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1" w:type="dxa"/>
          <w:trHeight w:val="1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60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E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地下车库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66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67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1B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C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8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5EB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1" w:type="dxa"/>
          <w:trHeight w:val="1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0D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6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3"/>
                <w:lang w:val="en-US" w:eastAsia="zh-CN" w:bidi="ar"/>
              </w:rPr>
              <w:t>大门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9E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90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54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1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3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7FBC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1" w:type="dxa"/>
          <w:trHeight w:val="1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5E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BE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4#</w:t>
            </w:r>
            <w:r>
              <w:rPr>
                <w:rStyle w:val="43"/>
                <w:lang w:val="en-US" w:eastAsia="zh-CN" w:bidi="ar"/>
              </w:rPr>
              <w:t>商业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86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CF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5C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5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0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4DE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1" w:type="dxa"/>
          <w:trHeight w:val="16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A0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cs="Times New Roman"/>
                <w:i w:val="0"/>
                <w:iCs w:val="0"/>
                <w:color w:val="000000"/>
                <w:kern w:val="0"/>
                <w:sz w:val="24"/>
                <w:szCs w:val="24"/>
                <w:u w:val="none"/>
                <w:lang w:val="en-US" w:eastAsia="zh-CN" w:bidi="ar"/>
              </w:rPr>
              <w:t>4</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0A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20#</w:t>
            </w:r>
            <w:r>
              <w:rPr>
                <w:rStyle w:val="43"/>
                <w:lang w:val="en-US" w:eastAsia="zh-CN" w:bidi="ar"/>
              </w:rPr>
              <w:t>叠墅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01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0B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96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C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0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68017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1" w:type="dxa"/>
          <w:trHeight w:val="2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F1DB">
            <w:pPr>
              <w:keepNext w:val="0"/>
              <w:keepLines w:val="0"/>
              <w:widowControl/>
              <w:suppressLineNumbers w:val="0"/>
              <w:jc w:val="center"/>
              <w:textAlignment w:val="center"/>
              <w:rPr>
                <w:rFonts w:hint="eastAsia" w:ascii="Times New Roman" w:hAnsi="Times New Roman" w:eastAsia="宋体"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5</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8E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21#</w:t>
            </w:r>
            <w:r>
              <w:rPr>
                <w:rStyle w:val="43"/>
                <w:lang w:val="en-US" w:eastAsia="zh-CN" w:bidi="ar"/>
              </w:rPr>
              <w:t>叠墅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DF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EB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E3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1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4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64FB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1" w:type="dxa"/>
          <w:trHeight w:val="1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96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cs="Times New Roman"/>
                <w:i w:val="0"/>
                <w:iCs w:val="0"/>
                <w:color w:val="000000"/>
                <w:kern w:val="0"/>
                <w:sz w:val="24"/>
                <w:szCs w:val="24"/>
                <w:u w:val="none"/>
                <w:lang w:val="en-US" w:eastAsia="zh-CN" w:bidi="ar"/>
              </w:rPr>
              <w:t>6</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46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22#</w:t>
            </w:r>
            <w:r>
              <w:rPr>
                <w:rStyle w:val="43"/>
                <w:lang w:val="en-US" w:eastAsia="zh-CN" w:bidi="ar"/>
              </w:rPr>
              <w:t>叠墅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EA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CE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5B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A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A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597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1" w:type="dxa"/>
          <w:trHeight w:val="122"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68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cs="Times New Roman"/>
                <w:i w:val="0"/>
                <w:iCs w:val="0"/>
                <w:color w:val="000000"/>
                <w:kern w:val="0"/>
                <w:sz w:val="24"/>
                <w:szCs w:val="24"/>
                <w:u w:val="none"/>
                <w:lang w:val="en-US" w:eastAsia="zh-CN" w:bidi="ar"/>
              </w:rPr>
              <w:t>7</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BF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5"/>
                <w:rFonts w:eastAsia="宋体"/>
                <w:lang w:val="en-US" w:eastAsia="zh-CN" w:bidi="ar"/>
              </w:rPr>
              <w:t>23#</w:t>
            </w:r>
            <w:r>
              <w:rPr>
                <w:rStyle w:val="43"/>
                <w:lang w:val="en-US" w:eastAsia="zh-CN" w:bidi="ar"/>
              </w:rPr>
              <w:t>叠墅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0D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6D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C3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5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C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DD6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1" w:type="dxa"/>
          <w:trHeight w:val="162" w:hRule="atLeast"/>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D1F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合计检测数量</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5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D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9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E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1F68A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1" w:type="dxa"/>
          <w:trHeight w:val="152" w:hRule="atLeast"/>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02ED8">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控制价</w:t>
            </w:r>
            <w:r>
              <w:rPr>
                <w:rFonts w:hint="eastAsia" w:ascii="宋体" w:hAnsi="宋体" w:cs="宋体"/>
                <w:i w:val="0"/>
                <w:iCs w:val="0"/>
                <w:color w:val="0000FF"/>
                <w:kern w:val="0"/>
                <w:sz w:val="22"/>
                <w:szCs w:val="22"/>
                <w:u w:val="none"/>
                <w:lang w:val="en-US" w:eastAsia="zh-CN" w:bidi="ar"/>
              </w:rPr>
              <w:t>单价</w:t>
            </w:r>
            <w:r>
              <w:rPr>
                <w:rFonts w:hint="eastAsia" w:ascii="宋体" w:hAnsi="宋体" w:eastAsia="宋体" w:cs="宋体"/>
                <w:i w:val="0"/>
                <w:iCs w:val="0"/>
                <w:color w:val="0000FF"/>
                <w:kern w:val="0"/>
                <w:sz w:val="22"/>
                <w:szCs w:val="22"/>
                <w:u w:val="none"/>
                <w:lang w:val="en-US" w:eastAsia="zh-CN" w:bidi="ar"/>
              </w:rPr>
              <w:t>（</w:t>
            </w:r>
            <w:r>
              <w:rPr>
                <w:rFonts w:hint="eastAsia" w:ascii="宋体" w:hAnsi="宋体" w:cs="宋体"/>
                <w:i w:val="0"/>
                <w:iCs w:val="0"/>
                <w:color w:val="0000FF"/>
                <w:kern w:val="0"/>
                <w:sz w:val="22"/>
                <w:szCs w:val="22"/>
                <w:u w:val="none"/>
                <w:lang w:val="en-US" w:eastAsia="zh-CN" w:bidi="ar"/>
              </w:rPr>
              <w:t>元</w:t>
            </w:r>
            <w:r>
              <w:rPr>
                <w:rFonts w:hint="eastAsia" w:ascii="宋体" w:hAnsi="宋体" w:eastAsia="宋体" w:cs="宋体"/>
                <w:i w:val="0"/>
                <w:iCs w:val="0"/>
                <w:color w:val="0000FF"/>
                <w:kern w:val="0"/>
                <w:sz w:val="22"/>
                <w:szCs w:val="22"/>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3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F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0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1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r>
      <w:tr w14:paraId="64949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1" w:type="dxa"/>
          <w:trHeight w:val="152" w:hRule="atLeast"/>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0CDC">
            <w:pPr>
              <w:keepNext w:val="0"/>
              <w:keepLines w:val="0"/>
              <w:widowControl/>
              <w:suppressLineNumbers w:val="0"/>
              <w:jc w:val="center"/>
              <w:textAlignment w:val="center"/>
              <w:rPr>
                <w:rFonts w:hint="default" w:ascii="宋体" w:hAnsi="宋体" w:eastAsia="宋体" w:cs="宋体"/>
                <w:i w:val="0"/>
                <w:iCs w:val="0"/>
                <w:color w:val="0000FF"/>
                <w:kern w:val="0"/>
                <w:sz w:val="22"/>
                <w:szCs w:val="22"/>
                <w:u w:val="none"/>
                <w:lang w:val="en-US" w:eastAsia="zh-CN" w:bidi="ar"/>
              </w:rPr>
            </w:pPr>
            <w:r>
              <w:rPr>
                <w:rFonts w:hint="eastAsia" w:ascii="宋体" w:hAnsi="宋体" w:cs="宋体"/>
                <w:i w:val="0"/>
                <w:iCs w:val="0"/>
                <w:color w:val="0000FF"/>
                <w:kern w:val="0"/>
                <w:sz w:val="22"/>
                <w:szCs w:val="22"/>
                <w:u w:val="none"/>
                <w:lang w:val="en-US" w:eastAsia="zh-CN" w:bidi="ar"/>
              </w:rPr>
              <w:t>控制总价（元）</w:t>
            </w:r>
          </w:p>
        </w:tc>
        <w:tc>
          <w:tcPr>
            <w:tcW w:w="49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A9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298965</w:t>
            </w:r>
          </w:p>
        </w:tc>
      </w:tr>
      <w:tr w14:paraId="260BF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1" w:type="dxa"/>
          <w:trHeight w:val="90" w:hRule="atLeast"/>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0C55">
            <w:pPr>
              <w:keepNext w:val="0"/>
              <w:keepLines w:val="0"/>
              <w:widowControl/>
              <w:suppressLineNumbers w:val="0"/>
              <w:jc w:val="center"/>
              <w:textAlignment w:val="center"/>
              <w:rPr>
                <w:rFonts w:hint="default"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报价单价</w:t>
            </w:r>
            <w:r>
              <w:rPr>
                <w:rFonts w:hint="eastAsia" w:ascii="宋体" w:hAnsi="宋体" w:cs="宋体"/>
                <w:i w:val="0"/>
                <w:iCs w:val="0"/>
                <w:color w:val="0000FF"/>
                <w:kern w:val="0"/>
                <w:sz w:val="22"/>
                <w:szCs w:val="22"/>
                <w:u w:val="none"/>
                <w:lang w:val="en-US" w:eastAsia="zh-CN" w:bidi="ar"/>
              </w:rPr>
              <w:t>（元）</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CF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3B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52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F1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542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1" w:type="dxa"/>
          <w:trHeight w:val="142" w:hRule="atLeast"/>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54B3">
            <w:pPr>
              <w:keepNext w:val="0"/>
              <w:keepLines w:val="0"/>
              <w:widowControl/>
              <w:suppressLineNumbers w:val="0"/>
              <w:jc w:val="center"/>
              <w:textAlignment w:val="center"/>
              <w:rPr>
                <w:rFonts w:hint="default"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kern w:val="0"/>
                <w:sz w:val="22"/>
                <w:szCs w:val="22"/>
                <w:u w:val="none"/>
                <w:lang w:val="en-US" w:eastAsia="zh-CN" w:bidi="ar"/>
              </w:rPr>
              <w:t>报价总价</w:t>
            </w:r>
            <w:r>
              <w:rPr>
                <w:rFonts w:hint="eastAsia" w:ascii="宋体" w:hAnsi="宋体" w:cs="宋体"/>
                <w:i w:val="0"/>
                <w:iCs w:val="0"/>
                <w:color w:val="0000FF"/>
                <w:kern w:val="0"/>
                <w:sz w:val="22"/>
                <w:szCs w:val="22"/>
                <w:u w:val="none"/>
                <w:lang w:val="en-US" w:eastAsia="zh-CN" w:bidi="ar"/>
              </w:rPr>
              <w:t>（元）</w:t>
            </w:r>
          </w:p>
        </w:tc>
        <w:tc>
          <w:tcPr>
            <w:tcW w:w="49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FC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D9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1" w:type="dxa"/>
          <w:trHeight w:val="796" w:hRule="atLeast"/>
        </w:trPr>
        <w:tc>
          <w:tcPr>
            <w:tcW w:w="85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8E3D">
            <w:pPr>
              <w:keepNext w:val="0"/>
              <w:keepLines w:val="0"/>
              <w:widowControl/>
              <w:suppressLineNumbers w:val="0"/>
              <w:ind w:left="660" w:hanging="660" w:hangingChars="3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p w14:paraId="0F479E96">
            <w:pPr>
              <w:keepNext w:val="0"/>
              <w:keepLines w:val="0"/>
              <w:widowControl/>
              <w:suppressLineNumbers w:val="0"/>
              <w:ind w:left="660" w:hanging="660" w:hanging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上述工程量为暂估量，具体实施时按实结算。  </w:t>
            </w:r>
          </w:p>
          <w:p w14:paraId="71D797C2">
            <w:pPr>
              <w:keepNext w:val="0"/>
              <w:keepLines w:val="0"/>
              <w:widowControl/>
              <w:suppressLineNumbers w:val="0"/>
              <w:ind w:left="660" w:hanging="600" w:hangingChars="3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2、以上单价、总价均为含税价。  </w:t>
            </w:r>
          </w:p>
        </w:tc>
      </w:tr>
    </w:tbl>
    <w:p w14:paraId="73415B01">
      <w:pPr>
        <w:adjustRightInd w:val="0"/>
        <w:snapToGrid w:val="0"/>
        <w:spacing w:line="360" w:lineRule="auto"/>
        <w:rPr>
          <w:rFonts w:ascii="宋体" w:hAnsi="宋体"/>
          <w:color w:val="auto"/>
          <w:szCs w:val="21"/>
        </w:rPr>
      </w:pPr>
      <w:r>
        <w:rPr>
          <w:rFonts w:hint="eastAsia" w:ascii="宋体" w:hAnsi="宋体"/>
          <w:color w:val="auto"/>
          <w:szCs w:val="21"/>
        </w:rPr>
        <w:t>注：</w:t>
      </w:r>
      <w:r>
        <w:rPr>
          <w:rFonts w:hint="eastAsia" w:ascii="宋体" w:hAnsi="宋体"/>
          <w:color w:val="auto"/>
          <w:szCs w:val="21"/>
          <w:lang w:val="en-US" w:eastAsia="zh-CN"/>
        </w:rPr>
        <w:t>1.</w:t>
      </w:r>
      <w:r>
        <w:rPr>
          <w:rFonts w:hint="eastAsia" w:ascii="宋体" w:hAnsi="宋体"/>
          <w:b/>
          <w:color w:val="auto"/>
          <w:szCs w:val="21"/>
        </w:rPr>
        <w:t>本表应对应</w:t>
      </w:r>
      <w:r>
        <w:rPr>
          <w:rFonts w:hint="eastAsia" w:ascii="宋体" w:hAnsi="宋体"/>
          <w:color w:val="auto"/>
          <w:szCs w:val="21"/>
        </w:rPr>
        <w:t>“</w:t>
      </w:r>
      <w:r>
        <w:rPr>
          <w:rFonts w:hint="eastAsia" w:ascii="宋体" w:hAnsi="宋体"/>
          <w:b/>
          <w:color w:val="auto"/>
          <w:szCs w:val="21"/>
        </w:rPr>
        <w:t>报价表</w:t>
      </w:r>
      <w:r>
        <w:rPr>
          <w:rFonts w:hint="eastAsia" w:ascii="宋体" w:hAnsi="宋体"/>
          <w:color w:val="auto"/>
          <w:szCs w:val="21"/>
        </w:rPr>
        <w:t>”</w:t>
      </w:r>
      <w:r>
        <w:rPr>
          <w:rFonts w:hint="eastAsia" w:ascii="宋体" w:hAnsi="宋体"/>
          <w:b/>
          <w:color w:val="auto"/>
          <w:szCs w:val="21"/>
        </w:rPr>
        <w:t>，按包填写</w:t>
      </w:r>
      <w:r>
        <w:rPr>
          <w:rFonts w:hint="eastAsia" w:ascii="宋体" w:hAnsi="宋体"/>
          <w:color w:val="auto"/>
          <w:szCs w:val="21"/>
        </w:rPr>
        <w:t>。供应商如果不提供分项报价明细表，其</w:t>
      </w:r>
      <w:r>
        <w:rPr>
          <w:rFonts w:hint="eastAsia" w:ascii="宋体" w:hAnsi="宋体"/>
          <w:b/>
          <w:color w:val="auto"/>
          <w:szCs w:val="21"/>
        </w:rPr>
        <w:t>响应无效</w:t>
      </w:r>
      <w:r>
        <w:rPr>
          <w:rFonts w:hint="eastAsia" w:ascii="宋体" w:hAnsi="宋体"/>
          <w:color w:val="auto"/>
          <w:szCs w:val="21"/>
        </w:rPr>
        <w:t>。</w:t>
      </w:r>
    </w:p>
    <w:p w14:paraId="4E436DA7">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不得填写“免费”或“赠与”，也不得进行“零”报价，否则</w:t>
      </w:r>
      <w:r>
        <w:rPr>
          <w:rFonts w:hint="eastAsia" w:ascii="宋体" w:hAnsi="宋体"/>
          <w:b/>
          <w:color w:val="auto"/>
          <w:szCs w:val="21"/>
        </w:rPr>
        <w:t>响应无效</w:t>
      </w:r>
      <w:r>
        <w:rPr>
          <w:rFonts w:hint="eastAsia" w:ascii="宋体" w:hAnsi="宋体"/>
          <w:color w:val="auto"/>
          <w:szCs w:val="21"/>
        </w:rPr>
        <w:t>。</w:t>
      </w:r>
    </w:p>
    <w:p w14:paraId="5D0520D7">
      <w:pPr>
        <w:adjustRightInd w:val="0"/>
        <w:snapToGrid w:val="0"/>
        <w:spacing w:line="360" w:lineRule="auto"/>
        <w:rPr>
          <w:rFonts w:hint="eastAsia" w:ascii="宋体" w:hAnsi="宋体"/>
          <w:color w:val="auto"/>
          <w:szCs w:val="21"/>
        </w:rPr>
      </w:pPr>
    </w:p>
    <w:p w14:paraId="5F9BA1C5">
      <w:pPr>
        <w:adjustRightInd w:val="0"/>
        <w:snapToGrid w:val="0"/>
        <w:spacing w:line="360" w:lineRule="auto"/>
        <w:rPr>
          <w:rFonts w:ascii="宋体" w:hAnsi="宋体"/>
          <w:color w:val="auto"/>
          <w:szCs w:val="21"/>
        </w:rPr>
      </w:pPr>
      <w:r>
        <w:rPr>
          <w:rFonts w:hint="eastAsia" w:ascii="宋体" w:hAnsi="宋体"/>
          <w:color w:val="auto"/>
          <w:szCs w:val="21"/>
        </w:rPr>
        <w:t>供应商名称（盖单位公章）：</w:t>
      </w:r>
    </w:p>
    <w:p w14:paraId="1E9CA2E0">
      <w:pPr>
        <w:adjustRightInd w:val="0"/>
        <w:snapToGrid w:val="0"/>
        <w:spacing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p>
    <w:p w14:paraId="1D883019">
      <w:pPr>
        <w:adjustRightInd w:val="0"/>
        <w:snapToGrid w:val="0"/>
        <w:spacing w:line="360" w:lineRule="auto"/>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宋体">
    <w:altName w:val="宋体"/>
    <w:panose1 w:val="02010600040101010101"/>
    <w:charset w:val="86"/>
    <w:family w:val="auto"/>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74228">
    <w:pPr>
      <w:pStyle w:val="15"/>
      <w:ind w:left="180" w:right="359" w:rightChars="171" w:hanging="180" w:hangingChars="100"/>
      <w:jc w:val="right"/>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ABFCF">
    <w:pPr>
      <w:pStyle w:val="15"/>
      <w:ind w:left="180" w:right="359" w:rightChars="171" w:hanging="180" w:hangingChars="100"/>
      <w:jc w:val="right"/>
      <w:rPr>
        <w:rFonts w:eastAsia="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FEC084">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6FEC084">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7F13E">
    <w:pPr>
      <w:pStyle w:val="15"/>
      <w:ind w:left="240" w:right="359" w:rightChars="171" w:hanging="240" w:hangingChars="100"/>
      <w:jc w:val="center"/>
      <w:rPr>
        <w:rFonts w:eastAsia="楷体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CB85BD">
                          <w:pPr>
                            <w:pStyle w:val="15"/>
                            <w:rPr>
                              <w:sz w:val="21"/>
                              <w:szCs w:val="21"/>
                            </w:rP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7CB85BD">
                    <w:pPr>
                      <w:pStyle w:val="15"/>
                      <w:rPr>
                        <w:sz w:val="21"/>
                        <w:szCs w:val="21"/>
                      </w:rPr>
                    </w:pPr>
                    <w:r>
                      <w:fldChar w:fldCharType="begin"/>
                    </w:r>
                    <w:r>
                      <w:instrText xml:space="preserve"> PAGE  \* MERGEFORMAT </w:instrText>
                    </w:r>
                    <w:r>
                      <w:fldChar w:fldCharType="separate"/>
                    </w:r>
                    <w:r>
                      <w:t>4</w:t>
                    </w:r>
                    <w:r>
                      <w:fldChar w:fldCharType="end"/>
                    </w:r>
                  </w:p>
                </w:txbxContent>
              </v:textbox>
            </v:shape>
          </w:pict>
        </mc:Fallback>
      </mc:AlternateContent>
    </w:r>
  </w:p>
  <w:p w14:paraId="1D7387DB">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FFB8D">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78599">
                          <w:pPr>
                            <w:pStyle w:val="15"/>
                            <w:rPr>
                              <w:rFonts w:hint="eastAsia"/>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- 3 -</w:t>
                          </w:r>
                          <w:r>
                            <w:rPr>
                              <w:rFonts w:hint="eastAsia" w:ascii="宋体" w:hAnsi="宋体" w:cs="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0578599">
                    <w:pPr>
                      <w:pStyle w:val="15"/>
                      <w:rPr>
                        <w:rFonts w:hint="eastAsia"/>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- 3 -</w:t>
                    </w:r>
                    <w:r>
                      <w:rPr>
                        <w:rFonts w:hint="eastAsia" w:ascii="宋体" w:hAnsi="宋体" w:cs="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7C07C">
    <w:pPr>
      <w:pStyle w:val="15"/>
      <w:framePr w:wrap="around" w:vAnchor="text" w:hAnchor="margin" w:xAlign="right" w:y="1"/>
      <w:rPr>
        <w:rStyle w:val="29"/>
      </w:rPr>
    </w:pPr>
    <w:r>
      <w:fldChar w:fldCharType="begin"/>
    </w:r>
    <w:r>
      <w:rPr>
        <w:rStyle w:val="29"/>
      </w:rPr>
      <w:instrText xml:space="preserve">PAGE  </w:instrText>
    </w:r>
    <w:r>
      <w:fldChar w:fldCharType="end"/>
    </w:r>
  </w:p>
  <w:p w14:paraId="3CA09724">
    <w:pPr>
      <w:pStyle w:val="1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D445E">
    <w:pPr>
      <w:pStyle w:val="15"/>
      <w:framePr w:wrap="around" w:vAnchor="text" w:hAnchor="margin" w:xAlign="right" w:y="1"/>
      <w:rPr>
        <w:rStyle w:val="29"/>
      </w:rPr>
    </w:pPr>
    <w:r>
      <w:fldChar w:fldCharType="begin"/>
    </w:r>
    <w:r>
      <w:rPr>
        <w:rStyle w:val="29"/>
      </w:rPr>
      <w:instrText xml:space="preserve">PAGE  </w:instrText>
    </w:r>
    <w:r>
      <w:fldChar w:fldCharType="end"/>
    </w:r>
  </w:p>
  <w:p w14:paraId="455D2CC3">
    <w:pPr>
      <w:pStyle w:val="1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BEA60">
    <w:pPr>
      <w:pStyle w:val="15"/>
      <w:framePr w:wrap="around" w:vAnchor="text" w:hAnchor="margin" w:xAlign="right" w:y="1"/>
      <w:jc w:val="center"/>
      <w:rPr>
        <w:rStyle w:val="29"/>
        <w:rFonts w:ascii="宋体" w:hAnsi="宋体"/>
        <w:sz w:val="21"/>
        <w:szCs w:val="21"/>
      </w:rPr>
    </w:pPr>
    <w:r>
      <w:fldChar w:fldCharType="begin"/>
    </w:r>
    <w:r>
      <w:rPr>
        <w:rStyle w:val="29"/>
      </w:rPr>
      <w:instrText xml:space="preserve">PAGE  </w:instrText>
    </w:r>
    <w:r>
      <w:fldChar w:fldCharType="separate"/>
    </w:r>
    <w:r>
      <w:rPr>
        <w:rStyle w:val="29"/>
      </w:rPr>
      <w:t>63</w:t>
    </w:r>
    <w:r>
      <w:rPr>
        <w:rFonts w:ascii="宋体" w:hAnsi="宋体"/>
        <w:sz w:val="21"/>
        <w:szCs w:val="21"/>
      </w:rPr>
      <w:fldChar w:fldCharType="end"/>
    </w:r>
  </w:p>
  <w:p w14:paraId="0EE1A994">
    <w:pPr>
      <w:pStyle w:val="15"/>
      <w:ind w:right="360"/>
    </w:pPr>
  </w:p>
  <w:p w14:paraId="1ABD0B2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317DD">
    <w:pPr>
      <w:pStyle w:val="17"/>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5128C"/>
    <w:multiLevelType w:val="singleLevel"/>
    <w:tmpl w:val="1635128C"/>
    <w:lvl w:ilvl="0" w:tentative="0">
      <w:start w:val="1"/>
      <w:numFmt w:val="decimal"/>
      <w:suff w:val="space"/>
      <w:lvlText w:val="%1."/>
      <w:lvlJc w:val="left"/>
    </w:lvl>
  </w:abstractNum>
  <w:abstractNum w:abstractNumId="1">
    <w:nsid w:val="4814964D"/>
    <w:multiLevelType w:val="singleLevel"/>
    <w:tmpl w:val="4814964D"/>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75340"/>
    <w:rsid w:val="0CB11F5E"/>
    <w:rsid w:val="0E990A63"/>
    <w:rsid w:val="106D43EE"/>
    <w:rsid w:val="1537321C"/>
    <w:rsid w:val="179102E8"/>
    <w:rsid w:val="18095E9E"/>
    <w:rsid w:val="1B603FA4"/>
    <w:rsid w:val="1DBE72C4"/>
    <w:rsid w:val="24F43EA6"/>
    <w:rsid w:val="28CC00F4"/>
    <w:rsid w:val="2A186A19"/>
    <w:rsid w:val="2D840848"/>
    <w:rsid w:val="36B14785"/>
    <w:rsid w:val="3910786F"/>
    <w:rsid w:val="3AAD41F3"/>
    <w:rsid w:val="3BFF5F92"/>
    <w:rsid w:val="3CEC05EA"/>
    <w:rsid w:val="3DFF71FB"/>
    <w:rsid w:val="4262689D"/>
    <w:rsid w:val="44E72E5C"/>
    <w:rsid w:val="55BD4A9D"/>
    <w:rsid w:val="5B4672E2"/>
    <w:rsid w:val="5FC86BED"/>
    <w:rsid w:val="60431D5C"/>
    <w:rsid w:val="63862BE5"/>
    <w:rsid w:val="63B55005"/>
    <w:rsid w:val="644D7073"/>
    <w:rsid w:val="656E524A"/>
    <w:rsid w:val="70BE1099"/>
    <w:rsid w:val="7B452668"/>
    <w:rsid w:val="7C4D06E7"/>
    <w:rsid w:val="7E234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b/>
      <w:bCs/>
      <w:sz w:val="24"/>
    </w:rPr>
  </w:style>
  <w:style w:type="paragraph" w:styleId="5">
    <w:name w:val="heading 2"/>
    <w:basedOn w:val="1"/>
    <w:next w:val="1"/>
    <w:qFormat/>
    <w:uiPriority w:val="0"/>
    <w:pPr>
      <w:keepNext/>
      <w:keepLines/>
      <w:widowControl w:val="0"/>
      <w:spacing w:line="360" w:lineRule="auto"/>
      <w:outlineLvl w:val="1"/>
    </w:pPr>
    <w:rPr>
      <w:rFonts w:ascii="Arial" w:hAnsi="Arial"/>
      <w:b/>
      <w:bCs/>
      <w:kern w:val="0"/>
      <w:sz w:val="24"/>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ind w:left="420" w:leftChars="200" w:firstLine="482" w:firstLineChars="200"/>
    </w:pPr>
    <w:rPr>
      <w:rFonts w:ascii="Calibri" w:hAnsi="Calibri"/>
      <w:b/>
      <w:sz w:val="24"/>
      <w:szCs w:val="24"/>
    </w:rPr>
  </w:style>
  <w:style w:type="paragraph" w:styleId="3">
    <w:name w:val="Body Text Indent"/>
    <w:basedOn w:val="1"/>
    <w:qFormat/>
    <w:uiPriority w:val="0"/>
    <w:pPr>
      <w:spacing w:after="120"/>
      <w:ind w:left="200" w:leftChars="200"/>
    </w:pPr>
  </w:style>
  <w:style w:type="paragraph" w:styleId="7">
    <w:name w:val="table of authorities"/>
    <w:basedOn w:val="1"/>
    <w:next w:val="1"/>
    <w:qFormat/>
    <w:uiPriority w:val="0"/>
    <w:pPr>
      <w:ind w:left="420" w:leftChars="200"/>
    </w:pPr>
    <w:rPr>
      <w:rFonts w:ascii="Times New Roman" w:hAnsi="Times New Roman" w:eastAsia="宋体" w:cs="Times New Roman"/>
    </w:rPr>
  </w:style>
  <w:style w:type="paragraph" w:styleId="8">
    <w:name w:val="Normal Indent"/>
    <w:basedOn w:val="1"/>
    <w:qFormat/>
    <w:uiPriority w:val="0"/>
    <w:pPr>
      <w:widowControl/>
      <w:ind w:firstLine="420"/>
      <w:jc w:val="left"/>
    </w:pPr>
    <w:rPr>
      <w:kern w:val="0"/>
      <w:sz w:val="20"/>
      <w:szCs w:val="20"/>
    </w:rPr>
  </w:style>
  <w:style w:type="paragraph" w:styleId="9">
    <w:name w:val="toa heading"/>
    <w:basedOn w:val="1"/>
    <w:next w:val="1"/>
    <w:qFormat/>
    <w:uiPriority w:val="0"/>
    <w:rPr>
      <w:rFonts w:ascii="Arial" w:hAnsi="Arial"/>
      <w:sz w:val="24"/>
    </w:rPr>
  </w:style>
  <w:style w:type="paragraph" w:styleId="10">
    <w:name w:val="Body Text"/>
    <w:basedOn w:val="1"/>
    <w:next w:val="1"/>
    <w:qFormat/>
    <w:uiPriority w:val="0"/>
    <w:pPr>
      <w:spacing w:after="120"/>
    </w:pPr>
  </w:style>
  <w:style w:type="paragraph" w:styleId="11">
    <w:name w:val="toc 3"/>
    <w:basedOn w:val="1"/>
    <w:next w:val="1"/>
    <w:unhideWhenUsed/>
    <w:qFormat/>
    <w:uiPriority w:val="39"/>
    <w:pPr>
      <w:adjustRightInd w:val="0"/>
      <w:snapToGrid w:val="0"/>
      <w:spacing w:line="360" w:lineRule="auto"/>
      <w:ind w:left="400" w:leftChars="400"/>
    </w:pPr>
    <w:rPr>
      <w:rFonts w:eastAsia="宋体"/>
      <w:b/>
    </w:rPr>
  </w:style>
  <w:style w:type="paragraph" w:styleId="12">
    <w:name w:val="Plain Text"/>
    <w:basedOn w:val="1"/>
    <w:qFormat/>
    <w:uiPriority w:val="0"/>
    <w:rPr>
      <w:rFonts w:ascii="宋体" w:cs="Courier New"/>
      <w:szCs w:val="21"/>
      <w:lang w:bidi="ar-SA"/>
    </w:rPr>
  </w:style>
  <w:style w:type="paragraph" w:styleId="13">
    <w:name w:val="Date"/>
    <w:basedOn w:val="1"/>
    <w:next w:val="1"/>
    <w:qFormat/>
    <w:uiPriority w:val="0"/>
    <w:rPr>
      <w:sz w:val="24"/>
      <w:szCs w:val="20"/>
    </w:rPr>
  </w:style>
  <w:style w:type="paragraph" w:styleId="14">
    <w:name w:val="Body Text Indent 2"/>
    <w:basedOn w:val="1"/>
    <w:next w:val="1"/>
    <w:qFormat/>
    <w:uiPriority w:val="0"/>
    <w:pPr>
      <w:spacing w:after="120" w:line="480" w:lineRule="auto"/>
      <w:ind w:left="420" w:leftChars="200"/>
    </w:pPr>
    <w:rPr>
      <w:rFonts w:ascii="Times New Roman" w:hAnsi="Times New Roman"/>
      <w:kern w:val="0"/>
      <w:sz w:val="2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envelope return"/>
    <w:basedOn w:val="1"/>
    <w:qFormat/>
    <w:uiPriority w:val="99"/>
    <w:pPr>
      <w:snapToGrid w:val="0"/>
    </w:pPr>
    <w:rPr>
      <w:rFonts w:hint="eastAsia" w:ascii="Arial" w:hAnsi="Arial"/>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pPr>
      <w:spacing w:line="360" w:lineRule="auto"/>
    </w:pPr>
    <w:rPr>
      <w:rFonts w:ascii="宋体" w:hAnsi="宋体" w:eastAsia="宋体"/>
      <w:b/>
      <w:sz w:val="24"/>
      <w:szCs w:val="21"/>
    </w:rPr>
  </w:style>
  <w:style w:type="paragraph" w:styleId="19">
    <w:name w:val="toc 2"/>
    <w:basedOn w:val="4"/>
    <w:next w:val="1"/>
    <w:unhideWhenUsed/>
    <w:qFormat/>
    <w:uiPriority w:val="39"/>
    <w:pPr>
      <w:spacing w:line="360" w:lineRule="auto"/>
      <w:ind w:left="200" w:leftChars="200"/>
    </w:pPr>
    <w:rPr>
      <w:rFonts w:eastAsia="宋体"/>
    </w:rPr>
  </w:style>
  <w:style w:type="paragraph" w:styleId="20">
    <w:name w:val="Body Text 2"/>
    <w:basedOn w:val="4"/>
    <w:next w:val="21"/>
    <w:qFormat/>
    <w:uiPriority w:val="0"/>
    <w:pPr>
      <w:spacing w:after="120" w:line="480" w:lineRule="auto"/>
    </w:pPr>
    <w:rPr>
      <w:szCs w:val="24"/>
    </w:rPr>
  </w:style>
  <w:style w:type="paragraph" w:styleId="21">
    <w:name w:val="List Continue 2"/>
    <w:basedOn w:val="4"/>
    <w:next w:val="1"/>
    <w:qFormat/>
    <w:uiPriority w:val="0"/>
    <w:pPr>
      <w:widowControl/>
      <w:spacing w:after="120" w:line="360" w:lineRule="auto"/>
      <w:ind w:left="840" w:firstLine="2048"/>
    </w:pPr>
  </w:style>
  <w:style w:type="paragraph" w:styleId="22">
    <w:name w:val="List 4"/>
    <w:next w:val="23"/>
    <w:qFormat/>
    <w:uiPriority w:val="0"/>
    <w:pPr>
      <w:spacing w:after="120" w:line="360" w:lineRule="auto"/>
      <w:ind w:left="2520" w:firstLine="3736"/>
    </w:pPr>
    <w:rPr>
      <w:rFonts w:ascii="Times New Roman" w:hAnsi="Times New Roman" w:eastAsia="宋体" w:cs="Times New Roman"/>
      <w:lang w:val="en-US" w:eastAsia="zh-CN" w:bidi="ar-SA"/>
    </w:rPr>
  </w:style>
  <w:style w:type="paragraph" w:customStyle="1" w:styleId="23">
    <w:name w:val="Mat. titre haut de page"/>
    <w:next w:val="20"/>
    <w:qFormat/>
    <w:uiPriority w:val="0"/>
    <w:pPr>
      <w:widowControl w:val="0"/>
      <w:spacing w:before="1" w:after="1"/>
      <w:ind w:left="284" w:right="1" w:firstLine="6372"/>
    </w:pPr>
    <w:rPr>
      <w:rFonts w:ascii="Times New Roman" w:hAnsi="Times New Roman" w:eastAsia="宋体" w:cs="Times New Roman"/>
      <w:lang w:val="en-US" w:eastAsia="zh-CN" w:bidi="ar-SA"/>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paragraph" w:customStyle="1" w:styleId="3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1">
    <w:name w:val="1"/>
    <w:basedOn w:val="32"/>
    <w:next w:val="3"/>
    <w:qFormat/>
    <w:uiPriority w:val="0"/>
    <w:pPr>
      <w:spacing w:afterLines="50" w:line="360" w:lineRule="auto"/>
    </w:pPr>
    <w:rPr>
      <w:rFonts w:ascii="宋体" w:hAnsi="宋体"/>
      <w:b/>
      <w:sz w:val="30"/>
      <w:szCs w:val="21"/>
    </w:rPr>
  </w:style>
  <w:style w:type="paragraph" w:customStyle="1" w:styleId="3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34">
    <w:name w:val="列出段落1"/>
    <w:basedOn w:val="1"/>
    <w:qFormat/>
    <w:uiPriority w:val="0"/>
    <w:pPr>
      <w:ind w:firstLine="420" w:firstLineChars="200"/>
    </w:pPr>
    <w:rPr>
      <w:szCs w:val="21"/>
    </w:rPr>
  </w:style>
  <w:style w:type="paragraph" w:customStyle="1" w:styleId="35">
    <w:name w:val="CM16"/>
    <w:next w:val="36"/>
    <w:qFormat/>
    <w:uiPriority w:val="0"/>
    <w:pPr>
      <w:widowControl w:val="0"/>
      <w:autoSpaceDE w:val="0"/>
      <w:autoSpaceDN w:val="0"/>
      <w:spacing w:after="208"/>
      <w:ind w:firstLine="5632"/>
    </w:pPr>
    <w:rPr>
      <w:rFonts w:ascii="Times New Roman" w:hAnsi="Times New Roman" w:eastAsia="宋体" w:cs="Times New Roman"/>
      <w:lang w:val="en-US" w:eastAsia="zh-CN" w:bidi="ar-SA"/>
    </w:rPr>
  </w:style>
  <w:style w:type="paragraph" w:customStyle="1" w:styleId="36">
    <w:name w:val="sleftnavsub"/>
    <w:basedOn w:val="4"/>
    <w:next w:val="37"/>
    <w:qFormat/>
    <w:uiPriority w:val="0"/>
    <w:pPr>
      <w:widowControl/>
      <w:spacing w:before="280" w:after="280" w:line="240" w:lineRule="atLeast"/>
      <w:ind w:firstLine="5120"/>
    </w:pPr>
  </w:style>
  <w:style w:type="paragraph" w:customStyle="1" w:styleId="37">
    <w:name w:val="正文文本缩进1"/>
    <w:basedOn w:val="4"/>
    <w:next w:val="19"/>
    <w:qFormat/>
    <w:uiPriority w:val="0"/>
    <w:pPr>
      <w:widowControl/>
      <w:ind w:left="360" w:firstLine="2664"/>
    </w:pPr>
  </w:style>
  <w:style w:type="character" w:customStyle="1" w:styleId="38">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39">
    <w:name w:val="font31"/>
    <w:basedOn w:val="27"/>
    <w:qFormat/>
    <w:uiPriority w:val="0"/>
    <w:rPr>
      <w:rFonts w:hint="eastAsia" w:ascii="宋体" w:hAnsi="宋体" w:eastAsia="宋体" w:cs="宋体"/>
      <w:color w:val="000000"/>
      <w:sz w:val="21"/>
      <w:szCs w:val="21"/>
      <w:u w:val="none"/>
    </w:rPr>
  </w:style>
  <w:style w:type="paragraph" w:customStyle="1" w:styleId="40">
    <w:name w:val="样式2"/>
    <w:basedOn w:val="41"/>
    <w:next w:val="1"/>
    <w:qFormat/>
    <w:uiPriority w:val="0"/>
    <w:pPr>
      <w:tabs>
        <w:tab w:val="left" w:pos="993"/>
      </w:tabs>
      <w:jc w:val="left"/>
    </w:pPr>
    <w:rPr>
      <w:rFonts w:ascii="Times New Roman" w:hAnsi="Times New Roman"/>
      <w:sz w:val="28"/>
      <w:szCs w:val="21"/>
    </w:rPr>
  </w:style>
  <w:style w:type="paragraph" w:customStyle="1" w:styleId="41">
    <w:name w:val="List Paragraph"/>
    <w:basedOn w:val="1"/>
    <w:qFormat/>
    <w:uiPriority w:val="34"/>
    <w:pPr>
      <w:ind w:firstLine="420" w:firstLineChars="200"/>
    </w:pPr>
  </w:style>
  <w:style w:type="paragraph" w:customStyle="1" w:styleId="42">
    <w:name w:val="_Style 63131122"/>
    <w:basedOn w:val="1"/>
    <w:qFormat/>
    <w:uiPriority w:val="0"/>
    <w:pPr>
      <w:snapToGrid w:val="0"/>
      <w:spacing w:line="360" w:lineRule="auto"/>
      <w:ind w:firstLine="200" w:firstLineChars="200"/>
    </w:pPr>
    <w:rPr>
      <w:b/>
      <w:sz w:val="24"/>
      <w:szCs w:val="24"/>
    </w:rPr>
  </w:style>
  <w:style w:type="character" w:customStyle="1" w:styleId="43">
    <w:name w:val="font21"/>
    <w:basedOn w:val="27"/>
    <w:qFormat/>
    <w:uiPriority w:val="0"/>
    <w:rPr>
      <w:rFonts w:hint="eastAsia" w:ascii="宋体" w:hAnsi="宋体" w:eastAsia="宋体" w:cs="宋体"/>
      <w:color w:val="000000"/>
      <w:sz w:val="24"/>
      <w:szCs w:val="24"/>
      <w:u w:val="none"/>
    </w:rPr>
  </w:style>
  <w:style w:type="character" w:customStyle="1" w:styleId="44">
    <w:name w:val="font11"/>
    <w:basedOn w:val="27"/>
    <w:qFormat/>
    <w:uiPriority w:val="0"/>
    <w:rPr>
      <w:rFonts w:hint="default" w:ascii="Times New Roman" w:hAnsi="Times New Roman" w:cs="Times New Roman"/>
      <w:color w:val="000000"/>
      <w:sz w:val="24"/>
      <w:szCs w:val="24"/>
      <w:u w:val="none"/>
    </w:rPr>
  </w:style>
  <w:style w:type="character" w:customStyle="1" w:styleId="45">
    <w:name w:val="font41"/>
    <w:basedOn w:val="2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17935</Words>
  <Characters>19059</Characters>
  <Lines>0</Lines>
  <Paragraphs>0</Paragraphs>
  <TotalTime>3</TotalTime>
  <ScaleCrop>false</ScaleCrop>
  <LinksUpToDate>false</LinksUpToDate>
  <CharactersWithSpaces>19534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2023-02-21T14:08:00Z</dcterms:created>
  <dc:creator>灯火阑珊°</dc:creator>
  <cp:lastModifiedBy>Shine</cp:lastModifiedBy>
  <cp:lastPrinted>2025-07-16T05:17:00Z</cp:lastPrinted>
  <dcterms:modified xsi:type="dcterms:W3CDTF">2025-07-16T10:57:47Z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729A0E5FD6544FDD9980F9A20EF3F110_13</vt:lpwstr>
  </property>
  <property fmtid="{D5CDD505-2E9C-101B-9397-08002B2CF9AE}" pid="4" name="KSOTemplateDocerSaveRecord">
    <vt:lpwstr>eyJoZGlkIjoiOTA1NjhkY2NhMDUyZmUzOThhMWE4OWVmZmE0MTA3OTEiLCJ1c2VySWQiOiI5MjA2Njc1NzQifQ==</vt:lpwstr>
  </property>
</Properties>
</file>