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宋体" w:eastAsia="黑体" w:cs="宋体"/>
          <w:kern w:val="0"/>
          <w:sz w:val="32"/>
          <w:szCs w:val="32"/>
        </w:rPr>
      </w:pPr>
      <w:r>
        <w:rPr>
          <w:rFonts w:hint="eastAsia" w:ascii="黑体" w:hAnsi="宋体" w:eastAsia="黑体" w:cs="宋体"/>
          <w:kern w:val="0"/>
          <w:sz w:val="32"/>
          <w:szCs w:val="32"/>
        </w:rPr>
        <w:t>附件</w:t>
      </w:r>
      <w:r>
        <w:rPr>
          <w:rFonts w:hint="eastAsia" w:ascii="黑体" w:hAnsi="宋体" w:eastAsia="黑体" w:cs="宋体"/>
          <w:kern w:val="0"/>
          <w:sz w:val="32"/>
          <w:szCs w:val="32"/>
          <w:lang w:val="en-US" w:eastAsia="zh-CN"/>
        </w:rPr>
        <w:t>5</w:t>
      </w:r>
    </w:p>
    <w:p>
      <w:pPr>
        <w:widowControl/>
        <w:ind w:left="93"/>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专项资金绩效评价共性指标表</w:t>
      </w:r>
    </w:p>
    <w:p>
      <w:pPr>
        <w:widowControl/>
        <w:tabs>
          <w:tab w:val="left" w:pos="833"/>
          <w:tab w:val="left" w:pos="1533"/>
          <w:tab w:val="left" w:pos="2533"/>
          <w:tab w:val="left" w:pos="4833"/>
        </w:tabs>
        <w:ind w:left="93"/>
        <w:jc w:val="left"/>
        <w:rPr>
          <w:rFonts w:ascii="宋体" w:cs="宋体"/>
          <w:kern w:val="0"/>
          <w:sz w:val="24"/>
        </w:rPr>
      </w:pPr>
    </w:p>
    <w:tbl>
      <w:tblPr>
        <w:tblStyle w:val="5"/>
        <w:tblW w:w="9489" w:type="dxa"/>
        <w:tblInd w:w="0" w:type="dxa"/>
        <w:tblLayout w:type="fixed"/>
        <w:tblCellMar>
          <w:top w:w="0" w:type="dxa"/>
          <w:left w:w="108" w:type="dxa"/>
          <w:bottom w:w="0" w:type="dxa"/>
          <w:right w:w="108" w:type="dxa"/>
        </w:tblCellMar>
      </w:tblPr>
      <w:tblGrid>
        <w:gridCol w:w="385"/>
        <w:gridCol w:w="364"/>
        <w:gridCol w:w="855"/>
        <w:gridCol w:w="416"/>
        <w:gridCol w:w="2316"/>
        <w:gridCol w:w="4680"/>
        <w:gridCol w:w="473"/>
      </w:tblGrid>
      <w:tr>
        <w:tblPrEx>
          <w:tblCellMar>
            <w:top w:w="0" w:type="dxa"/>
            <w:left w:w="108" w:type="dxa"/>
            <w:bottom w:w="0" w:type="dxa"/>
            <w:right w:w="108" w:type="dxa"/>
          </w:tblCellMar>
        </w:tblPrEx>
        <w:trPr>
          <w:tblHeader/>
        </w:trPr>
        <w:tc>
          <w:tcPr>
            <w:tcW w:w="385" w:type="dxa"/>
            <w:tcBorders>
              <w:top w:val="single" w:color="auto" w:sz="4" w:space="0"/>
              <w:left w:val="single" w:color="auto" w:sz="4" w:space="0"/>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一级</w:t>
            </w:r>
          </w:p>
        </w:tc>
        <w:tc>
          <w:tcPr>
            <w:tcW w:w="364" w:type="dxa"/>
            <w:tcBorders>
              <w:top w:val="single" w:color="auto" w:sz="4" w:space="0"/>
              <w:left w:val="nil"/>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二级</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三级指标</w:t>
            </w:r>
          </w:p>
        </w:tc>
        <w:tc>
          <w:tcPr>
            <w:tcW w:w="416"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分值</w:t>
            </w:r>
          </w:p>
        </w:tc>
        <w:tc>
          <w:tcPr>
            <w:tcW w:w="231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指标解释</w:t>
            </w:r>
          </w:p>
        </w:tc>
        <w:tc>
          <w:tcPr>
            <w:tcW w:w="46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指标说明</w:t>
            </w:r>
          </w:p>
        </w:tc>
        <w:tc>
          <w:tcPr>
            <w:tcW w:w="47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得分</w:t>
            </w:r>
          </w:p>
        </w:tc>
      </w:tr>
      <w:tr>
        <w:tblPrEx>
          <w:tblCellMar>
            <w:top w:w="0" w:type="dxa"/>
            <w:left w:w="108" w:type="dxa"/>
            <w:bottom w:w="0" w:type="dxa"/>
            <w:right w:w="108" w:type="dxa"/>
          </w:tblCellMar>
        </w:tblPrEx>
        <w:trPr>
          <w:tblHeader/>
        </w:trPr>
        <w:tc>
          <w:tcPr>
            <w:tcW w:w="3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36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85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23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6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73"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投入</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项目立项规范性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项目的申请、设立过程是否符合相关要求，用以反映和考核项目立项的规范情况。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①项目是否按照规定的程序申请设立；</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②所提交的文件、材料是否符合相关要求；</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③事前是否已经过必要的可行性研究、专家论证、风险评估、集体决策等。</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绩效目标合理性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项目所设定的绩效目标是否依椐充分，是否符合客观实际，用以反映和考核项目绩效目标与项目实施的相符情况。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①是否符合国家相关法律法规，国民经济发展规划和党委政府决策；</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②是否与项目实施单位或委托单位职责密切相关；</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③项目是否为促进事业发展所必需；</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④项目顸期产出效益和效果是否符合正常的业绩水平。</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绩效指标明确性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依椐绩效目标设定的绩效指标是否清晰、细化、可衡量等，用以反映和考核项目绩效目标的明细化情况。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①是否将项目绩效目标细化分解为具体的绩效指标；</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②是否通过清晰、可衡量的指标值予以体现；</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③是否与项目年度任务教或计划数相对应；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④是否与预期确定的项目投资</w:t>
            </w:r>
            <w:r>
              <w:rPr>
                <w:rFonts w:hint="eastAsia" w:ascii="宋体" w:hAnsi="宋体" w:cs="宋体"/>
                <w:color w:val="000000"/>
                <w:kern w:val="0"/>
                <w:sz w:val="20"/>
                <w:szCs w:val="20"/>
              </w:rPr>
              <w:t>额</w:t>
            </w:r>
            <w:r>
              <w:rPr>
                <w:rFonts w:hint="eastAsia" w:ascii="仿宋_GB2312" w:hAnsi="仿宋_GB2312" w:eastAsia="仿宋_GB2312" w:cs="仿宋_GB2312"/>
                <w:color w:val="000000"/>
                <w:kern w:val="0"/>
                <w:sz w:val="20"/>
                <w:szCs w:val="20"/>
              </w:rPr>
              <w:t>或资金量相匹配。</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资金落实</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实际到位资金与计划投入资金的比率，用以反映和考核资金落实情况对项目实施的总体保障程度。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计划投入资金）×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实际到位资金：一定时期（本年度或项目期）内实际落实到具体项目的资金。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计划投入资金：一定时期（本年度或项目期）内计划投入到具体项目的资金。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及时到位资金与应到位资金的比率，用以反映和考核项目资金落实的及时性程度。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到位及时率＝（及时到位资金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应到位资金）×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及时到位资金：截至规定时点实际落实到具体项目的资金。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rPr>
          <w:trHeight w:val="764"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应到位资金：按照合同或项目进度要求截至规定时点应落实到具体项目的资金。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项目实施单位的业务管理制度是否健全，用以反映和考核业务管理制度对项目顺利实施的保障情况。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①是否已制定或具有相应的业务管理制度；</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836"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②业务管理制度是否合法、合规、完整。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制度执行有效性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项目实施是否符合相关业务管理规定，用以反映和考核业务管理制度的有效执行</w:t>
            </w:r>
            <w:r>
              <w:rPr>
                <w:rFonts w:hint="eastAsia" w:ascii="仿宋_GB2312" w:hAnsi="宋体" w:eastAsia="仿宋_GB2312" w:cs="宋体"/>
                <w:color w:val="000000"/>
                <w:kern w:val="0"/>
                <w:sz w:val="20"/>
                <w:szCs w:val="20"/>
                <w:lang w:eastAsia="zh-CN"/>
              </w:rPr>
              <w:t>情况</w:t>
            </w:r>
            <w:r>
              <w:rPr>
                <w:rFonts w:hint="eastAsia" w:ascii="仿宋_GB2312" w:hAnsi="宋体" w:eastAsia="仿宋_GB2312" w:cs="宋体"/>
                <w:color w:val="000000"/>
                <w:kern w:val="0"/>
                <w:sz w:val="20"/>
                <w:szCs w:val="20"/>
              </w:rPr>
              <w:t>。</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①是否遵守相关法律法规和业务管理规定；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②项目调整及支出调整手续是否完备；</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③项目合同书、验收报告、技术审定等资料是否齐全并及时归档</w:t>
            </w:r>
            <w:r>
              <w:rPr>
                <w:rFonts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945" w:hRule="atLeast"/>
        </w:trPr>
        <w:tc>
          <w:tcPr>
            <w:tcW w:w="3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④项目实施的人员条件、场地设备，信息支撑等是否落实到位。</w:t>
            </w:r>
          </w:p>
          <w:p>
            <w:pPr>
              <w:widowControl/>
              <w:spacing w:line="240" w:lineRule="exact"/>
              <w:rPr>
                <w:rFonts w:ascii="仿宋_GB2312" w:hAnsi="宋体" w:eastAsia="仿宋_GB2312" w:cs="宋体"/>
                <w:color w:val="000000"/>
                <w:kern w:val="0"/>
                <w:sz w:val="20"/>
                <w:szCs w:val="20"/>
              </w:rPr>
            </w:pP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项目质量可控性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项目实施单位是否为达到项目质量要求而采取了必需的措施，用以反映和考核项目实施单位对项目质量的控制情况。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①是否已制定或其有相应的项目质量要求或标准；</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②是否采取了相应的项目质量检查、验收等必需的控制措施或手段。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项目实施单位的财务制度是否健全，用以反映和考核财务管理制度对资金规范安全运行的保障情况。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①是否已制定或具有相应的项目资金管理办法；</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②项目资金管理办法是否符合相关财务会计制度的规定。</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资金使用合规性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项目资金使用是否符合相关的财务管理制度规定，用以反映和考核项目资金的规范运行情况。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①是否符合国家财经法规和财务管理以及有关专项资金管理办法的规定；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②资金的拨付是否有完整的审批程序和手续；</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③项目的重大开支是否经过评估认证；</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④是否符合项目预算批复或合同规定的用途；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⑤是否存在截留、挤占、挪用、虚列支出等情况。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财务监控有效性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项目实施单位是否为保障资金的安全、规范运行而采取了必要的监控措施，用以反映和考核项目实施单位对资金运行的控制情况。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①是否已制定或具有相应的监控机制；</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②是否采取了相应的财务检查等必要的监控措施或手段。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产出</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项目产出</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项目实施的实际产出数与计划产出数的比率，用以反映和考核项目产出数量目标的实现程度。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实际完成率＝（实际产出数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实际产出数：一定时期（本年度或项目期）内项目实际产出的产品或提供的服务数。</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07"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计划产出数：项目绩效目标确定的在一定时期（本年度或项目期）内计划产出的产品或提供的服务数量。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项目实际提前完成时间与计划完成时间的比率，用以反映和考核项目产出时效目标的实现程度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实际完成时间：项目实施单位完成该项目实际所耗用的时间。</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641"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计划完成时间：桉照项目实施计划或相关规定完成该项目所需的时间。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项目完成的质量达标产出数与实际产出数的比率，用以反映和考核项目产出质量目标的实现程度。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质量达标率＝（质量达标产出数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质量达标产出数：一定时期（本年度或项目期）内实际达到既定质量标准的产品或服务数量。</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878"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既定质量标准是指项目实施单位设立绩效目标时依据计划标准、行业标准、历史标准或其他标准而设定的绩效指标值。</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完成项目计划工作目标的实际节约成本与计划成本的比率，用以反映和考核项目的成本节约程度。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实际成本</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实际成本：项目实施单位如期、保质、保量完成既定工作目标实际所耗费的支出。</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65"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计划成本：项目实施单位为完成工作目标计划安排的支出，一般以项目预算为参考。</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效果</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项目效益</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经济效益</w:t>
            </w:r>
          </w:p>
        </w:tc>
        <w:tc>
          <w:tcPr>
            <w:tcW w:w="4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项目实施对经济发展所带来的直接或间接影响情况。</w:t>
            </w:r>
          </w:p>
        </w:tc>
        <w:tc>
          <w:tcPr>
            <w:tcW w:w="46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此四项指标为设置项目支出</w:t>
            </w:r>
            <w:r>
              <w:rPr>
                <w:rFonts w:hint="eastAsia" w:ascii="宋体" w:hAnsi="宋体" w:cs="宋体"/>
                <w:color w:val="000000"/>
                <w:kern w:val="0"/>
                <w:sz w:val="20"/>
                <w:szCs w:val="20"/>
              </w:rPr>
              <w:t>績</w:t>
            </w:r>
            <w:r>
              <w:rPr>
                <w:rFonts w:hint="eastAsia" w:ascii="仿宋_GB2312" w:hAnsi="仿宋_GB2312" w:eastAsia="仿宋_GB2312" w:cs="仿宋_GB2312"/>
                <w:color w:val="000000"/>
                <w:kern w:val="0"/>
                <w:sz w:val="20"/>
                <w:szCs w:val="20"/>
              </w:rPr>
              <w:t>效评价指标时必须考虑的共性要素，可根据项目实际并结合绩效目标设立情况有选择的</w:t>
            </w:r>
            <w:r>
              <w:rPr>
                <w:rFonts w:hint="eastAsia" w:ascii="宋体" w:hAnsi="宋体" w:cs="宋体"/>
                <w:color w:val="000000"/>
                <w:kern w:val="0"/>
                <w:sz w:val="20"/>
                <w:szCs w:val="20"/>
              </w:rPr>
              <w:t>进</w:t>
            </w:r>
            <w:r>
              <w:rPr>
                <w:rFonts w:hint="eastAsia" w:ascii="仿宋_GB2312" w:hAnsi="仿宋_GB2312" w:eastAsia="仿宋_GB2312" w:cs="仿宋_GB2312"/>
                <w:color w:val="000000"/>
                <w:kern w:val="0"/>
                <w:sz w:val="20"/>
                <w:szCs w:val="20"/>
              </w:rPr>
              <w:t>行设置，并将其细化为相应的个性化指标。</w:t>
            </w:r>
          </w:p>
        </w:tc>
        <w:tc>
          <w:tcPr>
            <w:tcW w:w="473" w:type="dxa"/>
            <w:tcBorders>
              <w:top w:val="nil"/>
              <w:left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项目实施对社会发展所带来的直接或间接影响情况。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生态效益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项目实施对生态环境所带来的直接或间接影响情况。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可持续影响</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项目后续运行及成效发挥的可持续影响情况。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社会公众或服务对象满意度</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社会公众或服务对象对项目实施效策的满意程度</w:t>
            </w: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社会公众或服务对象是指因该项目实施而受到影响的部门</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单位</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、群体或个人。一般采取社会调查的方式。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bl>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955"/>
        <w:gridCol w:w="1079"/>
        <w:gridCol w:w="1501"/>
        <w:gridCol w:w="1393"/>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sz w:val="18"/>
                <w:szCs w:val="18"/>
                <w:lang w:val="en-US" w:eastAsia="zh-CN"/>
              </w:rPr>
              <w:t>遗属生活补助及提标经费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18"/>
                <w:szCs w:val="18"/>
                <w:lang w:val="en-US"/>
              </w:rPr>
            </w:pPr>
            <w:r>
              <w:rPr>
                <w:rFonts w:hint="eastAsia" w:ascii="仿宋" w:hAnsi="仿宋" w:eastAsia="仿宋" w:cs="仿宋"/>
                <w:color w:val="000000"/>
                <w:kern w:val="0"/>
                <w:sz w:val="18"/>
                <w:szCs w:val="18"/>
                <w:lang w:eastAsia="zh-CN"/>
              </w:rPr>
              <w:t>刘亚杰</w:t>
            </w:r>
            <w:r>
              <w:rPr>
                <w:rFonts w:hint="eastAsia" w:ascii="仿宋" w:hAnsi="仿宋" w:eastAsia="仿宋" w:cs="仿宋"/>
                <w:color w:val="000000"/>
                <w:kern w:val="0"/>
                <w:sz w:val="18"/>
                <w:szCs w:val="18"/>
                <w:lang w:val="en-US" w:eastAsia="zh-CN"/>
              </w:rPr>
              <w:t>13762928777</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25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怀化市供销合作联合社</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鹤城区</w:t>
            </w:r>
            <w:r>
              <w:rPr>
                <w:rFonts w:hint="eastAsia" w:ascii="仿宋" w:hAnsi="仿宋" w:eastAsia="仿宋" w:cs="仿宋"/>
                <w:color w:val="000000"/>
                <w:kern w:val="0"/>
                <w:sz w:val="18"/>
                <w:szCs w:val="18"/>
                <w:lang w:eastAsia="zh-CN"/>
              </w:rPr>
              <w:t>供销合作联合社</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4.32</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4.32</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100%</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10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9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50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发放人数</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3人</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3人</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遗属提标发放</w:t>
            </w:r>
            <w:r>
              <w:rPr>
                <w:rFonts w:hint="eastAsia" w:ascii="仿宋" w:hAnsi="仿宋" w:eastAsia="仿宋" w:cs="仿宋"/>
                <w:i w:val="0"/>
                <w:iCs w:val="0"/>
                <w:color w:val="000000"/>
                <w:kern w:val="0"/>
                <w:sz w:val="18"/>
                <w:szCs w:val="18"/>
                <w:u w:val="none"/>
                <w:lang w:val="en-US" w:eastAsia="zh-CN" w:bidi="ar"/>
              </w:rPr>
              <w:t>率</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sz w:val="18"/>
                <w:szCs w:val="18"/>
                <w:lang w:val="en-US" w:eastAsia="zh-CN"/>
              </w:rPr>
              <w:t>遗属提标发放</w:t>
            </w:r>
            <w:r>
              <w:rPr>
                <w:rFonts w:hint="eastAsia" w:ascii="仿宋" w:hAnsi="仿宋" w:eastAsia="仿宋" w:cs="仿宋"/>
                <w:i w:val="0"/>
                <w:iCs w:val="0"/>
                <w:color w:val="000000"/>
                <w:kern w:val="0"/>
                <w:sz w:val="18"/>
                <w:szCs w:val="18"/>
                <w:u w:val="none"/>
                <w:lang w:val="en-US" w:eastAsia="zh-CN" w:bidi="ar"/>
              </w:rPr>
              <w:t>的及时性</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sz w:val="18"/>
                <w:szCs w:val="18"/>
                <w:lang w:val="en-US" w:eastAsia="zh-CN"/>
              </w:rPr>
              <w:t>遗属生活补助及提标经费</w:t>
            </w:r>
            <w:r>
              <w:rPr>
                <w:rFonts w:hint="eastAsia" w:ascii="仿宋" w:hAnsi="仿宋" w:eastAsia="仿宋" w:cs="仿宋"/>
                <w:i w:val="0"/>
                <w:iCs w:val="0"/>
                <w:color w:val="000000"/>
                <w:kern w:val="0"/>
                <w:sz w:val="18"/>
                <w:szCs w:val="18"/>
                <w:u w:val="none"/>
                <w:lang w:val="en-US" w:eastAsia="zh-CN" w:bidi="ar"/>
              </w:rPr>
              <w:t>成本</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4.32万元</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4.32万元</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zh-CN"/>
              </w:rPr>
              <w:t>提升财政资金使用效益</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 w:hAnsi="仿宋" w:eastAsia="仿宋" w:cs="仿宋"/>
                <w:color w:val="000000"/>
                <w:kern w:val="0"/>
                <w:sz w:val="18"/>
                <w:szCs w:val="18"/>
                <w:lang w:eastAsia="zh-CN"/>
              </w:rPr>
            </w:pPr>
            <w:bookmarkStart w:id="0" w:name="_GoBack"/>
            <w:bookmarkEnd w:id="0"/>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675"/>
        <w:gridCol w:w="1090"/>
        <w:gridCol w:w="1551"/>
        <w:gridCol w:w="1612"/>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专项资金名称</w:t>
            </w:r>
          </w:p>
        </w:tc>
        <w:tc>
          <w:tcPr>
            <w:tcW w:w="316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sz w:val="16"/>
                <w:szCs w:val="16"/>
                <w:lang w:val="en-US" w:eastAsia="zh-CN"/>
              </w:rPr>
              <w:t>综合改革工作经费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负责人</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16"/>
                <w:szCs w:val="16"/>
                <w:lang w:val="en-US"/>
              </w:rPr>
            </w:pPr>
            <w:r>
              <w:rPr>
                <w:rFonts w:hint="eastAsia" w:ascii="仿宋" w:hAnsi="仿宋" w:eastAsia="仿宋" w:cs="仿宋"/>
                <w:color w:val="000000"/>
                <w:kern w:val="0"/>
                <w:sz w:val="16"/>
                <w:szCs w:val="16"/>
                <w:lang w:val="en-US" w:eastAsia="zh-CN"/>
              </w:rPr>
              <w:t>刘亚杰13762928777</w:t>
            </w: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市</w:t>
            </w:r>
            <w:r>
              <w:rPr>
                <w:rFonts w:hint="eastAsia" w:ascii="仿宋" w:hAnsi="仿宋" w:eastAsia="仿宋" w:cs="仿宋"/>
                <w:color w:val="000000"/>
                <w:kern w:val="0"/>
                <w:sz w:val="16"/>
                <w:szCs w:val="16"/>
              </w:rPr>
              <w:t>级主管部门</w:t>
            </w:r>
          </w:p>
        </w:tc>
        <w:tc>
          <w:tcPr>
            <w:tcW w:w="7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eastAsia="zh-CN"/>
              </w:rPr>
              <w:t>怀化市供销合作联合社</w:t>
            </w:r>
          </w:p>
        </w:tc>
      </w:tr>
      <w:tr>
        <w:tblPrEx>
          <w:tblCellMar>
            <w:top w:w="0" w:type="dxa"/>
            <w:left w:w="108" w:type="dxa"/>
            <w:bottom w:w="0" w:type="dxa"/>
            <w:right w:w="108" w:type="dxa"/>
          </w:tblCellMar>
        </w:tblPrEx>
        <w:trPr>
          <w:trHeight w:val="425" w:hRule="atLeast"/>
          <w:jc w:val="center"/>
        </w:trPr>
        <w:tc>
          <w:tcPr>
            <w:tcW w:w="2534"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地方主管部门</w:t>
            </w:r>
          </w:p>
        </w:tc>
        <w:tc>
          <w:tcPr>
            <w:tcW w:w="316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rPr>
              <w:t>　鹤城区</w:t>
            </w:r>
            <w:r>
              <w:rPr>
                <w:rFonts w:hint="eastAsia" w:ascii="仿宋" w:hAnsi="仿宋" w:eastAsia="仿宋" w:cs="仿宋"/>
                <w:color w:val="000000"/>
                <w:kern w:val="0"/>
                <w:sz w:val="16"/>
                <w:szCs w:val="16"/>
                <w:lang w:eastAsia="zh-CN"/>
              </w:rPr>
              <w:t>供销合作联合社</w:t>
            </w:r>
          </w:p>
        </w:tc>
      </w:tr>
      <w:tr>
        <w:tblPrEx>
          <w:tblCellMar>
            <w:top w:w="0" w:type="dxa"/>
            <w:left w:w="108" w:type="dxa"/>
            <w:bottom w:w="0" w:type="dxa"/>
            <w:right w:w="108" w:type="dxa"/>
          </w:tblCellMar>
        </w:tblPrEx>
        <w:trPr>
          <w:trHeight w:val="425" w:hRule="atLeast"/>
          <w:jc w:val="center"/>
        </w:trPr>
        <w:tc>
          <w:tcPr>
            <w:tcW w:w="2534"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项目资金（万元）</w:t>
            </w: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执行率（B／A）</w:t>
            </w:r>
          </w:p>
        </w:tc>
      </w:tr>
      <w:tr>
        <w:tblPrEx>
          <w:tblCellMar>
            <w:top w:w="0" w:type="dxa"/>
            <w:left w:w="108" w:type="dxa"/>
            <w:bottom w:w="0" w:type="dxa"/>
            <w:right w:w="108" w:type="dxa"/>
          </w:tblCellMar>
        </w:tblPrEx>
        <w:trPr>
          <w:trHeight w:val="425"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年度资金总额</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bidi="ar-SA"/>
              </w:rPr>
              <w:t>28.12</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bidi="ar-SA"/>
              </w:rPr>
              <w:t>28.12</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rPr>
              <w:t>100%</w:t>
            </w: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其中：中央补助</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40"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ind w:firstLine="320" w:firstLineChars="200"/>
              <w:jc w:val="both"/>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省级资金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02" w:hRule="atLeast"/>
          <w:jc w:val="center"/>
        </w:trPr>
        <w:tc>
          <w:tcPr>
            <w:tcW w:w="2534"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val="en-US" w:eastAsia="zh-CN"/>
              </w:rPr>
              <w:t xml:space="preserve">    市级资金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02" w:hRule="atLeast"/>
          <w:jc w:val="center"/>
        </w:trPr>
        <w:tc>
          <w:tcPr>
            <w:tcW w:w="2534"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eastAsia="zh-CN"/>
              </w:rPr>
            </w:pPr>
            <w:r>
              <w:rPr>
                <w:rFonts w:hint="eastAsia" w:ascii="仿宋" w:hAnsi="仿宋" w:eastAsia="仿宋" w:cs="仿宋"/>
                <w:color w:val="000000"/>
                <w:kern w:val="0"/>
                <w:sz w:val="16"/>
                <w:szCs w:val="16"/>
                <w:lang w:val="en-US" w:eastAsia="zh-CN"/>
              </w:rPr>
              <w:t xml:space="preserve">    </w:t>
            </w:r>
            <w:r>
              <w:rPr>
                <w:rFonts w:hint="eastAsia" w:ascii="仿宋" w:hAnsi="仿宋" w:eastAsia="仿宋" w:cs="仿宋"/>
                <w:color w:val="000000"/>
                <w:kern w:val="0"/>
                <w:sz w:val="16"/>
                <w:szCs w:val="16"/>
                <w:lang w:eastAsia="zh-CN"/>
              </w:rPr>
              <w:t>其他资金</w:t>
            </w:r>
          </w:p>
        </w:tc>
        <w:tc>
          <w:tcPr>
            <w:tcW w:w="1612"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20" w:firstLineChars="200"/>
              <w:rPr>
                <w:rFonts w:hint="eastAsia" w:ascii="仿宋" w:hAnsi="仿宋" w:eastAsia="仿宋" w:cs="仿宋"/>
                <w:color w:val="000000"/>
                <w:kern w:val="0"/>
                <w:sz w:val="16"/>
                <w:szCs w:val="16"/>
              </w:rPr>
            </w:pPr>
            <w:r>
              <w:rPr>
                <w:rFonts w:hint="eastAsia" w:ascii="仿宋" w:hAnsi="仿宋" w:eastAsia="仿宋" w:cs="仿宋"/>
                <w:b w:val="0"/>
                <w:bCs w:val="0"/>
                <w:sz w:val="16"/>
                <w:szCs w:val="16"/>
                <w:lang w:val="en-US" w:eastAsia="zh-CN"/>
              </w:rPr>
              <w:t>做好区级储备粮的保管和轮换工作，保障储备粮安全</w:t>
            </w:r>
            <w:r>
              <w:rPr>
                <w:rFonts w:hint="eastAsia" w:ascii="仿宋" w:hAnsi="仿宋" w:eastAsia="仿宋" w:cs="仿宋"/>
                <w:color w:val="000000"/>
                <w:kern w:val="0"/>
                <w:sz w:val="16"/>
                <w:szCs w:val="16"/>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20" w:firstLineChars="200"/>
              <w:rPr>
                <w:rFonts w:hint="eastAsia" w:ascii="仿宋" w:hAnsi="仿宋" w:eastAsia="仿宋" w:cs="仿宋"/>
                <w:color w:val="000000"/>
                <w:kern w:val="0"/>
                <w:sz w:val="16"/>
                <w:szCs w:val="16"/>
              </w:rPr>
            </w:pPr>
            <w:r>
              <w:rPr>
                <w:rFonts w:hint="eastAsia" w:ascii="仿宋" w:hAnsi="仿宋" w:eastAsia="仿宋" w:cs="仿宋"/>
                <w:b w:val="0"/>
                <w:bCs w:val="0"/>
                <w:sz w:val="16"/>
                <w:szCs w:val="16"/>
                <w:lang w:val="en-US" w:eastAsia="zh-CN"/>
              </w:rPr>
              <w:t>做好区级储备粮的保管和轮换工作，保障储备粮安全</w:t>
            </w: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绩  效    指  标</w:t>
            </w:r>
          </w:p>
        </w:tc>
        <w:tc>
          <w:tcPr>
            <w:tcW w:w="67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一级指标</w:t>
            </w:r>
          </w:p>
        </w:tc>
        <w:tc>
          <w:tcPr>
            <w:tcW w:w="109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二级指标</w:t>
            </w:r>
          </w:p>
        </w:tc>
        <w:tc>
          <w:tcPr>
            <w:tcW w:w="155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三级指标</w:t>
            </w:r>
          </w:p>
        </w:tc>
        <w:tc>
          <w:tcPr>
            <w:tcW w:w="1612"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全年</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未完成原因和</w:t>
            </w:r>
          </w:p>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产   出   指   标</w:t>
            </w:r>
          </w:p>
        </w:tc>
        <w:tc>
          <w:tcPr>
            <w:tcW w:w="109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数量指标</w:t>
            </w:r>
          </w:p>
        </w:tc>
        <w:tc>
          <w:tcPr>
            <w:tcW w:w="155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lang w:eastAsia="zh-CN"/>
              </w:rPr>
              <w:t>争取资金</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28.12</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28.12</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完成投资</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2"/>
                <w:sz w:val="16"/>
                <w:szCs w:val="16"/>
                <w:u w:val="none"/>
                <w:lang w:val="en-US" w:eastAsia="zh-CN" w:bidi="ar-SA"/>
              </w:rPr>
              <w:t>28.12</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2"/>
                <w:sz w:val="16"/>
                <w:szCs w:val="16"/>
                <w:u w:val="none"/>
                <w:lang w:val="en-US" w:eastAsia="zh-CN" w:bidi="ar-SA"/>
              </w:rPr>
              <w:t>28.12</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质量指标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争取资金和完成投资</w:t>
            </w:r>
            <w:r>
              <w:rPr>
                <w:rFonts w:hint="eastAsia" w:ascii="仿宋" w:hAnsi="仿宋" w:eastAsia="仿宋" w:cs="仿宋"/>
                <w:i w:val="0"/>
                <w:iCs w:val="0"/>
                <w:color w:val="000000"/>
                <w:kern w:val="0"/>
                <w:sz w:val="16"/>
                <w:szCs w:val="16"/>
                <w:u w:val="none"/>
                <w:lang w:val="en-US" w:eastAsia="zh-CN" w:bidi="ar"/>
              </w:rPr>
              <w:t>率</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时效指标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sz w:val="16"/>
                <w:szCs w:val="16"/>
                <w:lang w:val="en-US" w:eastAsia="zh-CN"/>
              </w:rPr>
              <w:t>争取资金和完成投资</w:t>
            </w:r>
            <w:r>
              <w:rPr>
                <w:rFonts w:hint="eastAsia" w:ascii="仿宋" w:hAnsi="仿宋" w:eastAsia="仿宋" w:cs="仿宋"/>
                <w:i w:val="0"/>
                <w:iCs w:val="0"/>
                <w:color w:val="000000"/>
                <w:kern w:val="0"/>
                <w:sz w:val="16"/>
                <w:szCs w:val="16"/>
                <w:u w:val="none"/>
                <w:lang w:val="en-US" w:eastAsia="zh-CN" w:bidi="ar"/>
              </w:rPr>
              <w:t>的及时性</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成本指标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6"/>
                <w:szCs w:val="16"/>
                <w:lang w:val="en-US" w:eastAsia="zh-CN" w:bidi="ar-SA"/>
              </w:rPr>
            </w:pPr>
            <w:r>
              <w:rPr>
                <w:rFonts w:hint="eastAsia" w:ascii="仿宋" w:hAnsi="仿宋" w:eastAsia="仿宋" w:cs="仿宋"/>
                <w:sz w:val="16"/>
                <w:szCs w:val="16"/>
                <w:lang w:val="en-US" w:eastAsia="zh-CN"/>
              </w:rPr>
              <w:t>项目前期经费</w:t>
            </w:r>
            <w:r>
              <w:rPr>
                <w:rFonts w:hint="eastAsia" w:ascii="仿宋" w:hAnsi="仿宋" w:eastAsia="仿宋" w:cs="仿宋"/>
                <w:i w:val="0"/>
                <w:iCs w:val="0"/>
                <w:color w:val="000000"/>
                <w:kern w:val="0"/>
                <w:sz w:val="16"/>
                <w:szCs w:val="16"/>
                <w:u w:val="none"/>
                <w:lang w:val="en-US" w:eastAsia="zh-CN" w:bidi="ar"/>
              </w:rPr>
              <w:t>成本</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28.12</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default"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28.12万 元</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   益   指   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经济效益  指标</w:t>
            </w:r>
          </w:p>
        </w:tc>
        <w:tc>
          <w:tcPr>
            <w:tcW w:w="155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6"/>
                <w:szCs w:val="16"/>
                <w:lang w:val="en-US" w:eastAsia="zh-CN"/>
              </w:rPr>
            </w:pPr>
            <w:r>
              <w:rPr>
                <w:rFonts w:hint="eastAsia" w:ascii="仿宋" w:hAnsi="仿宋" w:eastAsia="仿宋" w:cs="仿宋"/>
                <w:color w:val="000000"/>
                <w:kern w:val="0"/>
                <w:sz w:val="16"/>
                <w:szCs w:val="16"/>
                <w:lang w:eastAsia="zh-CN"/>
              </w:rPr>
              <w:t>提升财政资金使用效益</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绩  效    指  标</w:t>
            </w:r>
          </w:p>
        </w:tc>
        <w:tc>
          <w:tcPr>
            <w:tcW w:w="67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   益   指   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生态效益  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提高就业</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可持续影响指标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推进经济发展</w:t>
            </w:r>
          </w:p>
        </w:tc>
        <w:tc>
          <w:tcPr>
            <w:tcW w:w="1612"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6"/>
                <w:szCs w:val="16"/>
              </w:rPr>
            </w:pPr>
          </w:p>
        </w:tc>
        <w:tc>
          <w:tcPr>
            <w:tcW w:w="6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满意度指标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服务对象满意度指标</w:t>
            </w:r>
          </w:p>
        </w:tc>
        <w:tc>
          <w:tcPr>
            <w:tcW w:w="155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社会公众满意度</w:t>
            </w:r>
          </w:p>
        </w:tc>
        <w:tc>
          <w:tcPr>
            <w:tcW w:w="1612"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6"/>
                <w:szCs w:val="16"/>
                <w:lang w:val="en-US" w:eastAsia="zh-CN" w:bidi="ar-SA"/>
              </w:rPr>
            </w:pPr>
            <w:r>
              <w:rPr>
                <w:rFonts w:hint="eastAsia" w:ascii="仿宋" w:hAnsi="仿宋" w:eastAsia="仿宋" w:cs="仿宋"/>
                <w:i w:val="0"/>
                <w:iCs w:val="0"/>
                <w:color w:val="000000"/>
                <w:kern w:val="0"/>
                <w:sz w:val="16"/>
                <w:szCs w:val="16"/>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_GB2312" w:hAnsi="宋体" w:eastAsia="仿宋_GB2312" w:cs="宋体"/>
                <w:color w:val="000000"/>
                <w:kern w:val="0"/>
                <w:szCs w:val="21"/>
                <w:lang w:eastAsia="zh-CN"/>
              </w:rPr>
            </w:pP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sectPr>
      <w:pgSz w:w="11906" w:h="16838"/>
      <w:pgMar w:top="1134" w:right="1800" w:bottom="1134"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lZDlhYjRiOTUxZmMwYzgzM2VkZDNkY2EyNzc2M2QifQ=="/>
  </w:docVars>
  <w:rsids>
    <w:rsidRoot w:val="27B40453"/>
    <w:rsid w:val="00C93F5B"/>
    <w:rsid w:val="07177AA4"/>
    <w:rsid w:val="0A174921"/>
    <w:rsid w:val="13E4555D"/>
    <w:rsid w:val="1B914051"/>
    <w:rsid w:val="276E2ACE"/>
    <w:rsid w:val="27B40453"/>
    <w:rsid w:val="2D4935B2"/>
    <w:rsid w:val="431D1F2C"/>
    <w:rsid w:val="4FA42321"/>
    <w:rsid w:val="5EDE30AE"/>
    <w:rsid w:val="75E73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cs="Times New Roman"/>
    </w:rPr>
  </w:style>
  <w:style w:type="paragraph" w:styleId="3">
    <w:name w:val="toc 5"/>
    <w:basedOn w:val="1"/>
    <w:next w:val="1"/>
    <w:qFormat/>
    <w:uiPriority w:val="99"/>
    <w:pPr>
      <w:spacing w:line="600" w:lineRule="exact"/>
      <w:jc w:val="center"/>
    </w:pPr>
    <w:rPr>
      <w:rFonts w:ascii="仿宋_GB2312" w:eastAsia="仿宋_GB2312" w:cs="仿宋_GB2312"/>
      <w:b/>
      <w:bCs/>
      <w:sz w:val="32"/>
      <w:szCs w:val="32"/>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7">
    <w:name w:val="无间隔"/>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_Style 1"/>
    <w:basedOn w:val="1"/>
    <w:qFormat/>
    <w:uiPriority w:val="99"/>
    <w:pPr>
      <w:spacing w:line="481" w:lineRule="atLeast"/>
      <w:ind w:firstLine="623"/>
      <w:textAlignment w:val="baseline"/>
    </w:pPr>
    <w:rPr>
      <w:color w:val="000000"/>
      <w:sz w:val="31"/>
      <w:szCs w:val="3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2023-09-19T00:05:00Z</dcterms:created>
  <dc:creator>Administrator</dc:creator>
  <cp:lastModifiedBy>生如夏花</cp:lastModifiedBy>
  <cp:lastPrinted>2023-09-25T07:58:49Z</cp:lastPrinted>
  <dcterms:modified xsi:type="dcterms:W3CDTF">2023-09-25T08:01:44Z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010A255228F04BCF98F9FD15164A5206_13</vt:lpwstr>
  </property>
</Properties>
</file>