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120" w:afterLines="50"/>
        <w:jc w:val="left"/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3</w:t>
      </w:r>
    </w:p>
    <w:p>
      <w:pPr>
        <w:widowControl/>
        <w:spacing w:after="120" w:afterLines="50"/>
        <w:jc w:val="center"/>
        <w:rPr>
          <w:rFonts w:ascii="Times New Roman" w:hAnsi="Times New Roman" w:eastAsia="方正小标宋_GBK" w:cs="Times New Roman"/>
          <w:color w:val="000000"/>
          <w:sz w:val="36"/>
          <w:szCs w:val="36"/>
        </w:rPr>
      </w:pPr>
      <w:r>
        <w:rPr>
          <w:rFonts w:ascii="Times New Roman" w:hAnsi="Times New Roman" w:eastAsia="方正小标宋_GBK" w:cs="Times New Roman"/>
          <w:color w:val="000000"/>
          <w:sz w:val="36"/>
          <w:szCs w:val="36"/>
        </w:rPr>
        <w:t>部门整体支出绩效自评表</w:t>
      </w:r>
    </w:p>
    <w:tbl>
      <w:tblPr>
        <w:tblStyle w:val="2"/>
        <w:tblW w:w="1007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953"/>
        <w:gridCol w:w="1256"/>
        <w:gridCol w:w="95"/>
        <w:gridCol w:w="1311"/>
        <w:gridCol w:w="1269"/>
        <w:gridCol w:w="716"/>
        <w:gridCol w:w="881"/>
        <w:gridCol w:w="143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市直</w:t>
            </w: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预算部门名称</w:t>
            </w:r>
          </w:p>
        </w:tc>
        <w:tc>
          <w:tcPr>
            <w:tcW w:w="899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中共怀化鹤城区委办公室</w:t>
            </w:r>
            <w:bookmarkStart w:id="0" w:name="_GoBack"/>
            <w:bookmarkEnd w:id="0"/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年度预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算申请</w:t>
            </w: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0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年初预算数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全年预算数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全年执行数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分值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执行率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20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年度资金总额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761.01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801.88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801.88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10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按收入性质分：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按支出性质分：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 xml:space="preserve">  其中：  一般公共预算：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801.88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其中：基本支出：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674.73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800" w:firstLineChars="400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政府性基金拨款：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600" w:firstLineChars="300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项目支出：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127.15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纳入专户管理的非税收入拨款：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1400" w:firstLineChars="700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其他资金：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6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3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　</w:t>
            </w:r>
          </w:p>
        </w:tc>
        <w:tc>
          <w:tcPr>
            <w:tcW w:w="43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95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专题党课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4次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4次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党员主题日活动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11次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11次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撰写领导讲话稿及综合材料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100篇以上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100篇以上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调研报告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5篇以上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5篇以上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报送特色经验材料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10篇以上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10篇以上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牵头组织协调各类会议活动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192次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192次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组织协调区委主要领导调研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20次以上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20次以上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工作要点落实情况跟踪督办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107项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107项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办理上级来文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10份以上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10份以上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台商交流活动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10次以上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10次以上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调研信息被采纳率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90%以上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90%以上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上报信息准确率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95%以上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95%以上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接待任务完成率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采购合规率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电报办理质量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98%以上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98%以上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预算执行率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98%以上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98%以上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上报信息及时性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98%以上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98%以上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电报</w:t>
            </w: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226" w:firstLineChars="0"/>
              <w:jc w:val="both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电报办理时效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99%以上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99%以上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党风廉政建设会议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2次/季度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2次/季度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基本支出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674.73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674.73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项目支出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127.15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127.15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效益指标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（30分）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95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经济效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经济效益情况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效果明显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效果明显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社会效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重大恶性发生率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0%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0%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全区用人环境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提升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提升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 xml:space="preserve"> 全区社会大局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稳定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稳定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生态效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生态效益情况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效果明显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效果明显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办文程序规范性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提升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提升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机要保密工作机制</w:t>
            </w:r>
          </w:p>
        </w:tc>
        <w:tc>
          <w:tcPr>
            <w:tcW w:w="13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24小时值班制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24小时值班制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督查执行能力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增强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增强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95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工作人员满意度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98%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98%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群众满意度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98%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98%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4.5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4.5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</w:tbl>
    <w:p>
      <w:r>
        <w:rPr>
          <w:rFonts w:ascii="Times New Roman" w:hAnsi="Times New Roman" w:eastAsia="仿宋_GB2312" w:cs="Times New Roman"/>
          <w:sz w:val="22"/>
          <w:szCs w:val="22"/>
        </w:rPr>
        <w:t>填表人：      填报日期：         联系电话：     单位负责人签字：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A050FC"/>
    <w:rsid w:val="1CDA2E5F"/>
    <w:rsid w:val="1FBB6039"/>
    <w:rsid w:val="20382AD7"/>
    <w:rsid w:val="5D5B3E4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290</Words>
  <Characters>306</Characters>
  <Lines>0</Lines>
  <Paragraphs>0</Paragraphs>
  <TotalTime>1</TotalTime>
  <ScaleCrop>false</ScaleCrop>
  <LinksUpToDate>false</LinksUpToDate>
  <CharactersWithSpaces>473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2023-09-25T07:31:57Z</cp:lastPrinted>
  <dcterms:modified xsi:type="dcterms:W3CDTF">2023-09-25T07:32:00Z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79F3A55C32CD4269A98D94A38222B919</vt:lpwstr>
  </property>
</Properties>
</file>