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宋体" w:eastAsia="黑体" w:cs="宋体"/>
          <w:kern w:val="0"/>
          <w:sz w:val="32"/>
          <w:szCs w:val="32"/>
        </w:rPr>
      </w:pPr>
      <w:r>
        <w:rPr>
          <w:rFonts w:hint="eastAsia" w:ascii="黑体" w:hAnsi="宋体" w:eastAsia="黑体" w:cs="宋体"/>
          <w:kern w:val="0"/>
          <w:sz w:val="32"/>
          <w:szCs w:val="32"/>
        </w:rPr>
        <w:t>附件7</w:t>
      </w:r>
    </w:p>
    <w:p>
      <w:pPr>
        <w:jc w:val="center"/>
        <w:rPr>
          <w:rFonts w:eastAsia="方正小标宋_GBK"/>
          <w:sz w:val="52"/>
          <w:szCs w:val="52"/>
        </w:rPr>
      </w:pPr>
    </w:p>
    <w:p>
      <w:pPr>
        <w:jc w:val="center"/>
        <w:rPr>
          <w:rFonts w:eastAsia="方正小标宋_GBK"/>
          <w:sz w:val="52"/>
          <w:szCs w:val="52"/>
        </w:rPr>
      </w:pPr>
    </w:p>
    <w:p>
      <w:pPr>
        <w:jc w:val="center"/>
        <w:rPr>
          <w:rFonts w:eastAsia="方正小标宋_GBK"/>
          <w:sz w:val="52"/>
          <w:szCs w:val="52"/>
        </w:rPr>
      </w:pPr>
    </w:p>
    <w:p>
      <w:pPr>
        <w:jc w:val="center"/>
        <w:rPr>
          <w:rFonts w:eastAsia="方正小标宋_GBK"/>
          <w:sz w:val="52"/>
          <w:szCs w:val="52"/>
        </w:rPr>
      </w:pPr>
    </w:p>
    <w:p>
      <w:pPr>
        <w:jc w:val="center"/>
        <w:rPr>
          <w:rFonts w:hint="eastAsia" w:eastAsia="方正小标宋_GBK"/>
          <w:sz w:val="52"/>
          <w:szCs w:val="52"/>
        </w:rPr>
      </w:pPr>
      <w:r>
        <w:rPr>
          <w:rFonts w:eastAsia="方正小标宋_GBK"/>
          <w:sz w:val="52"/>
          <w:szCs w:val="52"/>
        </w:rPr>
        <w:t>202</w:t>
      </w:r>
      <w:r>
        <w:rPr>
          <w:rFonts w:hint="eastAsia" w:eastAsia="方正小标宋_GBK"/>
          <w:sz w:val="52"/>
          <w:szCs w:val="52"/>
        </w:rPr>
        <w:t>2</w:t>
      </w:r>
      <w:r>
        <w:rPr>
          <w:rFonts w:eastAsia="方正小标宋_GBK"/>
          <w:sz w:val="52"/>
          <w:szCs w:val="52"/>
        </w:rPr>
        <w:t>年度</w:t>
      </w:r>
      <w:r>
        <w:rPr>
          <w:rFonts w:hint="eastAsia" w:eastAsia="方正小标宋_GBK"/>
          <w:sz w:val="52"/>
          <w:szCs w:val="52"/>
          <w:lang w:val="en-US" w:eastAsia="zh-CN"/>
        </w:rPr>
        <w:t>财政投资评审服务部</w:t>
      </w:r>
      <w:r>
        <w:rPr>
          <w:rFonts w:hint="eastAsia" w:eastAsia="方正小标宋_GBK"/>
          <w:sz w:val="52"/>
          <w:szCs w:val="52"/>
        </w:rPr>
        <w:t>专项资金</w:t>
      </w:r>
      <w:bookmarkStart w:id="0" w:name="_GoBack"/>
      <w:bookmarkEnd w:id="0"/>
    </w:p>
    <w:p>
      <w:pPr>
        <w:jc w:val="center"/>
        <w:rPr>
          <w:rFonts w:eastAsia="方正小标宋_GBK"/>
          <w:sz w:val="52"/>
          <w:szCs w:val="52"/>
        </w:rPr>
      </w:pPr>
      <w:r>
        <w:rPr>
          <w:rFonts w:eastAsia="方正小标宋_GBK"/>
          <w:sz w:val="52"/>
          <w:szCs w:val="52"/>
        </w:rPr>
        <w:t>绩效自评报告</w:t>
      </w:r>
    </w:p>
    <w:p>
      <w:pP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rPr>
          <w:rFonts w:eastAsia="黑体"/>
          <w:sz w:val="32"/>
          <w:szCs w:val="32"/>
        </w:rPr>
      </w:pPr>
    </w:p>
    <w:p>
      <w:pPr>
        <w:jc w:val="center"/>
        <w:rPr>
          <w:rFonts w:eastAsia="黑体"/>
          <w:sz w:val="32"/>
          <w:szCs w:val="32"/>
        </w:rPr>
      </w:pPr>
    </w:p>
    <w:p>
      <w:pPr>
        <w:spacing w:line="600" w:lineRule="exact"/>
        <w:ind w:firstLine="1920" w:firstLineChars="600"/>
        <w:rPr>
          <w:rFonts w:eastAsia="仿宋_GB2312"/>
          <w:sz w:val="32"/>
          <w:szCs w:val="32"/>
          <w:u w:val="single"/>
        </w:rPr>
      </w:pPr>
      <w:r>
        <w:rPr>
          <w:rFonts w:eastAsia="仿宋_GB2312"/>
          <w:sz w:val="32"/>
          <w:szCs w:val="32"/>
        </w:rPr>
        <w:t>单位名称：</w:t>
      </w:r>
      <w:r>
        <w:rPr>
          <w:rFonts w:eastAsia="仿宋_GB2312"/>
          <w:sz w:val="32"/>
          <w:szCs w:val="32"/>
          <w:u w:val="single"/>
        </w:rPr>
        <w:t xml:space="preserve">（盖章）        </w:t>
      </w:r>
    </w:p>
    <w:p>
      <w:pPr>
        <w:spacing w:line="600" w:lineRule="exact"/>
        <w:ind w:firstLine="3200" w:firstLineChars="1000"/>
        <w:rPr>
          <w:rFonts w:eastAsia="楷体_GB2312"/>
          <w:sz w:val="32"/>
          <w:szCs w:val="32"/>
        </w:rPr>
      </w:pPr>
      <w:r>
        <w:rPr>
          <w:rFonts w:eastAsia="楷体_GB2312"/>
          <w:sz w:val="32"/>
          <w:szCs w:val="32"/>
        </w:rPr>
        <w:t>年  月  日</w:t>
      </w: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spacing w:afterLines="100" w:line="600" w:lineRule="exact"/>
        <w:rPr>
          <w:rFonts w:eastAsia="黑体"/>
          <w:sz w:val="32"/>
          <w:szCs w:val="32"/>
        </w:rPr>
      </w:pPr>
      <w:r>
        <w:rPr>
          <w:rFonts w:ascii="Times New Roman" w:hAnsi="Times New Roman" w:eastAsia="仿宋_GB2312"/>
          <w:sz w:val="32"/>
          <w:szCs w:val="32"/>
        </w:rPr>
        <w:br w:type="page"/>
      </w:r>
    </w:p>
    <w:p>
      <w:pPr>
        <w:pStyle w:val="2"/>
        <w:bidi w:val="0"/>
        <w:jc w:val="center"/>
      </w:pPr>
      <w:r>
        <w:rPr>
          <w:rFonts w:hint="eastAsia"/>
          <w:lang w:eastAsia="zh-CN"/>
        </w:rPr>
        <w:t>鹤城区财政局投资评审中心</w:t>
      </w:r>
      <w:r>
        <w:rPr>
          <w:rFonts w:hint="eastAsia"/>
          <w:lang w:val="en-US" w:eastAsia="zh-CN"/>
        </w:rPr>
        <w:t>2022年</w:t>
      </w:r>
    </w:p>
    <w:p>
      <w:pPr>
        <w:pStyle w:val="2"/>
        <w:bidi w:val="0"/>
        <w:jc w:val="center"/>
        <w:rPr>
          <w:rFonts w:hint="eastAsia" w:ascii="仿宋" w:hAnsi="仿宋" w:eastAsia="仿宋" w:cs="仿宋"/>
          <w:b/>
          <w:bCs w:val="0"/>
          <w:lang w:val="en-US" w:eastAsia="zh-CN"/>
        </w:rPr>
      </w:pPr>
      <w:r>
        <w:t>预算支出绩效评价报告</w:t>
      </w:r>
    </w:p>
    <w:p>
      <w:pPr>
        <w:pStyle w:val="10"/>
        <w:spacing w:line="360" w:lineRule="auto"/>
        <w:ind w:firstLine="643" w:firstLineChars="200"/>
        <w:rPr>
          <w:rFonts w:hint="eastAsia" w:ascii="楷体" w:eastAsia="楷体"/>
          <w:b/>
          <w:sz w:val="32"/>
          <w:szCs w:val="32"/>
          <w:lang w:eastAsia="zh-CN"/>
        </w:rPr>
      </w:pPr>
      <w:r>
        <w:rPr>
          <w:rFonts w:hint="eastAsia" w:ascii="楷体" w:eastAsia="楷体"/>
          <w:b/>
          <w:sz w:val="32"/>
          <w:szCs w:val="32"/>
        </w:rPr>
        <w:t>一、项目基本情况</w:t>
      </w:r>
      <w:r>
        <w:rPr>
          <w:rFonts w:hint="eastAsia" w:ascii="楷体" w:eastAsia="楷体"/>
          <w:b/>
          <w:sz w:val="32"/>
          <w:szCs w:val="32"/>
          <w:lang w:eastAsia="zh-CN"/>
        </w:rPr>
        <w:t>：</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1、项目单位基本情况</w:t>
      </w:r>
    </w:p>
    <w:p>
      <w:pPr>
        <w:numPr>
          <w:ilvl w:val="0"/>
          <w:numId w:val="0"/>
        </w:numPr>
        <w:ind w:left="480" w:leftChars="0"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怀化市鹤城区财政投资评审中心现更名为怀化市鹤城区财政事物中心财政投资评审服务部，主要负责全区财政性资金投资项目预算和竣工决（结）算进行评价与审查，财政投资评审是财政职能的重要组成部分，对财政性资金投资项目资金使用情况，以及其他财政专项资金使用情况进行专项核查及追踪问效，是财政资金规范、安全、有效运行的基本保证。以下简称投资评审中心。</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2、项目的实施依据</w:t>
      </w:r>
    </w:p>
    <w:p>
      <w:pPr>
        <w:numPr>
          <w:ilvl w:val="0"/>
          <w:numId w:val="0"/>
        </w:numPr>
        <w:ind w:firstLine="640" w:firstLineChars="20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预算收支决策背景：根据湖南省省本级财政投资评审管理办法（湘财办【2020】11号），第十条：财政投资评审机构组织实施财政投资评审工作所需业务经费由财政预算安排，不得向项目单位收取任何费用。</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3、项目基本性质、用途和主要内容、涉及范围</w:t>
      </w:r>
    </w:p>
    <w:p>
      <w:pPr>
        <w:numPr>
          <w:ilvl w:val="0"/>
          <w:numId w:val="0"/>
        </w:numPr>
        <w:ind w:left="960" w:leftChars="0"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支出为评审工作所需业务经费，2022年总支出 143.3 万元，（其中：劳务派遣工程师专业技术人员工资及社会保障费88.8 万元（含1-11月工资，1-3季度社会保障费），运转经费8.13万元，评审咨询服务费 46.4 万元，“三公经费”无。</w:t>
      </w:r>
    </w:p>
    <w:p>
      <w:pPr>
        <w:numPr>
          <w:ilvl w:val="0"/>
          <w:numId w:val="1"/>
        </w:numPr>
        <w:ind w:firstLine="643" w:firstLineChars="200"/>
        <w:rPr>
          <w:rFonts w:eastAsia="楷体_GB2312"/>
          <w:b/>
          <w:sz w:val="32"/>
          <w:szCs w:val="32"/>
        </w:rPr>
      </w:pPr>
      <w:r>
        <w:rPr>
          <w:rFonts w:hint="eastAsia" w:eastAsia="楷体_GB2312"/>
          <w:b/>
          <w:sz w:val="32"/>
          <w:szCs w:val="32"/>
          <w:lang w:val="en-US" w:eastAsia="zh-CN"/>
        </w:rPr>
        <w:t>项目绩效目标</w:t>
      </w:r>
      <w:r>
        <w:rPr>
          <w:rFonts w:eastAsia="楷体_GB2312"/>
          <w:b/>
          <w:sz w:val="32"/>
          <w:szCs w:val="32"/>
        </w:rPr>
        <w:t>。</w:t>
      </w:r>
    </w:p>
    <w:p>
      <w:pPr>
        <w:numPr>
          <w:ilvl w:val="0"/>
          <w:numId w:val="0"/>
        </w:numPr>
        <w:ind w:left="638" w:leftChars="304" w:firstLine="960" w:firstLineChars="300"/>
        <w:rPr>
          <w:rFonts w:hint="default" w:eastAsia="楷体_GB2312"/>
          <w:b/>
          <w:sz w:val="32"/>
          <w:szCs w:val="32"/>
          <w:lang w:val="en-US"/>
        </w:rPr>
      </w:pPr>
      <w:r>
        <w:rPr>
          <w:rFonts w:hint="eastAsia" w:ascii="仿宋" w:hAnsi="仿宋" w:eastAsia="仿宋" w:cs="仿宋"/>
          <w:b w:val="0"/>
          <w:bCs w:val="0"/>
          <w:sz w:val="32"/>
          <w:szCs w:val="32"/>
          <w:lang w:val="en-US" w:eastAsia="zh-CN"/>
        </w:rPr>
        <w:t>对财政性资金投资项目资金使用情况，以及其他财政专项资金使用情况进行专项核查及追踪问效，规范财政资金使用。</w:t>
      </w:r>
    </w:p>
    <w:p>
      <w:pPr>
        <w:widowControl/>
        <w:numPr>
          <w:ilvl w:val="0"/>
          <w:numId w:val="0"/>
        </w:numPr>
        <w:spacing w:line="600" w:lineRule="exact"/>
        <w:ind w:firstLine="640" w:firstLineChars="200"/>
        <w:jc w:val="left"/>
        <w:rPr>
          <w:rFonts w:hint="default" w:eastAsia="黑体"/>
          <w:sz w:val="32"/>
          <w:szCs w:val="32"/>
          <w:lang w:val="en-US" w:eastAsia="zh-CN"/>
        </w:rPr>
      </w:pPr>
      <w:r>
        <w:rPr>
          <w:rFonts w:hint="eastAsia" w:eastAsia="黑体"/>
          <w:sz w:val="32"/>
          <w:szCs w:val="32"/>
          <w:lang w:val="en-US" w:eastAsia="zh-CN"/>
        </w:rPr>
        <w:t>二、绩效评价工作情况</w:t>
      </w:r>
    </w:p>
    <w:p>
      <w:pPr>
        <w:widowControl/>
        <w:numPr>
          <w:ilvl w:val="0"/>
          <w:numId w:val="0"/>
        </w:numPr>
        <w:spacing w:line="600" w:lineRule="exact"/>
        <w:ind w:left="1058" w:leftChars="504" w:firstLine="320" w:firstLineChars="100"/>
        <w:jc w:val="left"/>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2022年投资评审中心共审核项目275个，送审金额4.59亿，核减金额1.5亿元，核减率24.63%。预算支出主要用于</w:t>
      </w:r>
      <w:r>
        <w:rPr>
          <w:rFonts w:hint="eastAsia" w:ascii="仿宋" w:hAnsi="仿宋" w:eastAsia="仿宋" w:cs="仿宋"/>
          <w:b w:val="0"/>
          <w:bCs w:val="0"/>
          <w:sz w:val="32"/>
          <w:szCs w:val="32"/>
          <w:lang w:val="en-US" w:eastAsia="zh-CN"/>
        </w:rPr>
        <w:t>劳务派遣工程师专业技术人员工资、社会保障费用、评审咨询服务费等工作支出。提高财政资金使用效率，合理控制工程造价，取得了良好的社会效益。</w:t>
      </w:r>
    </w:p>
    <w:p>
      <w:pPr>
        <w:spacing w:line="600" w:lineRule="exact"/>
        <w:ind w:firstLine="960" w:firstLineChars="300"/>
        <w:rPr>
          <w:rFonts w:eastAsia="黑体"/>
          <w:sz w:val="32"/>
          <w:szCs w:val="32"/>
        </w:rPr>
      </w:pPr>
      <w:r>
        <w:rPr>
          <w:rFonts w:hint="eastAsia" w:eastAsia="黑体"/>
          <w:sz w:val="32"/>
          <w:szCs w:val="32"/>
          <w:lang w:val="en-US" w:eastAsia="zh-CN"/>
        </w:rPr>
        <w:t>三</w:t>
      </w:r>
      <w:r>
        <w:rPr>
          <w:rFonts w:eastAsia="黑体"/>
          <w:sz w:val="32"/>
          <w:szCs w:val="32"/>
        </w:rPr>
        <w:t>、绩效评价指标分析</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（一）项目资金情况分析</w:t>
      </w:r>
    </w:p>
    <w:p>
      <w:pPr>
        <w:pStyle w:val="10"/>
        <w:spacing w:line="360" w:lineRule="auto"/>
        <w:ind w:firstLine="960" w:firstLineChars="300"/>
        <w:rPr>
          <w:rFonts w:hint="eastAsia" w:ascii="仿宋" w:eastAsia="仿宋"/>
          <w:sz w:val="32"/>
          <w:szCs w:val="32"/>
        </w:rPr>
      </w:pPr>
      <w:r>
        <w:rPr>
          <w:rFonts w:hint="eastAsia" w:ascii="仿宋" w:eastAsia="仿宋"/>
          <w:sz w:val="32"/>
          <w:szCs w:val="32"/>
        </w:rPr>
        <w:t>1、项目资金到位情况分析</w:t>
      </w:r>
    </w:p>
    <w:p>
      <w:pPr>
        <w:numPr>
          <w:ilvl w:val="0"/>
          <w:numId w:val="0"/>
        </w:numPr>
        <w:ind w:firstLine="960" w:firstLineChars="3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湖南省省本级财政投资评审管理办法（湘财办【2020】11号），第十条：财政投资评审机构组织实施财政投资评审工作所需业务经费由财政预算安排，不得向项目单位收取任何费用。所需经费由财政预算全额安排。</w:t>
      </w:r>
    </w:p>
    <w:p>
      <w:pPr>
        <w:pStyle w:val="10"/>
        <w:numPr>
          <w:ilvl w:val="0"/>
          <w:numId w:val="2"/>
        </w:numPr>
        <w:spacing w:line="360" w:lineRule="auto"/>
        <w:ind w:firstLine="640" w:firstLineChars="200"/>
        <w:rPr>
          <w:rFonts w:hint="eastAsia" w:ascii="仿宋" w:eastAsia="仿宋"/>
          <w:sz w:val="32"/>
          <w:szCs w:val="32"/>
        </w:rPr>
      </w:pPr>
      <w:r>
        <w:rPr>
          <w:rFonts w:hint="eastAsia" w:ascii="仿宋" w:eastAsia="仿宋"/>
          <w:sz w:val="32"/>
          <w:szCs w:val="32"/>
        </w:rPr>
        <w:t>项目资金使用情况分析</w:t>
      </w:r>
    </w:p>
    <w:p>
      <w:pPr>
        <w:numPr>
          <w:ilvl w:val="0"/>
          <w:numId w:val="0"/>
        </w:numPr>
        <w:ind w:firstLine="960" w:firstLineChars="300"/>
        <w:rPr>
          <w:rFonts w:hint="eastAsia" w:ascii="仿宋" w:hAnsi="仿宋" w:eastAsia="仿宋" w:cs="仿宋"/>
          <w:b w:val="0"/>
          <w:bCs w:val="0"/>
          <w:sz w:val="32"/>
          <w:szCs w:val="32"/>
          <w:lang w:val="en-US" w:eastAsia="zh-CN"/>
        </w:rPr>
      </w:pPr>
      <w:r>
        <w:rPr>
          <w:rFonts w:hint="eastAsia" w:ascii="仿宋" w:eastAsia="仿宋"/>
          <w:sz w:val="32"/>
          <w:szCs w:val="32"/>
          <w:lang w:val="en-US" w:eastAsia="zh-CN"/>
        </w:rPr>
        <w:t xml:space="preserve"> </w:t>
      </w:r>
      <w:r>
        <w:rPr>
          <w:rFonts w:hint="eastAsia" w:ascii="仿宋" w:hAnsi="仿宋" w:eastAsia="仿宋" w:cs="仿宋"/>
          <w:b w:val="0"/>
          <w:bCs w:val="0"/>
          <w:sz w:val="32"/>
          <w:szCs w:val="32"/>
          <w:lang w:val="en-US" w:eastAsia="zh-CN"/>
        </w:rPr>
        <w:t>支出为评审工作所需业务经费，2022年总支出 143.3 万元，（其中：劳务派遣工程师专业技术人员工资及社会保障费88.8 万元（含1-11月工资，1-3季度社会保障费），运转经费8.13万元，评审咨询服务费 46.4 万元，“三公经费”无。</w:t>
      </w:r>
    </w:p>
    <w:p>
      <w:pPr>
        <w:pStyle w:val="10"/>
        <w:numPr>
          <w:ilvl w:val="0"/>
          <w:numId w:val="2"/>
        </w:numPr>
        <w:spacing w:line="360" w:lineRule="auto"/>
        <w:ind w:left="0" w:leftChars="0" w:firstLine="640" w:firstLineChars="200"/>
        <w:rPr>
          <w:rFonts w:hint="eastAsia" w:ascii="仿宋" w:eastAsia="仿宋"/>
          <w:sz w:val="32"/>
          <w:szCs w:val="32"/>
        </w:rPr>
      </w:pPr>
      <w:r>
        <w:rPr>
          <w:rFonts w:hint="eastAsia" w:ascii="仿宋" w:eastAsia="仿宋"/>
          <w:sz w:val="32"/>
          <w:szCs w:val="32"/>
        </w:rPr>
        <w:t>项目资金管理情况分析</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rPr>
        <w:t>为加强我单位财务管理，完善财务制度，强化财务监督，严肃财经纪律，提高资金使用效益，结合我单位实际，制定了相应的财务管理办法。严格资金使用标准，严格审批程序，严格资金使用方式，专款专用。</w:t>
      </w:r>
      <w:r>
        <w:rPr>
          <w:rFonts w:hint="eastAsia" w:ascii="仿宋" w:hAnsi="仿宋" w:eastAsia="仿宋" w:cs="仿宋"/>
          <w:sz w:val="32"/>
          <w:szCs w:val="32"/>
          <w:lang w:eastAsia="zh-CN"/>
        </w:rPr>
        <w:t>建立《鹤城区财政投资评审中心评审聘用人员管理办法》</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鹤财【2017】35号</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、并结合参考《湖南省建设工程造价管理协会关于规范工程造价咨询服务收费的意见》</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湘建价【</w:t>
      </w:r>
      <w:r>
        <w:rPr>
          <w:rFonts w:hint="eastAsia" w:ascii="仿宋" w:hAnsi="仿宋" w:eastAsia="仿宋" w:cs="仿宋"/>
          <w:sz w:val="32"/>
          <w:szCs w:val="32"/>
          <w:lang w:val="en-US" w:eastAsia="zh-CN"/>
        </w:rPr>
        <w:t>2016</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25号文)。</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（二）项目实施情况分析</w:t>
      </w:r>
    </w:p>
    <w:p>
      <w:pPr>
        <w:pStyle w:val="10"/>
        <w:spacing w:line="360" w:lineRule="auto"/>
        <w:ind w:firstLine="640" w:firstLineChars="200"/>
        <w:rPr>
          <w:rFonts w:hint="eastAsia" w:ascii="仿宋" w:hAnsi="仿宋" w:eastAsia="仿宋" w:cs="仿宋"/>
          <w:b w:val="0"/>
          <w:bCs w:val="0"/>
          <w:sz w:val="32"/>
          <w:szCs w:val="32"/>
          <w:lang w:val="en-US" w:eastAsia="zh-CN"/>
        </w:rPr>
      </w:pPr>
      <w:r>
        <w:rPr>
          <w:rFonts w:hint="eastAsia" w:ascii="仿宋" w:eastAsia="仿宋"/>
          <w:sz w:val="32"/>
          <w:szCs w:val="32"/>
        </w:rPr>
        <w:t>1、项目组织情况分析</w:t>
      </w:r>
    </w:p>
    <w:p>
      <w:pPr>
        <w:numPr>
          <w:ilvl w:val="0"/>
          <w:numId w:val="0"/>
        </w:numPr>
        <w:ind w:firstLine="960" w:firstLineChars="3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2022年总支出 143.3 万元，（其中：劳务派遣工程师专业技术人员工资及社会保障费88.8 万元（含1-11月工资，1-3季度社会保障费），运转经费8.13万元，评审咨询服务费 46.4 万元，“三公经费”无。</w:t>
      </w:r>
    </w:p>
    <w:p>
      <w:pPr>
        <w:pStyle w:val="10"/>
        <w:spacing w:line="360" w:lineRule="auto"/>
        <w:ind w:firstLine="640" w:firstLineChars="200"/>
        <w:rPr>
          <w:rFonts w:hint="eastAsia" w:ascii="仿宋" w:hAnsi="仿宋" w:eastAsia="仿宋" w:cs="仿宋"/>
          <w:b w:val="0"/>
          <w:bCs w:val="0"/>
          <w:sz w:val="32"/>
          <w:szCs w:val="32"/>
          <w:lang w:val="en-US" w:eastAsia="zh-CN"/>
        </w:rPr>
      </w:pPr>
      <w:r>
        <w:rPr>
          <w:rFonts w:hint="eastAsia" w:ascii="仿宋" w:eastAsia="仿宋"/>
          <w:sz w:val="32"/>
          <w:szCs w:val="32"/>
        </w:rPr>
        <w:t>2、项目管理情况分析</w:t>
      </w:r>
    </w:p>
    <w:p>
      <w:pPr>
        <w:numPr>
          <w:ilvl w:val="0"/>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rPr>
        <w:t>为加强我单位财务管理，完善财务制度，强化财务监督，严肃财经纪律，提高资金使用效益，结合我单位实际，制定了相应的财务管理办法。严格资金使用标准，严格审批程序，严格资金使用方式，专款专用。</w:t>
      </w:r>
      <w:r>
        <w:rPr>
          <w:rFonts w:hint="eastAsia" w:ascii="仿宋" w:hAnsi="仿宋" w:eastAsia="仿宋" w:cs="仿宋"/>
          <w:sz w:val="32"/>
          <w:szCs w:val="32"/>
          <w:lang w:eastAsia="zh-CN"/>
        </w:rPr>
        <w:t>建立《鹤城区财政投资评审中心评审聘用人员管理办法》</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鹤财【2017】35号</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、并结合参考《湖南省建设工程造价管理协会关于规范工程造价咨询服务收费的意见》</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湘建价【</w:t>
      </w:r>
      <w:r>
        <w:rPr>
          <w:rFonts w:hint="eastAsia" w:ascii="仿宋" w:hAnsi="仿宋" w:eastAsia="仿宋" w:cs="仿宋"/>
          <w:sz w:val="32"/>
          <w:szCs w:val="32"/>
          <w:lang w:val="en-US" w:eastAsia="zh-CN"/>
        </w:rPr>
        <w:t>2016</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25号文)。</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 xml:space="preserve">（三）项目绩效情况分析 </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1、项目经济性分析</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（1）项目成本（预算）控制情况</w:t>
      </w:r>
    </w:p>
    <w:p>
      <w:pPr>
        <w:numPr>
          <w:ilvl w:val="0"/>
          <w:numId w:val="0"/>
        </w:numPr>
        <w:ind w:firstLine="960" w:firstLineChars="300"/>
        <w:rPr>
          <w:rFonts w:hint="eastAsia" w:ascii="仿宋" w:eastAsia="仿宋"/>
          <w:sz w:val="32"/>
          <w:szCs w:val="32"/>
        </w:rPr>
      </w:pPr>
      <w:r>
        <w:rPr>
          <w:rFonts w:hint="eastAsia" w:ascii="仿宋" w:hAnsi="仿宋" w:eastAsia="仿宋" w:cs="仿宋"/>
          <w:b w:val="0"/>
          <w:bCs w:val="0"/>
          <w:sz w:val="32"/>
          <w:szCs w:val="32"/>
          <w:lang w:val="en-US" w:eastAsia="zh-CN"/>
        </w:rPr>
        <w:t>2022年总支出 143.3 万元，（其中：劳务派遣工程师专业技术人员工资及社会保障费88.8 万元（含1-11月工资，1-3季度社会保障费），运转经费8.13万元，评审咨询服务费 46.4 万元，“三公经费”无。</w:t>
      </w:r>
    </w:p>
    <w:p>
      <w:pPr>
        <w:pStyle w:val="10"/>
        <w:numPr>
          <w:ilvl w:val="0"/>
          <w:numId w:val="3"/>
        </w:numPr>
        <w:spacing w:line="360" w:lineRule="auto"/>
        <w:ind w:firstLine="640" w:firstLineChars="200"/>
        <w:rPr>
          <w:rFonts w:hint="eastAsia" w:ascii="仿宋" w:eastAsia="仿宋"/>
          <w:sz w:val="32"/>
          <w:szCs w:val="32"/>
        </w:rPr>
      </w:pPr>
      <w:r>
        <w:rPr>
          <w:rFonts w:hint="eastAsia" w:ascii="仿宋" w:eastAsia="仿宋"/>
          <w:sz w:val="32"/>
          <w:szCs w:val="32"/>
        </w:rPr>
        <w:t>项目成本（预算）节约情况</w:t>
      </w:r>
    </w:p>
    <w:p>
      <w:pPr>
        <w:pStyle w:val="10"/>
        <w:numPr>
          <w:ilvl w:val="0"/>
          <w:numId w:val="0"/>
        </w:numPr>
        <w:spacing w:line="360" w:lineRule="auto"/>
        <w:rPr>
          <w:rFonts w:hint="default" w:ascii="仿宋" w:eastAsia="仿宋"/>
          <w:sz w:val="32"/>
          <w:szCs w:val="32"/>
          <w:lang w:val="en-US" w:eastAsia="zh-CN"/>
        </w:rPr>
      </w:pPr>
      <w:r>
        <w:rPr>
          <w:rFonts w:hint="eastAsia" w:ascii="仿宋" w:eastAsia="仿宋"/>
          <w:sz w:val="32"/>
          <w:szCs w:val="32"/>
          <w:lang w:val="en-US" w:eastAsia="zh-CN"/>
        </w:rPr>
        <w:t xml:space="preserve">      </w:t>
      </w:r>
      <w:r>
        <w:rPr>
          <w:rFonts w:hint="eastAsia" w:ascii="仿宋" w:hAnsi="仿宋" w:eastAsia="仿宋" w:cs="仿宋"/>
          <w:sz w:val="32"/>
          <w:szCs w:val="32"/>
        </w:rPr>
        <w:t>严格资金使用标准，严格审批程序，严格资金使用方式，专款专用。</w:t>
      </w:r>
      <w:r>
        <w:rPr>
          <w:rFonts w:hint="eastAsia" w:ascii="仿宋" w:hAnsi="仿宋" w:eastAsia="仿宋" w:cs="仿宋"/>
          <w:sz w:val="32"/>
          <w:szCs w:val="32"/>
          <w:lang w:val="en-US" w:eastAsia="zh-CN"/>
        </w:rPr>
        <w:t>2022年预算安排资金192万元，支出143.3万元。</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2、项目的效率性分析</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（1）项目的实施进度</w:t>
      </w:r>
    </w:p>
    <w:p>
      <w:pPr>
        <w:pStyle w:val="10"/>
        <w:spacing w:line="360" w:lineRule="auto"/>
        <w:ind w:firstLine="640" w:firstLineChars="200"/>
        <w:rPr>
          <w:rFonts w:hint="eastAsia" w:ascii="仿宋" w:eastAsia="仿宋"/>
          <w:sz w:val="32"/>
          <w:szCs w:val="32"/>
        </w:rPr>
      </w:pPr>
      <w:r>
        <w:rPr>
          <w:rFonts w:hint="eastAsia" w:ascii="仿宋" w:hAnsi="仿宋" w:eastAsia="仿宋" w:cs="仿宋"/>
          <w:color w:val="000000"/>
          <w:kern w:val="0"/>
          <w:sz w:val="32"/>
          <w:szCs w:val="32"/>
          <w:lang w:val="en-US" w:eastAsia="zh-CN"/>
        </w:rPr>
        <w:t xml:space="preserve"> 2022年投资评审中心共审核项目275个；现场勘察项目176个，实现结算项目现场勘察100%覆盖。</w:t>
      </w:r>
    </w:p>
    <w:p>
      <w:pPr>
        <w:pStyle w:val="10"/>
        <w:numPr>
          <w:ilvl w:val="0"/>
          <w:numId w:val="4"/>
        </w:numPr>
        <w:spacing w:line="360" w:lineRule="auto"/>
        <w:ind w:firstLine="640" w:firstLineChars="200"/>
        <w:rPr>
          <w:rFonts w:hint="eastAsia" w:ascii="仿宋" w:eastAsia="仿宋"/>
          <w:sz w:val="32"/>
          <w:szCs w:val="32"/>
        </w:rPr>
      </w:pPr>
      <w:r>
        <w:rPr>
          <w:rFonts w:hint="eastAsia" w:ascii="仿宋" w:eastAsia="仿宋"/>
          <w:sz w:val="32"/>
          <w:szCs w:val="32"/>
        </w:rPr>
        <w:t>项目完成质量</w:t>
      </w:r>
    </w:p>
    <w:p>
      <w:pPr>
        <w:pStyle w:val="10"/>
        <w:numPr>
          <w:ilvl w:val="0"/>
          <w:numId w:val="0"/>
        </w:numPr>
        <w:spacing w:line="360" w:lineRule="auto"/>
        <w:ind w:firstLine="640" w:firstLineChars="200"/>
        <w:rPr>
          <w:rFonts w:hint="eastAsia" w:ascii="仿宋" w:eastAsia="仿宋"/>
          <w:sz w:val="32"/>
          <w:szCs w:val="32"/>
        </w:rPr>
      </w:pPr>
      <w:r>
        <w:rPr>
          <w:rFonts w:hint="eastAsia" w:ascii="仿宋" w:hAnsi="仿宋" w:eastAsia="仿宋" w:cs="仿宋"/>
          <w:color w:val="000000"/>
          <w:kern w:val="0"/>
          <w:sz w:val="32"/>
          <w:szCs w:val="32"/>
          <w:lang w:val="en-US" w:eastAsia="zh-CN"/>
        </w:rPr>
        <w:t>送审金额4.59亿，核减金额1.5亿元，核减率24.63%。</w:t>
      </w:r>
    </w:p>
    <w:p>
      <w:pPr>
        <w:pStyle w:val="10"/>
        <w:spacing w:line="360" w:lineRule="auto"/>
        <w:ind w:firstLine="643" w:firstLineChars="200"/>
        <w:rPr>
          <w:rFonts w:hint="eastAsia" w:ascii="仿宋" w:eastAsia="仿宋"/>
          <w:sz w:val="32"/>
          <w:szCs w:val="32"/>
        </w:rPr>
      </w:pPr>
      <w:r>
        <w:rPr>
          <w:rFonts w:hint="eastAsia" w:ascii="楷体" w:eastAsia="楷体"/>
          <w:b/>
          <w:sz w:val="32"/>
          <w:szCs w:val="32"/>
        </w:rPr>
        <w:t>3、项目的效益性分析</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（1）项目预期目标完成程度</w:t>
      </w:r>
    </w:p>
    <w:p>
      <w:pPr>
        <w:pStyle w:val="10"/>
        <w:spacing w:line="360" w:lineRule="auto"/>
        <w:ind w:firstLine="640" w:firstLineChars="200"/>
        <w:rPr>
          <w:rFonts w:hint="eastAsia" w:ascii="仿宋" w:eastAsia="仿宋"/>
          <w:sz w:val="32"/>
          <w:szCs w:val="32"/>
        </w:rPr>
      </w:pPr>
      <w:r>
        <w:rPr>
          <w:rFonts w:hint="eastAsia" w:ascii="仿宋" w:hAnsi="仿宋" w:eastAsia="仿宋" w:cs="仿宋"/>
          <w:color w:val="000000"/>
          <w:kern w:val="0"/>
          <w:sz w:val="32"/>
          <w:szCs w:val="32"/>
          <w:lang w:val="en-US" w:eastAsia="zh-CN"/>
        </w:rPr>
        <w:t>2022年投资评审中心共审核项目275个；现场勘察项目176个，实现结算项目现场勘察100%覆盖。</w:t>
      </w:r>
    </w:p>
    <w:p>
      <w:pPr>
        <w:pStyle w:val="10"/>
        <w:spacing w:line="360" w:lineRule="auto"/>
        <w:ind w:firstLine="640" w:firstLineChars="200"/>
        <w:rPr>
          <w:rFonts w:hint="eastAsia" w:ascii="仿宋" w:eastAsia="仿宋"/>
          <w:sz w:val="32"/>
          <w:szCs w:val="32"/>
        </w:rPr>
      </w:pPr>
      <w:r>
        <w:rPr>
          <w:rFonts w:hint="eastAsia" w:ascii="仿宋" w:eastAsia="仿宋"/>
          <w:sz w:val="32"/>
          <w:szCs w:val="32"/>
        </w:rPr>
        <w:t>（2）项目实施对经济和社会的影响</w:t>
      </w:r>
    </w:p>
    <w:p>
      <w:pPr>
        <w:numPr>
          <w:ilvl w:val="0"/>
          <w:numId w:val="0"/>
        </w:numPr>
        <w:ind w:firstLine="1280" w:firstLineChars="4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核减金额1.5亿元，核减率24.63%，</w:t>
      </w:r>
      <w:r>
        <w:rPr>
          <w:rFonts w:hint="eastAsia" w:ascii="仿宋" w:hAnsi="仿宋" w:eastAsia="仿宋" w:cs="仿宋"/>
          <w:b w:val="0"/>
          <w:bCs w:val="0"/>
          <w:sz w:val="32"/>
          <w:szCs w:val="32"/>
          <w:lang w:val="en-US" w:eastAsia="zh-CN"/>
        </w:rPr>
        <w:t>确保政府投资项目发挥最大的投资效益，规范政府投资行为，合理控制基本建设支出；</w:t>
      </w:r>
    </w:p>
    <w:p>
      <w:pPr>
        <w:pStyle w:val="10"/>
        <w:spacing w:line="360" w:lineRule="auto"/>
        <w:ind w:firstLine="640" w:firstLineChars="200"/>
        <w:rPr>
          <w:rFonts w:hint="eastAsia" w:ascii="仿宋" w:eastAsia="仿宋"/>
          <w:sz w:val="32"/>
          <w:szCs w:val="32"/>
        </w:rPr>
      </w:pP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四、综合评价情况及评价结论（附相关评分表）</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五、绩效评价结果应用建议（以后年度预算安排、评价结果公开等）</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六、主要经验及做法、存在的问题和建议</w:t>
      </w:r>
    </w:p>
    <w:p>
      <w:pPr>
        <w:pStyle w:val="10"/>
        <w:spacing w:line="360" w:lineRule="auto"/>
        <w:ind w:firstLine="643" w:firstLineChars="200"/>
        <w:rPr>
          <w:rFonts w:hint="eastAsia" w:ascii="楷体" w:eastAsia="楷体"/>
          <w:b/>
          <w:sz w:val="32"/>
          <w:szCs w:val="32"/>
        </w:rPr>
      </w:pPr>
      <w:r>
        <w:rPr>
          <w:rFonts w:hint="eastAsia" w:ascii="楷体" w:eastAsia="楷体"/>
          <w:b/>
          <w:sz w:val="32"/>
          <w:szCs w:val="32"/>
        </w:rPr>
        <w:t>七、其他需要说明的问题</w:t>
      </w:r>
    </w:p>
    <w:p>
      <w:pPr>
        <w:pStyle w:val="10"/>
        <w:spacing w:line="360" w:lineRule="auto"/>
        <w:ind w:firstLine="640" w:firstLineChars="200"/>
        <w:rPr>
          <w:rFonts w:hint="eastAsia" w:ascii="仿宋" w:eastAsia="仿宋"/>
          <w:sz w:val="32"/>
          <w:szCs w:val="32"/>
        </w:rPr>
      </w:pPr>
    </w:p>
    <w:p>
      <w:pPr>
        <w:pStyle w:val="10"/>
        <w:spacing w:line="360" w:lineRule="auto"/>
        <w:ind w:firstLine="640" w:firstLineChars="200"/>
        <w:rPr>
          <w:rFonts w:hint="default" w:ascii="仿宋" w:eastAsia="仿宋"/>
          <w:sz w:val="32"/>
          <w:szCs w:val="32"/>
          <w:lang w:val="en-US" w:eastAsia="zh-CN"/>
        </w:rPr>
      </w:pPr>
    </w:p>
    <w:p>
      <w:pPr>
        <w:numPr>
          <w:ilvl w:val="0"/>
          <w:numId w:val="0"/>
        </w:numPr>
        <w:spacing w:line="600" w:lineRule="exact"/>
        <w:rPr>
          <w:rFonts w:hint="default" w:ascii="仿宋" w:hAnsi="仿宋" w:eastAsia="仿宋" w:cs="仿宋"/>
          <w:b w:val="0"/>
          <w:bCs w:val="0"/>
          <w:sz w:val="32"/>
          <w:szCs w:val="32"/>
          <w:lang w:val="en-US" w:eastAsia="zh-CN"/>
        </w:rPr>
      </w:pPr>
    </w:p>
    <w:p>
      <w:pPr>
        <w:adjustRightInd w:val="0"/>
        <w:snapToGrid w:val="0"/>
        <w:spacing w:line="600" w:lineRule="exact"/>
      </w:pPr>
    </w:p>
    <w:sectPr>
      <w:pgSz w:w="11906" w:h="16838"/>
      <w:pgMar w:top="1315"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70347"/>
    <w:multiLevelType w:val="singleLevel"/>
    <w:tmpl w:val="A2670347"/>
    <w:lvl w:ilvl="0" w:tentative="0">
      <w:start w:val="2"/>
      <w:numFmt w:val="decimal"/>
      <w:suff w:val="nothing"/>
      <w:lvlText w:val="（%1）"/>
      <w:lvlJc w:val="left"/>
    </w:lvl>
  </w:abstractNum>
  <w:abstractNum w:abstractNumId="1">
    <w:nsid w:val="CBB91FE0"/>
    <w:multiLevelType w:val="singleLevel"/>
    <w:tmpl w:val="CBB91FE0"/>
    <w:lvl w:ilvl="0" w:tentative="0">
      <w:start w:val="2"/>
      <w:numFmt w:val="decimal"/>
      <w:suff w:val="nothing"/>
      <w:lvlText w:val="（%1）"/>
      <w:lvlJc w:val="left"/>
    </w:lvl>
  </w:abstractNum>
  <w:abstractNum w:abstractNumId="2">
    <w:nsid w:val="0FB4B493"/>
    <w:multiLevelType w:val="singleLevel"/>
    <w:tmpl w:val="0FB4B493"/>
    <w:lvl w:ilvl="0" w:tentative="0">
      <w:start w:val="2"/>
      <w:numFmt w:val="decimal"/>
      <w:suff w:val="nothing"/>
      <w:lvlText w:val="%1、"/>
      <w:lvlJc w:val="left"/>
    </w:lvl>
  </w:abstractNum>
  <w:abstractNum w:abstractNumId="3">
    <w:nsid w:val="134FDCE0"/>
    <w:multiLevelType w:val="singleLevel"/>
    <w:tmpl w:val="134FDCE0"/>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1OTAzMDE5YzY4NWMwMTRiN2Q1MGY4MWZlMjNmNTgifQ=="/>
  </w:docVars>
  <w:rsids>
    <w:rsidRoot w:val="00A045A1"/>
    <w:rsid w:val="000000A5"/>
    <w:rsid w:val="00022046"/>
    <w:rsid w:val="000B0765"/>
    <w:rsid w:val="000B57BC"/>
    <w:rsid w:val="00162440"/>
    <w:rsid w:val="00174EEF"/>
    <w:rsid w:val="001A127E"/>
    <w:rsid w:val="002558F7"/>
    <w:rsid w:val="0031755D"/>
    <w:rsid w:val="003711D0"/>
    <w:rsid w:val="00377767"/>
    <w:rsid w:val="00377A33"/>
    <w:rsid w:val="003E5114"/>
    <w:rsid w:val="00426627"/>
    <w:rsid w:val="005833DD"/>
    <w:rsid w:val="00595424"/>
    <w:rsid w:val="00614437"/>
    <w:rsid w:val="00624B4A"/>
    <w:rsid w:val="006370F0"/>
    <w:rsid w:val="006811E5"/>
    <w:rsid w:val="007B54D9"/>
    <w:rsid w:val="00887C00"/>
    <w:rsid w:val="008A4834"/>
    <w:rsid w:val="008D7141"/>
    <w:rsid w:val="00980DBB"/>
    <w:rsid w:val="009D4AE4"/>
    <w:rsid w:val="00A045A1"/>
    <w:rsid w:val="00A070E1"/>
    <w:rsid w:val="00A317C9"/>
    <w:rsid w:val="00A34413"/>
    <w:rsid w:val="00A75C37"/>
    <w:rsid w:val="00AA700A"/>
    <w:rsid w:val="00B364CE"/>
    <w:rsid w:val="00BB6107"/>
    <w:rsid w:val="00BD1C3A"/>
    <w:rsid w:val="00C25716"/>
    <w:rsid w:val="00C3391C"/>
    <w:rsid w:val="00C344EC"/>
    <w:rsid w:val="00C72139"/>
    <w:rsid w:val="00CC4C2C"/>
    <w:rsid w:val="00CD20A2"/>
    <w:rsid w:val="00D10324"/>
    <w:rsid w:val="00E127F9"/>
    <w:rsid w:val="00E50869"/>
    <w:rsid w:val="00FC7FE9"/>
    <w:rsid w:val="02334949"/>
    <w:rsid w:val="031F0066"/>
    <w:rsid w:val="03BD5D4E"/>
    <w:rsid w:val="03C41920"/>
    <w:rsid w:val="06C44C21"/>
    <w:rsid w:val="088F11BA"/>
    <w:rsid w:val="0BEA3420"/>
    <w:rsid w:val="106F51BD"/>
    <w:rsid w:val="12F16518"/>
    <w:rsid w:val="15690844"/>
    <w:rsid w:val="16395002"/>
    <w:rsid w:val="1BC03C09"/>
    <w:rsid w:val="1BFC5498"/>
    <w:rsid w:val="1DD5634B"/>
    <w:rsid w:val="21FB23B3"/>
    <w:rsid w:val="2A5D4FE7"/>
    <w:rsid w:val="2E76772B"/>
    <w:rsid w:val="2FE2355F"/>
    <w:rsid w:val="353B36EC"/>
    <w:rsid w:val="39013F12"/>
    <w:rsid w:val="3D0266A0"/>
    <w:rsid w:val="3EFC08BA"/>
    <w:rsid w:val="3F6A2BA8"/>
    <w:rsid w:val="40B878F2"/>
    <w:rsid w:val="40C9546A"/>
    <w:rsid w:val="421627B0"/>
    <w:rsid w:val="4D443E40"/>
    <w:rsid w:val="4ECC70A8"/>
    <w:rsid w:val="58CC7973"/>
    <w:rsid w:val="5EBC17EC"/>
    <w:rsid w:val="60FD2FA5"/>
    <w:rsid w:val="614927E8"/>
    <w:rsid w:val="61B92D12"/>
    <w:rsid w:val="64447714"/>
    <w:rsid w:val="66FD38D8"/>
    <w:rsid w:val="69937B11"/>
    <w:rsid w:val="6C0C20A8"/>
    <w:rsid w:val="6CD7357D"/>
    <w:rsid w:val="713A5546"/>
    <w:rsid w:val="7392557F"/>
    <w:rsid w:val="77AD24F2"/>
    <w:rsid w:val="77D22E94"/>
    <w:rsid w:val="787552A1"/>
    <w:rsid w:val="7C563080"/>
    <w:rsid w:val="7E0B3522"/>
    <w:rsid w:val="7E331EC8"/>
    <w:rsid w:val="7F1F0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99"/>
    <w:pPr>
      <w:ind w:firstLine="420" w:firstLineChars="200"/>
    </w:pPr>
    <w:rPr>
      <w:rFonts w:ascii="Calibri" w:hAnsi="Calibri"/>
      <w:szCs w:val="22"/>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A52A0-7CFB-406C-A053-BBAB53DDD23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1291</Words>
  <Characters>7361</Characters>
  <Lines>61</Lines>
  <Paragraphs>17</Paragraphs>
  <TotalTime>1</TotalTime>
  <ScaleCrop>false</ScaleCrop>
  <LinksUpToDate>false</LinksUpToDate>
  <CharactersWithSpaces>8635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2020-06-24T01:59:00Z</dcterms:created>
  <dc:creator>AutoBVT</dc:creator>
  <cp:lastModifiedBy>1416362638</cp:lastModifiedBy>
  <cp:lastPrinted>2021-06-28T08:48:00Z</cp:lastPrinted>
  <dcterms:modified xsi:type="dcterms:W3CDTF">2023-10-10T07:49:07Z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3272CAACE322491F9418A8CC8D29ADF3</vt:lpwstr>
  </property>
</Properties>
</file>