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宋体" w:eastAsia="黑体" w:cs="宋体"/>
          <w:kern w:val="0"/>
          <w:sz w:val="32"/>
          <w:szCs w:val="32"/>
        </w:rPr>
      </w:pPr>
      <w:r>
        <w:rPr>
          <w:rFonts w:hint="eastAsia" w:ascii="黑体" w:hAnsi="宋体" w:eastAsia="黑体" w:cs="宋体"/>
          <w:kern w:val="0"/>
          <w:sz w:val="32"/>
          <w:szCs w:val="32"/>
        </w:rPr>
        <w:t>附件</w:t>
      </w:r>
      <w:r>
        <w:rPr>
          <w:rFonts w:hint="eastAsia" w:ascii="黑体" w:hAnsi="宋体" w:eastAsia="黑体" w:cs="宋体"/>
          <w:kern w:val="0"/>
          <w:sz w:val="32"/>
          <w:szCs w:val="32"/>
          <w:lang w:val="en-US" w:eastAsia="zh-CN"/>
        </w:rPr>
        <w:t>5</w:t>
      </w:r>
    </w:p>
    <w:p>
      <w:pPr>
        <w:widowControl/>
        <w:ind w:left="93"/>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专项资金绩效评价共性指标表</w:t>
      </w:r>
    </w:p>
    <w:tbl>
      <w:tblPr>
        <w:tblStyle w:val="5"/>
        <w:tblW w:w="9489" w:type="dxa"/>
        <w:tblInd w:w="0" w:type="dxa"/>
        <w:tblLayout w:type="fixed"/>
        <w:tblCellMar>
          <w:top w:w="0" w:type="dxa"/>
          <w:left w:w="108" w:type="dxa"/>
          <w:bottom w:w="0" w:type="dxa"/>
          <w:right w:w="108" w:type="dxa"/>
        </w:tblCellMar>
      </w:tblPr>
      <w:tblGrid>
        <w:gridCol w:w="385"/>
        <w:gridCol w:w="364"/>
        <w:gridCol w:w="855"/>
        <w:gridCol w:w="416"/>
        <w:gridCol w:w="2316"/>
        <w:gridCol w:w="4680"/>
        <w:gridCol w:w="473"/>
      </w:tblGrid>
      <w:tr>
        <w:tblPrEx>
          <w:tblCellMar>
            <w:top w:w="0" w:type="dxa"/>
            <w:left w:w="108" w:type="dxa"/>
            <w:bottom w:w="0" w:type="dxa"/>
            <w:right w:w="108" w:type="dxa"/>
          </w:tblCellMar>
        </w:tblPrEx>
        <w:trPr>
          <w:tblHeader/>
        </w:trPr>
        <w:tc>
          <w:tcPr>
            <w:tcW w:w="385" w:type="dxa"/>
            <w:tcBorders>
              <w:top w:val="single" w:color="auto" w:sz="4" w:space="0"/>
              <w:left w:val="single" w:color="auto" w:sz="4" w:space="0"/>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一级</w:t>
            </w:r>
          </w:p>
        </w:tc>
        <w:tc>
          <w:tcPr>
            <w:tcW w:w="364" w:type="dxa"/>
            <w:tcBorders>
              <w:top w:val="single" w:color="auto" w:sz="4" w:space="0"/>
              <w:left w:val="nil"/>
              <w:bottom w:val="nil"/>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二级</w:t>
            </w:r>
          </w:p>
        </w:tc>
        <w:tc>
          <w:tcPr>
            <w:tcW w:w="855"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三级指标</w:t>
            </w:r>
          </w:p>
        </w:tc>
        <w:tc>
          <w:tcPr>
            <w:tcW w:w="416"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分值</w:t>
            </w:r>
          </w:p>
        </w:tc>
        <w:tc>
          <w:tcPr>
            <w:tcW w:w="2316"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指标解释</w:t>
            </w:r>
          </w:p>
        </w:tc>
        <w:tc>
          <w:tcPr>
            <w:tcW w:w="46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指标说明</w:t>
            </w:r>
          </w:p>
        </w:tc>
        <w:tc>
          <w:tcPr>
            <w:tcW w:w="473"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得分</w:t>
            </w:r>
          </w:p>
        </w:tc>
      </w:tr>
      <w:tr>
        <w:tblPrEx>
          <w:tblCellMar>
            <w:top w:w="0" w:type="dxa"/>
            <w:left w:w="108" w:type="dxa"/>
            <w:bottom w:w="0" w:type="dxa"/>
            <w:right w:w="108" w:type="dxa"/>
          </w:tblCellMar>
        </w:tblPrEx>
        <w:trPr>
          <w:tblHeader/>
        </w:trPr>
        <w:tc>
          <w:tcPr>
            <w:tcW w:w="385" w:type="dxa"/>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364"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指标</w:t>
            </w:r>
          </w:p>
        </w:tc>
        <w:tc>
          <w:tcPr>
            <w:tcW w:w="855"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2316"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6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c>
          <w:tcPr>
            <w:tcW w:w="473"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投入</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项目立项规范性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项目的申请、设立过程是否符合相关要求，用以反映和考核项目立项的规范情况。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①项目是否按照规定的程序申请设立；</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②所提交的文件、材料是否符合相关要求；</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③事前是否已经过必要的可行性研究、专家论证、风险评估、集体决策等。</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绩效目标合理性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项目所设定的绩效目标是否依椐充分，是否符合客观实际，用以反映和考核项目绩效目标与项目实施的相符情况。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①是否符合国家相关法律法规，国民经济发展规划和党委政府决策；</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②是否与项目实施单位或委托单位职责密切相关；</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③项目是否为促进事业发展所必需；</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④项目顸期产出效益和效果是否符合正常的业绩水平。</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绩效指标明确性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4</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依椐绩效目标设定的绩效指标是否清晰、细化、可衡量等，用以反映和考核项目绩效目标的明细化情况。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①是否将项目绩效目标细化分解为具体的绩效指标；</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4</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②是否通过清晰、可衡量的指标值予以体现；</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③是否与项目年度任务教或计划数相对应；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④是否与预期确定的项目投资</w:t>
            </w:r>
            <w:r>
              <w:rPr>
                <w:rFonts w:hint="eastAsia" w:ascii="宋体" w:hAnsi="宋体" w:cs="宋体"/>
                <w:color w:val="000000"/>
                <w:kern w:val="0"/>
                <w:sz w:val="20"/>
                <w:szCs w:val="20"/>
              </w:rPr>
              <w:t>额</w:t>
            </w:r>
            <w:r>
              <w:rPr>
                <w:rFonts w:hint="eastAsia" w:ascii="仿宋_GB2312" w:hAnsi="仿宋_GB2312" w:eastAsia="仿宋_GB2312" w:cs="仿宋_GB2312"/>
                <w:color w:val="000000"/>
                <w:kern w:val="0"/>
                <w:sz w:val="20"/>
                <w:szCs w:val="20"/>
              </w:rPr>
              <w:t>或资金量相匹配。</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资金落实</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实际到位资金与计划投入资金的比率，用以反映和考核资金落实情况对项目实施的总体保障程度。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资金到位率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计划投入资金）×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实际到位资金：一定时期（本年度或项目期）内实际落实到具体项目的资金。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计划投入资金：一定时期（本年度或项目期）内计划投入到具体项目的资金。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3</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及时到位资金与应到位资金的比率，用以反映和考核项目资金落实的及时性程度。</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到位及时率＝（及时到位资金</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应到位资金）×</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及时到位资金：截至规定时点实际落实到具体项目的资金。</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3</w:t>
            </w:r>
          </w:p>
        </w:tc>
      </w:tr>
      <w:tr>
        <w:tblPrEx>
          <w:tblCellMar>
            <w:top w:w="0" w:type="dxa"/>
            <w:left w:w="108" w:type="dxa"/>
            <w:bottom w:w="0" w:type="dxa"/>
            <w:right w:w="108" w:type="dxa"/>
          </w:tblCellMar>
        </w:tblPrEx>
        <w:trPr>
          <w:trHeight w:val="764"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应到位资金：按照合同或项目进度要求截至规定时点应落实到具体项目的资金。</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p>
            <w:pPr>
              <w:widowControl/>
              <w:spacing w:line="240" w:lineRule="exact"/>
              <w:jc w:val="center"/>
              <w:rPr>
                <w:rFonts w:hint="eastAsia"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项目实施单位的业务管理制度是否健全，用以反映和考核业务管理制度对项目顺利实施的保障情况。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①是否已制定或具有相应的业务管理制度；</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rPr>
          <w:trHeight w:val="836"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②业务管理制度是否合法、合规、完整。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制度执行有效性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项目实施是否符合相关业务管理规定，用以反映和考核业务管理制度的有效执行</w:t>
            </w:r>
            <w:r>
              <w:rPr>
                <w:rFonts w:hint="eastAsia" w:ascii="仿宋_GB2312" w:hAnsi="宋体" w:eastAsia="仿宋_GB2312" w:cs="宋体"/>
                <w:color w:val="000000"/>
                <w:kern w:val="0"/>
                <w:sz w:val="20"/>
                <w:szCs w:val="20"/>
                <w:lang w:eastAsia="zh-CN"/>
              </w:rPr>
              <w:t>情况</w:t>
            </w:r>
            <w:r>
              <w:rPr>
                <w:rFonts w:hint="eastAsia" w:ascii="仿宋_GB2312" w:hAnsi="宋体" w:eastAsia="仿宋_GB2312" w:cs="宋体"/>
                <w:color w:val="000000"/>
                <w:kern w:val="0"/>
                <w:sz w:val="20"/>
                <w:szCs w:val="20"/>
              </w:rPr>
              <w:t>。</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①是否遵守相关法律法规和业务管理规定；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②项目调整及支出调整手续是否完备；</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③项目合同书、验收报告、技术审定等资料是否齐全并及时归档</w:t>
            </w:r>
            <w:r>
              <w:rPr>
                <w:rFonts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945" w:hRule="atLeast"/>
        </w:trPr>
        <w:tc>
          <w:tcPr>
            <w:tcW w:w="3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④项目实施的人员条件、场地设备，信息支撑等是否落实到位。</w:t>
            </w:r>
          </w:p>
          <w:p>
            <w:pPr>
              <w:widowControl/>
              <w:spacing w:line="240" w:lineRule="exact"/>
              <w:rPr>
                <w:rFonts w:ascii="仿宋_GB2312" w:hAnsi="宋体" w:eastAsia="仿宋_GB2312" w:cs="宋体"/>
                <w:color w:val="000000"/>
                <w:kern w:val="0"/>
                <w:sz w:val="20"/>
                <w:szCs w:val="20"/>
              </w:rPr>
            </w:pP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过程</w:t>
            </w:r>
          </w:p>
        </w:tc>
        <w:tc>
          <w:tcPr>
            <w:tcW w:w="364" w:type="dxa"/>
            <w:vMerge w:val="restart"/>
            <w:tcBorders>
              <w:top w:val="single" w:color="auto" w:sz="4" w:space="0"/>
              <w:left w:val="single" w:color="auto" w:sz="4" w:space="0"/>
              <w:bottom w:val="single" w:color="000000" w:sz="4" w:space="0"/>
              <w:right w:val="single" w:color="auto" w:sz="4" w:space="0"/>
            </w:tcBorders>
            <w:noWrap w:val="0"/>
            <w:vAlign w:val="center"/>
          </w:tcPr>
          <w:p>
            <w:pPr>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业务管理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项目质量可控性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项目实施单位是否为达到项目质量要求而采取了必需的措施，用以反映和考核项目实施单位对项目质量的控制情况。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①是否已制定或其有相应的项目质量要求或标准；</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②是否采取了相应的项目质量检查、验收等必需的控制措施或手段。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财务管理</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管理制度健全性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项目实施单位的财务制度是否健全，用以反映和考核财务管理制度对资金规范安全运行的保障情况。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①是否已制定或具有相应的项目资金管理办法；</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②项目资金管理办法是否符合相关财务会计制度的规定。</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资金使用合规性</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项目资金使用是否符合相关的财务管理制度规定，用以反映和考核项目资金的规范运行情况。</w:t>
            </w: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①是否符合国家财经法规和财务管理以及有关专项资金管理办法的规定；</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②资金的拨付是否有完整的审批程序和手续；</w:t>
            </w:r>
          </w:p>
        </w:tc>
        <w:tc>
          <w:tcPr>
            <w:tcW w:w="473" w:type="dxa"/>
            <w:tcBorders>
              <w:top w:val="nil"/>
              <w:left w:val="nil"/>
              <w:bottom w:val="nil"/>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③项目的重大开支是否经过评估认证；</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④是否符合项目预算批复或合同规定的用途；</w:t>
            </w:r>
          </w:p>
        </w:tc>
        <w:tc>
          <w:tcPr>
            <w:tcW w:w="473" w:type="dxa"/>
            <w:tcBorders>
              <w:top w:val="nil"/>
              <w:left w:val="nil"/>
              <w:bottom w:val="nil"/>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⑤是否存在截留、挤占、挪用、虚列支出等情况。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财务监控有效性</w:t>
            </w:r>
          </w:p>
        </w:tc>
        <w:tc>
          <w:tcPr>
            <w:tcW w:w="416" w:type="dxa"/>
            <w:vMerge w:val="restart"/>
            <w:tcBorders>
              <w:top w:val="nil"/>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项目实施单位是否为保障资金的安全、规范运行而采取了必要的监控措施，用以反映和考核项目实施单位对资金运行的控制情况。</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评价要点：</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①是否已制定或具有相应的监控机制；</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②是否采取了相应的财务检查等必要的监控措施或手段。</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产出</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项目产出</w:t>
            </w: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项目实施的实际产出数与计划产出数的比率，用以反映和考核项目产出数量目标的实现程度。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实际完成率＝（实际产出数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实际产出数：一定时期（本年度或项目期）内项目实际产出的产品或提供的服务数。</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07"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计划产出数：项目绩效目标确定的在一定时期（本年度或项目期）内计划产出的产品或提供的服务数量。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项目实际提前完成时间与计划完成时间的比率，用以反映和考核项目产出时效目标的实现程度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完成及时率</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实际完成时间）</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计划完成时间</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实际完成时间：项目实施单位完成该项目实际所耗用的时间。</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641"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计划完成时间：桉照项目实施计划或相关规定完成该项目所需的时间。</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项目完成的质量达标产出数与实际产出数的比率，用以反映和考核项目产出质量目标的实现程度。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质量达标率＝（质量达标产出数</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实际产出数）</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质量达标产出数：一定时期（本年度或项目期）内实际达到既定质量标准的产品或服务数量。</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878"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既定质量标准是指项目实施单位设立绩效目标时依据计划标准、行业标准、历史标准或其他标准而设定的绩效指标值。</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p>
        </w:tc>
        <w:tc>
          <w:tcPr>
            <w:tcW w:w="416" w:type="dxa"/>
            <w:vMerge w:val="restart"/>
            <w:tcBorders>
              <w:top w:val="nil"/>
              <w:left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5</w:t>
            </w:r>
          </w:p>
        </w:tc>
        <w:tc>
          <w:tcPr>
            <w:tcW w:w="2316"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完成项目计划工作目标的实际节约成本与计划成本的比率，用以反映和考核项目的成本节约程度。</w:t>
            </w: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成本节约率＝</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实际成本</w:t>
            </w:r>
            <w:r>
              <w:rPr>
                <w:rFonts w:ascii="仿宋_GB2312" w:hAnsi="宋体" w:eastAsia="仿宋_GB2312" w:cs="宋体"/>
                <w:color w:val="000000"/>
                <w:kern w:val="0"/>
                <w:sz w:val="20"/>
                <w:szCs w:val="20"/>
              </w:rPr>
              <w:t>) /</w:t>
            </w:r>
            <w:r>
              <w:rPr>
                <w:rFonts w:hint="eastAsia" w:ascii="仿宋_GB2312" w:hAnsi="宋体" w:eastAsia="仿宋_GB2312" w:cs="宋体"/>
                <w:color w:val="000000"/>
                <w:kern w:val="0"/>
                <w:sz w:val="20"/>
                <w:szCs w:val="20"/>
              </w:rPr>
              <w:t>计划成本×</w:t>
            </w:r>
            <w:r>
              <w:rPr>
                <w:rFonts w:ascii="仿宋_GB2312" w:hAnsi="宋体" w:eastAsia="仿宋_GB2312" w:cs="宋体"/>
                <w:color w:val="000000"/>
                <w:kern w:val="0"/>
                <w:sz w:val="20"/>
                <w:szCs w:val="20"/>
              </w:rPr>
              <w:t>100%</w:t>
            </w:r>
            <w:r>
              <w:rPr>
                <w:rFonts w:hint="eastAsia" w:ascii="仿宋_GB2312" w:hAnsi="宋体" w:eastAsia="仿宋_GB2312" w:cs="宋体"/>
                <w:color w:val="000000"/>
                <w:kern w:val="0"/>
                <w:sz w:val="20"/>
                <w:szCs w:val="20"/>
              </w:rPr>
              <w:t>。</w:t>
            </w:r>
          </w:p>
        </w:tc>
        <w:tc>
          <w:tcPr>
            <w:tcW w:w="473"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nil"/>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实际成本：项目实施单位如期、保质、保量完成既定工作目标实际所耗费的支出。</w:t>
            </w:r>
          </w:p>
        </w:tc>
        <w:tc>
          <w:tcPr>
            <w:tcW w:w="473" w:type="dxa"/>
            <w:tcBorders>
              <w:top w:val="nil"/>
              <w:left w:val="nil"/>
              <w:bottom w:val="nil"/>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5</w:t>
            </w:r>
          </w:p>
        </w:tc>
      </w:tr>
      <w:tr>
        <w:tblPrEx>
          <w:tblCellMar>
            <w:top w:w="0" w:type="dxa"/>
            <w:left w:w="108" w:type="dxa"/>
            <w:bottom w:w="0" w:type="dxa"/>
            <w:right w:w="108" w:type="dxa"/>
          </w:tblCellMar>
        </w:tblPrEx>
        <w:trPr>
          <w:trHeight w:val="765" w:hRule="atLeast"/>
        </w:trPr>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16"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2316"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计划成本：项目实施单位为完成工作目标计划安排的支出，一般以项目预算为参考。</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p>
        </w:tc>
      </w:tr>
      <w:tr>
        <w:tblPrEx>
          <w:tblCellMar>
            <w:top w:w="0" w:type="dxa"/>
            <w:left w:w="108" w:type="dxa"/>
            <w:bottom w:w="0" w:type="dxa"/>
            <w:right w:w="108" w:type="dxa"/>
          </w:tblCellMar>
        </w:tblPrEx>
        <w:tc>
          <w:tcPr>
            <w:tcW w:w="385"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效果</w:t>
            </w:r>
          </w:p>
        </w:tc>
        <w:tc>
          <w:tcPr>
            <w:tcW w:w="364"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项目效益</w:t>
            </w: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经济效益</w:t>
            </w:r>
          </w:p>
        </w:tc>
        <w:tc>
          <w:tcPr>
            <w:tcW w:w="4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项目实施对经济发展所带来的直接或间接影响情况。</w:t>
            </w:r>
          </w:p>
        </w:tc>
        <w:tc>
          <w:tcPr>
            <w:tcW w:w="46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此四项指标为设置项目支出</w:t>
            </w:r>
            <w:r>
              <w:rPr>
                <w:rFonts w:hint="eastAsia" w:ascii="宋体" w:hAnsi="宋体" w:cs="宋体"/>
                <w:color w:val="000000"/>
                <w:kern w:val="0"/>
                <w:sz w:val="20"/>
                <w:szCs w:val="20"/>
              </w:rPr>
              <w:t>績</w:t>
            </w:r>
            <w:r>
              <w:rPr>
                <w:rFonts w:hint="eastAsia" w:ascii="仿宋_GB2312" w:hAnsi="仿宋_GB2312" w:eastAsia="仿宋_GB2312" w:cs="仿宋_GB2312"/>
                <w:color w:val="000000"/>
                <w:kern w:val="0"/>
                <w:sz w:val="20"/>
                <w:szCs w:val="20"/>
              </w:rPr>
              <w:t>效评价指标时必须考虑的共性要素，可根据项目实际并结合绩效目标设立情况有选择的</w:t>
            </w:r>
            <w:r>
              <w:rPr>
                <w:rFonts w:hint="eastAsia" w:ascii="宋体" w:hAnsi="宋体" w:cs="宋体"/>
                <w:color w:val="000000"/>
                <w:kern w:val="0"/>
                <w:sz w:val="20"/>
                <w:szCs w:val="20"/>
              </w:rPr>
              <w:t>进</w:t>
            </w:r>
            <w:r>
              <w:rPr>
                <w:rFonts w:hint="eastAsia" w:ascii="仿宋_GB2312" w:hAnsi="仿宋_GB2312" w:eastAsia="仿宋_GB2312" w:cs="仿宋_GB2312"/>
                <w:color w:val="000000"/>
                <w:kern w:val="0"/>
                <w:sz w:val="20"/>
                <w:szCs w:val="20"/>
              </w:rPr>
              <w:t>行设置，并将其细化为相应的个性化指标。</w:t>
            </w:r>
          </w:p>
        </w:tc>
        <w:tc>
          <w:tcPr>
            <w:tcW w:w="473" w:type="dxa"/>
            <w:tcBorders>
              <w:top w:val="nil"/>
              <w:left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项目实施对社会发展所带来的直接或间接影响情况。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生态效益</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项目实施对生态环境所带来的直接或间接影响情况。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可持续影响</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项目后续运行及成效发挥的可持续影响情况。</w:t>
            </w:r>
          </w:p>
        </w:tc>
        <w:tc>
          <w:tcPr>
            <w:tcW w:w="46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473" w:type="dxa"/>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r>
        <w:tblPrEx>
          <w:tblCellMar>
            <w:top w:w="0" w:type="dxa"/>
            <w:left w:w="108" w:type="dxa"/>
            <w:bottom w:w="0" w:type="dxa"/>
            <w:right w:w="108" w:type="dxa"/>
          </w:tblCellMar>
        </w:tblPrEx>
        <w:tc>
          <w:tcPr>
            <w:tcW w:w="385"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364"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ascii="仿宋_GB2312" w:hAnsi="宋体" w:eastAsia="仿宋_GB2312" w:cs="宋体"/>
                <w:color w:val="000000"/>
                <w:kern w:val="0"/>
                <w:sz w:val="20"/>
                <w:szCs w:val="20"/>
              </w:rPr>
            </w:pPr>
          </w:p>
        </w:tc>
        <w:tc>
          <w:tcPr>
            <w:tcW w:w="855" w:type="dxa"/>
            <w:tcBorders>
              <w:top w:val="nil"/>
              <w:left w:val="nil"/>
              <w:bottom w:val="single" w:color="auto" w:sz="4" w:space="0"/>
              <w:right w:val="single" w:color="auto" w:sz="4" w:space="0"/>
            </w:tcBorders>
            <w:noWrap w:val="0"/>
            <w:vAlign w:val="center"/>
          </w:tcPr>
          <w:p>
            <w:pPr>
              <w:widowControl/>
              <w:spacing w:line="240" w:lineRule="exact"/>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社会公众或服务对象满意度</w:t>
            </w:r>
          </w:p>
        </w:tc>
        <w:tc>
          <w:tcPr>
            <w:tcW w:w="416" w:type="dxa"/>
            <w:tcBorders>
              <w:top w:val="single" w:color="auto" w:sz="4" w:space="0"/>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ascii="仿宋_GB2312" w:hAnsi="宋体" w:eastAsia="仿宋_GB2312" w:cs="宋体"/>
                <w:color w:val="000000"/>
                <w:kern w:val="0"/>
                <w:sz w:val="20"/>
                <w:szCs w:val="20"/>
              </w:rPr>
              <w:t>6</w:t>
            </w:r>
          </w:p>
        </w:tc>
        <w:tc>
          <w:tcPr>
            <w:tcW w:w="2316"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社会公众或服务对象对项目实施效策的满意程度</w:t>
            </w:r>
          </w:p>
        </w:tc>
        <w:tc>
          <w:tcPr>
            <w:tcW w:w="4680" w:type="dxa"/>
            <w:tcBorders>
              <w:top w:val="nil"/>
              <w:left w:val="nil"/>
              <w:bottom w:val="single" w:color="auto" w:sz="4" w:space="0"/>
              <w:right w:val="single" w:color="auto" w:sz="4" w:space="0"/>
            </w:tcBorders>
            <w:noWrap w:val="0"/>
            <w:vAlign w:val="center"/>
          </w:tcPr>
          <w:p>
            <w:pPr>
              <w:widowControl/>
              <w:spacing w:line="240" w:lineRule="exact"/>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社会公众或服务对象是指因该项目实施而受到影响的部门</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单位</w:t>
            </w:r>
            <w:r>
              <w:rPr>
                <w:rFonts w:ascii="仿宋_GB2312" w:hAnsi="宋体" w:eastAsia="仿宋_GB2312" w:cs="宋体"/>
                <w:color w:val="000000"/>
                <w:kern w:val="0"/>
                <w:sz w:val="20"/>
                <w:szCs w:val="20"/>
              </w:rPr>
              <w:t>)</w:t>
            </w:r>
            <w:r>
              <w:rPr>
                <w:rFonts w:hint="eastAsia" w:ascii="仿宋_GB2312" w:hAnsi="宋体" w:eastAsia="仿宋_GB2312" w:cs="宋体"/>
                <w:color w:val="000000"/>
                <w:kern w:val="0"/>
                <w:sz w:val="20"/>
                <w:szCs w:val="20"/>
              </w:rPr>
              <w:t>、群体或个人。一般采取社会调查的方式。</w:t>
            </w:r>
          </w:p>
        </w:tc>
        <w:tc>
          <w:tcPr>
            <w:tcW w:w="473" w:type="dxa"/>
            <w:tcBorders>
              <w:top w:val="nil"/>
              <w:left w:val="nil"/>
              <w:bottom w:val="single" w:color="auto" w:sz="4" w:space="0"/>
              <w:right w:val="single" w:color="auto" w:sz="4" w:space="0"/>
            </w:tcBorders>
            <w:noWrap w:val="0"/>
            <w:vAlign w:val="center"/>
          </w:tcPr>
          <w:p>
            <w:pPr>
              <w:widowControl/>
              <w:spacing w:line="240" w:lineRule="exact"/>
              <w:rPr>
                <w:rFonts w:hint="eastAsia" w:ascii="仿宋_GB2312" w:hAnsi="宋体" w:eastAsia="仿宋_GB2312" w:cs="宋体"/>
                <w:color w:val="000000"/>
                <w:kern w:val="0"/>
                <w:sz w:val="20"/>
                <w:szCs w:val="20"/>
                <w:lang w:val="en-US" w:eastAsia="zh-CN"/>
              </w:rPr>
            </w:pPr>
            <w:r>
              <w:rPr>
                <w:rFonts w:hint="eastAsia" w:ascii="仿宋_GB2312" w:hAnsi="宋体" w:eastAsia="仿宋_GB2312" w:cs="宋体"/>
                <w:color w:val="000000"/>
                <w:kern w:val="0"/>
                <w:sz w:val="20"/>
                <w:szCs w:val="20"/>
                <w:lang w:val="en-US" w:eastAsia="zh-CN"/>
              </w:rPr>
              <w:t>6</w:t>
            </w:r>
          </w:p>
        </w:tc>
      </w:tr>
    </w:tbl>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bookmarkStart w:id="0" w:name="_GoBack"/>
      <w:bookmarkEnd w:id="0"/>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default"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附件6：</w:t>
      </w:r>
    </w:p>
    <w:p>
      <w:pPr>
        <w:spacing w:line="560" w:lineRule="exact"/>
        <w:ind w:firstLine="2240" w:firstLineChars="700"/>
        <w:rPr>
          <w:rFonts w:hint="eastAsia" w:ascii="黑体" w:hAnsi="宋体" w:eastAsia="黑体" w:cs="宋体"/>
          <w:kern w:val="0"/>
          <w:sz w:val="32"/>
          <w:szCs w:val="32"/>
          <w:lang w:val="en-US" w:eastAsia="zh-CN"/>
        </w:rPr>
      </w:pPr>
      <w:r>
        <w:rPr>
          <w:rFonts w:hint="eastAsia" w:ascii="黑体" w:hAnsi="宋体" w:eastAsia="黑体" w:cs="宋体"/>
          <w:kern w:val="0"/>
          <w:sz w:val="32"/>
          <w:szCs w:val="32"/>
          <w:lang w:val="en-US" w:eastAsia="zh-CN"/>
        </w:rPr>
        <w:t>专项资金绩效目标自评表</w:t>
      </w:r>
    </w:p>
    <w:tbl>
      <w:tblPr>
        <w:tblStyle w:val="5"/>
        <w:tblW w:w="10060" w:type="dxa"/>
        <w:jc w:val="center"/>
        <w:tblLayout w:type="fixed"/>
        <w:tblCellMar>
          <w:top w:w="0" w:type="dxa"/>
          <w:left w:w="108" w:type="dxa"/>
          <w:bottom w:w="0" w:type="dxa"/>
          <w:right w:w="108" w:type="dxa"/>
        </w:tblCellMar>
      </w:tblPr>
      <w:tblGrid>
        <w:gridCol w:w="769"/>
        <w:gridCol w:w="955"/>
        <w:gridCol w:w="1079"/>
        <w:gridCol w:w="1501"/>
        <w:gridCol w:w="1393"/>
        <w:gridCol w:w="1276"/>
        <w:gridCol w:w="1207"/>
        <w:gridCol w:w="1880"/>
      </w:tblGrid>
      <w:tr>
        <w:tblPrEx>
          <w:tblCellMar>
            <w:top w:w="0" w:type="dxa"/>
            <w:left w:w="108" w:type="dxa"/>
            <w:bottom w:w="0" w:type="dxa"/>
            <w:right w:w="108" w:type="dxa"/>
          </w:tblCellMar>
        </w:tblPrEx>
        <w:trPr>
          <w:trHeight w:val="98" w:hRule="atLeast"/>
          <w:jc w:val="center"/>
        </w:trPr>
        <w:tc>
          <w:tcPr>
            <w:tcW w:w="10060" w:type="dxa"/>
            <w:gridSpan w:val="8"/>
            <w:tcBorders>
              <w:top w:val="nil"/>
              <w:left w:val="nil"/>
              <w:bottom w:val="single" w:color="auto" w:sz="4" w:space="0"/>
              <w:right w:val="nil"/>
            </w:tcBorders>
            <w:noWrap w:val="0"/>
            <w:vAlign w:val="center"/>
          </w:tcPr>
          <w:p>
            <w:pPr>
              <w:widowControl/>
              <w:jc w:val="center"/>
              <w:rPr>
                <w:rFonts w:ascii="楷体_GB2312" w:hAnsi="宋体" w:eastAsia="楷体_GB2312" w:cs="宋体"/>
                <w:b/>
                <w:bCs/>
                <w:color w:val="000000"/>
                <w:kern w:val="0"/>
                <w:sz w:val="22"/>
              </w:rPr>
            </w:pP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专项资金名称</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商贸专项业务经费</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负责人</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及电话</w:t>
            </w:r>
          </w:p>
        </w:tc>
        <w:tc>
          <w:tcPr>
            <w:tcW w:w="3087"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仿宋"/>
                <w:color w:val="000000"/>
                <w:kern w:val="0"/>
                <w:sz w:val="18"/>
                <w:szCs w:val="18"/>
                <w:lang w:val="en-US"/>
              </w:rPr>
            </w:pPr>
            <w:r>
              <w:rPr>
                <w:rFonts w:hint="eastAsia" w:ascii="仿宋" w:hAnsi="仿宋" w:eastAsia="仿宋" w:cs="仿宋"/>
                <w:color w:val="000000"/>
                <w:kern w:val="0"/>
                <w:sz w:val="18"/>
                <w:szCs w:val="18"/>
                <w:lang w:eastAsia="zh-CN"/>
              </w:rPr>
              <w:t>张艳娟</w:t>
            </w:r>
            <w:r>
              <w:rPr>
                <w:rFonts w:hint="eastAsia" w:ascii="仿宋" w:hAnsi="仿宋" w:eastAsia="仿宋" w:cs="仿宋"/>
                <w:color w:val="000000"/>
                <w:kern w:val="0"/>
                <w:sz w:val="18"/>
                <w:szCs w:val="18"/>
                <w:lang w:val="en-US" w:eastAsia="zh-CN"/>
              </w:rPr>
              <w:t>15274557216</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nil"/>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eastAsia="zh-CN"/>
              </w:rPr>
              <w:t>市</w:t>
            </w:r>
            <w:r>
              <w:rPr>
                <w:rFonts w:hint="eastAsia" w:ascii="仿宋" w:hAnsi="仿宋" w:eastAsia="仿宋" w:cs="仿宋"/>
                <w:color w:val="000000"/>
                <w:kern w:val="0"/>
                <w:sz w:val="18"/>
                <w:szCs w:val="18"/>
              </w:rPr>
              <w:t>级主管部门</w:t>
            </w:r>
          </w:p>
        </w:tc>
        <w:tc>
          <w:tcPr>
            <w:tcW w:w="7257"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eastAsia="zh-CN"/>
              </w:rPr>
              <w:t>怀化市鹤城区商务局</w:t>
            </w:r>
          </w:p>
        </w:tc>
      </w:tr>
      <w:tr>
        <w:tblPrEx>
          <w:tblCellMar>
            <w:top w:w="0" w:type="dxa"/>
            <w:left w:w="108" w:type="dxa"/>
            <w:bottom w:w="0" w:type="dxa"/>
            <w:right w:w="108" w:type="dxa"/>
          </w:tblCellMar>
        </w:tblPrEx>
        <w:trPr>
          <w:trHeight w:val="425" w:hRule="atLeast"/>
          <w:jc w:val="center"/>
        </w:trPr>
        <w:tc>
          <w:tcPr>
            <w:tcW w:w="2803"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地方主管部门</w:t>
            </w:r>
          </w:p>
        </w:tc>
        <w:tc>
          <w:tcPr>
            <w:tcW w:w="2894"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实施单位</w:t>
            </w:r>
          </w:p>
        </w:tc>
        <w:tc>
          <w:tcPr>
            <w:tcW w:w="3087" w:type="dxa"/>
            <w:gridSpan w:val="2"/>
            <w:tcBorders>
              <w:top w:val="single" w:color="auto" w:sz="4" w:space="0"/>
              <w:left w:val="single" w:color="auto" w:sz="4" w:space="0"/>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rPr>
              <w:t>　鹤城区</w:t>
            </w:r>
            <w:r>
              <w:rPr>
                <w:rFonts w:hint="eastAsia" w:ascii="仿宋" w:hAnsi="仿宋" w:eastAsia="仿宋" w:cs="仿宋"/>
                <w:color w:val="000000"/>
                <w:kern w:val="0"/>
                <w:sz w:val="18"/>
                <w:szCs w:val="18"/>
                <w:lang w:eastAsia="zh-CN"/>
              </w:rPr>
              <w:t>商务局</w:t>
            </w:r>
          </w:p>
        </w:tc>
      </w:tr>
      <w:tr>
        <w:tblPrEx>
          <w:tblCellMar>
            <w:top w:w="0" w:type="dxa"/>
            <w:left w:w="108" w:type="dxa"/>
            <w:bottom w:w="0" w:type="dxa"/>
            <w:right w:w="108" w:type="dxa"/>
          </w:tblCellMar>
        </w:tblPrEx>
        <w:trPr>
          <w:trHeight w:val="425" w:hRule="atLeast"/>
          <w:jc w:val="center"/>
        </w:trPr>
        <w:tc>
          <w:tcPr>
            <w:tcW w:w="2803" w:type="dxa"/>
            <w:gridSpan w:val="3"/>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项目资金（万元）</w:t>
            </w: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全年预算数（A）</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全年执行数（B）</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执行率（B／A）</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年度资金总额</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518.06</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bidi="ar-SA"/>
              </w:rPr>
              <w:t>188.22</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lang w:val="en-US" w:eastAsia="zh-CN"/>
              </w:rPr>
              <w:t>63.67%</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其中：中央补助</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40"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ind w:firstLine="360" w:firstLineChars="200"/>
              <w:jc w:val="both"/>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xml:space="preserve"> 省级资金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 xml:space="preserve">    市级资金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02" w:hRule="atLeast"/>
          <w:jc w:val="center"/>
        </w:trPr>
        <w:tc>
          <w:tcPr>
            <w:tcW w:w="2803" w:type="dxa"/>
            <w:gridSpan w:val="3"/>
            <w:vMerge w:val="continue"/>
            <w:tcBorders>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501"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 xml:space="preserve">    </w:t>
            </w:r>
            <w:r>
              <w:rPr>
                <w:rFonts w:hint="eastAsia" w:ascii="仿宋" w:hAnsi="仿宋" w:eastAsia="仿宋" w:cs="仿宋"/>
                <w:color w:val="000000"/>
                <w:kern w:val="0"/>
                <w:sz w:val="18"/>
                <w:szCs w:val="18"/>
                <w:lang w:eastAsia="zh-CN"/>
              </w:rPr>
              <w:t>其他资金</w:t>
            </w:r>
          </w:p>
        </w:tc>
        <w:tc>
          <w:tcPr>
            <w:tcW w:w="1393"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2483"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c>
          <w:tcPr>
            <w:tcW w:w="188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年度总体目标</w:t>
            </w:r>
          </w:p>
        </w:tc>
        <w:tc>
          <w:tcPr>
            <w:tcW w:w="4928"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年初设定目标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全年实际完成情况</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4928" w:type="dxa"/>
            <w:gridSpan w:val="4"/>
            <w:tcBorders>
              <w:top w:val="single" w:color="auto" w:sz="4" w:space="0"/>
              <w:left w:val="single" w:color="auto" w:sz="4" w:space="0"/>
              <w:bottom w:val="single" w:color="auto" w:sz="4" w:space="0"/>
              <w:right w:val="single" w:color="auto" w:sz="4" w:space="0"/>
            </w:tcBorders>
            <w:noWrap/>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c>
          <w:tcPr>
            <w:tcW w:w="4363" w:type="dxa"/>
            <w:gridSpan w:val="3"/>
            <w:tcBorders>
              <w:top w:val="single" w:color="auto" w:sz="4" w:space="0"/>
              <w:left w:val="single" w:color="auto" w:sz="4" w:space="0"/>
              <w:bottom w:val="single" w:color="auto" w:sz="4" w:space="0"/>
              <w:right w:val="single" w:color="auto" w:sz="4" w:space="0"/>
            </w:tcBorders>
            <w:noWrap w:val="0"/>
            <w:vAlign w:val="center"/>
          </w:tcPr>
          <w:p>
            <w:pPr>
              <w:pStyle w:val="7"/>
              <w:spacing w:line="360" w:lineRule="auto"/>
              <w:ind w:firstLine="360" w:firstLineChars="200"/>
              <w:rPr>
                <w:rFonts w:hint="eastAsia" w:ascii="仿宋" w:hAnsi="仿宋" w:eastAsia="仿宋" w:cs="仿宋"/>
                <w:color w:val="000000"/>
                <w:kern w:val="0"/>
                <w:sz w:val="18"/>
                <w:szCs w:val="18"/>
              </w:rPr>
            </w:pPr>
            <w:r>
              <w:rPr>
                <w:rFonts w:hint="eastAsia" w:ascii="仿宋" w:hAnsi="仿宋" w:eastAsia="仿宋" w:cs="仿宋"/>
                <w:b w:val="0"/>
                <w:bCs w:val="0"/>
                <w:sz w:val="18"/>
                <w:szCs w:val="18"/>
                <w:lang w:val="en-US" w:eastAsia="zh-CN"/>
              </w:rPr>
              <w:t>维护社会稳定，落实遗属生活保障</w:t>
            </w: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tcBorders>
              <w:top w:val="single" w:color="auto" w:sz="4" w:space="0"/>
              <w:left w:val="nil"/>
              <w:bottom w:val="single" w:color="auto" w:sz="4" w:space="0"/>
              <w:right w:val="nil"/>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一级指标</w:t>
            </w:r>
          </w:p>
        </w:tc>
        <w:tc>
          <w:tcPr>
            <w:tcW w:w="1079"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二级指标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三级指标</w:t>
            </w:r>
          </w:p>
        </w:tc>
        <w:tc>
          <w:tcPr>
            <w:tcW w:w="1393"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年度指标值</w:t>
            </w:r>
          </w:p>
        </w:tc>
        <w:tc>
          <w:tcPr>
            <w:tcW w:w="1207"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全年</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完成值</w:t>
            </w:r>
          </w:p>
        </w:tc>
        <w:tc>
          <w:tcPr>
            <w:tcW w:w="188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未完成原因和</w:t>
            </w:r>
          </w:p>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改进措施</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   出   指   标</w:t>
            </w:r>
          </w:p>
        </w:tc>
        <w:tc>
          <w:tcPr>
            <w:tcW w:w="107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50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 w:hAnsi="仿宋" w:eastAsia="仿宋" w:cs="仿宋"/>
                <w:color w:val="000000"/>
                <w:kern w:val="0"/>
                <w:sz w:val="18"/>
                <w:szCs w:val="18"/>
              </w:rPr>
            </w:pPr>
            <w:r>
              <w:rPr>
                <w:rFonts w:hint="eastAsia" w:ascii="仿宋_GB2312" w:hAnsi="宋体" w:eastAsia="仿宋_GB2312" w:cs="宋体"/>
                <w:color w:val="000000"/>
                <w:kern w:val="0"/>
                <w:szCs w:val="21"/>
                <w:lang w:val="en-US" w:eastAsia="zh-CN"/>
              </w:rPr>
              <w:t>产业招商</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2"/>
                <w:sz w:val="18"/>
                <w:szCs w:val="18"/>
                <w:u w:val="none"/>
                <w:lang w:val="en-US" w:eastAsia="zh-CN" w:bidi="ar-SA"/>
              </w:rPr>
              <w:t>3次</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3次</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07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501" w:type="dxa"/>
            <w:tcBorders>
              <w:top w:val="single" w:color="auto" w:sz="4" w:space="0"/>
              <w:left w:val="nil"/>
              <w:bottom w:val="single" w:color="auto" w:sz="4" w:space="0"/>
              <w:right w:val="single" w:color="auto" w:sz="4" w:space="0"/>
            </w:tcBorders>
            <w:noWrap/>
            <w:vAlign w:val="bottom"/>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eastAsia="zh-CN"/>
              </w:rPr>
              <w:t>社会零售额增速</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宋体" w:hAnsi="宋体" w:cs="宋体"/>
                <w:color w:val="000000"/>
                <w:sz w:val="18"/>
                <w:szCs w:val="18"/>
                <w:lang w:val="en-US" w:eastAsia="zh-CN"/>
              </w:rPr>
              <w:t>10.5%</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宋体" w:hAnsi="宋体" w:cs="宋体"/>
                <w:color w:val="000000"/>
                <w:sz w:val="18"/>
                <w:szCs w:val="18"/>
                <w:lang w:val="en-US" w:eastAsia="zh-CN"/>
              </w:rPr>
              <w:t>0.7%</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eastAsia="仿宋" w:cs="仿宋"/>
                <w:color w:val="000000"/>
                <w:sz w:val="15"/>
                <w:szCs w:val="15"/>
                <w:lang w:eastAsia="zh-CN"/>
              </w:rPr>
              <w:t>因疫情影响增速下降，措施促销费稳增长提升营商环境，加强对企业帮扶。</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eastAsia="zh-CN"/>
              </w:rPr>
              <w:t>招商引资省外到位资金</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48亿</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49亿</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_GB2312" w:hAnsi="宋体" w:eastAsia="仿宋_GB2312" w:cs="宋体"/>
                <w:color w:val="000000"/>
                <w:kern w:val="0"/>
                <w:szCs w:val="21"/>
                <w:lang w:eastAsia="zh-CN"/>
              </w:rPr>
              <w:t>开展招商工作</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eastAsia="zh-CN"/>
              </w:rPr>
              <w:t>商贸服务各项指标</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_GB2312" w:hAnsi="宋体" w:eastAsia="仿宋_GB2312" w:cs="宋体"/>
                <w:color w:val="000000"/>
                <w:kern w:val="0"/>
                <w:szCs w:val="21"/>
                <w:lang w:eastAsia="zh-CN"/>
              </w:rPr>
              <w:t>全年</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i w:val="0"/>
                <w:iCs w:val="0"/>
                <w:color w:val="000000"/>
                <w:kern w:val="0"/>
                <w:sz w:val="18"/>
                <w:szCs w:val="18"/>
                <w:u w:val="none"/>
                <w:lang w:val="en-US" w:eastAsia="zh-CN" w:bidi="ar"/>
              </w:rPr>
            </w:pPr>
            <w:r>
              <w:rPr>
                <w:rFonts w:hint="eastAsia" w:ascii="仿宋_GB2312" w:hAnsi="宋体" w:eastAsia="仿宋_GB2312" w:cs="宋体"/>
                <w:color w:val="000000"/>
                <w:kern w:val="0"/>
                <w:szCs w:val="21"/>
                <w:lang w:eastAsia="zh-CN"/>
              </w:rPr>
              <w:t>全年</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r>
      <w:tr>
        <w:tblPrEx>
          <w:tblCellMar>
            <w:top w:w="0" w:type="dxa"/>
            <w:left w:w="108" w:type="dxa"/>
            <w:bottom w:w="0" w:type="dxa"/>
            <w:right w:w="108" w:type="dxa"/>
          </w:tblCellMar>
        </w:tblPrEx>
        <w:trPr>
          <w:trHeight w:val="425"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_GB2312" w:hAnsi="宋体" w:eastAsia="仿宋_GB2312" w:cs="宋体"/>
                <w:color w:val="000000"/>
                <w:kern w:val="0"/>
                <w:szCs w:val="21"/>
              </w:rPr>
              <w:t>　</w:t>
            </w:r>
            <w:r>
              <w:rPr>
                <w:rFonts w:hint="eastAsia" w:ascii="仿宋_GB2312" w:hAnsi="宋体" w:eastAsia="仿宋_GB2312" w:cs="宋体"/>
                <w:color w:val="000000"/>
                <w:kern w:val="0"/>
                <w:szCs w:val="21"/>
                <w:lang w:eastAsia="zh-CN"/>
              </w:rPr>
              <w:t>完成招商引资指标任务</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0"/>
                <w:sz w:val="18"/>
                <w:szCs w:val="18"/>
                <w:lang w:val="en-US" w:eastAsia="zh-CN" w:bidi="ar-SA"/>
              </w:rPr>
            </w:pPr>
            <w:r>
              <w:rPr>
                <w:rFonts w:hint="eastAsia" w:ascii="仿宋_GB2312" w:hAnsi="宋体" w:eastAsia="仿宋_GB2312" w:cs="宋体"/>
                <w:color w:val="000000"/>
                <w:kern w:val="0"/>
                <w:szCs w:val="21"/>
                <w:lang w:eastAsia="zh-CN"/>
              </w:rPr>
              <w:t>全年</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both"/>
              <w:textAlignment w:val="center"/>
              <w:rPr>
                <w:rFonts w:hint="eastAsia" w:ascii="仿宋" w:hAnsi="仿宋" w:eastAsia="仿宋" w:cs="仿宋"/>
                <w:color w:val="000000"/>
                <w:kern w:val="0"/>
                <w:sz w:val="18"/>
                <w:szCs w:val="18"/>
                <w:lang w:val="en-US" w:eastAsia="zh-CN" w:bidi="ar-SA"/>
              </w:rPr>
            </w:pPr>
            <w:r>
              <w:rPr>
                <w:rFonts w:hint="eastAsia" w:ascii="仿宋_GB2312" w:hAnsi="宋体" w:eastAsia="仿宋_GB2312" w:cs="宋体"/>
                <w:color w:val="000000"/>
                <w:kern w:val="0"/>
                <w:szCs w:val="21"/>
                <w:lang w:eastAsia="zh-CN"/>
              </w:rPr>
              <w:t>全年</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33"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 w:hAnsi="仿宋" w:eastAsia="仿宋" w:cs="仿宋"/>
                <w:color w:val="000000"/>
                <w:kern w:val="0"/>
                <w:sz w:val="18"/>
                <w:szCs w:val="18"/>
                <w:lang w:val="en-US" w:eastAsia="zh-CN"/>
              </w:rPr>
            </w:pPr>
            <w:r>
              <w:rPr>
                <w:rFonts w:hint="eastAsia" w:ascii="仿宋_GB2312" w:hAnsi="宋体" w:eastAsia="仿宋_GB2312" w:cs="宋体"/>
                <w:color w:val="000000"/>
                <w:kern w:val="0"/>
                <w:szCs w:val="21"/>
                <w:lang w:val="en-US" w:eastAsia="zh-CN"/>
              </w:rPr>
              <w:t>完成招商引资到位资金</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48亿</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49亿</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83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p>
        </w:tc>
        <w:tc>
          <w:tcPr>
            <w:tcW w:w="1501"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eastAsia="zh-CN"/>
              </w:rPr>
              <w:t>社会零售额增速</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宋体" w:hAnsi="宋体" w:cs="宋体"/>
                <w:color w:val="000000"/>
                <w:sz w:val="18"/>
                <w:szCs w:val="18"/>
                <w:lang w:val="en-US" w:eastAsia="zh-CN"/>
              </w:rPr>
              <w:t>10.5%</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宋体" w:hAnsi="宋体" w:cs="宋体"/>
                <w:color w:val="000000"/>
                <w:sz w:val="18"/>
                <w:szCs w:val="18"/>
                <w:lang w:val="en-US" w:eastAsia="zh-CN"/>
              </w:rPr>
              <w:t>0.7%</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eastAsia="仿宋" w:cs="仿宋"/>
                <w:color w:val="000000"/>
                <w:sz w:val="15"/>
                <w:szCs w:val="15"/>
                <w:lang w:eastAsia="zh-CN"/>
              </w:rPr>
              <w:t>因疫情影响增速下降，措施促销费稳增长提升营商环境，加强对企业帮扶。</w:t>
            </w:r>
          </w:p>
        </w:tc>
      </w:tr>
      <w:tr>
        <w:tblPrEx>
          <w:tblCellMar>
            <w:top w:w="0" w:type="dxa"/>
            <w:left w:w="108" w:type="dxa"/>
            <w:bottom w:w="0" w:type="dxa"/>
            <w:right w:w="108" w:type="dxa"/>
          </w:tblCellMar>
        </w:tblPrEx>
        <w:trPr>
          <w:trHeight w:val="397" w:hRule="atLeast"/>
          <w:jc w:val="center"/>
        </w:trPr>
        <w:tc>
          <w:tcPr>
            <w:tcW w:w="769"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绩  效    指  标</w:t>
            </w:r>
          </w:p>
        </w:tc>
        <w:tc>
          <w:tcPr>
            <w:tcW w:w="955" w:type="dxa"/>
            <w:vMerge w:val="restart"/>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   益   指   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397"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社会稳定</w:t>
            </w:r>
          </w:p>
        </w:tc>
        <w:tc>
          <w:tcPr>
            <w:tcW w:w="1393"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207"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效果明显</w:t>
            </w:r>
          </w:p>
        </w:tc>
        <w:tc>
          <w:tcPr>
            <w:tcW w:w="1880" w:type="dxa"/>
            <w:tcBorders>
              <w:top w:val="single" w:color="auto" w:sz="4" w:space="0"/>
              <w:left w:val="nil"/>
              <w:bottom w:val="single" w:color="auto" w:sz="4" w:space="0"/>
              <w:right w:val="single" w:color="auto" w:sz="4" w:space="0"/>
            </w:tcBorders>
            <w:noWrap/>
            <w:vAlign w:val="bottom"/>
          </w:tcPr>
          <w:p>
            <w:pPr>
              <w:widowControl/>
              <w:spacing w:line="280" w:lineRule="exact"/>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270" w:hRule="atLeast"/>
          <w:jc w:val="center"/>
        </w:trPr>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18"/>
                <w:szCs w:val="1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满意度指标</w:t>
            </w:r>
          </w:p>
        </w:tc>
        <w:tc>
          <w:tcPr>
            <w:tcW w:w="107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501"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社会公众满意度</w:t>
            </w:r>
          </w:p>
        </w:tc>
        <w:tc>
          <w:tcPr>
            <w:tcW w:w="1393"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lang w:val="en-US" w:eastAsia="zh-CN" w:bidi="ar-SA"/>
              </w:rPr>
            </w:pPr>
            <w:r>
              <w:rPr>
                <w:rFonts w:hint="eastAsia" w:ascii="仿宋" w:hAnsi="仿宋" w:eastAsia="仿宋" w:cs="仿宋"/>
                <w:color w:val="000000"/>
                <w:kern w:val="0"/>
                <w:sz w:val="18"/>
                <w:szCs w:val="18"/>
              </w:rPr>
              <w:t>　</w:t>
            </w:r>
          </w:p>
        </w:tc>
        <w:tc>
          <w:tcPr>
            <w:tcW w:w="1276"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 w:hAnsi="仿宋" w:eastAsia="仿宋" w:cs="仿宋"/>
                <w:color w:val="000000"/>
                <w:kern w:val="2"/>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90%以上</w:t>
            </w:r>
          </w:p>
        </w:tc>
        <w:tc>
          <w:tcPr>
            <w:tcW w:w="1207"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 w:hAnsi="仿宋" w:eastAsia="仿宋" w:cs="仿宋"/>
                <w:color w:val="000000"/>
                <w:kern w:val="0"/>
                <w:sz w:val="18"/>
                <w:szCs w:val="18"/>
                <w:lang w:val="en-US" w:eastAsia="zh-CN" w:bidi="ar-SA"/>
              </w:rPr>
            </w:pPr>
            <w:r>
              <w:rPr>
                <w:rFonts w:hint="eastAsia" w:ascii="仿宋" w:hAnsi="仿宋" w:eastAsia="仿宋" w:cs="仿宋"/>
                <w:i w:val="0"/>
                <w:iCs w:val="0"/>
                <w:color w:val="000000"/>
                <w:kern w:val="0"/>
                <w:sz w:val="18"/>
                <w:szCs w:val="18"/>
                <w:u w:val="none"/>
                <w:lang w:val="en-US" w:eastAsia="zh-CN" w:bidi="ar"/>
              </w:rPr>
              <w:t>100%</w:t>
            </w:r>
          </w:p>
        </w:tc>
        <w:tc>
          <w:tcPr>
            <w:tcW w:w="1880" w:type="dxa"/>
            <w:tcBorders>
              <w:top w:val="single" w:color="auto" w:sz="4" w:space="0"/>
              <w:left w:val="nil"/>
              <w:bottom w:val="single" w:color="auto" w:sz="4" w:space="0"/>
              <w:right w:val="single" w:color="auto" w:sz="4" w:space="0"/>
            </w:tcBorders>
            <w:noWrap/>
            <w:vAlign w:val="bottom"/>
          </w:tcPr>
          <w:p>
            <w:pPr>
              <w:widowControl/>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tblPrEx>
          <w:tblCellMar>
            <w:top w:w="0" w:type="dxa"/>
            <w:left w:w="108" w:type="dxa"/>
            <w:bottom w:w="0" w:type="dxa"/>
            <w:right w:w="108" w:type="dxa"/>
          </w:tblCellMar>
        </w:tblPrEx>
        <w:trPr>
          <w:trHeight w:val="952" w:hRule="atLeast"/>
          <w:jc w:val="center"/>
        </w:trPr>
        <w:tc>
          <w:tcPr>
            <w:tcW w:w="769" w:type="dxa"/>
            <w:tcBorders>
              <w:top w:val="single" w:color="auto" w:sz="4" w:space="0"/>
              <w:left w:val="single" w:color="auto" w:sz="4" w:space="0"/>
              <w:bottom w:val="nil"/>
              <w:right w:val="single" w:color="auto" w:sz="4" w:space="0"/>
            </w:tcBorders>
            <w:noWrap/>
            <w:vAlign w:val="center"/>
          </w:tcPr>
          <w:p>
            <w:pPr>
              <w:widowControl/>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说明</w:t>
            </w:r>
          </w:p>
        </w:tc>
        <w:tc>
          <w:tcPr>
            <w:tcW w:w="9291" w:type="dxa"/>
            <w:gridSpan w:val="7"/>
            <w:tcBorders>
              <w:top w:val="single" w:color="auto" w:sz="4" w:space="0"/>
              <w:left w:val="nil"/>
              <w:bottom w:val="nil"/>
              <w:right w:val="single" w:color="000000" w:sz="4" w:space="0"/>
            </w:tcBorders>
            <w:noWrap/>
            <w:vAlign w:val="center"/>
          </w:tcPr>
          <w:p>
            <w:pPr>
              <w:widowControl/>
              <w:jc w:val="center"/>
              <w:rPr>
                <w:rFonts w:hint="eastAsia" w:ascii="仿宋" w:hAnsi="仿宋" w:eastAsia="仿宋" w:cs="仿宋"/>
                <w:color w:val="000000"/>
                <w:kern w:val="0"/>
                <w:sz w:val="18"/>
                <w:szCs w:val="18"/>
                <w:lang w:eastAsia="zh-CN"/>
              </w:rPr>
            </w:pPr>
            <w:r>
              <w:rPr>
                <w:rFonts w:hint="eastAsia" w:ascii="仿宋_GB2312" w:hAnsi="宋体" w:eastAsia="仿宋_GB2312" w:cs="宋体"/>
                <w:color w:val="000000"/>
                <w:kern w:val="0"/>
                <w:szCs w:val="21"/>
                <w:lang w:eastAsia="zh-CN"/>
              </w:rPr>
              <w:t>无</w:t>
            </w:r>
          </w:p>
        </w:tc>
      </w:tr>
      <w:tr>
        <w:tblPrEx>
          <w:tblCellMar>
            <w:top w:w="0" w:type="dxa"/>
            <w:left w:w="108" w:type="dxa"/>
            <w:bottom w:w="0" w:type="dxa"/>
            <w:right w:w="108" w:type="dxa"/>
          </w:tblCellMar>
        </w:tblPrEx>
        <w:trPr>
          <w:trHeight w:val="1785" w:hRule="atLeast"/>
          <w:jc w:val="center"/>
        </w:trPr>
        <w:tc>
          <w:tcPr>
            <w:tcW w:w="10060" w:type="dxa"/>
            <w:gridSpan w:val="8"/>
            <w:tcBorders>
              <w:top w:val="single" w:color="auto" w:sz="8" w:space="0"/>
              <w:left w:val="nil"/>
              <w:bottom w:val="nil"/>
              <w:right w:val="nil"/>
            </w:tcBorders>
            <w:noWrap w:val="0"/>
            <w:vAlign w:val="top"/>
          </w:tcPr>
          <w:p>
            <w:pPr>
              <w:widowControl/>
              <w:ind w:firstLine="420" w:firstLineChars="200"/>
              <w:jc w:val="left"/>
              <w:rPr>
                <w:rFonts w:hint="eastAsia" w:ascii="仿宋_GB2312" w:hAnsi="宋体" w:eastAsia="仿宋_GB2312" w:cs="宋体"/>
                <w:color w:val="000000"/>
                <w:kern w:val="0"/>
                <w:szCs w:val="21"/>
              </w:rPr>
            </w:pP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xml:space="preserve">注：1、其他资金包括和中央补助、地方财政资金共同投入到同一项目的自有资金、社会资金，以及以前年度的结转结余资金等。 </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2、定量指标，资金使用单位填写本地区实际完成数。</w:t>
            </w:r>
            <w:r>
              <w:rPr>
                <w:rFonts w:hint="eastAsia" w:ascii="仿宋_GB2312" w:hAnsi="宋体" w:eastAsia="仿宋_GB2312" w:cs="宋体"/>
                <w:color w:val="000000"/>
                <w:kern w:val="0"/>
                <w:szCs w:val="21"/>
                <w:lang w:eastAsia="zh-CN"/>
              </w:rPr>
              <w:t>市</w:t>
            </w:r>
            <w:r>
              <w:rPr>
                <w:rFonts w:hint="eastAsia" w:ascii="仿宋_GB2312" w:hAnsi="宋体" w:eastAsia="仿宋_GB2312" w:cs="宋体"/>
                <w:color w:val="000000"/>
                <w:kern w:val="0"/>
                <w:szCs w:val="21"/>
              </w:rPr>
              <w:t>直各部门汇总时，对绝对值直接累加计算，相对值按照资金额度加权平均计算。</w:t>
            </w:r>
          </w:p>
          <w:p>
            <w:pPr>
              <w:widowControl/>
              <w:spacing w:line="360" w:lineRule="exact"/>
              <w:ind w:firstLine="420" w:firstLineChars="200"/>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定性指标根据指标完成情况分为：全部或基本达成预期指标、部分达成预期指标并具有一定效果、未达成预期指标且效果较差三档，资金使用单位分别按照100％—80％（含）、80％—60％（含）、60％—0％合理填写完成比例。</w:t>
            </w:r>
          </w:p>
          <w:p>
            <w:pPr>
              <w:widowControl/>
              <w:spacing w:line="360" w:lineRule="exact"/>
              <w:ind w:firstLine="420" w:firstLineChars="200"/>
              <w:jc w:val="left"/>
              <w:rPr>
                <w:rFonts w:ascii="仿宋_GB2312" w:hAnsi="宋体" w:eastAsia="仿宋_GB2312" w:cs="宋体"/>
                <w:color w:val="000000"/>
                <w:kern w:val="0"/>
                <w:szCs w:val="21"/>
              </w:rPr>
            </w:pPr>
          </w:p>
        </w:tc>
      </w:tr>
    </w:tbl>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pPr>
        <w:spacing w:line="560" w:lineRule="exact"/>
        <w:rPr>
          <w:rFonts w:hint="eastAsia" w:ascii="黑体" w:hAnsi="宋体" w:eastAsia="黑体" w:cs="宋体"/>
          <w:kern w:val="0"/>
          <w:sz w:val="32"/>
          <w:szCs w:val="32"/>
          <w:lang w:val="en-US" w:eastAsia="zh-CN"/>
        </w:rPr>
      </w:pPr>
    </w:p>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zYTUzOTZiZTYzMzIyODFjOTM0ZGVkNzEwY2FjNTkifQ=="/>
  </w:docVars>
  <w:rsids>
    <w:rsidRoot w:val="27B40453"/>
    <w:rsid w:val="00C93F5B"/>
    <w:rsid w:val="01D13D08"/>
    <w:rsid w:val="04AB0032"/>
    <w:rsid w:val="07177AA4"/>
    <w:rsid w:val="0A174921"/>
    <w:rsid w:val="10AE47DB"/>
    <w:rsid w:val="11CB5870"/>
    <w:rsid w:val="133631BD"/>
    <w:rsid w:val="1B914051"/>
    <w:rsid w:val="20B10327"/>
    <w:rsid w:val="220D31CA"/>
    <w:rsid w:val="22F1604A"/>
    <w:rsid w:val="254010F3"/>
    <w:rsid w:val="276E2ACE"/>
    <w:rsid w:val="27B40453"/>
    <w:rsid w:val="2AB033FD"/>
    <w:rsid w:val="2C820DC9"/>
    <w:rsid w:val="2C9D7BF4"/>
    <w:rsid w:val="2CEA709A"/>
    <w:rsid w:val="2D4935B2"/>
    <w:rsid w:val="309B06AC"/>
    <w:rsid w:val="349D49F2"/>
    <w:rsid w:val="35E351C9"/>
    <w:rsid w:val="377D2FD4"/>
    <w:rsid w:val="39D056CB"/>
    <w:rsid w:val="3D08531B"/>
    <w:rsid w:val="3D6D517E"/>
    <w:rsid w:val="431D1F2C"/>
    <w:rsid w:val="460A0681"/>
    <w:rsid w:val="4A08695A"/>
    <w:rsid w:val="4F604B42"/>
    <w:rsid w:val="4FE53205"/>
    <w:rsid w:val="528374C6"/>
    <w:rsid w:val="53277E51"/>
    <w:rsid w:val="5ED52E57"/>
    <w:rsid w:val="5EDE30AE"/>
    <w:rsid w:val="62B430C4"/>
    <w:rsid w:val="64443E1B"/>
    <w:rsid w:val="66807B4C"/>
    <w:rsid w:val="675039C2"/>
    <w:rsid w:val="6A44550A"/>
    <w:rsid w:val="724539F8"/>
    <w:rsid w:val="75E73A32"/>
    <w:rsid w:val="782F1F78"/>
    <w:rsid w:val="7A1F7224"/>
    <w:rsid w:val="7EDC56E4"/>
    <w:rsid w:val="7F7F4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hAnsi="Calibri" w:eastAsia="宋体" w:cs="Times New Roman"/>
    </w:rPr>
  </w:style>
  <w:style w:type="paragraph" w:styleId="3">
    <w:name w:val="toc 5"/>
    <w:basedOn w:val="1"/>
    <w:next w:val="1"/>
    <w:qFormat/>
    <w:uiPriority w:val="99"/>
    <w:pPr>
      <w:spacing w:line="600" w:lineRule="exact"/>
      <w:jc w:val="center"/>
    </w:pPr>
    <w:rPr>
      <w:rFonts w:ascii="仿宋_GB2312" w:eastAsia="仿宋_GB2312" w:cs="仿宋_GB2312"/>
      <w:b/>
      <w:bCs/>
      <w:sz w:val="32"/>
      <w:szCs w:val="32"/>
    </w:r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7">
    <w:name w:val="无间隔"/>
    <w:qFormat/>
    <w:uiPriority w:val="0"/>
    <w:pPr>
      <w:widowControl w:val="0"/>
      <w:jc w:val="both"/>
    </w:pPr>
    <w:rPr>
      <w:rFonts w:ascii="Calibri" w:hAnsi="Calibri" w:eastAsia="宋体" w:cs="Times New Roman"/>
      <w:kern w:val="2"/>
      <w:sz w:val="21"/>
      <w:szCs w:val="22"/>
      <w:lang w:val="en-US" w:eastAsia="zh-CN" w:bidi="ar-SA"/>
    </w:rPr>
  </w:style>
  <w:style w:type="paragraph" w:customStyle="1" w:styleId="8">
    <w:name w:val="_Style 1"/>
    <w:basedOn w:val="1"/>
    <w:qFormat/>
    <w:uiPriority w:val="99"/>
    <w:pPr>
      <w:spacing w:line="481" w:lineRule="atLeast"/>
      <w:ind w:firstLine="623"/>
      <w:textAlignment w:val="baseline"/>
    </w:pPr>
    <w:rPr>
      <w:color w:val="000000"/>
      <w:sz w:val="31"/>
      <w:szCs w:val="3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3071</Words>
  <Characters>3150</Characters>
  <Lines>0</Lines>
  <Paragraphs>0</Paragraphs>
  <TotalTime>0</TotalTime>
  <ScaleCrop>false</ScaleCrop>
  <LinksUpToDate>false</LinksUpToDate>
  <CharactersWithSpaces>3243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2023-09-19T00:05:00Z</dcterms:created>
  <dc:creator>Administrator</dc:creator>
  <cp:lastModifiedBy>亭</cp:lastModifiedBy>
  <dcterms:modified xsi:type="dcterms:W3CDTF">2023-10-07T09:04:45Z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979B7ED142B4467FAE0A4D39CFA75FC8_11</vt:lpwstr>
  </property>
</Properties>
</file>