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02656D">
      <w:pPr>
        <w:spacing w:line="560" w:lineRule="exact"/>
        <w:rPr>
          <w:rFonts w:ascii="黑体" w:eastAsia="黑体" w:hAnsi="宋体" w:cs="宋体" w:hint="eastAsia"/>
          <w:kern w:val="0"/>
          <w:sz w:val="32"/>
          <w:szCs w:val="32"/>
        </w:rPr>
      </w:pPr>
      <w:r>
        <w:rPr>
          <w:rFonts w:ascii="黑体" w:eastAsia="黑体" w:hAnsi="宋体" w:cs="宋体" w:hint="eastAsia"/>
          <w:kern w:val="0"/>
          <w:sz w:val="32"/>
          <w:szCs w:val="32"/>
        </w:rPr>
        <w:t>附件</w:t>
      </w:r>
      <w:r>
        <w:rPr>
          <w:rFonts w:ascii="黑体" w:eastAsia="黑体" w:hAnsi="宋体" w:cs="宋体" w:hint="eastAsia"/>
          <w:kern w:val="0"/>
          <w:sz w:val="32"/>
          <w:szCs w:val="32"/>
        </w:rPr>
        <w:t>1</w:t>
      </w:r>
    </w:p>
    <w:p w:rsidR="00000000" w:rsidRDefault="0002656D">
      <w:pPr>
        <w:spacing w:line="560" w:lineRule="exact"/>
        <w:jc w:val="center"/>
        <w:rPr>
          <w:rFonts w:ascii="宋体" w:hAnsi="宋体" w:cs="宋体"/>
          <w:kern w:val="0"/>
          <w:sz w:val="24"/>
        </w:rPr>
      </w:pPr>
      <w:r>
        <w:rPr>
          <w:rFonts w:ascii="方正小标宋_GBK" w:eastAsia="方正小标宋_GBK" w:hAnsi="宋体" w:cs="宋体" w:hint="eastAsia"/>
          <w:kern w:val="0"/>
          <w:sz w:val="36"/>
          <w:szCs w:val="36"/>
        </w:rPr>
        <w:t>部门整体支出绩效评价共性指标表</w:t>
      </w:r>
    </w:p>
    <w:tbl>
      <w:tblPr>
        <w:tblW w:w="0" w:type="auto"/>
        <w:jc w:val="center"/>
        <w:tblInd w:w="0" w:type="dxa"/>
        <w:tblLayout w:type="fixed"/>
        <w:tblLook w:val="0000"/>
      </w:tblPr>
      <w:tblGrid>
        <w:gridCol w:w="518"/>
        <w:gridCol w:w="470"/>
        <w:gridCol w:w="623"/>
        <w:gridCol w:w="416"/>
        <w:gridCol w:w="1015"/>
        <w:gridCol w:w="416"/>
        <w:gridCol w:w="3016"/>
        <w:gridCol w:w="3489"/>
        <w:gridCol w:w="637"/>
      </w:tblGrid>
      <w:tr w:rsidR="00000000">
        <w:trPr>
          <w:trHeight w:val="695"/>
          <w:tblHeader/>
          <w:jc w:val="center"/>
        </w:trPr>
        <w:tc>
          <w:tcPr>
            <w:tcW w:w="518" w:type="dxa"/>
            <w:tcBorders>
              <w:top w:val="single" w:sz="4" w:space="0" w:color="auto"/>
              <w:left w:val="single" w:sz="4" w:space="0" w:color="auto"/>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一级指标</w:t>
            </w:r>
          </w:p>
        </w:tc>
        <w:tc>
          <w:tcPr>
            <w:tcW w:w="470"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623"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二级指标</w:t>
            </w:r>
          </w:p>
        </w:tc>
        <w:tc>
          <w:tcPr>
            <w:tcW w:w="4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1015"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三级</w:t>
            </w:r>
          </w:p>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w:t>
            </w:r>
          </w:p>
        </w:tc>
        <w:tc>
          <w:tcPr>
            <w:tcW w:w="4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30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评价标准</w:t>
            </w:r>
          </w:p>
        </w:tc>
        <w:tc>
          <w:tcPr>
            <w:tcW w:w="3489"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指标说明</w:t>
            </w:r>
          </w:p>
        </w:tc>
        <w:tc>
          <w:tcPr>
            <w:tcW w:w="637"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得分</w:t>
            </w:r>
          </w:p>
        </w:tc>
      </w:tr>
      <w:tr w:rsidR="00000000">
        <w:trPr>
          <w:trHeight w:val="1814"/>
          <w:jc w:val="center"/>
        </w:trPr>
        <w:tc>
          <w:tcPr>
            <w:tcW w:w="518" w:type="dxa"/>
            <w:vMerge w:val="restart"/>
            <w:tcBorders>
              <w:top w:val="nil"/>
              <w:left w:val="single" w:sz="4" w:space="0" w:color="auto"/>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投入</w:t>
            </w:r>
          </w:p>
        </w:tc>
        <w:tc>
          <w:tcPr>
            <w:tcW w:w="470"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10</w:t>
            </w:r>
          </w:p>
        </w:tc>
        <w:tc>
          <w:tcPr>
            <w:tcW w:w="623" w:type="dxa"/>
            <w:vMerge w:val="restart"/>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预算配置</w:t>
            </w:r>
          </w:p>
        </w:tc>
        <w:tc>
          <w:tcPr>
            <w:tcW w:w="416"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10</w:t>
            </w: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nil"/>
              <w:right w:val="nil"/>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以</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为标准。在职人员控制率</w:t>
            </w:r>
            <w:r>
              <w:rPr>
                <w:rFonts w:ascii="宋体" w:hAnsi="宋体" w:cs="宋体" w:hint="eastAsia"/>
                <w:kern w:val="0"/>
                <w:sz w:val="20"/>
                <w:szCs w:val="20"/>
              </w:rPr>
              <w:t>≦</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分；每超过一个百分点扣</w:t>
            </w:r>
            <w:r>
              <w:rPr>
                <w:rFonts w:ascii="仿宋_GB2312" w:eastAsia="仿宋_GB2312" w:hAnsi="宋体" w:cs="宋体" w:hint="eastAsia"/>
                <w:kern w:val="0"/>
                <w:sz w:val="20"/>
                <w:szCs w:val="20"/>
              </w:rPr>
              <w:t>0.5</w:t>
            </w:r>
            <w:r>
              <w:rPr>
                <w:rFonts w:ascii="仿宋_GB2312" w:eastAsia="仿宋_GB2312" w:hAnsi="宋体" w:cs="宋体" w:hint="eastAsia"/>
                <w:kern w:val="0"/>
                <w:sz w:val="20"/>
                <w:szCs w:val="20"/>
              </w:rPr>
              <w:t>分，扣完为止。</w:t>
            </w:r>
          </w:p>
        </w:tc>
        <w:tc>
          <w:tcPr>
            <w:tcW w:w="3489" w:type="dxa"/>
            <w:tcBorders>
              <w:top w:val="nil"/>
              <w:left w:val="single" w:sz="4" w:space="0" w:color="auto"/>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（在职人员数</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编制数）×</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，在职人员数：部门（单位）实际在职人数，以财政确定的部门决算编制口径为准。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编制数：机构编制部门核定批复的部门（单位）的人员编制数。</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jc w:val="center"/>
        </w:trPr>
        <w:tc>
          <w:tcPr>
            <w:tcW w:w="518" w:type="dxa"/>
            <w:vMerge/>
            <w:tcBorders>
              <w:top w:val="nil"/>
              <w:left w:val="single" w:sz="4" w:space="0" w:color="auto"/>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5</w:t>
            </w:r>
          </w:p>
        </w:tc>
        <w:tc>
          <w:tcPr>
            <w:tcW w:w="30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r>
              <w:rPr>
                <w:rFonts w:ascii="宋体" w:hAnsi="宋体" w:cs="宋体" w:hint="eastAsia"/>
                <w:kern w:val="0"/>
                <w:sz w:val="20"/>
                <w:szCs w:val="20"/>
              </w:rPr>
              <w:t>≦</w:t>
            </w:r>
            <w:r>
              <w:rPr>
                <w:rFonts w:ascii="仿宋_GB2312" w:eastAsia="仿宋_GB2312" w:hAnsi="宋体" w:cs="宋体" w:hint="eastAsia"/>
                <w:kern w:val="0"/>
                <w:sz w:val="20"/>
                <w:szCs w:val="20"/>
              </w:rPr>
              <w:t>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t>三公经费”＞</w:t>
            </w:r>
            <w:r>
              <w:rPr>
                <w:rFonts w:ascii="仿宋_GB2312" w:eastAsia="仿宋_GB2312" w:hAnsi="宋体" w:cs="宋体" w:hint="eastAsia"/>
                <w:kern w:val="0"/>
                <w:sz w:val="20"/>
                <w:szCs w:val="20"/>
              </w:rPr>
              <w:t>0</w:t>
            </w:r>
            <w:r>
              <w:rPr>
                <w:rFonts w:ascii="仿宋_GB2312" w:eastAsia="仿宋_GB2312" w:hAnsi="宋体" w:cs="宋体" w:hint="eastAsia"/>
                <w:kern w:val="0"/>
                <w:sz w:val="20"/>
                <w:szCs w:val="20"/>
              </w:rPr>
              <w:t>，每超过一个百分点扣</w:t>
            </w:r>
            <w:r>
              <w:rPr>
                <w:rFonts w:ascii="仿宋_GB2312" w:eastAsia="仿宋_GB2312" w:hAnsi="宋体" w:cs="宋体" w:hint="eastAsia"/>
                <w:kern w:val="0"/>
                <w:sz w:val="20"/>
                <w:szCs w:val="20"/>
              </w:rPr>
              <w:t>0.5</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（本年度“三公经费”预算数</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上年度“三公经费”预算数）</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上年度“三公经费”预算数</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100%</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jc w:val="center"/>
        </w:trPr>
        <w:tc>
          <w:tcPr>
            <w:tcW w:w="518"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过</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程</w:t>
            </w:r>
          </w:p>
        </w:tc>
        <w:tc>
          <w:tcPr>
            <w:tcW w:w="470"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预算执行</w:t>
            </w:r>
          </w:p>
        </w:tc>
        <w:tc>
          <w:tcPr>
            <w:tcW w:w="416"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20</w:t>
            </w: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计满分，每低</w:t>
            </w:r>
            <w:r>
              <w:rPr>
                <w:rFonts w:ascii="仿宋_GB2312" w:eastAsia="仿宋_GB2312" w:hAnsi="宋体" w:cs="宋体" w:hint="eastAsia"/>
                <w:kern w:val="0"/>
                <w:sz w:val="20"/>
                <w:szCs w:val="20"/>
              </w:rPr>
              <w:t>于</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（上年结转</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年初预算</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本年追加预算</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年末结余）</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（上年结转</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年初预算</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本年追加预算）×</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trHeight w:val="1273"/>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w:t>
            </w:r>
            <w:r>
              <w:rPr>
                <w:rFonts w:ascii="仿宋_GB2312" w:eastAsia="仿宋_GB2312" w:hAnsi="宋体" w:cs="宋体" w:hint="eastAsia"/>
                <w:kern w:val="0"/>
                <w:sz w:val="20"/>
                <w:szCs w:val="20"/>
              </w:rPr>
              <w:t>=0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t>0-10%</w:t>
            </w:r>
            <w:r>
              <w:rPr>
                <w:rFonts w:ascii="仿宋_GB2312" w:eastAsia="仿宋_GB2312" w:hAnsi="宋体" w:cs="宋体" w:hint="eastAsia"/>
                <w:kern w:val="0"/>
                <w:sz w:val="20"/>
                <w:szCs w:val="20"/>
              </w:rPr>
              <w:t>（含），计</w:t>
            </w:r>
            <w:r>
              <w:rPr>
                <w:rFonts w:ascii="仿宋_GB2312" w:eastAsia="仿宋_GB2312" w:hAnsi="宋体" w:cs="宋体" w:hint="eastAsia"/>
                <w:kern w:val="0"/>
                <w:sz w:val="20"/>
                <w:szCs w:val="20"/>
              </w:rPr>
              <w:t>4</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t>10-20%</w:t>
            </w:r>
            <w:r>
              <w:rPr>
                <w:rFonts w:ascii="仿宋_GB2312" w:eastAsia="仿宋_GB2312" w:hAnsi="宋体" w:cs="宋体" w:hint="eastAsia"/>
                <w:kern w:val="0"/>
                <w:sz w:val="20"/>
                <w:szCs w:val="20"/>
              </w:rPr>
              <w:t>（含），计</w:t>
            </w:r>
            <w:r>
              <w:rPr>
                <w:rFonts w:ascii="仿宋_GB2312" w:eastAsia="仿宋_GB2312" w:hAnsi="宋体" w:cs="宋体" w:hint="eastAsia"/>
                <w:kern w:val="0"/>
                <w:sz w:val="20"/>
                <w:szCs w:val="20"/>
              </w:rPr>
              <w:t>3</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t>20-30%</w:t>
            </w:r>
            <w:r>
              <w:rPr>
                <w:rFonts w:ascii="仿宋_GB2312" w:eastAsia="仿宋_GB2312" w:hAnsi="宋体" w:cs="宋体" w:hint="eastAsia"/>
                <w:kern w:val="0"/>
                <w:sz w:val="20"/>
                <w:szCs w:val="20"/>
              </w:rPr>
              <w:t>（含），计</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分；大于</w:t>
            </w:r>
            <w:r>
              <w:rPr>
                <w:rFonts w:ascii="仿宋_GB2312" w:eastAsia="仿宋_GB2312" w:hAnsi="宋体" w:cs="宋体" w:hint="eastAsia"/>
                <w:kern w:val="0"/>
                <w:sz w:val="20"/>
                <w:szCs w:val="20"/>
              </w:rPr>
              <w:t>30%</w:t>
            </w:r>
            <w:r>
              <w:rPr>
                <w:rFonts w:ascii="仿宋_GB2312" w:eastAsia="仿宋_GB2312" w:hAnsi="宋体" w:cs="宋体" w:hint="eastAsia"/>
                <w:kern w:val="0"/>
                <w:sz w:val="20"/>
                <w:szCs w:val="20"/>
              </w:rPr>
              <w:t>不得分。</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（本年追加预算</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年初预算）×</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w:t>
            </w:r>
          </w:p>
        </w:tc>
        <w:tc>
          <w:tcPr>
            <w:tcW w:w="637" w:type="dxa"/>
            <w:tcBorders>
              <w:top w:val="nil"/>
              <w:left w:val="nil"/>
              <w:bottom w:val="single" w:sz="4" w:space="0" w:color="auto"/>
              <w:right w:val="single" w:sz="4" w:space="0" w:color="auto"/>
            </w:tcBorders>
            <w:vAlign w:val="center"/>
          </w:tcPr>
          <w:p w:rsidR="00000000" w:rsidRDefault="00877E77">
            <w:pPr>
              <w:widowControl/>
              <w:spacing w:line="300" w:lineRule="exact"/>
              <w:jc w:val="left"/>
              <w:rPr>
                <w:rFonts w:ascii="宋体" w:hAnsi="宋体" w:cs="宋体"/>
                <w:kern w:val="0"/>
                <w:sz w:val="24"/>
              </w:rPr>
            </w:pPr>
            <w:r>
              <w:rPr>
                <w:rFonts w:ascii="宋体" w:hAnsi="宋体" w:cs="宋体" w:hint="eastAsia"/>
                <w:kern w:val="0"/>
                <w:sz w:val="24"/>
              </w:rPr>
              <w:t>5</w:t>
            </w:r>
            <w:r w:rsidR="0002656D">
              <w:rPr>
                <w:rFonts w:ascii="宋体" w:hAnsi="宋体" w:cs="宋体" w:hint="eastAsia"/>
                <w:kern w:val="0"/>
                <w:sz w:val="24"/>
              </w:rPr>
              <w:t xml:space="preserve">　</w:t>
            </w:r>
          </w:p>
        </w:tc>
      </w:tr>
      <w:tr w:rsidR="00000000">
        <w:trPr>
          <w:trHeight w:val="1160"/>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新建楼堂馆所面积控制率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以下（含）计满分，每超出</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分，扣完为止。没有楼堂馆所项目的部门按满分计算。</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楼堂馆所面积控制率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实际建设面积</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批</w:t>
            </w:r>
            <w:r>
              <w:rPr>
                <w:rFonts w:ascii="仿宋_GB2312" w:eastAsia="仿宋_GB2312" w:hAnsi="宋体" w:cs="宋体" w:hint="eastAsia"/>
                <w:kern w:val="0"/>
                <w:sz w:val="20"/>
                <w:szCs w:val="20"/>
              </w:rPr>
              <w:t>准建设面积×</w:t>
            </w:r>
            <w:r>
              <w:rPr>
                <w:rFonts w:ascii="仿宋_GB2312" w:eastAsia="仿宋_GB2312" w:hAnsi="宋体" w:cs="宋体" w:hint="eastAsia"/>
                <w:kern w:val="0"/>
                <w:sz w:val="20"/>
                <w:szCs w:val="20"/>
              </w:rPr>
              <w:t xml:space="preserve">100% </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该指标以</w:t>
            </w:r>
            <w:r>
              <w:rPr>
                <w:rFonts w:ascii="仿宋_GB2312" w:eastAsia="仿宋_GB2312" w:hAnsi="宋体" w:cs="宋体" w:hint="eastAsia"/>
                <w:kern w:val="0"/>
                <w:sz w:val="20"/>
                <w:szCs w:val="20"/>
              </w:rPr>
              <w:t>2022</w:t>
            </w:r>
            <w:r>
              <w:rPr>
                <w:rFonts w:ascii="仿宋_GB2312" w:eastAsia="仿宋_GB2312" w:hAnsi="宋体" w:cs="宋体" w:hint="eastAsia"/>
                <w:kern w:val="0"/>
                <w:sz w:val="20"/>
                <w:szCs w:val="20"/>
              </w:rPr>
              <w:t>年完工的新建楼堂馆所为评价内容。</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trHeight w:val="1543"/>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新建楼堂馆所投资概算控制率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以下（含）计满分，每超出</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楼堂馆所投资预算控制率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实际投资金额</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批准投资金额×</w:t>
            </w:r>
            <w:r>
              <w:rPr>
                <w:rFonts w:ascii="仿宋_GB2312" w:eastAsia="仿宋_GB2312" w:hAnsi="宋体" w:cs="宋体" w:hint="eastAsia"/>
                <w:kern w:val="0"/>
                <w:sz w:val="20"/>
                <w:szCs w:val="20"/>
              </w:rPr>
              <w:t xml:space="preserve">100% </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该指标以</w:t>
            </w:r>
            <w:r>
              <w:rPr>
                <w:rFonts w:ascii="仿宋_GB2312" w:eastAsia="仿宋_GB2312" w:hAnsi="宋体" w:cs="宋体" w:hint="eastAsia"/>
                <w:kern w:val="0"/>
                <w:sz w:val="20"/>
                <w:szCs w:val="20"/>
              </w:rPr>
              <w:t>2022</w:t>
            </w:r>
            <w:r>
              <w:rPr>
                <w:rFonts w:ascii="仿宋_GB2312" w:eastAsia="仿宋_GB2312" w:hAnsi="宋体" w:cs="宋体" w:hint="eastAsia"/>
                <w:kern w:val="0"/>
                <w:sz w:val="20"/>
                <w:szCs w:val="20"/>
              </w:rPr>
              <w:t>年完工的新建楼堂馆所为评价内容。</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trHeight w:val="1562"/>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40</w:t>
            </w: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以下（含）计满分，每超出</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（实际支出公用经费总额</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预算安排公用经费总额）×</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公用经费支出是指部门基本支出中的一般商品</w:t>
            </w:r>
            <w:r>
              <w:rPr>
                <w:rFonts w:ascii="仿宋_GB2312" w:eastAsia="仿宋_GB2312" w:hAnsi="宋体" w:cs="宋体" w:hint="eastAsia"/>
                <w:kern w:val="0"/>
                <w:sz w:val="20"/>
                <w:szCs w:val="20"/>
              </w:rPr>
              <w:t>和服务支出。</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8</w:t>
            </w:r>
          </w:p>
        </w:tc>
      </w:tr>
      <w:tr w:rsidR="00000000">
        <w:trPr>
          <w:trHeight w:val="1073"/>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hint="eastAsia"/>
                <w:kern w:val="0"/>
                <w:sz w:val="20"/>
                <w:szCs w:val="20"/>
              </w:rPr>
            </w:pPr>
            <w:r>
              <w:rPr>
                <w:rFonts w:ascii="仿宋_GB2312" w:eastAsia="仿宋_GB2312" w:hAnsi="宋体" w:cs="宋体" w:hint="eastAsia"/>
                <w:kern w:val="0"/>
                <w:sz w:val="20"/>
                <w:szCs w:val="20"/>
              </w:rPr>
              <w:t>7</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以下（含）计满分，每超出</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（“三公经费”实际支出数</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“三公经费”预算安排数）×</w:t>
            </w: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7</w:t>
            </w:r>
          </w:p>
        </w:tc>
      </w:tr>
      <w:tr w:rsidR="00000000">
        <w:trPr>
          <w:trHeight w:val="918"/>
          <w:jc w:val="center"/>
        </w:trPr>
        <w:tc>
          <w:tcPr>
            <w:tcW w:w="518" w:type="dxa"/>
            <w:vMerge/>
            <w:tcBorders>
              <w:top w:val="nil"/>
              <w:left w:val="single" w:sz="4" w:space="0" w:color="auto"/>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w:t>
            </w:r>
            <w:r>
              <w:rPr>
                <w:rFonts w:ascii="仿宋_GB2312" w:eastAsia="仿宋_GB2312" w:hAnsi="宋体" w:cs="宋体" w:hint="eastAsia"/>
                <w:kern w:val="0"/>
                <w:sz w:val="20"/>
                <w:szCs w:val="20"/>
              </w:rPr>
              <w:t>计满分，每超过（降低）</w:t>
            </w:r>
            <w:r>
              <w:rPr>
                <w:rFonts w:ascii="仿宋_GB2312" w:eastAsia="仿宋_GB2312" w:hAnsi="宋体" w:cs="宋体" w:hint="eastAsia"/>
                <w:kern w:val="0"/>
                <w:sz w:val="20"/>
                <w:szCs w:val="20"/>
              </w:rPr>
              <w:t>5%</w:t>
            </w:r>
            <w:r>
              <w:rPr>
                <w:rFonts w:ascii="仿宋_GB2312" w:eastAsia="仿宋_GB2312" w:hAnsi="宋体" w:cs="宋体" w:hint="eastAsia"/>
                <w:kern w:val="0"/>
                <w:sz w:val="20"/>
                <w:szCs w:val="20"/>
              </w:rPr>
              <w:t>扣</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（实际政府采购金额</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政府采购预算数）×</w:t>
            </w:r>
            <w:r>
              <w:rPr>
                <w:rFonts w:ascii="仿宋_GB2312" w:eastAsia="仿宋_GB2312" w:hAnsi="宋体" w:cs="宋体" w:hint="eastAsia"/>
                <w:kern w:val="0"/>
                <w:sz w:val="20"/>
                <w:szCs w:val="20"/>
              </w:rPr>
              <w:t>100%</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6</w:t>
            </w:r>
          </w:p>
        </w:tc>
      </w:tr>
      <w:tr w:rsidR="00000000">
        <w:trPr>
          <w:jc w:val="center"/>
        </w:trPr>
        <w:tc>
          <w:tcPr>
            <w:tcW w:w="518" w:type="dxa"/>
            <w:vMerge w:val="restart"/>
            <w:tcBorders>
              <w:top w:val="single" w:sz="4" w:space="0" w:color="auto"/>
              <w:left w:val="single" w:sz="4" w:space="0" w:color="auto"/>
              <w:bottom w:val="single" w:sz="4" w:space="0" w:color="000000"/>
              <w:right w:val="single" w:sz="4" w:space="0" w:color="auto"/>
            </w:tcBorders>
            <w:vAlign w:val="center"/>
          </w:tcPr>
          <w:p w:rsidR="00000000" w:rsidRDefault="0002656D">
            <w:pPr>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过</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程</w:t>
            </w:r>
          </w:p>
        </w:tc>
        <w:tc>
          <w:tcPr>
            <w:tcW w:w="470" w:type="dxa"/>
            <w:vMerge w:val="restart"/>
            <w:tcBorders>
              <w:top w:val="single" w:sz="4" w:space="0" w:color="auto"/>
              <w:left w:val="single" w:sz="4" w:space="0" w:color="auto"/>
              <w:bottom w:val="single" w:sz="4" w:space="0" w:color="000000"/>
              <w:right w:val="single" w:sz="4" w:space="0" w:color="auto"/>
            </w:tcBorders>
            <w:vAlign w:val="center"/>
          </w:tcPr>
          <w:p w:rsidR="00000000" w:rsidRDefault="0002656D">
            <w:pPr>
              <w:spacing w:line="300" w:lineRule="exact"/>
              <w:jc w:val="left"/>
              <w:rPr>
                <w:rFonts w:ascii="仿宋_GB2312" w:eastAsia="仿宋_GB2312" w:hAnsi="宋体" w:cs="宋体" w:hint="eastAsia"/>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管理制度健全性</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①有内部财务管理制度、会计核算制度等管理制度，</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②有本部门厉行节约制度</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③相关管理制度合法、合规、完整，</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分；④相关管理制度得到有效执行，</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8</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资金使用合规性</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①支出符合国家财经法规和财务管理制度规定以及有关专项资金管理办法的规定；②资金拨付有完整的审批程序和手续；③项目支出按规定经过评估论证；④支出符合部门预算批复的用</w:t>
            </w:r>
            <w:r>
              <w:rPr>
                <w:rFonts w:ascii="仿宋_GB2312" w:eastAsia="仿宋_GB2312" w:hAnsi="宋体" w:cs="宋体" w:hint="eastAsia"/>
                <w:kern w:val="0"/>
                <w:sz w:val="20"/>
                <w:szCs w:val="20"/>
              </w:rPr>
              <w:t>途；⑤资金使用无截留、挤占、挪用、虚列支出等情况。</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以上情况每出现一例不符合要求的扣</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分，扣完为止。</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6</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预决算信息公开性</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①按规定内容公开预决算信息，</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分；②按规定时限公开预决算信息，</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分；③基础数据信息和会计信息资料真实，</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分；④基础数据信息和会计信息资料完整，</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分；⑤基础数据信息和汇集信息资料准确，</w:t>
            </w:r>
            <w:r>
              <w:rPr>
                <w:rFonts w:ascii="仿宋_GB2312" w:eastAsia="仿宋_GB2312" w:hAnsi="宋体" w:cs="宋体" w:hint="eastAsia"/>
                <w:kern w:val="0"/>
                <w:sz w:val="20"/>
                <w:szCs w:val="20"/>
              </w:rPr>
              <w:t>1</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t xml:space="preserve">  </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预决算信息是指与部门预算、执行、决算、监督、绩效等管理相关的信息。</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jc w:val="center"/>
        </w:trPr>
        <w:tc>
          <w:tcPr>
            <w:tcW w:w="518"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产出及效率</w:t>
            </w:r>
          </w:p>
        </w:tc>
        <w:tc>
          <w:tcPr>
            <w:tcW w:w="470"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w:t>
            </w:r>
          </w:p>
        </w:tc>
        <w:tc>
          <w:tcPr>
            <w:tcW w:w="623"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职责履行</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1015" w:type="dxa"/>
            <w:tcBorders>
              <w:top w:val="nil"/>
              <w:left w:val="nil"/>
              <w:bottom w:val="nil"/>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重点工作实际完成率</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根据绩效办</w:t>
            </w:r>
            <w:r>
              <w:rPr>
                <w:rFonts w:ascii="仿宋_GB2312" w:eastAsia="仿宋_GB2312" w:hAnsi="宋体" w:cs="宋体" w:hint="eastAsia"/>
                <w:kern w:val="0"/>
                <w:sz w:val="20"/>
                <w:szCs w:val="20"/>
              </w:rPr>
              <w:t>202</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年对各部门为民办实事和部门重</w:t>
            </w:r>
            <w:r>
              <w:rPr>
                <w:rFonts w:ascii="仿宋_GB2312" w:eastAsia="仿宋_GB2312" w:hAnsi="宋体" w:cs="宋体" w:hint="eastAsia"/>
                <w:kern w:val="0"/>
                <w:sz w:val="20"/>
                <w:szCs w:val="20"/>
              </w:rPr>
              <w:t>点工程与重点工作考核分数折算。</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该项得分</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（绩效办对应部分考核得分</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该部分总分）</w:t>
            </w:r>
            <w:r>
              <w:rPr>
                <w:rFonts w:ascii="仿宋_GB2312" w:eastAsia="仿宋_GB2312" w:hAnsi="宋体" w:cs="宋体" w:hint="eastAsia"/>
                <w:kern w:val="0"/>
                <w:sz w:val="20"/>
                <w:szCs w:val="20"/>
              </w:rPr>
              <w:t>*8</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7</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履职</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效益</w:t>
            </w:r>
          </w:p>
        </w:tc>
        <w:tc>
          <w:tcPr>
            <w:tcW w:w="416"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1015"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经济效益</w:t>
            </w:r>
          </w:p>
        </w:tc>
        <w:tc>
          <w:tcPr>
            <w:tcW w:w="416" w:type="dxa"/>
            <w:vMerge w:val="restart"/>
            <w:tcBorders>
              <w:top w:val="nil"/>
              <w:left w:val="single" w:sz="4" w:space="0" w:color="auto"/>
              <w:bottom w:val="nil"/>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6505" w:type="dxa"/>
            <w:gridSpan w:val="2"/>
            <w:vMerge w:val="restart"/>
            <w:tcBorders>
              <w:top w:val="single" w:sz="4" w:space="0" w:color="auto"/>
              <w:left w:val="single" w:sz="4" w:space="0" w:color="auto"/>
              <w:bottom w:val="nil"/>
              <w:right w:val="single" w:sz="4" w:space="0" w:color="000000"/>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此两项指标为设置部门整体支出绩效评价指标时必须考虑的共性要素，可根据部门实际情况有选择的进行设置，并将其细化为相应的个性化指标。</w:t>
            </w:r>
          </w:p>
        </w:tc>
        <w:tc>
          <w:tcPr>
            <w:tcW w:w="637" w:type="dxa"/>
            <w:tcBorders>
              <w:top w:val="nil"/>
              <w:left w:val="nil"/>
              <w:bottom w:val="nil"/>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社会效益</w:t>
            </w:r>
          </w:p>
        </w:tc>
        <w:tc>
          <w:tcPr>
            <w:tcW w:w="416" w:type="dxa"/>
            <w:vMerge/>
            <w:tcBorders>
              <w:top w:val="nil"/>
              <w:left w:val="single" w:sz="4" w:space="0" w:color="auto"/>
              <w:bottom w:val="nil"/>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505" w:type="dxa"/>
            <w:gridSpan w:val="2"/>
            <w:vMerge/>
            <w:tcBorders>
              <w:top w:val="single" w:sz="4" w:space="0" w:color="auto"/>
              <w:left w:val="single" w:sz="4" w:space="0" w:color="auto"/>
              <w:bottom w:val="nil"/>
              <w:right w:val="single" w:sz="4" w:space="0" w:color="000000"/>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37" w:type="dxa"/>
            <w:tcBorders>
              <w:top w:val="nil"/>
              <w:left w:val="nil"/>
              <w:bottom w:val="nil"/>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10</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val="restart"/>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w:t>
            </w: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行政效能</w:t>
            </w:r>
          </w:p>
        </w:tc>
        <w:tc>
          <w:tcPr>
            <w:tcW w:w="4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促进部门改进文风会风，加强经费及资产管理，推动网上办事，提高行政效率，降低行政成本效果较好的计</w:t>
            </w:r>
            <w:r>
              <w:rPr>
                <w:rFonts w:ascii="仿宋_GB2312" w:eastAsia="仿宋_GB2312" w:hAnsi="宋体" w:cs="宋体" w:hint="eastAsia"/>
                <w:kern w:val="0"/>
                <w:sz w:val="20"/>
                <w:szCs w:val="20"/>
              </w:rPr>
              <w:t>6</w:t>
            </w:r>
            <w:r>
              <w:rPr>
                <w:rFonts w:ascii="仿宋_GB2312" w:eastAsia="仿宋_GB2312" w:hAnsi="宋体" w:cs="宋体" w:hint="eastAsia"/>
                <w:kern w:val="0"/>
                <w:sz w:val="20"/>
                <w:szCs w:val="20"/>
              </w:rPr>
              <w:t>分；一般</w:t>
            </w:r>
            <w:r>
              <w:rPr>
                <w:rFonts w:ascii="仿宋_GB2312" w:eastAsia="仿宋_GB2312" w:hAnsi="宋体" w:cs="宋体" w:hint="eastAsia"/>
                <w:kern w:val="0"/>
                <w:sz w:val="20"/>
                <w:szCs w:val="20"/>
              </w:rPr>
              <w:t>3</w:t>
            </w:r>
            <w:r>
              <w:rPr>
                <w:rFonts w:ascii="仿宋_GB2312" w:eastAsia="仿宋_GB2312" w:hAnsi="宋体" w:cs="宋体" w:hint="eastAsia"/>
                <w:kern w:val="0"/>
                <w:sz w:val="20"/>
                <w:szCs w:val="20"/>
              </w:rPr>
              <w:t>分；无效果或者效果不明显</w:t>
            </w:r>
            <w:r>
              <w:rPr>
                <w:rFonts w:ascii="仿宋_GB2312" w:eastAsia="仿宋_GB2312" w:hAnsi="宋体" w:cs="宋体" w:hint="eastAsia"/>
                <w:kern w:val="0"/>
                <w:sz w:val="20"/>
                <w:szCs w:val="20"/>
              </w:rPr>
              <w:t>0</w:t>
            </w:r>
            <w:r>
              <w:rPr>
                <w:rFonts w:ascii="仿宋_GB2312" w:eastAsia="仿宋_GB2312" w:hAnsi="宋体" w:cs="宋体" w:hint="eastAsia"/>
                <w:kern w:val="0"/>
                <w:sz w:val="20"/>
                <w:szCs w:val="20"/>
              </w:rPr>
              <w:t>分。</w:t>
            </w:r>
          </w:p>
        </w:tc>
        <w:tc>
          <w:tcPr>
            <w:tcW w:w="3489"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根据部门自评材料评定。</w:t>
            </w:r>
          </w:p>
        </w:tc>
        <w:tc>
          <w:tcPr>
            <w:tcW w:w="637" w:type="dxa"/>
            <w:tcBorders>
              <w:top w:val="single" w:sz="4" w:space="0" w:color="auto"/>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r w:rsidR="00000000">
        <w:trPr>
          <w:jc w:val="center"/>
        </w:trPr>
        <w:tc>
          <w:tcPr>
            <w:tcW w:w="518"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w:t>
            </w:r>
            <w:r>
              <w:rPr>
                <w:rFonts w:ascii="仿宋_GB2312" w:eastAsia="仿宋_GB2312" w:hAnsi="宋体" w:cs="宋体" w:hint="eastAsia"/>
                <w:kern w:val="0"/>
                <w:sz w:val="20"/>
                <w:szCs w:val="20"/>
              </w:rPr>
              <w:t>务对象满意度</w:t>
            </w:r>
          </w:p>
        </w:tc>
        <w:tc>
          <w:tcPr>
            <w:tcW w:w="416" w:type="dxa"/>
            <w:tcBorders>
              <w:top w:val="nil"/>
              <w:left w:val="nil"/>
              <w:bottom w:val="single" w:sz="4" w:space="0" w:color="auto"/>
              <w:right w:val="single" w:sz="4" w:space="0" w:color="auto"/>
            </w:tcBorders>
            <w:vAlign w:val="center"/>
          </w:tcPr>
          <w:p w:rsidR="00000000" w:rsidRDefault="0002656D">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90%</w:t>
            </w:r>
            <w:r>
              <w:rPr>
                <w:rFonts w:ascii="仿宋_GB2312" w:eastAsia="仿宋_GB2312" w:hAnsi="宋体" w:cs="宋体" w:hint="eastAsia"/>
                <w:kern w:val="0"/>
                <w:sz w:val="20"/>
                <w:szCs w:val="20"/>
              </w:rPr>
              <w:t>（含）以上计</w:t>
            </w:r>
            <w:r>
              <w:rPr>
                <w:rFonts w:ascii="仿宋_GB2312" w:eastAsia="仿宋_GB2312" w:hAnsi="宋体" w:cs="宋体" w:hint="eastAsia"/>
                <w:kern w:val="0"/>
                <w:sz w:val="20"/>
                <w:szCs w:val="20"/>
              </w:rPr>
              <w:t>6</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80%</w:t>
            </w:r>
            <w:r>
              <w:rPr>
                <w:rFonts w:ascii="仿宋_GB2312" w:eastAsia="仿宋_GB2312" w:hAnsi="宋体" w:cs="宋体" w:hint="eastAsia"/>
                <w:kern w:val="0"/>
                <w:sz w:val="20"/>
                <w:szCs w:val="20"/>
              </w:rPr>
              <w:t>（含）</w:t>
            </w:r>
            <w:r>
              <w:rPr>
                <w:rFonts w:ascii="仿宋_GB2312" w:eastAsia="仿宋_GB2312" w:hAnsi="宋体" w:cs="宋体" w:hint="eastAsia"/>
                <w:kern w:val="0"/>
                <w:sz w:val="20"/>
                <w:szCs w:val="20"/>
              </w:rPr>
              <w:t>-90%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4</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70%</w:t>
            </w:r>
            <w:r>
              <w:rPr>
                <w:rFonts w:ascii="仿宋_GB2312" w:eastAsia="仿宋_GB2312" w:hAnsi="宋体" w:cs="宋体" w:hint="eastAsia"/>
                <w:kern w:val="0"/>
                <w:sz w:val="20"/>
                <w:szCs w:val="20"/>
              </w:rPr>
              <w:t>（含）</w:t>
            </w:r>
            <w:r>
              <w:rPr>
                <w:rFonts w:ascii="仿宋_GB2312" w:eastAsia="仿宋_GB2312" w:hAnsi="宋体" w:cs="宋体" w:hint="eastAsia"/>
                <w:kern w:val="0"/>
                <w:sz w:val="20"/>
                <w:szCs w:val="20"/>
              </w:rPr>
              <w:t>-80%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2</w:t>
            </w:r>
            <w:r>
              <w:rPr>
                <w:rFonts w:ascii="仿宋_GB2312" w:eastAsia="仿宋_GB2312" w:hAnsi="宋体" w:cs="宋体" w:hint="eastAsia"/>
                <w:kern w:val="0"/>
                <w:sz w:val="20"/>
                <w:szCs w:val="20"/>
              </w:rPr>
              <w:t>分；</w:t>
            </w:r>
            <w:r>
              <w:rPr>
                <w:rFonts w:ascii="仿宋_GB2312" w:eastAsia="仿宋_GB2312" w:hAnsi="宋体" w:cs="宋体" w:hint="eastAsia"/>
                <w:kern w:val="0"/>
                <w:sz w:val="20"/>
                <w:szCs w:val="20"/>
              </w:rPr>
              <w:br/>
            </w:r>
            <w:r>
              <w:rPr>
                <w:rFonts w:ascii="仿宋_GB2312" w:eastAsia="仿宋_GB2312" w:hAnsi="宋体" w:cs="宋体" w:hint="eastAsia"/>
                <w:kern w:val="0"/>
                <w:sz w:val="20"/>
                <w:szCs w:val="20"/>
              </w:rPr>
              <w:t>低于</w:t>
            </w:r>
            <w:r>
              <w:rPr>
                <w:rFonts w:ascii="仿宋_GB2312" w:eastAsia="仿宋_GB2312" w:hAnsi="宋体" w:cs="宋体" w:hint="eastAsia"/>
                <w:kern w:val="0"/>
                <w:sz w:val="20"/>
                <w:szCs w:val="20"/>
              </w:rPr>
              <w:t>70%</w:t>
            </w:r>
            <w:r>
              <w:rPr>
                <w:rFonts w:ascii="仿宋_GB2312" w:eastAsia="仿宋_GB2312" w:hAnsi="宋体" w:cs="宋体" w:hint="eastAsia"/>
                <w:kern w:val="0"/>
                <w:sz w:val="20"/>
                <w:szCs w:val="20"/>
              </w:rPr>
              <w:t>计</w:t>
            </w:r>
            <w:r>
              <w:rPr>
                <w:rFonts w:ascii="仿宋_GB2312" w:eastAsia="仿宋_GB2312" w:hAnsi="宋体" w:cs="宋体" w:hint="eastAsia"/>
                <w:kern w:val="0"/>
                <w:sz w:val="20"/>
                <w:szCs w:val="20"/>
              </w:rPr>
              <w:t>0</w:t>
            </w:r>
            <w:r>
              <w:rPr>
                <w:rFonts w:ascii="仿宋_GB2312" w:eastAsia="仿宋_GB2312" w:hAnsi="宋体" w:cs="宋体" w:hint="eastAsia"/>
                <w:kern w:val="0"/>
                <w:sz w:val="20"/>
                <w:szCs w:val="20"/>
              </w:rPr>
              <w:t>分。</w:t>
            </w:r>
          </w:p>
        </w:tc>
        <w:tc>
          <w:tcPr>
            <w:tcW w:w="3489"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社会公众或服务对象是指部门（单位）履行职责而影响到的部门、群体或个人，一般采取社会调查的方式。</w:t>
            </w:r>
          </w:p>
        </w:tc>
        <w:tc>
          <w:tcPr>
            <w:tcW w:w="637" w:type="dxa"/>
            <w:tcBorders>
              <w:top w:val="nil"/>
              <w:left w:val="nil"/>
              <w:bottom w:val="single" w:sz="4" w:space="0" w:color="auto"/>
              <w:right w:val="single" w:sz="4" w:space="0" w:color="auto"/>
            </w:tcBorders>
            <w:vAlign w:val="center"/>
          </w:tcPr>
          <w:p w:rsidR="00000000" w:rsidRDefault="0002656D">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77E77">
              <w:rPr>
                <w:rFonts w:ascii="宋体" w:hAnsi="宋体" w:cs="宋体" w:hint="eastAsia"/>
                <w:kern w:val="0"/>
                <w:sz w:val="24"/>
              </w:rPr>
              <w:t>5</w:t>
            </w:r>
          </w:p>
        </w:tc>
      </w:tr>
    </w:tbl>
    <w:p w:rsidR="0002656D" w:rsidRDefault="0002656D"/>
    <w:sectPr w:rsidR="0002656D">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4D09"/>
    <w:rsid w:val="0002656D"/>
    <w:rsid w:val="00221F52"/>
    <w:rsid w:val="003D4D09"/>
    <w:rsid w:val="00462EAA"/>
    <w:rsid w:val="00877E77"/>
    <w:rsid w:val="00A630C6"/>
    <w:rsid w:val="00B37C0C"/>
    <w:rsid w:val="015C30E4"/>
    <w:rsid w:val="037602D9"/>
    <w:rsid w:val="050052DC"/>
    <w:rsid w:val="0B0C7351"/>
    <w:rsid w:val="0DC82F19"/>
    <w:rsid w:val="1225050C"/>
    <w:rsid w:val="12964755"/>
    <w:rsid w:val="1C1F1B01"/>
    <w:rsid w:val="1D76390A"/>
    <w:rsid w:val="268B5036"/>
    <w:rsid w:val="283668FE"/>
    <w:rsid w:val="2D233644"/>
    <w:rsid w:val="2DA16577"/>
    <w:rsid w:val="324441EF"/>
    <w:rsid w:val="36372611"/>
    <w:rsid w:val="38F446EE"/>
    <w:rsid w:val="3F89788D"/>
    <w:rsid w:val="3FD21215"/>
    <w:rsid w:val="47287BC0"/>
    <w:rsid w:val="476B089A"/>
    <w:rsid w:val="48025BD5"/>
    <w:rsid w:val="4B300953"/>
    <w:rsid w:val="5705789A"/>
    <w:rsid w:val="5801470F"/>
    <w:rsid w:val="5ADE0D21"/>
    <w:rsid w:val="5ECB3A37"/>
    <w:rsid w:val="5FDA2B19"/>
    <w:rsid w:val="6EED2EF8"/>
    <w:rsid w:val="7626121E"/>
    <w:rsid w:val="78D37312"/>
    <w:rsid w:val="7C796258"/>
    <w:rsid w:val="7ECD37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325</Words>
  <Characters>1856</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Administrator</dc:creator>
  <cp:lastModifiedBy>Administrator</cp:lastModifiedBy>
  <cp:revision>2</cp:revision>
  <dcterms:created xsi:type="dcterms:W3CDTF">2023-10-10T06:39:00Z</dcterms:created>
  <dcterms:modified xsi:type="dcterms:W3CDTF">2023-10-10T06:39:00Z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5D16AD0A41A545828CDDEB8D1A4A1CDE</vt:lpwstr>
  </property>
</Properties>
</file>