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宋体" w:eastAsia="黑体" w:cs="宋体"/>
          <w:kern w:val="0"/>
          <w:sz w:val="32"/>
          <w:szCs w:val="32"/>
        </w:rPr>
      </w:pPr>
      <w:r>
        <w:rPr>
          <w:rFonts w:hint="eastAsia" w:ascii="黑体" w:hAnsi="宋体" w:eastAsia="黑体" w:cs="宋体"/>
          <w:kern w:val="0"/>
          <w:sz w:val="32"/>
          <w:szCs w:val="32"/>
        </w:rPr>
        <w:t>附件</w:t>
      </w:r>
      <w:r>
        <w:rPr>
          <w:rFonts w:hint="eastAsia" w:ascii="黑体" w:hAnsi="宋体" w:eastAsia="黑体" w:cs="宋体"/>
          <w:kern w:val="0"/>
          <w:sz w:val="32"/>
          <w:szCs w:val="32"/>
          <w:lang w:val="en-US" w:eastAsia="zh-CN"/>
        </w:rPr>
        <w:t>5</w:t>
      </w:r>
    </w:p>
    <w:p>
      <w:pPr>
        <w:widowControl/>
        <w:ind w:left="93"/>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专项资金绩效评价共性指标表</w:t>
      </w:r>
    </w:p>
    <w:tbl>
      <w:tblPr>
        <w:tblStyle w:val="5"/>
        <w:tblW w:w="9489" w:type="dxa"/>
        <w:tblInd w:w="0" w:type="dxa"/>
        <w:tblLayout w:type="fixed"/>
        <w:tblCellMar>
          <w:top w:w="0" w:type="dxa"/>
          <w:left w:w="108" w:type="dxa"/>
          <w:bottom w:w="0" w:type="dxa"/>
          <w:right w:w="108" w:type="dxa"/>
        </w:tblCellMar>
      </w:tblPr>
      <w:tblGrid>
        <w:gridCol w:w="385"/>
        <w:gridCol w:w="364"/>
        <w:gridCol w:w="855"/>
        <w:gridCol w:w="416"/>
        <w:gridCol w:w="2316"/>
        <w:gridCol w:w="4680"/>
        <w:gridCol w:w="473"/>
      </w:tblGrid>
      <w:tr>
        <w:tblPrEx>
          <w:tblCellMar>
            <w:top w:w="0" w:type="dxa"/>
            <w:left w:w="108" w:type="dxa"/>
            <w:bottom w:w="0" w:type="dxa"/>
            <w:right w:w="108" w:type="dxa"/>
          </w:tblCellMar>
        </w:tblPrEx>
        <w:trPr>
          <w:tblHeader/>
        </w:trPr>
        <w:tc>
          <w:tcPr>
            <w:tcW w:w="385" w:type="dxa"/>
            <w:tcBorders>
              <w:top w:val="single" w:color="auto" w:sz="4" w:space="0"/>
              <w:left w:val="single" w:color="auto" w:sz="4" w:space="0"/>
              <w:bottom w:val="nil"/>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一级</w:t>
            </w:r>
          </w:p>
        </w:tc>
        <w:tc>
          <w:tcPr>
            <w:tcW w:w="364" w:type="dxa"/>
            <w:tcBorders>
              <w:top w:val="single" w:color="auto" w:sz="4" w:space="0"/>
              <w:left w:val="nil"/>
              <w:bottom w:val="nil"/>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二级</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三级指标</w:t>
            </w:r>
          </w:p>
        </w:tc>
        <w:tc>
          <w:tcPr>
            <w:tcW w:w="416"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分值</w:t>
            </w:r>
          </w:p>
        </w:tc>
        <w:tc>
          <w:tcPr>
            <w:tcW w:w="231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指标解释</w:t>
            </w:r>
          </w:p>
        </w:tc>
        <w:tc>
          <w:tcPr>
            <w:tcW w:w="468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指标说明</w:t>
            </w:r>
          </w:p>
        </w:tc>
        <w:tc>
          <w:tcPr>
            <w:tcW w:w="47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得分</w:t>
            </w:r>
          </w:p>
        </w:tc>
      </w:tr>
      <w:tr>
        <w:tblPrEx>
          <w:tblCellMar>
            <w:top w:w="0" w:type="dxa"/>
            <w:left w:w="108" w:type="dxa"/>
            <w:bottom w:w="0" w:type="dxa"/>
            <w:right w:w="108" w:type="dxa"/>
          </w:tblCellMar>
        </w:tblPrEx>
        <w:trPr>
          <w:tblHeader/>
        </w:trPr>
        <w:tc>
          <w:tcPr>
            <w:tcW w:w="3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w:t>
            </w:r>
          </w:p>
        </w:tc>
        <w:tc>
          <w:tcPr>
            <w:tcW w:w="364"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w:t>
            </w:r>
          </w:p>
        </w:tc>
        <w:tc>
          <w:tcPr>
            <w:tcW w:w="855"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231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6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73"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投入</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项目立项</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项目立项规范性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项目的申请、设立过程是否符合相关要求，用以反映和考核项目立项的规范情况。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①项目是否按照规定的程序申请设立；</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②所提交的文件、材料是否符合相关要求；</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③事前是否已经过必要的可行性研究、专家论证、风险评估、集体决策等。</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绩效目标合理性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项目所设定的绩效目标是否依椐充分，是否符合客观实际，用以反映和考核项目绩效目标与项目实施的相符情况。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①是否符合国家相关法律法规，国民经济发展规划和党委政府决策；</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4</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②是否与项目实施单位或委托单位职责密切相关；</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③项目是否为促进事业发展所必需；</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④项目顸期产出效益和效果是否符合正常的业绩水平。</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绩效指标明确性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依椐绩效目标设定的绩效指标是否清晰、细化、可衡量等，用以反映和考核项目绩效目标的明细化情况。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①是否将项目绩效目标细化分解为具体的绩效指标；</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4</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②是否通过清晰、可衡量的指标值予以体现；</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③是否与项目年度任务教或计划数相对应；</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④是否与预期确定的项目投资</w:t>
            </w:r>
            <w:r>
              <w:rPr>
                <w:rFonts w:hint="eastAsia" w:ascii="宋体" w:hAnsi="宋体" w:cs="宋体"/>
                <w:color w:val="000000"/>
                <w:kern w:val="0"/>
                <w:sz w:val="20"/>
                <w:szCs w:val="20"/>
              </w:rPr>
              <w:t>额</w:t>
            </w:r>
            <w:r>
              <w:rPr>
                <w:rFonts w:hint="eastAsia" w:ascii="仿宋_GB2312" w:hAnsi="仿宋_GB2312" w:eastAsia="仿宋_GB2312" w:cs="仿宋_GB2312"/>
                <w:color w:val="000000"/>
                <w:kern w:val="0"/>
                <w:sz w:val="20"/>
                <w:szCs w:val="20"/>
              </w:rPr>
              <w:t>或资金量相匹配。</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资金落实</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资金到位率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实际到位资金与计划投入资金的比率，用以反映和考核资金落实情况对项目实施的总体保障程度。</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资金到位率</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（实际到位资金</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计划投入资金）×</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实际到位资金：一定时期（本年度或项目期）内实际落实到具体项目的资金。</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计划投入资金：一定时期（本年度或项目期）内计划投入到具体项目的资金。</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到位及时率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及时到位资金与应到位资金的比率，用以反映和考核项目资金落实的及时性程度。</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到位及时率＝（及时到位资金</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应到位资金）×</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及时到位资金：截至规定时点实际落实到具体项目的资金。</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w:t>
            </w:r>
          </w:p>
        </w:tc>
      </w:tr>
      <w:tr>
        <w:tblPrEx>
          <w:tblCellMar>
            <w:top w:w="0" w:type="dxa"/>
            <w:left w:w="108" w:type="dxa"/>
            <w:bottom w:w="0" w:type="dxa"/>
            <w:right w:w="108" w:type="dxa"/>
          </w:tblCellMar>
        </w:tblPrEx>
        <w:trPr>
          <w:trHeight w:val="764"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应到位资金：按照合同或项目进度要求截至规定时点应落实到具体项目的资金。</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过程</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业务管理</w:t>
            </w: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管理制度健全性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项目实施单位的业务管理制度是否健全，用以反映和考核业务管理制度对项目顺利实施的保障情况。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①是否已制定或具有相应的业务管理制度；</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836"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②业务管理制度是否合法、合规、完整。</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制度执行有效性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项目实施是否符合相关业务管理规定，用以反映和考核业务管理制度的有效执行</w:t>
            </w:r>
            <w:r>
              <w:rPr>
                <w:rFonts w:hint="eastAsia" w:ascii="仿宋_GB2312" w:hAnsi="宋体" w:eastAsia="仿宋_GB2312" w:cs="宋体"/>
                <w:color w:val="000000"/>
                <w:kern w:val="0"/>
                <w:sz w:val="20"/>
                <w:szCs w:val="20"/>
                <w:lang w:eastAsia="zh-CN"/>
              </w:rPr>
              <w:t>情况</w:t>
            </w:r>
            <w:r>
              <w:rPr>
                <w:rFonts w:hint="eastAsia" w:ascii="仿宋_GB2312" w:hAnsi="宋体" w:eastAsia="仿宋_GB2312" w:cs="宋体"/>
                <w:color w:val="000000"/>
                <w:kern w:val="0"/>
                <w:sz w:val="20"/>
                <w:szCs w:val="20"/>
              </w:rPr>
              <w:t>。</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①是否遵守相关法律法规和业务管理规定；</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②项目调整及支出调整手续是否完备；</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③项目合同书、验收报告、技术审定等资料是否齐全并及时归档</w:t>
            </w:r>
            <w:r>
              <w:rPr>
                <w:rFonts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945" w:hRule="atLeast"/>
        </w:trPr>
        <w:tc>
          <w:tcPr>
            <w:tcW w:w="3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④项目实施的人员条件、场地设备，信息支撑等是否落实到位。</w:t>
            </w:r>
          </w:p>
          <w:p>
            <w:pPr>
              <w:widowControl/>
              <w:spacing w:line="240" w:lineRule="exact"/>
              <w:rPr>
                <w:rFonts w:ascii="仿宋_GB2312" w:hAnsi="宋体" w:eastAsia="仿宋_GB2312" w:cs="宋体"/>
                <w:color w:val="000000"/>
                <w:kern w:val="0"/>
                <w:sz w:val="20"/>
                <w:szCs w:val="20"/>
              </w:rPr>
            </w:pP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过程</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业务管理</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项目质量可控性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项目实施单位是否为达到项目质量要求而采取了必需的措施，用以反映和考核项目实施单位对项目质量的控制情况。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①是否已制定或其有相应的项目质量要求或标准；</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②是否采取了相应的项目质量检查、验收等必需的控制措施或手段。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财务管理</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管理制度健全性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项目实施单位的财务制度是否健全，用以反映和考核财务管理制度对资金规范安全运行的保障情况。</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①是否已制定或具有相应的项目资金管理办法；</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②项目资金管理办法是否符合相关财务会计制度的规定。</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资金使用合规性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项目资金使用是否符合相关的财务管理制度规定，用以反映和考核项目资金的规范运行情况。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①是否符合国家财经法规和财务管理以及有关专项资金管理办法的规定；</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②资金的拨付是否有完整的审批程序和手续；</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③项目的重大开支是否经过评估认证；</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④是否符合项目预算批复或合同规定的用途；</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⑤是否存在截留、挤占、挪用、虚列支出等情况。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财务监控有效性</w:t>
            </w:r>
          </w:p>
        </w:tc>
        <w:tc>
          <w:tcPr>
            <w:tcW w:w="416" w:type="dxa"/>
            <w:vMerge w:val="restart"/>
            <w:tcBorders>
              <w:top w:val="nil"/>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项目实施单位是否为保障资金的安全、规范运行而采取了必要的监控措施，用以反映和考核项目实施单位对资金运行的控制情况。</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①是否已制定或具有相应的监控机制；</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②是否采取了相应的财务检查等必要的监控措施或手段。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产出</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项目产出</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项目实施的实际产出数与计划产出数的比率，用以反映和考核项目产出数量目标的实现程度。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实际完成率＝（实际产出数</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计划产出数）×</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实际产出数：一定时期（本年度或项目期）内项目实际产出的产品或提供的服务数。</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707"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计划产出数：项目绩效目标确定的在一定时期（本年度或项目期）内计划产出的产品或提供的服务数量。</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完成及时率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项目实际提前完成时间与计划完成时间的比率，用以反映和考核项目产出时效目标的实现程度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完成及时率</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计划完成时间</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实际完成时间）</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计划完成时间</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实际完成时间：项目实施单位完成该项目实际所耗用的时间。</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641"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计划完成时间：桉照项目实施计划或相关规定完成该项目所需的时间。</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项目完成的质量达标产出数与实际产出数的比率，用以反映和考核项目产出质量目标的实现程度。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质量达标率＝（质量达标产出数</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实际产出数）</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质量达标产出数：一定时期（本年度或项目期）内实际达到既定质量标准的产品或服务数量。</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878"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既定质量标准是指项目实施单位设立绩效目标时依据计划标准、行业标准、历史标准或其他标准而设定的绩效指标值。</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成本节约率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完成项目计划工作目标的实际节约成本与计划成本的比率，用以反映和考核项目的成本节约程度。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成本节约率＝</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计划成本</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实际成本</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计划成本×</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实际成本：项目实施单位如期、保质、保量完成既定工作目标实际所耗费的支出。</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765"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计划成本：项目实施单位为完成工作目标计划安排的支出，一般以项目预算为参考。</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效果</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项目效益</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经济效益</w:t>
            </w:r>
          </w:p>
        </w:tc>
        <w:tc>
          <w:tcPr>
            <w:tcW w:w="4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项目实施对经济发展所带来的直接或间接影响情况。</w:t>
            </w:r>
          </w:p>
        </w:tc>
        <w:tc>
          <w:tcPr>
            <w:tcW w:w="46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此四项指标为设置项目支出</w:t>
            </w:r>
            <w:r>
              <w:rPr>
                <w:rFonts w:hint="eastAsia" w:ascii="宋体" w:hAnsi="宋体" w:cs="宋体"/>
                <w:color w:val="000000"/>
                <w:kern w:val="0"/>
                <w:sz w:val="20"/>
                <w:szCs w:val="20"/>
              </w:rPr>
              <w:t>績</w:t>
            </w:r>
            <w:r>
              <w:rPr>
                <w:rFonts w:hint="eastAsia" w:ascii="仿宋_GB2312" w:hAnsi="仿宋_GB2312" w:eastAsia="仿宋_GB2312" w:cs="仿宋_GB2312"/>
                <w:color w:val="000000"/>
                <w:kern w:val="0"/>
                <w:sz w:val="20"/>
                <w:szCs w:val="20"/>
              </w:rPr>
              <w:t>效评价指标时必须考虑的共性要素，可根据项目实际并结合绩效目标设立情况有选择的</w:t>
            </w:r>
            <w:r>
              <w:rPr>
                <w:rFonts w:hint="eastAsia" w:ascii="宋体" w:hAnsi="宋体" w:cs="宋体"/>
                <w:color w:val="000000"/>
                <w:kern w:val="0"/>
                <w:sz w:val="20"/>
                <w:szCs w:val="20"/>
              </w:rPr>
              <w:t>进</w:t>
            </w:r>
            <w:r>
              <w:rPr>
                <w:rFonts w:hint="eastAsia" w:ascii="仿宋_GB2312" w:hAnsi="仿宋_GB2312" w:eastAsia="仿宋_GB2312" w:cs="仿宋_GB2312"/>
                <w:color w:val="000000"/>
                <w:kern w:val="0"/>
                <w:sz w:val="20"/>
                <w:szCs w:val="20"/>
              </w:rPr>
              <w:t>行设置，并将其细化为相应的个性化指标。</w:t>
            </w:r>
          </w:p>
        </w:tc>
        <w:tc>
          <w:tcPr>
            <w:tcW w:w="473" w:type="dxa"/>
            <w:tcBorders>
              <w:top w:val="nil"/>
              <w:left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社会效益</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项目实施对社会发展所带来的直接或间接影响情况。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生态效益</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项目实施对生态环境所带来的直接或间接影响情况。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可持续影响</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项目后续运行及成效发挥的可持续影响情况。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社会公众或服务对象满意度</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社会公众或服务对象对项目实施效策的满意程度</w:t>
            </w: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社会公众或服务对象是指因该项目实施而受到影响的部门</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单位</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、群体或个人。一般采取社会调查的方式。</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bl>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955"/>
        <w:gridCol w:w="1079"/>
        <w:gridCol w:w="1501"/>
        <w:gridCol w:w="1393"/>
        <w:gridCol w:w="1276"/>
        <w:gridCol w:w="1207"/>
        <w:gridCol w:w="1880"/>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28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遗属提标经费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257"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28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087"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803"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1.68</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1.68</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803"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维护社会稳定，落实遗属生活保障</w:t>
            </w:r>
            <w:r>
              <w:rPr>
                <w:rFonts w:hint="eastAsia" w:ascii="仿宋" w:hAnsi="仿宋" w:eastAsia="仿宋" w:cs="仿宋"/>
                <w:color w:val="000000"/>
                <w:kern w:val="0"/>
                <w:sz w:val="18"/>
                <w:szCs w:val="18"/>
              </w:rPr>
              <w:t>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维护社会稳定，落实遗属生活保障</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95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10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9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8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501"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发放人数</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3人</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3人</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sz w:val="18"/>
                <w:szCs w:val="18"/>
                <w:lang w:val="en-US" w:eastAsia="zh-CN"/>
              </w:rPr>
              <w:t>遗属提标发放</w:t>
            </w:r>
            <w:r>
              <w:rPr>
                <w:rFonts w:hint="eastAsia" w:ascii="仿宋" w:hAnsi="仿宋" w:eastAsia="仿宋" w:cs="仿宋"/>
                <w:i w:val="0"/>
                <w:iCs w:val="0"/>
                <w:color w:val="000000"/>
                <w:kern w:val="0"/>
                <w:sz w:val="18"/>
                <w:szCs w:val="18"/>
                <w:u w:val="none"/>
                <w:lang w:val="en-US" w:eastAsia="zh-CN" w:bidi="ar"/>
              </w:rPr>
              <w:t>率</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sz w:val="18"/>
                <w:szCs w:val="18"/>
                <w:lang w:val="en-US" w:eastAsia="zh-CN"/>
              </w:rPr>
              <w:t>遗属提标发放</w:t>
            </w:r>
            <w:r>
              <w:rPr>
                <w:rFonts w:hint="eastAsia" w:ascii="仿宋" w:hAnsi="仿宋" w:eastAsia="仿宋" w:cs="仿宋"/>
                <w:i w:val="0"/>
                <w:iCs w:val="0"/>
                <w:color w:val="000000"/>
                <w:kern w:val="0"/>
                <w:sz w:val="18"/>
                <w:szCs w:val="18"/>
                <w:u w:val="none"/>
                <w:lang w:val="en-US" w:eastAsia="zh-CN" w:bidi="ar"/>
              </w:rPr>
              <w:t>的及时性</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遗属提标经费</w:t>
            </w:r>
            <w:r>
              <w:rPr>
                <w:rFonts w:hint="eastAsia" w:ascii="仿宋" w:hAnsi="仿宋" w:eastAsia="仿宋" w:cs="仿宋"/>
                <w:i w:val="0"/>
                <w:iCs w:val="0"/>
                <w:color w:val="000000"/>
                <w:kern w:val="0"/>
                <w:sz w:val="18"/>
                <w:szCs w:val="18"/>
                <w:u w:val="none"/>
                <w:lang w:val="en-US" w:eastAsia="zh-CN" w:bidi="ar"/>
              </w:rPr>
              <w:t>成本</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1.68万元</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1.68万元</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833"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经济效益指标</w:t>
            </w: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zh-CN"/>
              </w:rPr>
              <w:t>提升财政资金使用效益</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95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社会稳定</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社会稳定</w:t>
            </w:r>
          </w:p>
        </w:tc>
        <w:tc>
          <w:tcPr>
            <w:tcW w:w="139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1090"/>
        <w:gridCol w:w="1551"/>
        <w:gridCol w:w="1612"/>
        <w:gridCol w:w="1276"/>
        <w:gridCol w:w="1207"/>
        <w:gridCol w:w="1880"/>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53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专项资金名称</w:t>
            </w:r>
          </w:p>
        </w:tc>
        <w:tc>
          <w:tcPr>
            <w:tcW w:w="316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sz w:val="16"/>
                <w:szCs w:val="16"/>
                <w:lang w:val="en-US" w:eastAsia="zh-CN"/>
              </w:rPr>
              <w:t>项目前期经费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负责人</w:t>
            </w:r>
          </w:p>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及电话</w:t>
            </w:r>
          </w:p>
        </w:tc>
        <w:tc>
          <w:tcPr>
            <w:tcW w:w="3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杨曜徽</w:t>
            </w:r>
            <w:r>
              <w:rPr>
                <w:rFonts w:hint="eastAsia" w:ascii="仿宋" w:hAnsi="仿宋" w:eastAsia="仿宋" w:cs="仿宋"/>
                <w:color w:val="000000"/>
                <w:kern w:val="0"/>
                <w:sz w:val="16"/>
                <w:szCs w:val="16"/>
                <w:lang w:val="en-US" w:eastAsia="zh-CN"/>
              </w:rPr>
              <w:t>17707456333</w:t>
            </w:r>
          </w:p>
        </w:tc>
      </w:tr>
      <w:tr>
        <w:tblPrEx>
          <w:tblCellMar>
            <w:top w:w="0" w:type="dxa"/>
            <w:left w:w="108" w:type="dxa"/>
            <w:bottom w:w="0" w:type="dxa"/>
            <w:right w:w="108" w:type="dxa"/>
          </w:tblCellMar>
        </w:tblPrEx>
        <w:trPr>
          <w:trHeight w:val="425" w:hRule="atLeast"/>
          <w:jc w:val="center"/>
        </w:trPr>
        <w:tc>
          <w:tcPr>
            <w:tcW w:w="2534"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市</w:t>
            </w:r>
            <w:r>
              <w:rPr>
                <w:rFonts w:hint="eastAsia" w:ascii="仿宋" w:hAnsi="仿宋" w:eastAsia="仿宋" w:cs="仿宋"/>
                <w:color w:val="000000"/>
                <w:kern w:val="0"/>
                <w:sz w:val="16"/>
                <w:szCs w:val="16"/>
              </w:rPr>
              <w:t>级主管部门</w:t>
            </w:r>
          </w:p>
        </w:tc>
        <w:tc>
          <w:tcPr>
            <w:tcW w:w="7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怀化市</w:t>
            </w:r>
            <w:r>
              <w:rPr>
                <w:rFonts w:hint="eastAsia" w:ascii="仿宋" w:hAnsi="仿宋" w:eastAsia="仿宋" w:cs="仿宋"/>
                <w:color w:val="000000"/>
                <w:kern w:val="0"/>
                <w:sz w:val="16"/>
                <w:szCs w:val="16"/>
              </w:rPr>
              <w:t>发展和改革</w:t>
            </w:r>
            <w:r>
              <w:rPr>
                <w:rFonts w:hint="eastAsia" w:ascii="仿宋" w:hAnsi="仿宋" w:eastAsia="仿宋" w:cs="仿宋"/>
                <w:color w:val="000000"/>
                <w:kern w:val="0"/>
                <w:sz w:val="16"/>
                <w:szCs w:val="16"/>
                <w:lang w:eastAsia="zh-CN"/>
              </w:rPr>
              <w:t>委员会</w:t>
            </w: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253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地方主管部门</w:t>
            </w:r>
          </w:p>
        </w:tc>
        <w:tc>
          <w:tcPr>
            <w:tcW w:w="316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实施单位</w:t>
            </w:r>
          </w:p>
        </w:tc>
        <w:tc>
          <w:tcPr>
            <w:tcW w:w="3087"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鹤城区发展和改革局　</w:t>
            </w:r>
          </w:p>
        </w:tc>
      </w:tr>
      <w:tr>
        <w:tblPrEx>
          <w:tblCellMar>
            <w:top w:w="0" w:type="dxa"/>
            <w:left w:w="108" w:type="dxa"/>
            <w:bottom w:w="0" w:type="dxa"/>
            <w:right w:w="108" w:type="dxa"/>
          </w:tblCellMar>
        </w:tblPrEx>
        <w:trPr>
          <w:trHeight w:val="425" w:hRule="atLeast"/>
          <w:jc w:val="center"/>
        </w:trPr>
        <w:tc>
          <w:tcPr>
            <w:tcW w:w="2534"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项目资金（万元）</w:t>
            </w: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全年预算数（A）</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全年执行数（B）</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执行率（B／A）</w:t>
            </w:r>
          </w:p>
        </w:tc>
      </w:tr>
      <w:tr>
        <w:tblPrEx>
          <w:tblCellMar>
            <w:top w:w="0" w:type="dxa"/>
            <w:left w:w="108" w:type="dxa"/>
            <w:bottom w:w="0" w:type="dxa"/>
            <w:right w:w="108" w:type="dxa"/>
          </w:tblCellMar>
        </w:tblPrEx>
        <w:trPr>
          <w:trHeight w:val="425"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年度资金总额</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bidi="ar-SA"/>
              </w:rPr>
              <w:t>75.6</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bidi="ar-SA"/>
              </w:rPr>
              <w:t>75.6</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rPr>
              <w:t>100%</w:t>
            </w: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其中：中央补助</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40"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ind w:firstLine="320" w:firstLineChars="200"/>
              <w:jc w:val="both"/>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 省级资金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02"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 xml:space="preserve">    市级资金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02" w:hRule="atLeast"/>
          <w:jc w:val="center"/>
        </w:trPr>
        <w:tc>
          <w:tcPr>
            <w:tcW w:w="2534"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val="en-US" w:eastAsia="zh-CN"/>
              </w:rPr>
              <w:t xml:space="preserve">    </w:t>
            </w:r>
            <w:r>
              <w:rPr>
                <w:rFonts w:hint="eastAsia" w:ascii="仿宋" w:hAnsi="仿宋" w:eastAsia="仿宋" w:cs="仿宋"/>
                <w:color w:val="000000"/>
                <w:kern w:val="0"/>
                <w:sz w:val="16"/>
                <w:szCs w:val="16"/>
                <w:lang w:eastAsia="zh-CN"/>
              </w:rPr>
              <w:t>其他资金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20" w:firstLineChars="200"/>
              <w:rPr>
                <w:rFonts w:hint="eastAsia" w:ascii="仿宋" w:hAnsi="仿宋" w:eastAsia="仿宋" w:cs="仿宋"/>
                <w:color w:val="000000"/>
                <w:kern w:val="0"/>
                <w:sz w:val="16"/>
                <w:szCs w:val="16"/>
              </w:rPr>
            </w:pPr>
            <w:r>
              <w:rPr>
                <w:rFonts w:hint="eastAsia" w:ascii="仿宋" w:hAnsi="仿宋" w:eastAsia="仿宋" w:cs="仿宋"/>
                <w:b w:val="0"/>
                <w:bCs w:val="0"/>
                <w:sz w:val="16"/>
                <w:szCs w:val="16"/>
                <w:lang w:val="en-US" w:eastAsia="zh-CN"/>
              </w:rPr>
              <w:t>做好区级储备粮的保管和轮换工作，保障储备粮安全</w:t>
            </w:r>
            <w:r>
              <w:rPr>
                <w:rFonts w:hint="eastAsia" w:ascii="仿宋" w:hAnsi="仿宋" w:eastAsia="仿宋" w:cs="仿宋"/>
                <w:color w:val="000000"/>
                <w:kern w:val="0"/>
                <w:sz w:val="16"/>
                <w:szCs w:val="16"/>
              </w:rPr>
              <w:t>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20" w:firstLineChars="200"/>
              <w:rPr>
                <w:rFonts w:hint="eastAsia" w:ascii="仿宋" w:hAnsi="仿宋" w:eastAsia="仿宋" w:cs="仿宋"/>
                <w:color w:val="000000"/>
                <w:kern w:val="0"/>
                <w:sz w:val="16"/>
                <w:szCs w:val="16"/>
              </w:rPr>
            </w:pPr>
            <w:r>
              <w:rPr>
                <w:rFonts w:hint="eastAsia" w:ascii="仿宋" w:hAnsi="仿宋" w:eastAsia="仿宋" w:cs="仿宋"/>
                <w:b w:val="0"/>
                <w:bCs w:val="0"/>
                <w:sz w:val="16"/>
                <w:szCs w:val="16"/>
                <w:lang w:val="en-US" w:eastAsia="zh-CN"/>
              </w:rPr>
              <w:t>做好区级储备粮的保管和轮换工作，保障储备粮安全</w:t>
            </w: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一级指标</w:t>
            </w:r>
          </w:p>
        </w:tc>
        <w:tc>
          <w:tcPr>
            <w:tcW w:w="10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二级指标</w:t>
            </w:r>
          </w:p>
        </w:tc>
        <w:tc>
          <w:tcPr>
            <w:tcW w:w="155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三级指标</w:t>
            </w:r>
          </w:p>
        </w:tc>
        <w:tc>
          <w:tcPr>
            <w:tcW w:w="1612"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年度指标值</w:t>
            </w:r>
          </w:p>
        </w:tc>
        <w:tc>
          <w:tcPr>
            <w:tcW w:w="12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w:t>
            </w:r>
          </w:p>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完成值</w:t>
            </w:r>
          </w:p>
        </w:tc>
        <w:tc>
          <w:tcPr>
            <w:tcW w:w="18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未完成原因和</w:t>
            </w:r>
          </w:p>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产   出   指   标</w:t>
            </w:r>
          </w:p>
        </w:tc>
        <w:tc>
          <w:tcPr>
            <w:tcW w:w="109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数量指标</w:t>
            </w:r>
          </w:p>
        </w:tc>
        <w:tc>
          <w:tcPr>
            <w:tcW w:w="1551"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争取资金</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0.5亿</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5.03亿</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sz w:val="16"/>
                <w:szCs w:val="16"/>
                <w:lang w:val="en-US" w:eastAsia="zh-CN"/>
              </w:rPr>
              <w:t>完成投资</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2"/>
                <w:sz w:val="16"/>
                <w:szCs w:val="16"/>
                <w:u w:val="none"/>
                <w:lang w:val="en-US" w:eastAsia="zh-CN" w:bidi="ar-SA"/>
              </w:rPr>
              <w:t>110亿</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2"/>
                <w:sz w:val="16"/>
                <w:szCs w:val="16"/>
                <w:u w:val="none"/>
                <w:lang w:val="en-US" w:eastAsia="zh-CN" w:bidi="ar-SA"/>
              </w:rPr>
              <w:t>117亿</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质量指标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sz w:val="16"/>
                <w:szCs w:val="16"/>
                <w:lang w:val="en-US" w:eastAsia="zh-CN"/>
              </w:rPr>
              <w:t>争取资金和完成投资</w:t>
            </w:r>
            <w:r>
              <w:rPr>
                <w:rFonts w:hint="eastAsia" w:ascii="仿宋" w:hAnsi="仿宋" w:eastAsia="仿宋" w:cs="仿宋"/>
                <w:i w:val="0"/>
                <w:iCs w:val="0"/>
                <w:color w:val="000000"/>
                <w:kern w:val="0"/>
                <w:sz w:val="16"/>
                <w:szCs w:val="16"/>
                <w:u w:val="none"/>
                <w:lang w:val="en-US" w:eastAsia="zh-CN" w:bidi="ar"/>
              </w:rPr>
              <w:t>率</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时效指标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sz w:val="16"/>
                <w:szCs w:val="16"/>
                <w:lang w:val="en-US" w:eastAsia="zh-CN"/>
              </w:rPr>
              <w:t>争取资金和完成投资</w:t>
            </w:r>
            <w:r>
              <w:rPr>
                <w:rFonts w:hint="eastAsia" w:ascii="仿宋" w:hAnsi="仿宋" w:eastAsia="仿宋" w:cs="仿宋"/>
                <w:i w:val="0"/>
                <w:iCs w:val="0"/>
                <w:color w:val="000000"/>
                <w:kern w:val="0"/>
                <w:sz w:val="16"/>
                <w:szCs w:val="16"/>
                <w:u w:val="none"/>
                <w:lang w:val="en-US" w:eastAsia="zh-CN" w:bidi="ar"/>
              </w:rPr>
              <w:t>的及时性</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成本指标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sz w:val="16"/>
                <w:szCs w:val="16"/>
                <w:lang w:val="en-US" w:eastAsia="zh-CN"/>
              </w:rPr>
              <w:t>项目前期经费</w:t>
            </w:r>
            <w:r>
              <w:rPr>
                <w:rFonts w:hint="eastAsia" w:ascii="仿宋" w:hAnsi="仿宋" w:eastAsia="仿宋" w:cs="仿宋"/>
                <w:i w:val="0"/>
                <w:iCs w:val="0"/>
                <w:color w:val="000000"/>
                <w:kern w:val="0"/>
                <w:sz w:val="16"/>
                <w:szCs w:val="16"/>
                <w:u w:val="none"/>
                <w:lang w:val="en-US" w:eastAsia="zh-CN" w:bidi="ar"/>
              </w:rPr>
              <w:t>成本</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75.6万元</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75.6万元</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833"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   益   指   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经济效益  指标</w:t>
            </w:r>
          </w:p>
        </w:tc>
        <w:tc>
          <w:tcPr>
            <w:tcW w:w="155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eastAsia="zh-CN"/>
              </w:rPr>
              <w:t>提升财政资金使用效益</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   益   指   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生态效益  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提高就业</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可持续影响指标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推进经济发展</w:t>
            </w:r>
          </w:p>
        </w:tc>
        <w:tc>
          <w:tcPr>
            <w:tcW w:w="1612"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满意度指标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服务对象满意度指标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社会公众满意度</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90%以上</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600" w:lineRule="exact"/>
        <w:ind w:firstLine="640" w:firstLineChars="200"/>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985"/>
        <w:gridCol w:w="1656"/>
        <w:gridCol w:w="1612"/>
        <w:gridCol w:w="1276"/>
        <w:gridCol w:w="1207"/>
        <w:gridCol w:w="1880"/>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429"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268"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项目前期经费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429"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631"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29"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268"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087"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395" w:hRule="atLeast"/>
          <w:jc w:val="center"/>
        </w:trPr>
        <w:tc>
          <w:tcPr>
            <w:tcW w:w="2429"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65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429"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87.6</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87.6</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29"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429"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6"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29"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29"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做好区级储备粮的保管和轮换工作，保障储备粮安全</w:t>
            </w:r>
            <w:r>
              <w:rPr>
                <w:rFonts w:hint="eastAsia" w:ascii="仿宋" w:hAnsi="仿宋" w:eastAsia="仿宋" w:cs="仿宋"/>
                <w:color w:val="000000"/>
                <w:kern w:val="0"/>
                <w:sz w:val="18"/>
                <w:szCs w:val="18"/>
              </w:rPr>
              <w:t>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做好区级储备粮的保管和轮换工作，保障储备粮安全</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98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65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612"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8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65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争取资金</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0.5亿</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5.03亿</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sz w:val="18"/>
                <w:szCs w:val="18"/>
                <w:lang w:val="en-US" w:eastAsia="zh-CN"/>
              </w:rPr>
              <w:t>编制项目建设书、可研、评估、概算评审</w:t>
            </w:r>
            <w:r>
              <w:rPr>
                <w:rFonts w:hint="eastAsia" w:ascii="仿宋" w:hAnsi="仿宋" w:eastAsia="仿宋" w:cs="仿宋"/>
                <w:i w:val="0"/>
                <w:iCs w:val="0"/>
                <w:color w:val="000000"/>
                <w:kern w:val="0"/>
                <w:sz w:val="18"/>
                <w:szCs w:val="18"/>
                <w:u w:val="none"/>
                <w:lang w:val="en-US" w:eastAsia="zh-CN" w:bidi="ar"/>
              </w:rPr>
              <w:t>的合格率</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sz w:val="18"/>
                <w:szCs w:val="18"/>
                <w:lang w:val="en-US" w:eastAsia="zh-CN"/>
              </w:rPr>
              <w:t>编制项目建设书、可研、评估、概算评审</w:t>
            </w:r>
            <w:r>
              <w:rPr>
                <w:rFonts w:hint="eastAsia" w:ascii="仿宋" w:hAnsi="仿宋" w:eastAsia="仿宋" w:cs="仿宋"/>
                <w:i w:val="0"/>
                <w:iCs w:val="0"/>
                <w:color w:val="000000"/>
                <w:kern w:val="0"/>
                <w:sz w:val="18"/>
                <w:szCs w:val="18"/>
                <w:u w:val="none"/>
                <w:lang w:val="en-US" w:eastAsia="zh-CN" w:bidi="ar"/>
              </w:rPr>
              <w:t>的及时性</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项目前期经费</w:t>
            </w:r>
            <w:r>
              <w:rPr>
                <w:rFonts w:hint="eastAsia" w:ascii="仿宋" w:hAnsi="仿宋" w:eastAsia="仿宋" w:cs="仿宋"/>
                <w:i w:val="0"/>
                <w:iCs w:val="0"/>
                <w:color w:val="000000"/>
                <w:kern w:val="0"/>
                <w:sz w:val="18"/>
                <w:szCs w:val="18"/>
                <w:u w:val="none"/>
                <w:lang w:val="en-US" w:eastAsia="zh-CN" w:bidi="ar"/>
              </w:rPr>
              <w:t>成本</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87.6万元</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87.6万元</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833"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经济效益指标</w:t>
            </w:r>
          </w:p>
        </w:tc>
        <w:tc>
          <w:tcPr>
            <w:tcW w:w="165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zh-CN"/>
              </w:rPr>
              <w:t>提升财政资金使用效益</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生态效益指标</w:t>
            </w:r>
          </w:p>
        </w:tc>
        <w:tc>
          <w:tcPr>
            <w:tcW w:w="1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推进经济发展</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推进经济发展</w:t>
            </w:r>
          </w:p>
        </w:tc>
        <w:tc>
          <w:tcPr>
            <w:tcW w:w="1612" w:type="dxa"/>
            <w:tcBorders>
              <w:top w:val="single" w:color="auto" w:sz="4" w:space="0"/>
              <w:left w:val="nil"/>
              <w:bottom w:val="single" w:color="auto" w:sz="4" w:space="0"/>
              <w:right w:val="single" w:color="auto" w:sz="4" w:space="0"/>
            </w:tcBorders>
            <w:noWrap/>
            <w:vAlign w:val="center"/>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center"/>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612"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pStyle w:val="8"/>
        <w:rPr>
          <w:rFonts w:hint="eastAsia" w:ascii="仿宋" w:hAnsi="仿宋" w:eastAsia="仿宋" w:cs="仿宋"/>
          <w:b w:val="0"/>
          <w:bCs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910"/>
        <w:gridCol w:w="1650"/>
        <w:gridCol w:w="1693"/>
        <w:gridCol w:w="1276"/>
        <w:gridCol w:w="1073"/>
        <w:gridCol w:w="31"/>
        <w:gridCol w:w="1983"/>
      </w:tblGrid>
      <w:tr>
        <w:tblPrEx>
          <w:tblCellMar>
            <w:top w:w="0" w:type="dxa"/>
            <w:left w:w="108" w:type="dxa"/>
            <w:bottom w:w="0" w:type="dxa"/>
            <w:right w:w="108" w:type="dxa"/>
          </w:tblCellMar>
        </w:tblPrEx>
        <w:trPr>
          <w:trHeight w:val="98" w:hRule="atLeast"/>
          <w:jc w:val="center"/>
        </w:trPr>
        <w:tc>
          <w:tcPr>
            <w:tcW w:w="10060" w:type="dxa"/>
            <w:gridSpan w:val="9"/>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35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343" w:type="dxa"/>
            <w:gridSpan w:val="2"/>
            <w:tcBorders>
              <w:top w:val="single" w:color="auto" w:sz="4" w:space="0"/>
              <w:left w:val="single" w:color="auto" w:sz="4" w:space="0"/>
              <w:bottom w:val="single" w:color="auto" w:sz="4" w:space="0"/>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sz w:val="18"/>
                <w:szCs w:val="18"/>
                <w:lang w:val="en-US" w:eastAsia="zh-CN"/>
              </w:rPr>
              <w:t>接产业转移、高质量发展、社会信用体系建设、重点项目储备库建设及项目前期、政府投资项目研评估、粮食安全省长责任制落实情况考核经费、项目招投标专项整治和社会信用体系建设工作经费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087" w:type="dxa"/>
            <w:gridSpan w:val="3"/>
            <w:tcBorders>
              <w:top w:val="single" w:color="auto" w:sz="4" w:space="0"/>
              <w:left w:val="single" w:color="auto" w:sz="4" w:space="0"/>
              <w:bottom w:val="single" w:color="auto" w:sz="4" w:space="0"/>
              <w:right w:val="single" w:color="auto" w:sz="4" w:space="0"/>
            </w:tcBorders>
            <w:noWrap w:val="0"/>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354"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706"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35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34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087" w:type="dxa"/>
            <w:gridSpan w:val="3"/>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354"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6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6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35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6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35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6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35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6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35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6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354"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6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拉动全区经济效益快速发展，加快推进信用监督、警示和惩戒机制，加强固定资产投资项目节能管理，承担粮食安全。</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推进了重点项目建设进度，，维护全区粮食市场的稳定，保障了粮食安全，完善了社会信用体系，较好地完成全年各项目标任务。</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9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650"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69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104"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9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9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粮食安全责任制考核分数</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90分</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95分</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1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完成企业注册数</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5000家</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5000家</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1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项目资金争取</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0.5亿元</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5.03亿元</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1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储备原粮</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6000吨</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6000吨</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储备成品粮</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600吨</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600吨</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粮食安全责任制考核评比</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良好</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优秀</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1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企业注册完成率</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在线联网审批率</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储备粮质量达标率</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审批及时性</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1650"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储备粮油轮换及时性</w:t>
            </w:r>
          </w:p>
        </w:tc>
        <w:tc>
          <w:tcPr>
            <w:tcW w:w="1693"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p>
        </w:tc>
        <w:tc>
          <w:tcPr>
            <w:tcW w:w="1276"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100%</w:t>
            </w:r>
          </w:p>
        </w:tc>
        <w:tc>
          <w:tcPr>
            <w:tcW w:w="1104" w:type="dxa"/>
            <w:gridSpan w:val="2"/>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b w:val="0"/>
                <w:bCs w:val="0"/>
                <w:sz w:val="18"/>
                <w:szCs w:val="18"/>
                <w:lang w:eastAsia="zh-CN"/>
              </w:rPr>
              <w:t>重承接产业转移、高质量发展、社会信用体系、重点项目储备库建设、政府投资可研评估、粮食安全省长责任制经费</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3万元</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3万元</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   益   指   标</w:t>
            </w:r>
          </w:p>
        </w:tc>
        <w:tc>
          <w:tcPr>
            <w:tcW w:w="9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经济效益指标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提升财政资金使用效益</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效果明显</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   益   指   标</w:t>
            </w:r>
          </w:p>
        </w:tc>
        <w:tc>
          <w:tcPr>
            <w:tcW w:w="9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生态效益指标</w:t>
            </w:r>
          </w:p>
        </w:tc>
        <w:tc>
          <w:tcPr>
            <w:tcW w:w="1650"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 w:val="21"/>
                <w:szCs w:val="21"/>
                <w:lang w:val="en-US" w:eastAsia="zh-CN" w:bidi="ar-SA"/>
              </w:rPr>
            </w:pPr>
            <w:r>
              <w:rPr>
                <w:rFonts w:hint="eastAsia" w:ascii="Times New Roman" w:hAnsi="Times New Roman" w:eastAsia="仿宋_GB2312" w:cs="Times New Roman"/>
                <w:color w:val="000000"/>
                <w:sz w:val="20"/>
                <w:szCs w:val="20"/>
              </w:rPr>
              <w:t>构建和谐的粮油交易市场</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kern w:val="2"/>
                <w:sz w:val="18"/>
                <w:szCs w:val="18"/>
                <w:lang w:val="en-US" w:eastAsia="zh-CN" w:bidi="ar-SA"/>
              </w:rPr>
            </w:pPr>
            <w:r>
              <w:rPr>
                <w:rFonts w:hint="eastAsia" w:ascii="Times New Roman" w:hAnsi="Times New Roman" w:eastAsia="仿宋_GB2312" w:cs="Times New Roman"/>
                <w:color w:val="000000"/>
                <w:sz w:val="20"/>
                <w:szCs w:val="20"/>
              </w:rPr>
              <w:t>效果明显</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kern w:val="2"/>
                <w:sz w:val="18"/>
                <w:szCs w:val="18"/>
                <w:lang w:val="en-US" w:eastAsia="zh-CN" w:bidi="ar-SA"/>
              </w:rPr>
            </w:pPr>
            <w:r>
              <w:rPr>
                <w:rFonts w:hint="eastAsia" w:ascii="Times New Roman" w:hAnsi="Times New Roman" w:eastAsia="仿宋_GB2312" w:cs="Times New Roman"/>
                <w:color w:val="000000"/>
                <w:sz w:val="20"/>
                <w:szCs w:val="20"/>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1650"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营造良好的投资环境</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效果明显</w:t>
            </w:r>
          </w:p>
        </w:tc>
        <w:tc>
          <w:tcPr>
            <w:tcW w:w="1104" w:type="dxa"/>
            <w:gridSpan w:val="2"/>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1650"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营造公平公正的环境</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效果明显</w:t>
            </w:r>
          </w:p>
        </w:tc>
        <w:tc>
          <w:tcPr>
            <w:tcW w:w="1104" w:type="dxa"/>
            <w:gridSpan w:val="2"/>
            <w:tcBorders>
              <w:top w:val="single" w:color="auto" w:sz="4" w:space="0"/>
              <w:left w:val="nil"/>
              <w:bottom w:val="single" w:color="auto" w:sz="4" w:space="0"/>
              <w:right w:val="single" w:color="auto" w:sz="4" w:space="0"/>
            </w:tcBorders>
            <w:noWrap/>
            <w:vAlign w:val="bottom"/>
          </w:tcPr>
          <w:p>
            <w:pPr>
              <w:widowControl/>
              <w:jc w:val="center"/>
              <w:rPr>
                <w:rFonts w:ascii="仿宋_GB2312" w:hAnsi="宋体" w:eastAsia="仿宋_GB2312" w:cs="宋体"/>
                <w:color w:val="000000"/>
                <w:kern w:val="0"/>
                <w:szCs w:val="21"/>
              </w:rPr>
            </w:pPr>
            <w:r>
              <w:rPr>
                <w:rFonts w:hint="eastAsia" w:ascii="Times New Roman" w:hAnsi="Times New Roman" w:eastAsia="仿宋_GB2312" w:cs="Times New Roman"/>
                <w:color w:val="000000"/>
                <w:sz w:val="20"/>
                <w:szCs w:val="20"/>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可持续影响指标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粮油产品保供稳价</w:t>
            </w:r>
          </w:p>
        </w:tc>
        <w:tc>
          <w:tcPr>
            <w:tcW w:w="169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持续保障</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持续保障</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社会信用体系建设</w:t>
            </w:r>
          </w:p>
        </w:tc>
        <w:tc>
          <w:tcPr>
            <w:tcW w:w="1693" w:type="dxa"/>
            <w:tcBorders>
              <w:top w:val="single" w:color="auto" w:sz="4" w:space="0"/>
              <w:left w:val="nil"/>
              <w:bottom w:val="single" w:color="auto" w:sz="4" w:space="0"/>
              <w:right w:val="single" w:color="auto" w:sz="4" w:space="0"/>
            </w:tcBorders>
            <w:noWrap/>
            <w:vAlign w:val="center"/>
          </w:tcPr>
          <w:p>
            <w:pPr>
              <w:widowControl/>
              <w:spacing w:line="280" w:lineRule="exac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持续推进</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持续推进</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Cs w:val="21"/>
              </w:rPr>
            </w:pPr>
            <w:r>
              <w:rPr>
                <w:rFonts w:hint="eastAsia" w:ascii="仿宋" w:hAnsi="仿宋" w:eastAsia="仿宋" w:cs="仿宋"/>
                <w:i w:val="0"/>
                <w:iCs w:val="0"/>
                <w:color w:val="000000"/>
                <w:kern w:val="0"/>
                <w:sz w:val="18"/>
                <w:szCs w:val="18"/>
                <w:u w:val="none"/>
                <w:lang w:val="en-US" w:eastAsia="zh-CN" w:bidi="ar"/>
              </w:rPr>
              <w:t>价格监测采价分析系统</w:t>
            </w:r>
          </w:p>
        </w:tc>
        <w:tc>
          <w:tcPr>
            <w:tcW w:w="1693" w:type="dxa"/>
            <w:tcBorders>
              <w:top w:val="single" w:color="auto" w:sz="4" w:space="0"/>
              <w:left w:val="nil"/>
              <w:bottom w:val="single" w:color="auto" w:sz="4" w:space="0"/>
              <w:right w:val="single" w:color="auto" w:sz="4" w:space="0"/>
            </w:tcBorders>
            <w:noWrap/>
            <w:vAlign w:val="center"/>
          </w:tcPr>
          <w:p>
            <w:pPr>
              <w:widowControl/>
              <w:spacing w:line="28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widowControl/>
              <w:spacing w:line="28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r>
              <w:rPr>
                <w:rFonts w:hint="eastAsia" w:ascii="仿宋" w:hAnsi="仿宋" w:eastAsia="仿宋" w:cs="仿宋"/>
                <w:i w:val="0"/>
                <w:iCs w:val="0"/>
                <w:color w:val="000000"/>
                <w:kern w:val="0"/>
                <w:sz w:val="18"/>
                <w:szCs w:val="18"/>
                <w:u w:val="none"/>
                <w:lang w:val="en-US" w:eastAsia="zh-CN" w:bidi="ar"/>
              </w:rPr>
              <w:t>持续运行</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80" w:lineRule="exact"/>
              <w:rPr>
                <w:rFonts w:ascii="仿宋_GB2312" w:hAnsi="宋体" w:eastAsia="仿宋_GB2312" w:cs="宋体"/>
                <w:color w:val="000000"/>
                <w:kern w:val="0"/>
                <w:szCs w:val="21"/>
              </w:rPr>
            </w:pPr>
            <w:r>
              <w:rPr>
                <w:rFonts w:hint="eastAsia" w:ascii="仿宋" w:hAnsi="仿宋" w:eastAsia="仿宋" w:cs="仿宋"/>
                <w:i w:val="0"/>
                <w:iCs w:val="0"/>
                <w:color w:val="000000"/>
                <w:kern w:val="0"/>
                <w:sz w:val="18"/>
                <w:szCs w:val="18"/>
                <w:u w:val="none"/>
                <w:lang w:val="en-US" w:eastAsia="zh-CN" w:bidi="ar"/>
              </w:rPr>
              <w:t>持续运行</w:t>
            </w:r>
          </w:p>
        </w:tc>
        <w:tc>
          <w:tcPr>
            <w:tcW w:w="1983" w:type="dxa"/>
            <w:tcBorders>
              <w:top w:val="single" w:color="auto" w:sz="4" w:space="0"/>
              <w:left w:val="nil"/>
              <w:bottom w:val="single" w:color="auto" w:sz="4" w:space="0"/>
              <w:right w:val="single" w:color="auto" w:sz="4" w:space="0"/>
            </w:tcBorders>
            <w:noWrap/>
            <w:vAlign w:val="center"/>
          </w:tcPr>
          <w:p>
            <w:pPr>
              <w:widowControl/>
              <w:spacing w:line="28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9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服务对象满意度指标</w:t>
            </w: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企业满意度</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9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Cs w:val="21"/>
              </w:rPr>
            </w:pPr>
          </w:p>
        </w:tc>
        <w:tc>
          <w:tcPr>
            <w:tcW w:w="165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群众满意度</w:t>
            </w:r>
          </w:p>
        </w:tc>
        <w:tc>
          <w:tcPr>
            <w:tcW w:w="169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 w:val="21"/>
                <w:szCs w:val="21"/>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8"/>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9"/>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9" w:firstLineChars="700"/>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1081"/>
        <w:gridCol w:w="1614"/>
        <w:gridCol w:w="1558"/>
        <w:gridCol w:w="1276"/>
        <w:gridCol w:w="1073"/>
        <w:gridCol w:w="31"/>
        <w:gridCol w:w="1983"/>
      </w:tblGrid>
      <w:tr>
        <w:tblPrEx>
          <w:tblCellMar>
            <w:top w:w="0" w:type="dxa"/>
            <w:left w:w="108" w:type="dxa"/>
            <w:bottom w:w="0" w:type="dxa"/>
            <w:right w:w="108" w:type="dxa"/>
          </w:tblCellMar>
        </w:tblPrEx>
        <w:trPr>
          <w:trHeight w:val="98" w:hRule="atLeast"/>
          <w:jc w:val="center"/>
        </w:trPr>
        <w:tc>
          <w:tcPr>
            <w:tcW w:w="10060" w:type="dxa"/>
            <w:gridSpan w:val="9"/>
            <w:tcBorders>
              <w:top w:val="nil"/>
              <w:left w:val="nil"/>
              <w:bottom w:val="single" w:color="auto" w:sz="4" w:space="0"/>
              <w:right w:val="nil"/>
            </w:tcBorders>
            <w:noWrap w:val="0"/>
            <w:vAlign w:val="center"/>
          </w:tcPr>
          <w:p>
            <w:pPr>
              <w:widowControl/>
              <w:jc w:val="center"/>
              <w:rPr>
                <w:rFonts w:hint="eastAsia" w:ascii="仿宋" w:hAnsi="仿宋" w:eastAsia="仿宋" w:cs="仿宋"/>
                <w:b/>
                <w:bCs/>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252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172" w:type="dxa"/>
            <w:gridSpan w:val="2"/>
            <w:tcBorders>
              <w:top w:val="single" w:color="auto" w:sz="4" w:space="0"/>
              <w:left w:val="single" w:color="auto" w:sz="4" w:space="0"/>
              <w:bottom w:val="single" w:color="auto" w:sz="4" w:space="0"/>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sz w:val="18"/>
                <w:szCs w:val="18"/>
                <w:lang w:eastAsia="zh-CN"/>
              </w:rPr>
              <w:t>社会信用体系建设工作经费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08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525"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53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52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17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087" w:type="dxa"/>
            <w:gridSpan w:val="3"/>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525"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6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5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52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5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w:t>
            </w: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52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5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52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14"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省级资金</w:t>
            </w:r>
          </w:p>
        </w:tc>
        <w:tc>
          <w:tcPr>
            <w:tcW w:w="15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52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5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525"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5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开展工程建设项目招投标突出问题专项整治和政府投资工程项目超概算问题专项清查，健全社会信用体系建设协调机制，统筹推进社会信用体系建设。</w:t>
            </w:r>
            <w:r>
              <w:rPr>
                <w:rFonts w:hint="eastAsia" w:ascii="仿宋" w:hAnsi="仿宋" w:eastAsia="仿宋" w:cs="仿宋"/>
                <w:color w:val="000000"/>
                <w:kern w:val="0"/>
                <w:sz w:val="18"/>
                <w:szCs w:val="18"/>
              </w:rPr>
              <w:t>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开展工程建设项目招投标突出问题专项整治和政府投资工程项目超概算问题专项清查，健全社会信用体系建设协调机制，统筹推进社会信用体系建设。</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108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614"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558"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104"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9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6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i w:val="0"/>
                <w:iCs w:val="0"/>
                <w:color w:val="000000"/>
                <w:kern w:val="0"/>
                <w:sz w:val="18"/>
                <w:szCs w:val="18"/>
                <w:u w:val="none"/>
                <w:lang w:val="en-US" w:eastAsia="zh-CN" w:bidi="ar"/>
              </w:rPr>
              <w:t>企业注册完成数</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500</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6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企业注册完成率</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6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企业注册工作完成的及时性</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6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社会信用体系建设工作经费成本</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10万元</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10万元</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80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  指标</w:t>
            </w:r>
          </w:p>
        </w:tc>
        <w:tc>
          <w:tcPr>
            <w:tcW w:w="1614"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zh-CN"/>
              </w:rPr>
              <w:t>提升财政资金使用效益</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  指标</w:t>
            </w:r>
          </w:p>
        </w:tc>
        <w:tc>
          <w:tcPr>
            <w:tcW w:w="16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sz w:val="18"/>
                <w:szCs w:val="18"/>
                <w:lang w:val="en-US" w:eastAsia="zh-CN"/>
              </w:rPr>
              <w:t>营造公平公正环境</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6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营造公平公正环境</w:t>
            </w:r>
          </w:p>
        </w:tc>
        <w:tc>
          <w:tcPr>
            <w:tcW w:w="1558"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104"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6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558"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10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8"/>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9"/>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991"/>
        <w:gridCol w:w="1905"/>
        <w:gridCol w:w="1357"/>
        <w:gridCol w:w="1088"/>
        <w:gridCol w:w="1261"/>
        <w:gridCol w:w="31"/>
        <w:gridCol w:w="1983"/>
      </w:tblGrid>
      <w:tr>
        <w:tblPrEx>
          <w:tblCellMar>
            <w:top w:w="0" w:type="dxa"/>
            <w:left w:w="108" w:type="dxa"/>
            <w:bottom w:w="0" w:type="dxa"/>
            <w:right w:w="108" w:type="dxa"/>
          </w:tblCellMar>
        </w:tblPrEx>
        <w:trPr>
          <w:trHeight w:val="98" w:hRule="atLeast"/>
          <w:jc w:val="center"/>
        </w:trPr>
        <w:tc>
          <w:tcPr>
            <w:tcW w:w="10060" w:type="dxa"/>
            <w:gridSpan w:val="9"/>
            <w:tcBorders>
              <w:top w:val="nil"/>
              <w:left w:val="nil"/>
              <w:bottom w:val="single" w:color="auto" w:sz="4" w:space="0"/>
              <w:right w:val="nil"/>
            </w:tcBorders>
            <w:noWrap w:val="0"/>
            <w:vAlign w:val="center"/>
          </w:tcPr>
          <w:p>
            <w:pPr>
              <w:widowControl/>
              <w:jc w:val="center"/>
              <w:rPr>
                <w:rFonts w:hint="eastAsia" w:ascii="仿宋" w:hAnsi="仿宋" w:eastAsia="仿宋" w:cs="仿宋"/>
                <w:b/>
                <w:bCs/>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sz w:val="18"/>
                <w:szCs w:val="18"/>
                <w:lang w:val="en-US" w:eastAsia="zh-CN"/>
              </w:rPr>
              <w:t>涉案物价格鉴证（认定）工作经费</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27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62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275" w:type="dxa"/>
            <w:gridSpan w:val="3"/>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435"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7.5</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7.5</w:t>
            </w: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涉案物价格鉴证（认定）合法，全年无错案。案件申请复核率为零。市、区两级考核。</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涉案物价格鉴证（认定）合法，全年无错案。案件申请复核率为零。市、区两级考核。</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99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5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92"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9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rPr>
              <w:t>　</w:t>
            </w:r>
            <w:r>
              <w:rPr>
                <w:rFonts w:hint="eastAsia" w:ascii="仿宋" w:hAnsi="仿宋" w:eastAsia="仿宋" w:cs="仿宋"/>
                <w:color w:val="000000"/>
                <w:sz w:val="18"/>
                <w:szCs w:val="18"/>
              </w:rPr>
              <w:t>价格</w:t>
            </w:r>
            <w:r>
              <w:rPr>
                <w:rFonts w:hint="eastAsia" w:ascii="仿宋" w:hAnsi="仿宋" w:eastAsia="仿宋" w:cs="仿宋"/>
                <w:i w:val="0"/>
                <w:iCs w:val="0"/>
                <w:color w:val="000000"/>
                <w:kern w:val="0"/>
                <w:sz w:val="18"/>
                <w:szCs w:val="18"/>
                <w:u w:val="none"/>
                <w:lang w:val="en-US" w:eastAsia="zh-CN" w:bidi="ar"/>
              </w:rPr>
              <w:t>鉴证</w:t>
            </w:r>
            <w:r>
              <w:rPr>
                <w:rFonts w:hint="eastAsia" w:ascii="仿宋" w:hAnsi="仿宋" w:eastAsia="仿宋" w:cs="仿宋"/>
                <w:color w:val="000000"/>
                <w:sz w:val="18"/>
                <w:szCs w:val="18"/>
                <w:lang w:eastAsia="zh-CN"/>
              </w:rPr>
              <w:t>数量</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1000</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sz w:val="18"/>
                <w:szCs w:val="18"/>
              </w:rPr>
              <w:t>案件申请复核率</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鉴证工作完成的的及时性</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涉案物价格鉴证（认定）工作经费</w:t>
            </w:r>
            <w:r>
              <w:rPr>
                <w:rFonts w:hint="eastAsia" w:ascii="仿宋" w:hAnsi="仿宋" w:eastAsia="仿宋" w:cs="仿宋"/>
                <w:i w:val="0"/>
                <w:iCs w:val="0"/>
                <w:color w:val="000000"/>
                <w:kern w:val="0"/>
                <w:sz w:val="18"/>
                <w:szCs w:val="18"/>
                <w:u w:val="none"/>
                <w:lang w:val="en-US" w:eastAsia="zh-CN" w:bidi="ar"/>
              </w:rPr>
              <w:t>成本</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7.5万元</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7.5万元</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728"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eastAsia="zh-CN"/>
              </w:rPr>
              <w:t>提升财政资金使用效益</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sz w:val="18"/>
                <w:szCs w:val="18"/>
                <w:lang w:val="en-US" w:eastAsia="zh-CN"/>
              </w:rPr>
              <w:t>营造公平公正环境</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营造公平公正环境</w:t>
            </w:r>
          </w:p>
        </w:tc>
        <w:tc>
          <w:tcPr>
            <w:tcW w:w="1357"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8"/>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9"/>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
    <w:p/>
    <w:p/>
    <w:p/>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991"/>
        <w:gridCol w:w="1905"/>
        <w:gridCol w:w="1357"/>
        <w:gridCol w:w="1088"/>
        <w:gridCol w:w="1261"/>
        <w:gridCol w:w="2014"/>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易地扶贫工作经费</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27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625"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275"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435"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16</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16</w:t>
            </w:r>
            <w:r>
              <w:rPr>
                <w:rFonts w:hint="eastAsia" w:ascii="仿宋" w:hAnsi="仿宋" w:eastAsia="仿宋" w:cs="仿宋"/>
                <w:color w:val="000000"/>
                <w:kern w:val="0"/>
                <w:sz w:val="18"/>
                <w:szCs w:val="18"/>
              </w:rPr>
              <w:t>　</w:t>
            </w:r>
          </w:p>
        </w:tc>
        <w:tc>
          <w:tcPr>
            <w:tcW w:w="20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推进乡村振兴，落实易扶后扶政策</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推进乡村振兴，落实易扶后扶政策</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99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5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6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201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rPr>
              <w:t>　</w:t>
            </w:r>
            <w:r>
              <w:rPr>
                <w:rFonts w:hint="eastAsia" w:ascii="仿宋" w:hAnsi="仿宋" w:eastAsia="仿宋" w:cs="仿宋"/>
                <w:color w:val="000000"/>
                <w:sz w:val="18"/>
                <w:szCs w:val="18"/>
                <w:lang w:eastAsia="zh-CN"/>
              </w:rPr>
              <w:t>稳岗就业数量</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300</w:t>
            </w:r>
          </w:p>
        </w:tc>
        <w:tc>
          <w:tcPr>
            <w:tcW w:w="126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698</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易地扶贫帮扶完成</w:t>
            </w:r>
            <w:r>
              <w:rPr>
                <w:rFonts w:hint="eastAsia" w:ascii="仿宋" w:hAnsi="仿宋" w:eastAsia="仿宋" w:cs="仿宋"/>
                <w:color w:val="000000"/>
                <w:sz w:val="18"/>
                <w:szCs w:val="18"/>
              </w:rPr>
              <w:t>率</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6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易地扶贫帮扶完成</w:t>
            </w:r>
            <w:r>
              <w:rPr>
                <w:rFonts w:hint="eastAsia" w:ascii="仿宋" w:hAnsi="仿宋" w:eastAsia="仿宋" w:cs="仿宋"/>
                <w:i w:val="0"/>
                <w:iCs w:val="0"/>
                <w:color w:val="000000"/>
                <w:kern w:val="0"/>
                <w:sz w:val="18"/>
                <w:szCs w:val="18"/>
                <w:u w:val="none"/>
                <w:lang w:val="en-US" w:eastAsia="zh-CN" w:bidi="ar"/>
              </w:rPr>
              <w:t>的及时性</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6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易地扶贫工作经费</w:t>
            </w:r>
            <w:r>
              <w:rPr>
                <w:rFonts w:hint="eastAsia" w:ascii="仿宋" w:hAnsi="仿宋" w:eastAsia="仿宋" w:cs="仿宋"/>
                <w:i w:val="0"/>
                <w:iCs w:val="0"/>
                <w:color w:val="000000"/>
                <w:kern w:val="0"/>
                <w:sz w:val="18"/>
                <w:szCs w:val="18"/>
                <w:u w:val="none"/>
                <w:lang w:val="en-US" w:eastAsia="zh-CN" w:bidi="ar"/>
              </w:rPr>
              <w:t>成本</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16万元</w:t>
            </w:r>
          </w:p>
        </w:tc>
        <w:tc>
          <w:tcPr>
            <w:tcW w:w="126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16万元</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728"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eastAsia="zh-CN"/>
              </w:rPr>
              <w:t>提升财政资金使用效益</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6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sz w:val="18"/>
                <w:szCs w:val="18"/>
                <w:lang w:val="en-US" w:eastAsia="zh-CN"/>
              </w:rPr>
              <w:t>提高社会就业</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6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提高社会幸福感</w:t>
            </w:r>
          </w:p>
        </w:tc>
        <w:tc>
          <w:tcPr>
            <w:tcW w:w="1357"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6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2014"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6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2014"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
    <w:p/>
    <w:p/>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991"/>
        <w:gridCol w:w="1905"/>
        <w:gridCol w:w="1357"/>
        <w:gridCol w:w="1088"/>
        <w:gridCol w:w="1261"/>
        <w:gridCol w:w="31"/>
        <w:gridCol w:w="1983"/>
      </w:tblGrid>
      <w:tr>
        <w:tblPrEx>
          <w:tblCellMar>
            <w:top w:w="0" w:type="dxa"/>
            <w:left w:w="108" w:type="dxa"/>
            <w:bottom w:w="0" w:type="dxa"/>
            <w:right w:w="108" w:type="dxa"/>
          </w:tblCellMar>
        </w:tblPrEx>
        <w:trPr>
          <w:trHeight w:val="98" w:hRule="atLeast"/>
          <w:jc w:val="center"/>
        </w:trPr>
        <w:tc>
          <w:tcPr>
            <w:tcW w:w="10060" w:type="dxa"/>
            <w:gridSpan w:val="9"/>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储备粮利费补贴</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27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62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275" w:type="dxa"/>
            <w:gridSpan w:val="3"/>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435"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149.24</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149.24</w:t>
            </w: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做好区级储备粮的保管和轮换工作，保障储备粮安全。</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做好区级储备粮的保管和轮换工作，保障储备粮安全。</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99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5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92"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9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99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b w:val="0"/>
                <w:bCs w:val="0"/>
                <w:sz w:val="18"/>
                <w:szCs w:val="18"/>
                <w:lang w:eastAsia="zh-CN"/>
              </w:rPr>
              <w:t>区级储备粮</w:t>
            </w:r>
            <w:r>
              <w:rPr>
                <w:rFonts w:hint="eastAsia" w:ascii="仿宋" w:hAnsi="仿宋" w:eastAsia="仿宋" w:cs="仿宋"/>
                <w:color w:val="000000"/>
                <w:sz w:val="18"/>
                <w:szCs w:val="18"/>
                <w:lang w:eastAsia="zh-CN"/>
              </w:rPr>
              <w:t>数量</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6000</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6000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9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b w:val="0"/>
                <w:bCs w:val="0"/>
                <w:sz w:val="18"/>
                <w:szCs w:val="18"/>
                <w:lang w:eastAsia="zh-CN"/>
              </w:rPr>
              <w:t>区级成品粮数量</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600</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600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储备粮合格率</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储备粮轮换及时性</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储备粮利费补贴经费</w:t>
            </w:r>
            <w:r>
              <w:rPr>
                <w:rFonts w:hint="eastAsia" w:ascii="仿宋" w:hAnsi="仿宋" w:eastAsia="仿宋" w:cs="仿宋"/>
                <w:i w:val="0"/>
                <w:iCs w:val="0"/>
                <w:color w:val="000000"/>
                <w:kern w:val="0"/>
                <w:sz w:val="18"/>
                <w:szCs w:val="18"/>
                <w:u w:val="none"/>
                <w:lang w:val="en-US" w:eastAsia="zh-CN" w:bidi="ar"/>
              </w:rPr>
              <w:t>成本</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149.24万元</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149.24万元</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728"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zh-CN"/>
              </w:rPr>
              <w:t>提升财政资金使用效益</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  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稳定秋粮收购市场</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保证储粮安全</w:t>
            </w:r>
          </w:p>
        </w:tc>
        <w:tc>
          <w:tcPr>
            <w:tcW w:w="1357"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8"/>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9"/>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55"/>
        <w:gridCol w:w="1011"/>
        <w:gridCol w:w="1905"/>
        <w:gridCol w:w="1357"/>
        <w:gridCol w:w="1088"/>
        <w:gridCol w:w="1261"/>
        <w:gridCol w:w="31"/>
        <w:gridCol w:w="1983"/>
      </w:tblGrid>
      <w:tr>
        <w:tblPrEx>
          <w:tblCellMar>
            <w:top w:w="0" w:type="dxa"/>
            <w:left w:w="108" w:type="dxa"/>
            <w:bottom w:w="0" w:type="dxa"/>
            <w:right w:w="108" w:type="dxa"/>
          </w:tblCellMar>
        </w:tblPrEx>
        <w:trPr>
          <w:trHeight w:val="98" w:hRule="atLeast"/>
          <w:jc w:val="center"/>
        </w:trPr>
        <w:tc>
          <w:tcPr>
            <w:tcW w:w="10060" w:type="dxa"/>
            <w:gridSpan w:val="9"/>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粮食仓房维修经费</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27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62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275" w:type="dxa"/>
            <w:gridSpan w:val="3"/>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鹤城区发展和改革局　</w:t>
            </w:r>
          </w:p>
        </w:tc>
      </w:tr>
      <w:tr>
        <w:tblPrEx>
          <w:tblCellMar>
            <w:top w:w="0" w:type="dxa"/>
            <w:left w:w="108" w:type="dxa"/>
            <w:bottom w:w="0" w:type="dxa"/>
            <w:right w:w="108" w:type="dxa"/>
          </w:tblCellMar>
        </w:tblPrEx>
        <w:trPr>
          <w:trHeight w:val="425" w:hRule="atLeast"/>
          <w:jc w:val="center"/>
        </w:trPr>
        <w:tc>
          <w:tcPr>
            <w:tcW w:w="2435"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1.97</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1.97</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做好区级储备粮的保管和轮换工作，保障储备粮安全。</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做好区级储备粮的保管和轮换工作，保障储备粮安全。</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5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101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5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92"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9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1011"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维修仓房的数量</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2处</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2处</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维修仓房的合格率</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维修仓房完成及时性</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粮食仓房维修经费</w:t>
            </w:r>
            <w:r>
              <w:rPr>
                <w:rFonts w:hint="eastAsia" w:ascii="仿宋" w:hAnsi="仿宋" w:eastAsia="仿宋" w:cs="仿宋"/>
                <w:i w:val="0"/>
                <w:iCs w:val="0"/>
                <w:color w:val="000000"/>
                <w:kern w:val="0"/>
                <w:sz w:val="18"/>
                <w:szCs w:val="18"/>
                <w:u w:val="none"/>
                <w:lang w:val="en-US" w:eastAsia="zh-CN" w:bidi="ar"/>
              </w:rPr>
              <w:t>成本</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1.97万元</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1.97万元</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728"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eastAsia="zh-CN"/>
              </w:rPr>
              <w:t>提升财政资金使用效益</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  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消除安全隐患</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保证粮食安全</w:t>
            </w:r>
          </w:p>
        </w:tc>
        <w:tc>
          <w:tcPr>
            <w:tcW w:w="1357"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57"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8"/>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9"/>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bookmarkStart w:id="0" w:name="_GoBack"/>
      <w:bookmarkEnd w:id="0"/>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991"/>
        <w:gridCol w:w="1905"/>
        <w:gridCol w:w="1357"/>
        <w:gridCol w:w="1088"/>
        <w:gridCol w:w="1261"/>
        <w:gridCol w:w="31"/>
        <w:gridCol w:w="1983"/>
      </w:tblGrid>
      <w:tr>
        <w:tblPrEx>
          <w:tblCellMar>
            <w:top w:w="0" w:type="dxa"/>
            <w:left w:w="108" w:type="dxa"/>
            <w:bottom w:w="0" w:type="dxa"/>
            <w:right w:w="108" w:type="dxa"/>
          </w:tblCellMar>
        </w:tblPrEx>
        <w:trPr>
          <w:trHeight w:val="98" w:hRule="atLeast"/>
          <w:jc w:val="center"/>
        </w:trPr>
        <w:tc>
          <w:tcPr>
            <w:tcW w:w="10060" w:type="dxa"/>
            <w:gridSpan w:val="9"/>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粮油检验和监管经费</w:t>
            </w: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27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杨曜徽</w:t>
            </w:r>
            <w:r>
              <w:rPr>
                <w:rFonts w:hint="eastAsia" w:ascii="仿宋" w:hAnsi="仿宋" w:eastAsia="仿宋" w:cs="仿宋"/>
                <w:color w:val="000000"/>
                <w:kern w:val="0"/>
                <w:sz w:val="18"/>
                <w:szCs w:val="18"/>
                <w:lang w:val="en-US" w:eastAsia="zh-CN"/>
              </w:rPr>
              <w:t>17707456333</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62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w:t>
            </w:r>
            <w:r>
              <w:rPr>
                <w:rFonts w:hint="eastAsia" w:ascii="仿宋" w:hAnsi="仿宋" w:eastAsia="仿宋" w:cs="仿宋"/>
                <w:color w:val="000000"/>
                <w:kern w:val="0"/>
                <w:sz w:val="18"/>
                <w:szCs w:val="18"/>
              </w:rPr>
              <w:t>发展和改革</w:t>
            </w:r>
            <w:r>
              <w:rPr>
                <w:rFonts w:hint="eastAsia" w:ascii="仿宋" w:hAnsi="仿宋" w:eastAsia="仿宋" w:cs="仿宋"/>
                <w:color w:val="000000"/>
                <w:kern w:val="0"/>
                <w:sz w:val="18"/>
                <w:szCs w:val="18"/>
                <w:lang w:eastAsia="zh-CN"/>
              </w:rPr>
              <w:t>委员会</w:t>
            </w:r>
          </w:p>
        </w:tc>
      </w:tr>
      <w:tr>
        <w:tblPrEx>
          <w:tblCellMar>
            <w:top w:w="0" w:type="dxa"/>
            <w:left w:w="108" w:type="dxa"/>
            <w:bottom w:w="0" w:type="dxa"/>
            <w:right w:w="108" w:type="dxa"/>
          </w:tblCellMar>
        </w:tblPrEx>
        <w:trPr>
          <w:trHeight w:val="425" w:hRule="atLeast"/>
          <w:jc w:val="center"/>
        </w:trPr>
        <w:tc>
          <w:tcPr>
            <w:tcW w:w="243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3262"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0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275" w:type="dxa"/>
            <w:gridSpan w:val="3"/>
            <w:tcBorders>
              <w:top w:val="single" w:color="auto" w:sz="4" w:space="0"/>
              <w:left w:val="single" w:color="auto" w:sz="4" w:space="0"/>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鹤城区发展和改革局</w:t>
            </w:r>
          </w:p>
        </w:tc>
      </w:tr>
      <w:tr>
        <w:tblPrEx>
          <w:tblCellMar>
            <w:top w:w="0" w:type="dxa"/>
            <w:left w:w="108" w:type="dxa"/>
            <w:bottom w:w="0" w:type="dxa"/>
            <w:right w:w="108" w:type="dxa"/>
          </w:tblCellMar>
        </w:tblPrEx>
        <w:trPr>
          <w:trHeight w:val="425" w:hRule="atLeast"/>
          <w:jc w:val="center"/>
        </w:trPr>
        <w:tc>
          <w:tcPr>
            <w:tcW w:w="2435"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9</w:t>
            </w: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9</w:t>
            </w: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p>
        </w:tc>
      </w:tr>
      <w:tr>
        <w:tblPrEx>
          <w:tblCellMar>
            <w:top w:w="0" w:type="dxa"/>
            <w:left w:w="108" w:type="dxa"/>
            <w:bottom w:w="0" w:type="dxa"/>
            <w:right w:w="108" w:type="dxa"/>
          </w:tblCellMar>
        </w:tblPrEx>
        <w:trPr>
          <w:trHeight w:val="425" w:hRule="atLeast"/>
          <w:jc w:val="center"/>
        </w:trPr>
        <w:tc>
          <w:tcPr>
            <w:tcW w:w="2435" w:type="dxa"/>
            <w:gridSpan w:val="3"/>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40" w:hRule="atLeast"/>
          <w:jc w:val="center"/>
        </w:trPr>
        <w:tc>
          <w:tcPr>
            <w:tcW w:w="2435" w:type="dxa"/>
            <w:gridSpan w:val="3"/>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省级资金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市级资金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302" w:hRule="atLeast"/>
          <w:jc w:val="center"/>
        </w:trPr>
        <w:tc>
          <w:tcPr>
            <w:tcW w:w="2435" w:type="dxa"/>
            <w:gridSpan w:val="3"/>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eastAsia="zh-CN"/>
              </w:rPr>
              <w:t>其他资金</w:t>
            </w:r>
          </w:p>
        </w:tc>
        <w:tc>
          <w:tcPr>
            <w:tcW w:w="13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349"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01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jc w:val="center"/>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做好区级储备粮的保管和轮换工作，保障储备粮安全。</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jc w:val="center"/>
              <w:rPr>
                <w:rFonts w:hint="eastAsia" w:ascii="仿宋" w:hAnsi="仿宋" w:eastAsia="仿宋" w:cs="仿宋"/>
                <w:b w:val="0"/>
                <w:bCs/>
                <w:color w:val="000000"/>
                <w:kern w:val="0"/>
                <w:sz w:val="18"/>
                <w:szCs w:val="18"/>
              </w:rPr>
            </w:pPr>
            <w:r>
              <w:rPr>
                <w:rFonts w:hint="eastAsia" w:ascii="仿宋" w:hAnsi="仿宋" w:eastAsia="仿宋" w:cs="仿宋"/>
                <w:b w:val="0"/>
                <w:bCs/>
                <w:color w:val="auto"/>
                <w:sz w:val="18"/>
                <w:szCs w:val="18"/>
                <w:lang w:val="en-US" w:eastAsia="zh-CN"/>
              </w:rPr>
              <w:t>做好区级储备粮的保管和轮换工作，保障储备粮安全。</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99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5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088"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92"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9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99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日常巡查次数</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lang w:val="en-US" w:eastAsia="zh-CN"/>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12次</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12次</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91"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粮油检验次数</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1次</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1次</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储备粮质量合格率</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lang w:val="en-US" w:eastAsia="zh-CN" w:bidi="ar-SA"/>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粮油检验和监管工作完成的及时性</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lang w:val="en-US" w:eastAsia="zh-CN" w:bidi="ar-SA"/>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粮油检验和监管</w:t>
            </w:r>
            <w:r>
              <w:rPr>
                <w:rFonts w:hint="eastAsia" w:ascii="仿宋" w:hAnsi="仿宋" w:eastAsia="仿宋" w:cs="仿宋"/>
                <w:sz w:val="18"/>
                <w:szCs w:val="18"/>
                <w:lang w:val="en-US" w:eastAsia="zh-CN"/>
              </w:rPr>
              <w:t>工作经费</w:t>
            </w:r>
            <w:r>
              <w:rPr>
                <w:rFonts w:hint="eastAsia" w:ascii="仿宋" w:hAnsi="仿宋" w:eastAsia="仿宋" w:cs="仿宋"/>
                <w:i w:val="0"/>
                <w:iCs w:val="0"/>
                <w:color w:val="000000"/>
                <w:kern w:val="0"/>
                <w:sz w:val="18"/>
                <w:szCs w:val="18"/>
                <w:u w:val="none"/>
                <w:lang w:val="en-US" w:eastAsia="zh-CN" w:bidi="ar"/>
              </w:rPr>
              <w:t>成本</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lang w:val="en-US" w:eastAsia="zh-CN" w:bidi="ar-SA"/>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1.97万元</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1.97万元</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728"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  指标</w:t>
            </w:r>
          </w:p>
        </w:tc>
        <w:tc>
          <w:tcPr>
            <w:tcW w:w="190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zh-CN"/>
              </w:rPr>
              <w:t>提升财政资金使用效益</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  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构建和谐的粮油市场</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lang w:val="en-US" w:eastAsia="zh-CN" w:bidi="ar-SA"/>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保证粮食安全</w:t>
            </w:r>
          </w:p>
        </w:tc>
        <w:tc>
          <w:tcPr>
            <w:tcW w:w="1357" w:type="dxa"/>
            <w:tcBorders>
              <w:top w:val="single" w:color="auto" w:sz="4" w:space="0"/>
              <w:left w:val="nil"/>
              <w:bottom w:val="single" w:color="auto" w:sz="4" w:space="0"/>
              <w:right w:val="single" w:color="auto" w:sz="4" w:space="0"/>
            </w:tcBorders>
            <w:noWrap/>
            <w:vAlign w:val="bottom"/>
          </w:tcPr>
          <w:p>
            <w:pPr>
              <w:widowControl/>
              <w:spacing w:line="280" w:lineRule="exact"/>
              <w:jc w:val="center"/>
              <w:rPr>
                <w:rFonts w:hint="eastAsia" w:ascii="仿宋" w:hAnsi="仿宋" w:eastAsia="仿宋" w:cs="仿宋"/>
                <w:color w:val="000000"/>
                <w:kern w:val="0"/>
                <w:sz w:val="18"/>
                <w:szCs w:val="18"/>
                <w:lang w:val="en-US" w:eastAsia="zh-CN" w:bidi="ar-SA"/>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92" w:type="dxa"/>
            <w:gridSpan w:val="2"/>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983" w:type="dxa"/>
            <w:tcBorders>
              <w:top w:val="single" w:color="auto" w:sz="4" w:space="0"/>
              <w:left w:val="nil"/>
              <w:bottom w:val="single" w:color="auto" w:sz="4" w:space="0"/>
              <w:right w:val="single" w:color="auto" w:sz="4" w:space="0"/>
            </w:tcBorders>
            <w:noWrap/>
            <w:vAlign w:val="bottom"/>
          </w:tcPr>
          <w:p>
            <w:pPr>
              <w:widowControl/>
              <w:spacing w:line="280" w:lineRule="exact"/>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9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90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57"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lang w:val="en-US" w:eastAsia="zh-CN" w:bidi="ar-SA"/>
              </w:rPr>
            </w:pPr>
          </w:p>
        </w:tc>
        <w:tc>
          <w:tcPr>
            <w:tcW w:w="108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9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983"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8"/>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9"/>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sectPr>
      <w:pgSz w:w="11906" w:h="16838"/>
      <w:pgMar w:top="1440" w:right="1800" w:bottom="1440"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YWRmZDc2NGJiM2M4MzVlMWRhYjUyMDM0OTFjNDEifQ=="/>
  </w:docVars>
  <w:rsids>
    <w:rsidRoot w:val="27B40453"/>
    <w:rsid w:val="00C93F5B"/>
    <w:rsid w:val="07177AA4"/>
    <w:rsid w:val="0A174921"/>
    <w:rsid w:val="10AE47DB"/>
    <w:rsid w:val="1B914051"/>
    <w:rsid w:val="220D31CA"/>
    <w:rsid w:val="22F1604A"/>
    <w:rsid w:val="276E2ACE"/>
    <w:rsid w:val="27B40453"/>
    <w:rsid w:val="2C820DC9"/>
    <w:rsid w:val="2D4935B2"/>
    <w:rsid w:val="349D49F2"/>
    <w:rsid w:val="431D1F2C"/>
    <w:rsid w:val="4FE53205"/>
    <w:rsid w:val="5EDE30AE"/>
    <w:rsid w:val="75E73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cs="Times New Roman"/>
    </w:rPr>
  </w:style>
  <w:style w:type="paragraph" w:styleId="3">
    <w:name w:val="toc 5"/>
    <w:basedOn w:val="1"/>
    <w:next w:val="1"/>
    <w:qFormat/>
    <w:uiPriority w:val="99"/>
    <w:pPr>
      <w:spacing w:line="600" w:lineRule="exact"/>
      <w:jc w:val="center"/>
    </w:pPr>
    <w:rPr>
      <w:rFonts w:ascii="仿宋_GB2312" w:eastAsia="仿宋_GB2312" w:cs="仿宋_GB2312"/>
      <w:b/>
      <w:bCs/>
      <w:sz w:val="32"/>
      <w:szCs w:val="32"/>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7">
    <w:name w:val="无间隔"/>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_Style 1"/>
    <w:basedOn w:val="1"/>
    <w:qFormat/>
    <w:uiPriority w:val="99"/>
    <w:pPr>
      <w:spacing w:line="481" w:lineRule="atLeast"/>
      <w:ind w:firstLine="623"/>
      <w:textAlignment w:val="baseline"/>
    </w:pPr>
    <w:rPr>
      <w:color w:val="000000"/>
      <w:sz w:val="31"/>
      <w:szCs w:val="3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2023-09-19T00:05:00Z</dcterms:created>
  <dc:creator>Administrator</dc:creator>
  <cp:lastModifiedBy>Administrator</cp:lastModifiedBy>
  <dcterms:modified xsi:type="dcterms:W3CDTF">2023-09-20T02:01:58Z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979B7ED142B4467FAE0A4D39CFA75FC8_11</vt:lpwstr>
  </property>
</Properties>
</file>