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atLeast"/>
        <w:rPr>
          <w:rFonts w:hint="eastAsia" w:eastAsia="仿宋_GB2312"/>
          <w:spacing w:val="-2"/>
          <w:sz w:val="28"/>
          <w:szCs w:val="28"/>
          <w:lang w:val="en-US" w:eastAsia="zh-CN"/>
        </w:rPr>
      </w:pPr>
      <w:r>
        <w:rPr>
          <w:rFonts w:hint="eastAsia" w:eastAsia="仿宋_GB2312"/>
          <w:b/>
          <w:spacing w:val="-2"/>
          <w:sz w:val="32"/>
          <w:szCs w:val="44"/>
        </w:rPr>
        <w:t xml:space="preserve"> </w:t>
      </w:r>
    </w:p>
    <w:p>
      <w:pPr>
        <w:rPr>
          <w:rFonts w:ascii="Times New Roman" w:hAnsi="Times New Roman" w:eastAsia="黑体" w:cs="Times New Roman"/>
          <w:sz w:val="32"/>
          <w:szCs w:val="32"/>
        </w:rPr>
      </w:pPr>
      <w:r>
        <w:rPr>
          <w:rFonts w:hint="eastAsia" w:eastAsia="仿宋_GB2312"/>
          <w:b/>
          <w:spacing w:val="-2"/>
          <w:sz w:val="32"/>
          <w:szCs w:val="44"/>
        </w:rPr>
        <w:t xml:space="preserve">  </w:t>
      </w:r>
      <w:r>
        <w:rPr>
          <w:rFonts w:ascii="Times New Roman" w:hAnsi="Times New Roman" w:eastAsia="黑体" w:cs="Times New Roman"/>
          <w:sz w:val="32"/>
          <w:szCs w:val="32"/>
        </w:rPr>
        <w:t>附件4</w:t>
      </w: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w:t>
      </w:r>
      <w:r>
        <w:rPr>
          <w:rFonts w:hint="eastAsia" w:eastAsia="方正小标宋_GBK" w:cs="Times New Roman"/>
          <w:sz w:val="52"/>
          <w:szCs w:val="52"/>
          <w:lang w:val="en-US" w:eastAsia="zh-CN"/>
        </w:rPr>
        <w:t>2</w:t>
      </w:r>
      <w:r>
        <w:rPr>
          <w:rFonts w:ascii="Times New Roman" w:hAnsi="Times New Roman" w:eastAsia="方正小标宋_GBK" w:cs="Times New Roman"/>
          <w:sz w:val="52"/>
          <w:szCs w:val="52"/>
        </w:rPr>
        <w:t>年度</w:t>
      </w:r>
      <w:r>
        <w:rPr>
          <w:rFonts w:hint="eastAsia" w:ascii="Times New Roman" w:hAnsi="Times New Roman" w:eastAsia="方正小标宋_GBK" w:cs="Times New Roman"/>
          <w:sz w:val="52"/>
          <w:szCs w:val="52"/>
          <w:lang w:eastAsia="zh-CN"/>
        </w:rPr>
        <w:t>鹤城区发展和改革局</w:t>
      </w:r>
      <w:r>
        <w:rPr>
          <w:rFonts w:ascii="Times New Roman" w:hAnsi="Times New Roman" w:eastAsia="方正小标宋_GBK" w:cs="Times New Roman"/>
          <w:sz w:val="52"/>
          <w:szCs w:val="52"/>
        </w:rPr>
        <w:t>部门（单位）整体支出绩效自评报告</w:t>
      </w:r>
    </w:p>
    <w:p>
      <w:pPr>
        <w:jc w:val="both"/>
        <w:rPr>
          <w:rFonts w:ascii="Times New Roman" w:hAnsi="Times New Roman" w:eastAsia="楷体_GB2312" w:cs="Times New Roman"/>
          <w:b/>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both"/>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spacing w:line="600" w:lineRule="exact"/>
        <w:ind w:firstLine="1920" w:firstLineChars="6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单位名称：</w:t>
      </w:r>
      <w:r>
        <w:rPr>
          <w:rFonts w:ascii="Times New Roman" w:hAnsi="Times New Roman" w:eastAsia="仿宋_GB2312" w:cs="Times New Roman"/>
          <w:sz w:val="32"/>
          <w:szCs w:val="32"/>
          <w:u w:val="single"/>
        </w:rPr>
        <w:t xml:space="preserve">（盖章）        </w:t>
      </w:r>
    </w:p>
    <w:p>
      <w:pPr>
        <w:spacing w:line="600" w:lineRule="exact"/>
        <w:jc w:val="center"/>
        <w:rPr>
          <w:rFonts w:ascii="Times New Roman" w:hAnsi="Times New Roman" w:eastAsia="楷体_GB2312" w:cs="Times New Roman"/>
          <w:sz w:val="32"/>
          <w:szCs w:val="32"/>
        </w:rPr>
      </w:pPr>
      <w:r>
        <w:rPr>
          <w:rFonts w:hint="eastAsia" w:eastAsia="楷体_GB2312" w:cs="Times New Roman"/>
          <w:sz w:val="32"/>
          <w:szCs w:val="32"/>
          <w:lang w:val="en-US" w:eastAsia="zh-CN"/>
        </w:rPr>
        <w:t>2023</w:t>
      </w:r>
      <w:r>
        <w:rPr>
          <w:rFonts w:ascii="Times New Roman" w:hAnsi="Times New Roman" w:eastAsia="楷体_GB2312" w:cs="Times New Roman"/>
          <w:sz w:val="32"/>
          <w:szCs w:val="32"/>
        </w:rPr>
        <w:t>年</w:t>
      </w:r>
      <w:r>
        <w:rPr>
          <w:rFonts w:hint="eastAsia" w:eastAsia="楷体_GB2312" w:cs="Times New Roman"/>
          <w:sz w:val="32"/>
          <w:szCs w:val="32"/>
          <w:lang w:val="en-US" w:eastAsia="zh-CN"/>
        </w:rPr>
        <w:t>9</w:t>
      </w:r>
      <w:r>
        <w:rPr>
          <w:rFonts w:ascii="Times New Roman" w:hAnsi="Times New Roman" w:eastAsia="楷体_GB2312" w:cs="Times New Roman"/>
          <w:sz w:val="32"/>
          <w:szCs w:val="32"/>
        </w:rPr>
        <w:t>月</w:t>
      </w:r>
      <w:r>
        <w:rPr>
          <w:rFonts w:hint="eastAsia" w:eastAsia="楷体_GB2312" w:cs="Times New Roman"/>
          <w:sz w:val="32"/>
          <w:szCs w:val="32"/>
          <w:lang w:val="en-US" w:eastAsia="zh-CN"/>
        </w:rPr>
        <w:t>18</w:t>
      </w:r>
      <w:r>
        <w:rPr>
          <w:rFonts w:ascii="Times New Roman" w:hAnsi="Times New Roman" w:eastAsia="楷体_GB2312" w:cs="Times New Roman"/>
          <w:sz w:val="32"/>
          <w:szCs w:val="32"/>
        </w:rPr>
        <w:t>日</w:t>
      </w:r>
    </w:p>
    <w:p>
      <w:pPr>
        <w:jc w:val="center"/>
        <w:rPr>
          <w:rFonts w:ascii="Times New Roman" w:hAnsi="Times New Roman" w:eastAsia="黑体" w:cs="Times New Roman"/>
          <w:sz w:val="32"/>
          <w:szCs w:val="32"/>
        </w:rPr>
      </w:pPr>
    </w:p>
    <w:p>
      <w:pPr>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（此页为封面）</w:t>
      </w:r>
    </w:p>
    <w:p>
      <w:pPr>
        <w:widowControl/>
        <w:shd w:val="clear" w:color="auto" w:fill="FFFFFF"/>
        <w:spacing w:line="600" w:lineRule="atLeast"/>
        <w:rPr>
          <w:rFonts w:hint="eastAsia" w:eastAsia="仿宋_GB2312"/>
          <w:b/>
          <w:spacing w:val="-2"/>
          <w:sz w:val="32"/>
          <w:szCs w:val="44"/>
        </w:rPr>
      </w:pPr>
      <w:r>
        <w:rPr>
          <w:rFonts w:ascii="Times New Roman" w:hAnsi="Times New Roman" w:eastAsia="仿宋_GB2312" w:cs="Times New Roman"/>
          <w:sz w:val="32"/>
          <w:szCs w:val="32"/>
        </w:rPr>
        <w:br w:type="page"/>
      </w:r>
    </w:p>
    <w:p>
      <w:pPr>
        <w:widowControl/>
        <w:shd w:val="clear" w:color="auto" w:fill="FFFFFF"/>
        <w:spacing w:line="600" w:lineRule="atLeast"/>
        <w:ind w:firstLine="1970" w:firstLineChars="450"/>
        <w:rPr>
          <w:rFonts w:hint="eastAsia" w:ascii="黑体" w:hAnsi="黑体" w:eastAsia="黑体" w:cs="黑体"/>
          <w:b/>
          <w:spacing w:val="-2"/>
          <w:sz w:val="44"/>
          <w:szCs w:val="44"/>
        </w:rPr>
      </w:pPr>
    </w:p>
    <w:p>
      <w:pPr>
        <w:widowControl/>
        <w:shd w:val="clear" w:color="auto" w:fill="FFFFFF"/>
        <w:spacing w:line="600" w:lineRule="atLeast"/>
        <w:ind w:firstLine="1970" w:firstLineChars="450"/>
        <w:rPr>
          <w:rFonts w:hint="eastAsia" w:ascii="黑体" w:hAnsi="黑体" w:eastAsia="黑体" w:cs="黑体"/>
          <w:b/>
          <w:spacing w:val="-2"/>
          <w:sz w:val="44"/>
          <w:szCs w:val="44"/>
        </w:rPr>
      </w:pPr>
      <w:r>
        <w:rPr>
          <w:rFonts w:hint="eastAsia" w:ascii="黑体" w:hAnsi="黑体" w:eastAsia="黑体" w:cs="黑体"/>
          <w:b/>
          <w:spacing w:val="-2"/>
          <w:sz w:val="44"/>
          <w:szCs w:val="44"/>
        </w:rPr>
        <w:t>部门整体支出绩效评价报告</w:t>
      </w:r>
    </w:p>
    <w:p>
      <w:pPr>
        <w:widowControl/>
        <w:shd w:val="clear" w:color="auto" w:fill="FFFFFF"/>
        <w:spacing w:line="600" w:lineRule="atLeast"/>
        <w:ind w:firstLine="640"/>
        <w:rPr>
          <w:rFonts w:ascii="楷体" w:hAnsi="楷体" w:eastAsia="楷体"/>
          <w:b/>
          <w:spacing w:val="-2"/>
          <w:sz w:val="32"/>
          <w:szCs w:val="32"/>
        </w:rPr>
      </w:pPr>
    </w:p>
    <w:p>
      <w:pPr>
        <w:widowControl/>
        <w:shd w:val="clear" w:color="auto" w:fill="FFFFFF"/>
        <w:spacing w:line="600" w:lineRule="atLeast"/>
        <w:ind w:firstLine="640"/>
        <w:rPr>
          <w:rFonts w:ascii="楷体" w:hAnsi="楷体" w:eastAsia="楷体"/>
          <w:b/>
          <w:spacing w:val="-2"/>
          <w:sz w:val="32"/>
          <w:szCs w:val="21"/>
        </w:rPr>
      </w:pPr>
      <w:r>
        <w:rPr>
          <w:rFonts w:ascii="楷体" w:hAnsi="楷体" w:eastAsia="楷体"/>
          <w:b/>
          <w:spacing w:val="-2"/>
          <w:sz w:val="32"/>
          <w:szCs w:val="32"/>
        </w:rPr>
        <w:t>一、部门概况</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196"/>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（一）部门基本情况（包括部门的在职人员情况、机构设置、主要职能及重点工作计划等）。</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196"/>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拟订并组织实施全区国民经济和社会发展战略、中长期规划和年度计划。研究提出加快建设现代化经济体系、推动高质量发展的总体目标、重大任务以及相关政策。研究提出和综合协调全区经济体制改革有关工作，提出相关改革建议。研究提出全区利用外资和境外投资的战略、规划、总量平衡和结构优化的政策。负责投资综合管理、推进落实区域协调发展战略、新型城镇化战略和重大政策、组织拟订综合性产业政策、推动实施创新驱动发展战略、拟订全区价格改革方案和年度计划、研究提出全区粮食宏观调控及粮食流通的中长期规划、研究提出全区战略物资储备规划、全区储备品种目录的建议、管理全区粮食、棉花和食糖储备等。</w:t>
      </w:r>
    </w:p>
    <w:p>
      <w:pPr>
        <w:keepNext w:val="0"/>
        <w:keepLines w:val="0"/>
        <w:pageBreakBefore w:val="0"/>
        <w:widowControl w:val="0"/>
        <w:kinsoku/>
        <w:wordWrap/>
        <w:overflowPunct/>
        <w:topLinePunct w:val="0"/>
        <w:autoSpaceDE/>
        <w:autoSpaceDN/>
        <w:bidi w:val="0"/>
        <w:adjustRightInd/>
        <w:snapToGrid/>
        <w:spacing w:line="600" w:lineRule="exact"/>
        <w:ind w:firstLine="627" w:firstLineChars="196"/>
        <w:textAlignment w:val="auto"/>
        <w:rPr>
          <w:rFonts w:hint="eastAsia" w:ascii="仿宋" w:hAnsi="仿宋" w:eastAsia="仿宋" w:cs="仿宋"/>
          <w:b w:val="0"/>
          <w:bCs w:val="0"/>
          <w:sz w:val="32"/>
          <w:szCs w:val="32"/>
          <w:lang w:eastAsia="zh-CN"/>
        </w:rPr>
      </w:pPr>
      <w:r>
        <w:rPr>
          <w:rFonts w:hint="eastAsia" w:ascii="仿宋_GB2312" w:hAnsi="宋体" w:eastAsia="仿宋_GB2312"/>
          <w:sz w:val="32"/>
          <w:szCs w:val="32"/>
          <w:lang w:val="en-US" w:eastAsia="zh-CN"/>
        </w:rPr>
        <w:t>鹤城区发展和改革局作为一级部门预算单位，内设12个职能股室，分别为：办公室、行政审批股、国民经济综合规划法规股、固定资产投资股、社会发展与财贸外经服务业股、农村经济股、环境资源与工业基础产业股、湘西地区开发和能源管理股、价格调控收费管理股、粮食行业发展和军粮供应股、粮食和战略物资储备股、人事和财务股。其他职能机构：怀化市鹤城区重点建设项目事务中心、怀化市鹤城区发展改革事务中心。</w:t>
      </w:r>
      <w:r>
        <w:rPr>
          <w:rFonts w:hint="eastAsia" w:ascii="仿宋" w:hAnsi="仿宋" w:eastAsia="仿宋" w:cs="仿宋"/>
          <w:b w:val="0"/>
          <w:bCs w:val="0"/>
          <w:sz w:val="32"/>
          <w:szCs w:val="32"/>
          <w:lang w:eastAsia="zh-CN"/>
        </w:rPr>
        <w:t>202</w:t>
      </w: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年年末总人数为</w:t>
      </w:r>
      <w:r>
        <w:rPr>
          <w:rFonts w:hint="eastAsia" w:ascii="仿宋" w:hAnsi="仿宋" w:eastAsia="仿宋" w:cs="仿宋"/>
          <w:b w:val="0"/>
          <w:bCs w:val="0"/>
          <w:sz w:val="32"/>
          <w:szCs w:val="32"/>
          <w:lang w:val="en-US" w:eastAsia="zh-CN"/>
        </w:rPr>
        <w:t>160</w:t>
      </w:r>
      <w:r>
        <w:rPr>
          <w:rFonts w:hint="eastAsia" w:ascii="仿宋" w:hAnsi="仿宋" w:eastAsia="仿宋" w:cs="仿宋"/>
          <w:b w:val="0"/>
          <w:bCs w:val="0"/>
          <w:sz w:val="32"/>
          <w:szCs w:val="32"/>
          <w:lang w:eastAsia="zh-CN"/>
        </w:rPr>
        <w:t>人，其中在职人员</w:t>
      </w:r>
      <w:r>
        <w:rPr>
          <w:rFonts w:hint="eastAsia" w:ascii="仿宋" w:hAnsi="仿宋" w:eastAsia="仿宋" w:cs="仿宋"/>
          <w:b w:val="0"/>
          <w:bCs w:val="0"/>
          <w:sz w:val="32"/>
          <w:szCs w:val="32"/>
          <w:lang w:val="en-US" w:eastAsia="zh-CN"/>
        </w:rPr>
        <w:t>79</w:t>
      </w:r>
      <w:r>
        <w:rPr>
          <w:rFonts w:hint="eastAsia" w:ascii="仿宋" w:hAnsi="仿宋" w:eastAsia="仿宋" w:cs="仿宋"/>
          <w:b w:val="0"/>
          <w:bCs w:val="0"/>
          <w:sz w:val="32"/>
          <w:szCs w:val="32"/>
          <w:lang w:eastAsia="zh-CN"/>
        </w:rPr>
        <w:t>人（其中：差额</w:t>
      </w:r>
      <w:r>
        <w:rPr>
          <w:rFonts w:hint="eastAsia" w:ascii="仿宋" w:hAnsi="仿宋" w:eastAsia="仿宋" w:cs="仿宋"/>
          <w:b w:val="0"/>
          <w:bCs w:val="0"/>
          <w:sz w:val="32"/>
          <w:szCs w:val="32"/>
          <w:lang w:val="en-US" w:eastAsia="zh-CN"/>
        </w:rPr>
        <w:t>2人，</w:t>
      </w:r>
      <w:r>
        <w:rPr>
          <w:rFonts w:hint="eastAsia" w:ascii="仿宋" w:hAnsi="仿宋" w:eastAsia="仿宋" w:cs="仿宋"/>
          <w:b w:val="0"/>
          <w:bCs w:val="0"/>
          <w:sz w:val="32"/>
          <w:szCs w:val="32"/>
          <w:lang w:eastAsia="zh-CN"/>
        </w:rPr>
        <w:t>自收自支人员</w:t>
      </w:r>
      <w:r>
        <w:rPr>
          <w:rFonts w:hint="eastAsia" w:ascii="仿宋" w:hAnsi="仿宋" w:eastAsia="仿宋" w:cs="仿宋"/>
          <w:b w:val="0"/>
          <w:bCs w:val="0"/>
          <w:sz w:val="32"/>
          <w:szCs w:val="32"/>
          <w:lang w:val="en-US" w:eastAsia="zh-CN"/>
        </w:rPr>
        <w:t>10</w:t>
      </w:r>
      <w:r>
        <w:rPr>
          <w:rFonts w:hint="eastAsia" w:ascii="仿宋" w:hAnsi="仿宋" w:eastAsia="仿宋" w:cs="仿宋"/>
          <w:b w:val="0"/>
          <w:bCs w:val="0"/>
          <w:sz w:val="32"/>
          <w:szCs w:val="32"/>
          <w:lang w:eastAsia="zh-CN"/>
        </w:rPr>
        <w:t>人），离退休人员</w:t>
      </w:r>
      <w:r>
        <w:rPr>
          <w:rFonts w:hint="eastAsia" w:ascii="仿宋" w:hAnsi="仿宋" w:eastAsia="仿宋" w:cs="仿宋"/>
          <w:b w:val="0"/>
          <w:bCs w:val="0"/>
          <w:sz w:val="32"/>
          <w:szCs w:val="32"/>
          <w:lang w:val="en-US" w:eastAsia="zh-CN"/>
        </w:rPr>
        <w:t>81</w:t>
      </w:r>
      <w:r>
        <w:rPr>
          <w:rFonts w:hint="eastAsia" w:ascii="仿宋" w:hAnsi="仿宋" w:eastAsia="仿宋" w:cs="仿宋"/>
          <w:b w:val="0"/>
          <w:bCs w:val="0"/>
          <w:sz w:val="32"/>
          <w:szCs w:val="32"/>
          <w:lang w:eastAsia="zh-CN"/>
        </w:rPr>
        <w:t>人（其中：离休</w:t>
      </w:r>
      <w:r>
        <w:rPr>
          <w:rFonts w:hint="eastAsia" w:ascii="仿宋" w:hAnsi="仿宋" w:eastAsia="仿宋" w:cs="仿宋"/>
          <w:b w:val="0"/>
          <w:bCs w:val="0"/>
          <w:sz w:val="32"/>
          <w:szCs w:val="32"/>
          <w:lang w:val="en-US" w:eastAsia="zh-CN"/>
        </w:rPr>
        <w:t>2人，退休79人）</w:t>
      </w:r>
      <w:r>
        <w:rPr>
          <w:rFonts w:hint="eastAsia" w:ascii="仿宋" w:hAnsi="仿宋" w:eastAsia="仿宋" w:cs="仿宋"/>
          <w:b w:val="0"/>
          <w:bCs w:val="0"/>
          <w:sz w:val="32"/>
          <w:szCs w:val="32"/>
          <w:lang w:eastAsia="zh-CN"/>
        </w:rPr>
        <w:t>。</w:t>
      </w:r>
    </w:p>
    <w:p>
      <w:pPr>
        <w:keepNext w:val="0"/>
        <w:keepLines w:val="0"/>
        <w:pageBreakBefore w:val="0"/>
        <w:kinsoku/>
        <w:wordWrap/>
        <w:overflowPunct/>
        <w:topLinePunct w:val="0"/>
        <w:autoSpaceDE/>
        <w:autoSpaceDN/>
        <w:bidi w:val="0"/>
        <w:adjustRightInd/>
        <w:snapToGrid/>
        <w:spacing w:line="580" w:lineRule="exact"/>
        <w:ind w:firstLine="632" w:firstLineChars="200"/>
        <w:textAlignment w:val="auto"/>
        <w:rPr>
          <w:rFonts w:hint="eastAsia" w:ascii="仿宋" w:hAnsi="仿宋" w:eastAsia="仿宋" w:cs="仿宋"/>
          <w:b w:val="0"/>
          <w:bCs w:val="0"/>
          <w:spacing w:val="-2"/>
          <w:sz w:val="32"/>
          <w:szCs w:val="32"/>
          <w:lang w:eastAsia="zh-CN"/>
        </w:rPr>
      </w:pPr>
      <w:r>
        <w:rPr>
          <w:rFonts w:hint="eastAsia" w:ascii="仿宋" w:hAnsi="仿宋" w:eastAsia="仿宋" w:cs="仿宋"/>
          <w:b w:val="0"/>
          <w:bCs w:val="0"/>
          <w:spacing w:val="-2"/>
          <w:sz w:val="32"/>
          <w:szCs w:val="32"/>
          <w:lang w:val="en-US" w:eastAsia="zh-CN"/>
        </w:rPr>
        <w:t>2022年工作</w:t>
      </w:r>
      <w:r>
        <w:rPr>
          <w:rFonts w:hint="eastAsia" w:ascii="仿宋" w:hAnsi="仿宋" w:eastAsia="仿宋" w:cs="仿宋"/>
          <w:b w:val="0"/>
          <w:bCs w:val="0"/>
          <w:spacing w:val="-2"/>
          <w:sz w:val="32"/>
          <w:szCs w:val="32"/>
        </w:rPr>
        <w:t>计划</w:t>
      </w:r>
      <w:r>
        <w:rPr>
          <w:rFonts w:hint="eastAsia" w:ascii="仿宋" w:hAnsi="仿宋" w:eastAsia="仿宋" w:cs="仿宋"/>
          <w:b w:val="0"/>
          <w:bCs w:val="0"/>
          <w:spacing w:val="-2"/>
          <w:sz w:val="32"/>
          <w:szCs w:val="32"/>
          <w:lang w:eastAsia="zh-CN"/>
        </w:rPr>
        <w:t>：</w:t>
      </w:r>
      <w:r>
        <w:rPr>
          <w:rFonts w:hint="eastAsia" w:ascii="仿宋" w:hAnsi="仿宋" w:eastAsia="仿宋" w:cs="仿宋"/>
          <w:b w:val="0"/>
          <w:bCs w:val="0"/>
          <w:color w:val="auto"/>
          <w:sz w:val="32"/>
          <w:szCs w:val="32"/>
          <w:highlight w:val="none"/>
          <w:lang w:val="en-US" w:eastAsia="zh-CN"/>
        </w:rPr>
        <w:t>落实</w:t>
      </w:r>
      <w:r>
        <w:rPr>
          <w:rFonts w:hint="eastAsia" w:ascii="仿宋" w:hAnsi="仿宋" w:eastAsia="仿宋" w:cs="仿宋"/>
          <w:b w:val="0"/>
          <w:bCs w:val="0"/>
          <w:color w:val="auto"/>
          <w:sz w:val="32"/>
          <w:szCs w:val="32"/>
          <w:highlight w:val="none"/>
        </w:rPr>
        <w:t>“三高四新”发展战略，</w:t>
      </w:r>
      <w:r>
        <w:rPr>
          <w:rFonts w:hint="eastAsia" w:ascii="仿宋" w:hAnsi="仿宋" w:eastAsia="仿宋" w:cs="仿宋"/>
          <w:b w:val="0"/>
          <w:bCs w:val="0"/>
          <w:color w:val="auto"/>
          <w:sz w:val="32"/>
          <w:szCs w:val="32"/>
          <w:highlight w:val="none"/>
          <w:lang w:val="en-US" w:eastAsia="zh-CN"/>
        </w:rPr>
        <w:t>按照区委、区政府</w:t>
      </w:r>
      <w:r>
        <w:rPr>
          <w:rFonts w:hint="eastAsia" w:ascii="仿宋" w:hAnsi="仿宋" w:eastAsia="仿宋" w:cs="仿宋"/>
          <w:b w:val="0"/>
          <w:bCs w:val="0"/>
          <w:color w:val="auto"/>
          <w:sz w:val="32"/>
          <w:szCs w:val="32"/>
          <w:highlight w:val="none"/>
        </w:rPr>
        <w:t>“强工兴旅、产城融合、康养宜居”发展思路，以“六个一批”为举措，</w:t>
      </w:r>
      <w:r>
        <w:rPr>
          <w:rFonts w:hint="eastAsia" w:ascii="仿宋" w:hAnsi="仿宋" w:eastAsia="仿宋" w:cs="仿宋"/>
          <w:b w:val="0"/>
          <w:bCs w:val="0"/>
          <w:color w:val="auto"/>
          <w:kern w:val="2"/>
          <w:sz w:val="32"/>
          <w:szCs w:val="32"/>
          <w:highlight w:val="none"/>
          <w:lang w:val="en-US" w:eastAsia="zh-CN" w:bidi="ar-SA"/>
        </w:rPr>
        <w:t>谋划包装一批项目，</w:t>
      </w:r>
      <w:r>
        <w:rPr>
          <w:rFonts w:hint="eastAsia" w:ascii="仿宋" w:hAnsi="仿宋" w:eastAsia="仿宋" w:cs="仿宋"/>
          <w:b w:val="0"/>
          <w:bCs w:val="0"/>
          <w:color w:val="auto"/>
          <w:kern w:val="2"/>
          <w:sz w:val="32"/>
          <w:szCs w:val="32"/>
          <w:highlight w:val="none"/>
        </w:rPr>
        <w:t>进一步增加六大百亿产业项目</w:t>
      </w:r>
      <w:r>
        <w:rPr>
          <w:rFonts w:hint="eastAsia" w:ascii="仿宋" w:hAnsi="仿宋" w:eastAsia="仿宋" w:cs="仿宋"/>
          <w:b w:val="0"/>
          <w:bCs w:val="0"/>
          <w:color w:val="auto"/>
          <w:kern w:val="2"/>
          <w:sz w:val="32"/>
          <w:szCs w:val="32"/>
          <w:highlight w:val="none"/>
          <w:lang w:eastAsia="zh-CN"/>
        </w:rPr>
        <w:t>；</w:t>
      </w:r>
      <w:r>
        <w:rPr>
          <w:rFonts w:hint="eastAsia" w:ascii="仿宋" w:hAnsi="仿宋" w:eastAsia="仿宋" w:cs="仿宋"/>
          <w:b w:val="0"/>
          <w:bCs w:val="0"/>
          <w:color w:val="auto"/>
          <w:kern w:val="2"/>
          <w:sz w:val="32"/>
          <w:szCs w:val="32"/>
          <w:highlight w:val="none"/>
          <w:lang w:val="en-US" w:eastAsia="zh-CN" w:bidi="ar-SA"/>
        </w:rPr>
        <w:t>对接争取一批资金，</w:t>
      </w:r>
      <w:r>
        <w:rPr>
          <w:rFonts w:hint="eastAsia" w:ascii="仿宋" w:hAnsi="仿宋" w:eastAsia="仿宋" w:cs="仿宋"/>
          <w:b w:val="0"/>
          <w:bCs w:val="0"/>
          <w:color w:val="auto"/>
          <w:kern w:val="2"/>
          <w:sz w:val="32"/>
          <w:szCs w:val="32"/>
          <w:highlight w:val="none"/>
        </w:rPr>
        <w:t>全力争取中央及省预算内资金</w:t>
      </w:r>
      <w:r>
        <w:rPr>
          <w:rFonts w:hint="eastAsia" w:ascii="仿宋" w:hAnsi="仿宋" w:eastAsia="仿宋" w:cs="仿宋"/>
          <w:b w:val="0"/>
          <w:bCs w:val="0"/>
          <w:color w:val="auto"/>
          <w:kern w:val="2"/>
          <w:sz w:val="32"/>
          <w:szCs w:val="32"/>
          <w:highlight w:val="none"/>
          <w:lang w:eastAsia="zh-CN"/>
        </w:rPr>
        <w:t>和</w:t>
      </w:r>
      <w:r>
        <w:rPr>
          <w:rFonts w:hint="eastAsia" w:ascii="仿宋" w:hAnsi="仿宋" w:eastAsia="仿宋" w:cs="仿宋"/>
          <w:b w:val="0"/>
          <w:bCs w:val="0"/>
          <w:color w:val="auto"/>
          <w:kern w:val="2"/>
          <w:sz w:val="32"/>
          <w:szCs w:val="32"/>
          <w:highlight w:val="none"/>
        </w:rPr>
        <w:t>专项债资金</w:t>
      </w:r>
      <w:r>
        <w:rPr>
          <w:rFonts w:hint="eastAsia" w:ascii="仿宋" w:hAnsi="仿宋" w:eastAsia="仿宋" w:cs="仿宋"/>
          <w:b w:val="0"/>
          <w:bCs w:val="0"/>
          <w:color w:val="auto"/>
          <w:kern w:val="2"/>
          <w:sz w:val="32"/>
          <w:szCs w:val="32"/>
          <w:highlight w:val="none"/>
          <w:lang w:eastAsia="zh-CN"/>
        </w:rPr>
        <w:t>；</w:t>
      </w:r>
      <w:r>
        <w:rPr>
          <w:rFonts w:hint="eastAsia" w:ascii="仿宋" w:hAnsi="仿宋" w:eastAsia="仿宋" w:cs="仿宋"/>
          <w:b w:val="0"/>
          <w:bCs w:val="0"/>
          <w:color w:val="auto"/>
          <w:kern w:val="2"/>
          <w:sz w:val="32"/>
          <w:szCs w:val="32"/>
          <w:highlight w:val="none"/>
          <w:lang w:val="en-US" w:eastAsia="zh-CN" w:bidi="ar-SA"/>
        </w:rPr>
        <w:t>管好推进一批项目，</w:t>
      </w:r>
      <w:r>
        <w:rPr>
          <w:rFonts w:hint="eastAsia" w:ascii="仿宋" w:hAnsi="仿宋" w:eastAsia="仿宋" w:cs="仿宋"/>
          <w:b w:val="0"/>
          <w:bCs w:val="0"/>
          <w:color w:val="auto"/>
          <w:kern w:val="2"/>
          <w:sz w:val="32"/>
          <w:szCs w:val="32"/>
          <w:highlight w:val="none"/>
        </w:rPr>
        <w:t>用好平台</w:t>
      </w:r>
      <w:r>
        <w:rPr>
          <w:rFonts w:hint="eastAsia" w:ascii="仿宋" w:hAnsi="仿宋" w:eastAsia="仿宋" w:cs="仿宋"/>
          <w:b w:val="0"/>
          <w:bCs w:val="0"/>
          <w:color w:val="auto"/>
          <w:kern w:val="2"/>
          <w:sz w:val="32"/>
          <w:szCs w:val="32"/>
          <w:highlight w:val="none"/>
          <w:lang w:eastAsia="zh-CN"/>
        </w:rPr>
        <w:t>，</w:t>
      </w:r>
      <w:r>
        <w:rPr>
          <w:rFonts w:hint="eastAsia" w:ascii="仿宋" w:hAnsi="仿宋" w:eastAsia="仿宋" w:cs="仿宋"/>
          <w:b w:val="0"/>
          <w:bCs w:val="0"/>
          <w:color w:val="auto"/>
          <w:kern w:val="2"/>
          <w:sz w:val="32"/>
          <w:szCs w:val="32"/>
          <w:highlight w:val="none"/>
        </w:rPr>
        <w:t>抓优前期</w:t>
      </w:r>
      <w:r>
        <w:rPr>
          <w:rFonts w:hint="eastAsia" w:ascii="仿宋" w:hAnsi="仿宋" w:eastAsia="仿宋" w:cs="仿宋"/>
          <w:b w:val="0"/>
          <w:bCs w:val="0"/>
          <w:color w:val="auto"/>
          <w:kern w:val="2"/>
          <w:sz w:val="32"/>
          <w:szCs w:val="32"/>
          <w:highlight w:val="none"/>
          <w:lang w:eastAsia="zh-CN"/>
        </w:rPr>
        <w:t>，</w:t>
      </w:r>
      <w:r>
        <w:rPr>
          <w:rFonts w:hint="eastAsia" w:ascii="仿宋" w:hAnsi="仿宋" w:eastAsia="仿宋" w:cs="仿宋"/>
          <w:b w:val="0"/>
          <w:bCs w:val="0"/>
          <w:color w:val="auto"/>
          <w:kern w:val="2"/>
          <w:sz w:val="32"/>
          <w:szCs w:val="32"/>
          <w:highlight w:val="none"/>
        </w:rPr>
        <w:t>抓好入统</w:t>
      </w:r>
      <w:r>
        <w:rPr>
          <w:rFonts w:hint="eastAsia" w:ascii="仿宋" w:hAnsi="仿宋" w:eastAsia="仿宋" w:cs="仿宋"/>
          <w:b w:val="0"/>
          <w:bCs w:val="0"/>
          <w:color w:val="auto"/>
          <w:kern w:val="2"/>
          <w:sz w:val="32"/>
          <w:szCs w:val="32"/>
          <w:highlight w:val="none"/>
          <w:lang w:eastAsia="zh-CN"/>
        </w:rPr>
        <w:t>；</w:t>
      </w:r>
      <w:r>
        <w:rPr>
          <w:rFonts w:hint="eastAsia" w:ascii="仿宋" w:hAnsi="仿宋" w:eastAsia="仿宋" w:cs="仿宋"/>
          <w:b w:val="0"/>
          <w:bCs w:val="0"/>
          <w:color w:val="auto"/>
          <w:kern w:val="2"/>
          <w:sz w:val="32"/>
          <w:szCs w:val="32"/>
          <w:highlight w:val="none"/>
          <w:lang w:val="en-US" w:eastAsia="zh-CN" w:bidi="ar-SA"/>
        </w:rPr>
        <w:t>提升争优一批工作，</w:t>
      </w:r>
      <w:r>
        <w:rPr>
          <w:rFonts w:hint="eastAsia" w:ascii="仿宋" w:hAnsi="仿宋" w:eastAsia="仿宋" w:cs="仿宋"/>
          <w:b w:val="0"/>
          <w:bCs w:val="0"/>
          <w:color w:val="auto"/>
          <w:kern w:val="2"/>
          <w:sz w:val="32"/>
          <w:szCs w:val="32"/>
          <w:highlight w:val="none"/>
        </w:rPr>
        <w:t>扛稳粮食安全责任</w:t>
      </w:r>
      <w:r>
        <w:rPr>
          <w:rFonts w:hint="eastAsia" w:ascii="仿宋" w:hAnsi="仿宋" w:eastAsia="仿宋" w:cs="仿宋"/>
          <w:b w:val="0"/>
          <w:bCs w:val="0"/>
          <w:color w:val="auto"/>
          <w:kern w:val="2"/>
          <w:sz w:val="32"/>
          <w:szCs w:val="32"/>
          <w:highlight w:val="none"/>
          <w:lang w:eastAsia="zh-CN"/>
        </w:rPr>
        <w:t>，</w:t>
      </w:r>
      <w:r>
        <w:rPr>
          <w:rFonts w:hint="eastAsia" w:ascii="仿宋" w:hAnsi="仿宋" w:eastAsia="仿宋" w:cs="仿宋"/>
          <w:b w:val="0"/>
          <w:bCs w:val="0"/>
          <w:color w:val="auto"/>
          <w:kern w:val="2"/>
          <w:sz w:val="32"/>
          <w:szCs w:val="32"/>
          <w:highlight w:val="none"/>
        </w:rPr>
        <w:t>加强价格认定工作</w:t>
      </w:r>
      <w:r>
        <w:rPr>
          <w:rFonts w:hint="eastAsia" w:ascii="仿宋" w:hAnsi="仿宋" w:eastAsia="仿宋" w:cs="仿宋"/>
          <w:b w:val="0"/>
          <w:bCs w:val="0"/>
          <w:color w:val="auto"/>
          <w:kern w:val="2"/>
          <w:sz w:val="32"/>
          <w:szCs w:val="32"/>
          <w:highlight w:val="none"/>
          <w:lang w:eastAsia="zh-CN"/>
        </w:rPr>
        <w:t>，</w:t>
      </w:r>
      <w:r>
        <w:rPr>
          <w:rFonts w:hint="eastAsia" w:ascii="仿宋" w:hAnsi="仿宋" w:eastAsia="仿宋" w:cs="仿宋"/>
          <w:b w:val="0"/>
          <w:bCs w:val="0"/>
          <w:color w:val="auto"/>
          <w:kern w:val="2"/>
          <w:sz w:val="32"/>
          <w:szCs w:val="32"/>
          <w:highlight w:val="none"/>
        </w:rPr>
        <w:t>强化价格监测预警</w:t>
      </w:r>
      <w:r>
        <w:rPr>
          <w:rFonts w:hint="eastAsia" w:ascii="仿宋" w:hAnsi="仿宋" w:eastAsia="仿宋" w:cs="仿宋"/>
          <w:b w:val="0"/>
          <w:bCs w:val="0"/>
          <w:color w:val="auto"/>
          <w:kern w:val="2"/>
          <w:sz w:val="32"/>
          <w:szCs w:val="32"/>
          <w:highlight w:val="none"/>
          <w:lang w:eastAsia="zh-CN"/>
        </w:rPr>
        <w:t>，</w:t>
      </w:r>
      <w:r>
        <w:rPr>
          <w:rFonts w:hint="eastAsia" w:ascii="仿宋" w:hAnsi="仿宋" w:eastAsia="仿宋" w:cs="仿宋"/>
          <w:b w:val="0"/>
          <w:bCs w:val="0"/>
          <w:color w:val="auto"/>
          <w:kern w:val="2"/>
          <w:sz w:val="32"/>
          <w:szCs w:val="32"/>
          <w:highlight w:val="none"/>
        </w:rPr>
        <w:t>做好易地扶贫搬迁工作</w:t>
      </w:r>
      <w:r>
        <w:rPr>
          <w:rFonts w:hint="eastAsia" w:ascii="仿宋" w:hAnsi="仿宋" w:eastAsia="仿宋" w:cs="仿宋"/>
          <w:b w:val="0"/>
          <w:bCs w:val="0"/>
          <w:color w:val="auto"/>
          <w:kern w:val="2"/>
          <w:sz w:val="32"/>
          <w:szCs w:val="32"/>
          <w:highlight w:val="none"/>
          <w:lang w:eastAsia="zh-CN"/>
        </w:rPr>
        <w:t>，</w:t>
      </w:r>
      <w:r>
        <w:rPr>
          <w:rFonts w:hint="eastAsia" w:ascii="仿宋" w:hAnsi="仿宋" w:eastAsia="仿宋" w:cs="仿宋"/>
          <w:b w:val="0"/>
          <w:bCs w:val="0"/>
          <w:color w:val="auto"/>
          <w:kern w:val="2"/>
          <w:sz w:val="32"/>
          <w:szCs w:val="32"/>
          <w:highlight w:val="none"/>
        </w:rPr>
        <w:t>加强社会信用体系建设</w:t>
      </w:r>
      <w:r>
        <w:rPr>
          <w:rFonts w:hint="eastAsia" w:ascii="仿宋" w:hAnsi="仿宋" w:eastAsia="仿宋" w:cs="仿宋"/>
          <w:b w:val="0"/>
          <w:bCs w:val="0"/>
          <w:color w:val="auto"/>
          <w:kern w:val="2"/>
          <w:sz w:val="32"/>
          <w:szCs w:val="32"/>
          <w:highlight w:val="none"/>
          <w:lang w:eastAsia="zh-CN"/>
        </w:rPr>
        <w:t>，</w:t>
      </w:r>
      <w:r>
        <w:rPr>
          <w:rFonts w:hint="eastAsia" w:ascii="仿宋" w:hAnsi="仿宋" w:eastAsia="仿宋" w:cs="仿宋"/>
          <w:b w:val="0"/>
          <w:bCs w:val="0"/>
          <w:color w:val="auto"/>
          <w:kern w:val="2"/>
          <w:sz w:val="32"/>
          <w:szCs w:val="32"/>
          <w:highlight w:val="none"/>
          <w:lang w:val="en-US" w:eastAsia="zh-CN"/>
        </w:rPr>
        <w:t>做好价格管理工作。</w:t>
      </w:r>
    </w:p>
    <w:p>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（二）部门整体支出规模、使用方向和主要内容、涉及范围等。</w:t>
      </w:r>
    </w:p>
    <w:p>
      <w:pPr>
        <w:widowControl/>
        <w:shd w:val="clear" w:color="auto" w:fill="FFFFFF"/>
        <w:spacing w:line="600" w:lineRule="atLeast"/>
        <w:ind w:firstLine="640"/>
        <w:rPr>
          <w:rFonts w:hint="eastAsia" w:ascii="仿宋" w:hAnsi="仿宋" w:eastAsia="仿宋" w:cs="仿宋"/>
          <w:b w:val="0"/>
          <w:bCs w:val="0"/>
          <w:spacing w:val="-2"/>
          <w:sz w:val="32"/>
          <w:szCs w:val="32"/>
        </w:rPr>
      </w:pPr>
      <w:r>
        <w:rPr>
          <w:rFonts w:hint="eastAsia" w:ascii="仿宋" w:hAnsi="仿宋" w:eastAsia="仿宋" w:cs="仿宋"/>
          <w:b w:val="0"/>
          <w:bCs w:val="0"/>
          <w:sz w:val="32"/>
          <w:szCs w:val="32"/>
          <w:lang w:val="en-US" w:eastAsia="zh-CN"/>
        </w:rPr>
        <w:t>2022年部门整体支出规模1382.35万元，其中：基本支出1020.76万元，项目支出361.59万元。我局</w:t>
      </w:r>
      <w:r>
        <w:rPr>
          <w:rFonts w:hint="default" w:ascii="仿宋_GB2312" w:hAnsi="仿宋_GB2312" w:eastAsia="仿宋_GB2312" w:cs="仿宋_GB2312"/>
          <w:b w:val="0"/>
          <w:bCs w:val="0"/>
          <w:sz w:val="32"/>
          <w:szCs w:val="32"/>
        </w:rPr>
        <w:t>在区委、区政府的正确领导下，坚持以习近平新时代中国特色社会主义思想为指导，围绕发改主责主业，坚持</w:t>
      </w:r>
      <w:r>
        <w:rPr>
          <w:rFonts w:hint="eastAsia" w:ascii="仿宋_GB2312" w:hAnsi="仿宋_GB2312" w:eastAsia="仿宋_GB2312" w:cs="仿宋_GB2312"/>
          <w:b w:val="0"/>
          <w:bCs w:val="0"/>
          <w:sz w:val="32"/>
          <w:szCs w:val="32"/>
          <w:lang w:val="en-US" w:eastAsia="zh-CN"/>
        </w:rPr>
        <w:t>稳字当头、</w:t>
      </w:r>
      <w:r>
        <w:rPr>
          <w:rFonts w:hint="default" w:ascii="仿宋_GB2312" w:hAnsi="仿宋_GB2312" w:eastAsia="仿宋_GB2312" w:cs="仿宋_GB2312"/>
          <w:b w:val="0"/>
          <w:bCs w:val="0"/>
          <w:sz w:val="32"/>
          <w:szCs w:val="32"/>
        </w:rPr>
        <w:t>稳中求进，统筹推进稳增长、促改革、谋发展</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惠民生</w:t>
      </w:r>
      <w:r>
        <w:rPr>
          <w:rFonts w:hint="default"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较好地完成了年初</w:t>
      </w:r>
      <w:r>
        <w:rPr>
          <w:rFonts w:hint="default" w:ascii="仿宋_GB2312" w:hAnsi="仿宋_GB2312" w:eastAsia="仿宋_GB2312" w:cs="仿宋_GB2312"/>
          <w:b w:val="0"/>
          <w:bCs w:val="0"/>
          <w:sz w:val="32"/>
          <w:szCs w:val="32"/>
          <w:lang w:eastAsia="zh-CN"/>
        </w:rPr>
        <w:t>各项目标任务</w:t>
      </w:r>
      <w:r>
        <w:rPr>
          <w:rFonts w:hint="default" w:ascii="仿宋_GB2312" w:hAnsi="仿宋_GB2312" w:eastAsia="仿宋_GB2312" w:cs="仿宋_GB2312"/>
          <w:b w:val="0"/>
          <w:bCs w:val="0"/>
          <w:sz w:val="32"/>
          <w:szCs w:val="32"/>
        </w:rPr>
        <w:t>。</w:t>
      </w:r>
    </w:p>
    <w:p>
      <w:pPr>
        <w:widowControl/>
        <w:shd w:val="clear" w:color="auto" w:fill="FFFFFF"/>
        <w:spacing w:line="600" w:lineRule="atLeast"/>
        <w:ind w:firstLine="640"/>
        <w:rPr>
          <w:rFonts w:ascii="楷体" w:hAnsi="楷体" w:eastAsia="楷体"/>
          <w:b/>
          <w:spacing w:val="-2"/>
          <w:sz w:val="32"/>
          <w:szCs w:val="21"/>
        </w:rPr>
      </w:pPr>
      <w:r>
        <w:rPr>
          <w:rFonts w:ascii="楷体" w:hAnsi="楷体" w:eastAsia="楷体"/>
          <w:b/>
          <w:spacing w:val="-2"/>
          <w:sz w:val="32"/>
          <w:szCs w:val="32"/>
        </w:rPr>
        <w:t>二、部门整体支出管理及使用情况</w:t>
      </w:r>
    </w:p>
    <w:p>
      <w:pPr>
        <w:widowControl/>
        <w:shd w:val="clear" w:color="auto" w:fill="FFFFFF"/>
        <w:spacing w:line="600" w:lineRule="atLeast"/>
        <w:ind w:firstLine="643"/>
        <w:rPr>
          <w:rFonts w:ascii="仿宋" w:hAnsi="仿宋" w:eastAsia="仿宋"/>
          <w:b/>
          <w:spacing w:val="-2"/>
          <w:sz w:val="32"/>
          <w:szCs w:val="21"/>
        </w:rPr>
      </w:pPr>
      <w:r>
        <w:rPr>
          <w:rFonts w:ascii="仿宋" w:hAnsi="仿宋" w:eastAsia="仿宋"/>
          <w:b/>
          <w:spacing w:val="-2"/>
          <w:sz w:val="32"/>
          <w:szCs w:val="32"/>
        </w:rPr>
        <w:t>（一）基本支出</w:t>
      </w:r>
    </w:p>
    <w:p>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介绍基本支出的主要用途、范围以及资金的管理情况，尤其是“三公”经费的使用和管理情况。</w:t>
      </w:r>
    </w:p>
    <w:p>
      <w:pPr>
        <w:widowControl/>
        <w:shd w:val="clear" w:color="auto" w:fill="FFFFFF"/>
        <w:spacing w:line="600" w:lineRule="atLeast"/>
        <w:ind w:firstLine="640"/>
        <w:rPr>
          <w:rFonts w:hint="eastAsia" w:ascii="仿宋" w:hAnsi="仿宋" w:eastAsia="仿宋"/>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年决算基本支出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1020.76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比去年减少</w:t>
      </w:r>
      <w:r>
        <w:rPr>
          <w:rFonts w:hint="eastAsia" w:ascii="仿宋_GB2312" w:hAnsi="仿宋_GB2312" w:eastAsia="仿宋_GB2312" w:cs="仿宋_GB2312"/>
          <w:sz w:val="32"/>
          <w:szCs w:val="32"/>
          <w:lang w:val="en-US" w:eastAsia="zh-CN"/>
        </w:rPr>
        <w:t>94.09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减幅</w:t>
      </w:r>
      <w:r>
        <w:rPr>
          <w:rFonts w:hint="eastAsia" w:ascii="仿宋_GB2312" w:hAnsi="仿宋_GB2312" w:eastAsia="仿宋_GB2312" w:cs="仿宋_GB2312"/>
          <w:sz w:val="32"/>
          <w:szCs w:val="32"/>
          <w:lang w:val="en-US" w:eastAsia="zh-CN"/>
        </w:rPr>
        <w:t>6.37，</w:t>
      </w:r>
      <w:r>
        <w:rPr>
          <w:rFonts w:hint="eastAsia" w:ascii="仿宋" w:hAnsi="仿宋" w:eastAsia="仿宋"/>
          <w:sz w:val="32"/>
          <w:szCs w:val="32"/>
          <w:lang w:eastAsia="zh-CN"/>
        </w:rPr>
        <w:t>其中：</w:t>
      </w:r>
      <w:r>
        <w:rPr>
          <w:rFonts w:hint="eastAsia" w:ascii="仿宋" w:hAnsi="仿宋" w:eastAsia="仿宋"/>
          <w:sz w:val="32"/>
          <w:szCs w:val="32"/>
        </w:rPr>
        <w:t>人员支出</w:t>
      </w:r>
      <w:r>
        <w:rPr>
          <w:rFonts w:hint="eastAsia" w:ascii="仿宋" w:hAnsi="仿宋" w:eastAsia="仿宋"/>
          <w:sz w:val="32"/>
          <w:szCs w:val="32"/>
          <w:lang w:val="en-US" w:eastAsia="zh-CN"/>
        </w:rPr>
        <w:t>979.38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公用经费支出</w:t>
      </w:r>
      <w:r>
        <w:rPr>
          <w:rFonts w:hint="eastAsia" w:ascii="仿宋" w:hAnsi="仿宋" w:eastAsia="仿宋"/>
          <w:sz w:val="32"/>
          <w:szCs w:val="32"/>
          <w:lang w:val="en-US" w:eastAsia="zh-CN"/>
        </w:rPr>
        <w:t>41.38</w:t>
      </w:r>
      <w:r>
        <w:rPr>
          <w:rFonts w:hint="eastAsia" w:ascii="仿宋" w:hAnsi="仿宋" w:eastAsia="仿宋"/>
          <w:sz w:val="32"/>
          <w:szCs w:val="32"/>
        </w:rPr>
        <w:t>万元</w:t>
      </w:r>
      <w:r>
        <w:rPr>
          <w:rFonts w:hint="eastAsia" w:ascii="仿宋" w:hAnsi="仿宋" w:eastAsia="仿宋"/>
          <w:sz w:val="32"/>
          <w:szCs w:val="32"/>
          <w:lang w:eastAsia="zh-CN"/>
        </w:rPr>
        <w:t>。</w:t>
      </w:r>
    </w:p>
    <w:p>
      <w:pPr>
        <w:widowControl/>
        <w:shd w:val="clear" w:color="auto" w:fill="FFFFFF"/>
        <w:spacing w:line="600" w:lineRule="atLeast"/>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2022年机关</w:t>
      </w:r>
      <w:r>
        <w:rPr>
          <w:rFonts w:hint="eastAsia" w:ascii="仿宋" w:hAnsi="仿宋" w:eastAsia="仿宋"/>
          <w:sz w:val="32"/>
          <w:szCs w:val="32"/>
          <w:lang w:eastAsia="zh-CN"/>
        </w:rPr>
        <w:t>“三公经费”</w:t>
      </w:r>
      <w:r>
        <w:rPr>
          <w:rFonts w:hint="eastAsia" w:ascii="仿宋" w:hAnsi="仿宋" w:eastAsia="仿宋"/>
          <w:sz w:val="32"/>
          <w:szCs w:val="32"/>
          <w:lang w:val="en-US" w:eastAsia="zh-CN"/>
        </w:rPr>
        <w:t>0万元，较去年减少1.73万元。</w:t>
      </w:r>
    </w:p>
    <w:p>
      <w:pPr>
        <w:widowControl/>
        <w:shd w:val="clear" w:color="auto" w:fill="FFFFFF"/>
        <w:spacing w:line="600" w:lineRule="atLeast"/>
        <w:ind w:firstLine="643"/>
        <w:rPr>
          <w:rFonts w:ascii="楷体" w:hAnsi="楷体" w:eastAsia="楷体"/>
          <w:b/>
          <w:spacing w:val="-2"/>
          <w:sz w:val="32"/>
          <w:szCs w:val="21"/>
        </w:rPr>
      </w:pPr>
      <w:r>
        <w:rPr>
          <w:rFonts w:ascii="楷体" w:hAnsi="楷体" w:eastAsia="楷体"/>
          <w:b/>
          <w:spacing w:val="-2"/>
          <w:sz w:val="32"/>
          <w:szCs w:val="32"/>
        </w:rPr>
        <w:t>（二）专项支出</w:t>
      </w:r>
    </w:p>
    <w:p>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1、专项资金（包括财政资金、自筹资金等）安排落实、总投入等情况分析。</w:t>
      </w:r>
    </w:p>
    <w:p>
      <w:pPr>
        <w:ind w:firstLine="640" w:firstLineChars="200"/>
        <w:rPr>
          <w:rFonts w:hint="default" w:ascii="仿宋" w:hAnsi="仿宋" w:eastAsia="仿宋_GB2312" w:cs="仿宋"/>
          <w:sz w:val="32"/>
          <w:szCs w:val="32"/>
          <w:lang w:val="en-US" w:eastAsia="zh-CN"/>
        </w:rPr>
      </w:pPr>
      <w:r>
        <w:rPr>
          <w:rFonts w:hint="eastAsia" w:ascii="仿宋_GB2312" w:hAnsi="仿宋_GB2312" w:eastAsia="仿宋_GB2312" w:cs="仿宋_GB2312"/>
          <w:sz w:val="32"/>
          <w:szCs w:val="32"/>
          <w:lang w:val="en-US" w:eastAsia="zh-CN"/>
        </w:rPr>
        <w:t>2022年项目经费</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lang w:val="en-US" w:eastAsia="zh-CN"/>
        </w:rPr>
        <w:t>418万（财政拨款225万元，其他拨款193万元），</w:t>
      </w:r>
      <w:r>
        <w:rPr>
          <w:rFonts w:hint="eastAsia" w:ascii="仿宋_GB2312" w:hAnsi="仿宋_GB2312" w:eastAsia="仿宋_GB2312" w:cs="仿宋_GB2312"/>
          <w:sz w:val="32"/>
          <w:szCs w:val="32"/>
          <w:lang w:eastAsia="zh-CN"/>
        </w:rPr>
        <w:t>项目支出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361.59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（项目工作经费</w:t>
      </w:r>
      <w:r>
        <w:rPr>
          <w:rFonts w:hint="eastAsia" w:ascii="仿宋_GB2312" w:hAnsi="仿宋_GB2312" w:eastAsia="仿宋_GB2312" w:cs="仿宋_GB2312"/>
          <w:sz w:val="32"/>
          <w:szCs w:val="32"/>
          <w:lang w:val="en-US" w:eastAsia="zh-CN"/>
        </w:rPr>
        <w:t>121.1万元，专项经费240.49万元），</w:t>
      </w:r>
      <w:r>
        <w:rPr>
          <w:rFonts w:hint="eastAsia" w:ascii="仿宋_GB2312" w:hAnsi="仿宋_GB2312" w:eastAsia="仿宋_GB2312" w:cs="仿宋_GB2312"/>
          <w:sz w:val="32"/>
          <w:szCs w:val="32"/>
          <w:lang w:eastAsia="zh-CN"/>
        </w:rPr>
        <w:t>较去年减少</w:t>
      </w:r>
      <w:r>
        <w:rPr>
          <w:rFonts w:hint="eastAsia" w:ascii="仿宋_GB2312" w:hAnsi="仿宋_GB2312" w:eastAsia="仿宋_GB2312" w:cs="仿宋_GB2312"/>
          <w:sz w:val="32"/>
          <w:szCs w:val="32"/>
          <w:lang w:val="en-US" w:eastAsia="zh-CN"/>
        </w:rPr>
        <w:t>97.82万元</w:t>
      </w:r>
      <w:r>
        <w:rPr>
          <w:rFonts w:hint="eastAsia" w:ascii="仿宋_GB2312" w:hAnsi="仿宋_GB2312" w:eastAsia="仿宋_GB2312" w:cs="仿宋_GB2312"/>
          <w:sz w:val="32"/>
          <w:szCs w:val="32"/>
        </w:rPr>
        <w:t>。</w:t>
      </w:r>
    </w:p>
    <w:p>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2、专项资金（主要指财政资金）实际使用情况分析。</w:t>
      </w:r>
    </w:p>
    <w:p>
      <w:pPr>
        <w:widowControl/>
        <w:shd w:val="clear" w:color="auto" w:fill="FFFFFF"/>
        <w:spacing w:line="600" w:lineRule="atLeast"/>
        <w:ind w:firstLine="640"/>
        <w:rPr>
          <w:rFonts w:hint="eastAsia" w:ascii="仿宋" w:hAnsi="仿宋" w:eastAsia="仿宋" w:cs="仿宋"/>
          <w:sz w:val="32"/>
          <w:szCs w:val="32"/>
        </w:rPr>
      </w:pPr>
      <w:r>
        <w:rPr>
          <w:rFonts w:hint="eastAsia" w:ascii="仿宋" w:hAnsi="仿宋" w:eastAsia="仿宋" w:cs="仿宋"/>
          <w:sz w:val="32"/>
          <w:szCs w:val="32"/>
          <w:lang w:eastAsia="zh-CN"/>
        </w:rPr>
        <w:t>专项资金主要是用于</w:t>
      </w:r>
      <w:r>
        <w:rPr>
          <w:rFonts w:hint="eastAsia" w:ascii="仿宋" w:hAnsi="仿宋" w:eastAsia="仿宋" w:cs="仿宋"/>
          <w:sz w:val="32"/>
          <w:szCs w:val="32"/>
        </w:rPr>
        <w:t>全区重点项目规划及前期工作；统筹推进统一的信用信息平台建设，促进信用信息资源的整合与运用，协调社会信用建设的重大问题；监测、分析市场价格形势，组织实施价格总水平调控，依法处理价格违法和垄断开为，负责价格成本调查和监审各项工作所需的工作</w:t>
      </w:r>
      <w:r>
        <w:rPr>
          <w:rFonts w:hint="eastAsia" w:ascii="仿宋" w:hAnsi="仿宋" w:eastAsia="仿宋" w:cs="仿宋"/>
          <w:sz w:val="32"/>
          <w:szCs w:val="32"/>
          <w:lang w:eastAsia="zh-CN"/>
        </w:rPr>
        <w:t>经</w:t>
      </w:r>
      <w:r>
        <w:rPr>
          <w:rFonts w:hint="eastAsia" w:ascii="仿宋" w:hAnsi="仿宋" w:eastAsia="仿宋" w:cs="仿宋"/>
          <w:sz w:val="32"/>
          <w:szCs w:val="32"/>
        </w:rPr>
        <w:t>费。</w:t>
      </w:r>
    </w:p>
    <w:p>
      <w:pPr>
        <w:pStyle w:val="2"/>
        <w:rPr>
          <w:rFonts w:hint="default" w:eastAsia="仿宋"/>
          <w:lang w:val="en-US" w:eastAsia="zh-CN"/>
        </w:rPr>
      </w:pPr>
      <w:r>
        <w:rPr>
          <w:rFonts w:hint="eastAsia" w:ascii="仿宋" w:hAnsi="仿宋" w:eastAsia="仿宋" w:cs="仿宋"/>
          <w:sz w:val="32"/>
          <w:szCs w:val="32"/>
          <w:lang w:eastAsia="zh-CN"/>
        </w:rPr>
        <w:t>一是</w:t>
      </w:r>
      <w:r>
        <w:rPr>
          <w:rFonts w:hint="eastAsia" w:ascii="仿宋" w:hAnsi="仿宋" w:eastAsia="仿宋" w:cs="仿宋"/>
          <w:sz w:val="32"/>
          <w:szCs w:val="32"/>
          <w:highlight w:val="none"/>
          <w:lang w:eastAsia="zh-CN"/>
        </w:rPr>
        <w:t>社会信用体系建设工作经费</w:t>
      </w:r>
      <w:r>
        <w:rPr>
          <w:rFonts w:hint="eastAsia" w:ascii="仿宋" w:hAnsi="仿宋" w:eastAsia="仿宋" w:cs="仿宋"/>
          <w:sz w:val="32"/>
          <w:szCs w:val="32"/>
          <w:highlight w:val="none"/>
          <w:lang w:val="en-US" w:eastAsia="zh-CN"/>
        </w:rPr>
        <w:t>10万元。二是接产业转移、高质量发展、社会信用体系建设、重点项目储备库建设及项目前期、政府投资项目可研评估、粮食安全省长责任制落实情况考核经费项目招投标专项整治和社会信用体系建设工作经费3万。三是涉案物价格鉴证（认定）工作经费7.5万元。四是项目前期工作经费163.20万元。五是易地扶贫工作经费16万元。六是遗属提标经费1.6</w:t>
      </w:r>
      <w:r>
        <w:rPr>
          <w:rFonts w:hint="eastAsia" w:ascii="仿宋" w:hAnsi="仿宋" w:eastAsia="仿宋" w:cs="仿宋"/>
          <w:sz w:val="32"/>
          <w:szCs w:val="32"/>
          <w:lang w:val="en-US" w:eastAsia="zh-CN"/>
        </w:rPr>
        <w:t>8万元。七是储备粮利费补贴149.24万元。八是粮食仓房维修经费1.97万元。九是粮油检验和监管工作经费9万元。</w:t>
      </w:r>
    </w:p>
    <w:p>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3、专项资金管理情况分析，主要包括管理制度、办法的制订及执行情况。</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专项</w:t>
      </w:r>
      <w:r>
        <w:rPr>
          <w:rFonts w:hint="eastAsia" w:ascii="仿宋" w:hAnsi="仿宋" w:eastAsia="仿宋" w:cs="仿宋"/>
          <w:sz w:val="32"/>
          <w:szCs w:val="32"/>
        </w:rPr>
        <w:t>资</w:t>
      </w:r>
      <w:r>
        <w:rPr>
          <w:rFonts w:hint="eastAsia" w:ascii="仿宋" w:hAnsi="仿宋" w:eastAsia="仿宋" w:cs="仿宋"/>
          <w:sz w:val="32"/>
          <w:szCs w:val="32"/>
          <w:lang w:eastAsia="zh-CN"/>
        </w:rPr>
        <w:t>金都按照程序经</w:t>
      </w:r>
      <w:r>
        <w:rPr>
          <w:rFonts w:hint="eastAsia" w:ascii="仿宋" w:hAnsi="仿宋" w:eastAsia="仿宋" w:cs="仿宋"/>
          <w:sz w:val="32"/>
          <w:szCs w:val="32"/>
        </w:rPr>
        <w:t>过</w:t>
      </w:r>
      <w:r>
        <w:rPr>
          <w:rFonts w:hint="eastAsia" w:ascii="仿宋" w:hAnsi="仿宋" w:eastAsia="仿宋" w:cs="仿宋"/>
          <w:sz w:val="32"/>
          <w:szCs w:val="32"/>
          <w:lang w:eastAsia="zh-CN"/>
        </w:rPr>
        <w:t>财政</w:t>
      </w:r>
      <w:r>
        <w:rPr>
          <w:rFonts w:hint="eastAsia" w:ascii="仿宋" w:hAnsi="仿宋" w:eastAsia="仿宋" w:cs="仿宋"/>
          <w:sz w:val="32"/>
          <w:szCs w:val="32"/>
        </w:rPr>
        <w:t>审批</w:t>
      </w:r>
      <w:r>
        <w:rPr>
          <w:rFonts w:hint="eastAsia" w:ascii="仿宋" w:hAnsi="仿宋" w:eastAsia="仿宋" w:cs="仿宋"/>
          <w:sz w:val="32"/>
          <w:szCs w:val="32"/>
          <w:lang w:eastAsia="zh-CN"/>
        </w:rPr>
        <w:t>予以下拨，</w:t>
      </w:r>
      <w:r>
        <w:rPr>
          <w:rFonts w:hint="eastAsia" w:ascii="仿宋" w:hAnsi="仿宋" w:eastAsia="仿宋" w:cs="仿宋"/>
          <w:sz w:val="32"/>
          <w:szCs w:val="32"/>
        </w:rPr>
        <w:t>项目资金使用财务管理制度健全、管理规范，严格执行了财务管理制度。财务处理及时、会计核算规范；资金使用严格执行相关法律法规及项目管理相关制度。</w:t>
      </w:r>
    </w:p>
    <w:p>
      <w:pPr>
        <w:widowControl/>
        <w:shd w:val="clear" w:color="auto" w:fill="FFFFFF"/>
        <w:spacing w:line="600" w:lineRule="atLeast"/>
        <w:ind w:firstLine="640"/>
        <w:rPr>
          <w:rFonts w:ascii="楷体" w:hAnsi="楷体" w:eastAsia="楷体"/>
          <w:b/>
          <w:spacing w:val="-2"/>
          <w:sz w:val="32"/>
          <w:szCs w:val="21"/>
        </w:rPr>
      </w:pPr>
      <w:r>
        <w:rPr>
          <w:rFonts w:ascii="楷体" w:hAnsi="楷体" w:eastAsia="楷体"/>
          <w:b/>
          <w:spacing w:val="-2"/>
          <w:sz w:val="32"/>
          <w:szCs w:val="32"/>
        </w:rPr>
        <w:t>三、部门专项组织实施情况</w:t>
      </w:r>
    </w:p>
    <w:p>
      <w:pPr>
        <w:widowControl/>
        <w:shd w:val="clear" w:color="auto" w:fill="FFFFFF"/>
        <w:spacing w:line="600" w:lineRule="atLeast"/>
        <w:ind w:firstLine="640"/>
        <w:rPr>
          <w:rFonts w:ascii="仿宋" w:hAnsi="仿宋" w:eastAsia="仿宋"/>
          <w:spacing w:val="-2"/>
          <w:sz w:val="32"/>
          <w:szCs w:val="21"/>
        </w:rPr>
      </w:pPr>
      <w:r>
        <w:rPr>
          <w:rFonts w:ascii="仿宋" w:hAnsi="仿宋" w:eastAsia="仿宋"/>
          <w:spacing w:val="-2"/>
          <w:sz w:val="32"/>
          <w:szCs w:val="32"/>
        </w:rPr>
        <w:t>（一）专项组织情况分析，主要包括项目招投标、调整、竣工验收等情况。</w:t>
      </w:r>
    </w:p>
    <w:p>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（二）专项管理情况分析，主要包括项目管理制度建设、日常检查监督管理等情况。</w:t>
      </w:r>
    </w:p>
    <w:p>
      <w:pPr>
        <w:pStyle w:val="14"/>
        <w:spacing w:line="360" w:lineRule="auto"/>
        <w:ind w:firstLine="632" w:firstLineChars="200"/>
        <w:rPr>
          <w:rFonts w:hint="default" w:ascii="仿宋" w:hAnsi="仿宋" w:eastAsia="仿宋" w:cs="仿宋"/>
          <w:sz w:val="32"/>
          <w:szCs w:val="32"/>
          <w:lang w:val="en-US" w:eastAsia="zh-CN"/>
        </w:rPr>
      </w:pPr>
      <w:r>
        <w:rPr>
          <w:rFonts w:hint="eastAsia" w:ascii="仿宋" w:hAnsi="仿宋" w:eastAsia="仿宋"/>
          <w:spacing w:val="-2"/>
          <w:sz w:val="32"/>
          <w:szCs w:val="32"/>
          <w:lang w:val="en-US" w:eastAsia="zh-CN"/>
        </w:rPr>
        <w:t>涉及专款专用经费为下列四项：一是粮食仓房维修经费支出1.97万元，该笔经费严格按照程序由局业务股室、财务室审核，再报至区财政局审核后才下拨给粮食企业。</w:t>
      </w:r>
      <w:r>
        <w:rPr>
          <w:rFonts w:hint="eastAsia" w:ascii="仿宋" w:eastAsia="仿宋"/>
          <w:sz w:val="32"/>
          <w:szCs w:val="32"/>
          <w:lang w:eastAsia="zh-CN"/>
        </w:rPr>
        <w:t>二是</w:t>
      </w:r>
      <w:r>
        <w:rPr>
          <w:rFonts w:hint="eastAsia" w:ascii="仿宋_GB2312" w:hAnsi="仿宋_GB2312" w:eastAsia="仿宋_GB2312" w:cs="仿宋_GB2312"/>
          <w:sz w:val="32"/>
          <w:szCs w:val="32"/>
          <w:lang w:eastAsia="zh-CN"/>
        </w:rPr>
        <w:t>储备粮利费补贴支出</w:t>
      </w:r>
      <w:r>
        <w:rPr>
          <w:rFonts w:hint="eastAsia" w:ascii="仿宋_GB2312" w:hAnsi="仿宋_GB2312" w:eastAsia="仿宋_GB2312" w:cs="仿宋_GB2312"/>
          <w:sz w:val="32"/>
          <w:szCs w:val="32"/>
          <w:lang w:val="en-US" w:eastAsia="zh-CN"/>
        </w:rPr>
        <w:t>149.24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，该项经费包含储备粮保管费、轮换费、贷款利息、收购和轮换价差等。</w:t>
      </w:r>
      <w:r>
        <w:rPr>
          <w:rFonts w:hint="eastAsia" w:ascii="仿宋" w:hAnsi="仿宋" w:eastAsia="仿宋"/>
          <w:spacing w:val="-2"/>
          <w:sz w:val="32"/>
          <w:szCs w:val="32"/>
          <w:lang w:val="en-US" w:eastAsia="zh-CN"/>
        </w:rPr>
        <w:t>该笔经费严格按照程序由局业务股室、财务室审核，再报至区财政局审核后才下拨给承储粮食企业。三是项目前期支出87.6万元，系</w:t>
      </w:r>
      <w:r>
        <w:rPr>
          <w:rFonts w:hint="eastAsia" w:ascii="仿宋" w:hAnsi="仿宋" w:eastAsia="仿宋" w:cs="仿宋"/>
          <w:b w:val="0"/>
          <w:bCs w:val="0"/>
          <w:sz w:val="32"/>
          <w:szCs w:val="32"/>
          <w:lang w:eastAsia="zh-CN"/>
        </w:rPr>
        <w:t>政府投资项目</w:t>
      </w:r>
      <w:r>
        <w:rPr>
          <w:rFonts w:hint="eastAsia" w:ascii="仿宋" w:hAnsi="仿宋" w:eastAsia="仿宋" w:cs="仿宋"/>
          <w:sz w:val="32"/>
          <w:szCs w:val="32"/>
          <w:lang w:val="en-US" w:eastAsia="zh-CN"/>
        </w:rPr>
        <w:t>编制项目建设书、可研、评估、概算评审等项目前期费用，由各业务股室谋划包装项目，按相关程序请第三方编制项目建设书、可研、评估、概算评审。四是遗属提标经费支出1.68万元，用于落实遗属生活保障，维护社会稳定。</w:t>
      </w:r>
    </w:p>
    <w:p>
      <w:pPr>
        <w:widowControl/>
        <w:shd w:val="clear" w:color="auto" w:fill="FFFFFF"/>
        <w:spacing w:line="600" w:lineRule="atLeast"/>
        <w:ind w:firstLine="640"/>
        <w:rPr>
          <w:rFonts w:ascii="楷体" w:hAnsi="楷体" w:eastAsia="楷体"/>
          <w:b/>
          <w:spacing w:val="-2"/>
          <w:sz w:val="32"/>
          <w:szCs w:val="21"/>
        </w:rPr>
      </w:pPr>
      <w:r>
        <w:rPr>
          <w:rFonts w:ascii="楷体" w:hAnsi="楷体" w:eastAsia="楷体"/>
          <w:b/>
          <w:spacing w:val="-2"/>
          <w:sz w:val="32"/>
          <w:szCs w:val="32"/>
        </w:rPr>
        <w:t>四、资产管理情况</w:t>
      </w:r>
    </w:p>
    <w:p>
      <w:pPr>
        <w:keepNext w:val="0"/>
        <w:keepLines w:val="0"/>
        <w:pageBreakBefore w:val="0"/>
        <w:widowControl/>
        <w:numPr>
          <w:ilvl w:val="0"/>
          <w:numId w:val="0"/>
        </w:numPr>
        <w:kinsoku/>
        <w:wordWrap/>
        <w:overflowPunct/>
        <w:topLinePunct w:val="0"/>
        <w:autoSpaceDE/>
        <w:autoSpaceDN/>
        <w:bidi w:val="0"/>
        <w:adjustRightInd/>
        <w:snapToGrid/>
        <w:spacing w:line="500" w:lineRule="auto"/>
        <w:ind w:left="0" w:leftChars="0" w:right="0" w:rightChars="0" w:firstLine="632" w:firstLineChars="200"/>
        <w:jc w:val="left"/>
        <w:textAlignment w:val="auto"/>
        <w:outlineLvl w:val="9"/>
        <w:rPr>
          <w:rFonts w:hint="eastAsia" w:ascii="仿宋_GB2312" w:hAnsi="仿宋_GB2312" w:eastAsia="仿宋_GB2312" w:cs="仿宋_GB2312"/>
          <w:sz w:val="32"/>
          <w:szCs w:val="32"/>
          <w:lang w:val="en-US" w:eastAsia="zh-CN"/>
        </w:rPr>
      </w:pPr>
      <w:r>
        <w:rPr>
          <w:rFonts w:ascii="仿宋" w:hAnsi="仿宋" w:eastAsia="仿宋"/>
          <w:spacing w:val="-2"/>
          <w:sz w:val="32"/>
          <w:szCs w:val="32"/>
        </w:rPr>
        <w:t>反映部门资产的配置、管理、处置等综合情况。包括制度建设、管理措施、配置处置的程序等。</w:t>
      </w:r>
    </w:p>
    <w:p>
      <w:pPr>
        <w:keepNext w:val="0"/>
        <w:keepLines w:val="0"/>
        <w:pageBreakBefore w:val="0"/>
        <w:widowControl/>
        <w:numPr>
          <w:ilvl w:val="0"/>
          <w:numId w:val="0"/>
        </w:numPr>
        <w:kinsoku/>
        <w:wordWrap/>
        <w:overflowPunct/>
        <w:topLinePunct w:val="0"/>
        <w:autoSpaceDE/>
        <w:autoSpaceDN/>
        <w:bidi w:val="0"/>
        <w:adjustRightInd/>
        <w:snapToGrid/>
        <w:spacing w:line="500" w:lineRule="auto"/>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1、截至2022年12月31日，本部门无车辆，无50万元以上专用设备。</w:t>
      </w:r>
    </w:p>
    <w:p>
      <w:pPr>
        <w:widowControl/>
        <w:shd w:val="clear" w:color="auto" w:fill="FFFFFF"/>
        <w:spacing w:line="600" w:lineRule="atLeast"/>
        <w:ind w:firstLine="640"/>
        <w:rPr>
          <w:rFonts w:ascii="仿宋" w:hAnsi="仿宋" w:eastAsia="仿宋"/>
          <w:spacing w:val="-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b w:val="0"/>
          <w:bCs w:val="0"/>
          <w:sz w:val="32"/>
          <w:szCs w:val="32"/>
          <w:lang w:val="en-US" w:eastAsia="zh-CN"/>
        </w:rPr>
        <w:t>截至2022年</w:t>
      </w:r>
      <w:r>
        <w:rPr>
          <w:rFonts w:hint="eastAsia" w:ascii="仿宋_GB2312" w:hAnsi="仿宋_GB2312" w:eastAsia="仿宋_GB2312" w:cs="仿宋_GB2312"/>
          <w:sz w:val="32"/>
          <w:szCs w:val="32"/>
          <w:lang w:val="en-US" w:eastAsia="zh-CN"/>
        </w:rPr>
        <w:t>12月31日</w:t>
      </w:r>
      <w:r>
        <w:rPr>
          <w:rFonts w:hint="eastAsia" w:ascii="仿宋_GB2312" w:hAnsi="仿宋_GB2312" w:eastAsia="仿宋_GB2312" w:cs="仿宋_GB2312"/>
          <w:b w:val="0"/>
          <w:bCs w:val="0"/>
          <w:sz w:val="32"/>
          <w:szCs w:val="32"/>
          <w:lang w:val="en-US" w:eastAsia="zh-CN"/>
        </w:rPr>
        <w:t>，本部门无新增车辆，无新增50万元以上通用设备和专用设备。</w:t>
      </w:r>
    </w:p>
    <w:p>
      <w:pPr>
        <w:widowControl/>
        <w:shd w:val="clear" w:color="auto" w:fill="FFFFFF"/>
        <w:spacing w:line="600" w:lineRule="atLeast"/>
        <w:ind w:firstLine="640"/>
        <w:rPr>
          <w:rFonts w:ascii="楷体" w:hAnsi="楷体" w:eastAsia="楷体"/>
          <w:b/>
          <w:spacing w:val="-2"/>
          <w:sz w:val="32"/>
          <w:szCs w:val="21"/>
        </w:rPr>
      </w:pPr>
      <w:r>
        <w:rPr>
          <w:rFonts w:ascii="楷体" w:hAnsi="楷体" w:eastAsia="楷体"/>
          <w:b/>
          <w:spacing w:val="-2"/>
          <w:sz w:val="32"/>
          <w:szCs w:val="32"/>
        </w:rPr>
        <w:t>五、部门整体支出绩效情况</w:t>
      </w:r>
    </w:p>
    <w:p>
      <w:pPr>
        <w:widowControl/>
        <w:shd w:val="clear" w:color="auto" w:fill="FFFFFF"/>
        <w:spacing w:line="600" w:lineRule="atLeast"/>
        <w:ind w:firstLine="640"/>
        <w:rPr>
          <w:rFonts w:ascii="仿宋" w:hAnsi="仿宋" w:eastAsia="仿宋"/>
          <w:spacing w:val="-2"/>
          <w:sz w:val="32"/>
          <w:szCs w:val="32"/>
        </w:rPr>
      </w:pPr>
      <w:r>
        <w:rPr>
          <w:rFonts w:ascii="仿宋" w:hAnsi="仿宋" w:eastAsia="仿宋"/>
          <w:spacing w:val="-2"/>
          <w:sz w:val="32"/>
          <w:szCs w:val="32"/>
        </w:rPr>
        <w:t>反映部门履职及履职效益情况。主要从部门整体支出的经济性、效率性、有效性和可持续性等方面进行量化、具体分析。其中：经济性分析主要是对成本（预算）控制、节约等情况进行分析；效率性分析主要是对各项工作、专项完成的进度及质量等情况进行分析；有效性分析主要是对反映部门整体支出使用效果的个性指标进行分析；可持续性分析主要是对支出完成后，后续政策、资金、人员机构安排和管理措施等影响项目持续发展的因素进行分析。</w:t>
      </w:r>
    </w:p>
    <w:p>
      <w:pPr>
        <w:numPr>
          <w:ilvl w:val="0"/>
          <w:numId w:val="0"/>
        </w:numPr>
        <w:spacing w:line="560" w:lineRule="exact"/>
        <w:ind w:firstLine="640" w:firstLineChars="200"/>
        <w:rPr>
          <w:rFonts w:hint="eastAsia" w:ascii="仿宋" w:hAnsi="仿宋" w:eastAsia="仿宋"/>
          <w:sz w:val="32"/>
          <w:szCs w:val="32"/>
        </w:rPr>
      </w:pPr>
      <w:r>
        <w:rPr>
          <w:rFonts w:hint="eastAsia" w:ascii="Times New Roman" w:hAnsi="Times New Roman" w:eastAsia="仿宋_GB2312" w:cs="Times New Roman"/>
          <w:b w:val="0"/>
          <w:bCs w:val="0"/>
          <w:sz w:val="32"/>
          <w:szCs w:val="32"/>
          <w:lang w:val="en-US" w:eastAsia="zh-CN"/>
        </w:rPr>
        <w:t>鹤城区发改</w:t>
      </w:r>
      <w:r>
        <w:rPr>
          <w:rFonts w:hint="default" w:ascii="Times New Roman" w:hAnsi="Times New Roman" w:eastAsia="仿宋_GB2312" w:cs="Times New Roman"/>
          <w:b w:val="0"/>
          <w:bCs w:val="0"/>
          <w:sz w:val="32"/>
          <w:szCs w:val="32"/>
        </w:rPr>
        <w:t>局</w:t>
      </w:r>
      <w:r>
        <w:rPr>
          <w:rFonts w:hint="default" w:ascii="仿宋_GB2312" w:hAnsi="仿宋_GB2312" w:eastAsia="仿宋_GB2312" w:cs="仿宋_GB2312"/>
          <w:b w:val="0"/>
          <w:bCs w:val="0"/>
          <w:sz w:val="32"/>
          <w:szCs w:val="32"/>
        </w:rPr>
        <w:t>在区委、区政府的正确领导下，坚持以习近平新时代中国特色社会主义思想为指导，</w:t>
      </w:r>
      <w:r>
        <w:rPr>
          <w:rFonts w:hint="eastAsia" w:ascii="楷体" w:hAnsi="楷体" w:eastAsia="楷体" w:cs="楷体"/>
          <w:b w:val="0"/>
          <w:bCs w:val="0"/>
          <w:color w:val="auto"/>
          <w:sz w:val="32"/>
          <w:szCs w:val="32"/>
          <w:lang w:val="en-US" w:eastAsia="zh-CN"/>
        </w:rPr>
        <w:t>强化重点项目建设，全力扩大有效投资，坚持国家粮食安全战略，切实保障粮食安全，全面推进乡村振兴，落实易扶后扶政策，强化价格认定和监测，维护市场价格秩序，</w:t>
      </w:r>
      <w:r>
        <w:rPr>
          <w:rFonts w:hint="eastAsia" w:ascii="仿宋" w:hAnsi="仿宋" w:eastAsia="仿宋" w:cs="仿宋"/>
          <w:color w:val="000000"/>
          <w:kern w:val="0"/>
          <w:sz w:val="32"/>
          <w:szCs w:val="32"/>
          <w:lang w:val="en-US" w:eastAsia="zh-CN" w:bidi="ar-SA"/>
        </w:rPr>
        <w:t>完善了社会信用体系，较好地完成全年各项目标任务，</w:t>
      </w:r>
      <w:r>
        <w:rPr>
          <w:rFonts w:hint="eastAsia" w:ascii="楷体" w:hAnsi="楷体" w:eastAsia="楷体" w:cs="楷体"/>
          <w:b w:val="0"/>
          <w:bCs w:val="0"/>
          <w:color w:val="auto"/>
          <w:sz w:val="32"/>
          <w:szCs w:val="32"/>
          <w:lang w:val="en-US" w:eastAsia="zh-CN"/>
        </w:rPr>
        <w:t>全面履行工作职责，</w:t>
      </w:r>
      <w:r>
        <w:rPr>
          <w:rFonts w:hint="eastAsia" w:ascii="仿宋_GB2312" w:hAnsi="仿宋_GB2312" w:eastAsia="仿宋_GB2312" w:cs="仿宋_GB2312"/>
          <w:b w:val="0"/>
          <w:bCs w:val="0"/>
          <w:sz w:val="32"/>
          <w:szCs w:val="32"/>
          <w:lang w:val="en-US" w:eastAsia="zh-CN"/>
        </w:rPr>
        <w:t>较好地完成了年初</w:t>
      </w:r>
      <w:r>
        <w:rPr>
          <w:rFonts w:hint="default" w:ascii="仿宋_GB2312" w:hAnsi="仿宋_GB2312" w:eastAsia="仿宋_GB2312" w:cs="仿宋_GB2312"/>
          <w:b w:val="0"/>
          <w:bCs w:val="0"/>
          <w:sz w:val="32"/>
          <w:szCs w:val="32"/>
          <w:lang w:eastAsia="zh-CN"/>
        </w:rPr>
        <w:t>各项目标任务</w:t>
      </w:r>
      <w:r>
        <w:rPr>
          <w:rFonts w:hint="default" w:ascii="仿宋_GB2312" w:hAnsi="仿宋_GB2312" w:eastAsia="仿宋_GB2312" w:cs="仿宋_GB2312"/>
          <w:b w:val="0"/>
          <w:bCs w:val="0"/>
          <w:sz w:val="32"/>
          <w:szCs w:val="32"/>
        </w:rPr>
        <w:t>。</w:t>
      </w:r>
      <w:r>
        <w:rPr>
          <w:rFonts w:hint="eastAsia" w:ascii="仿宋" w:hAnsi="仿宋" w:eastAsia="仿宋"/>
          <w:sz w:val="32"/>
          <w:szCs w:val="32"/>
        </w:rPr>
        <w:t>自评分为</w:t>
      </w:r>
      <w:r>
        <w:rPr>
          <w:rFonts w:hint="eastAsia" w:ascii="仿宋" w:hAnsi="仿宋" w:eastAsia="仿宋"/>
          <w:sz w:val="32"/>
          <w:szCs w:val="32"/>
          <w:lang w:val="en-US" w:eastAsia="zh-CN"/>
        </w:rPr>
        <w:t>100</w:t>
      </w:r>
      <w:r>
        <w:rPr>
          <w:rFonts w:hint="eastAsia" w:ascii="仿宋" w:hAnsi="仿宋" w:eastAsia="仿宋"/>
          <w:sz w:val="32"/>
          <w:szCs w:val="32"/>
        </w:rPr>
        <w:t>分。</w:t>
      </w:r>
    </w:p>
    <w:p>
      <w:pPr>
        <w:pStyle w:val="3"/>
        <w:keepNext w:val="0"/>
        <w:keepLines w:val="0"/>
        <w:pageBreakBefore w:val="0"/>
        <w:widowControl w:val="0"/>
        <w:kinsoku/>
        <w:wordWrap/>
        <w:overflowPunct/>
        <w:topLinePunct w:val="0"/>
        <w:autoSpaceDE/>
        <w:autoSpaceDN/>
        <w:bidi w:val="0"/>
        <w:adjustRightInd/>
        <w:snapToGrid/>
        <w:spacing w:after="0" w:line="600" w:lineRule="exact"/>
        <w:ind w:firstLine="643" w:firstLineChars="200"/>
        <w:jc w:val="both"/>
        <w:textAlignment w:val="auto"/>
        <w:rPr>
          <w:rFonts w:hint="default" w:ascii="仿宋_GB2312" w:hAnsi="仿宋_GB2312" w:eastAsia="仿宋_GB2312" w:cs="仿宋_GB2312"/>
          <w:b w:val="0"/>
          <w:bCs w:val="0"/>
          <w:color w:val="auto"/>
          <w:kern w:val="2"/>
          <w:sz w:val="32"/>
          <w:szCs w:val="32"/>
          <w:u w:val="none"/>
          <w:lang w:val="en-US" w:eastAsia="zh-CN" w:bidi="ar-SA"/>
        </w:rPr>
      </w:pPr>
      <w:r>
        <w:rPr>
          <w:rFonts w:hint="eastAsia" w:ascii="楷体" w:hAnsi="楷体" w:eastAsia="楷体" w:cs="楷体"/>
          <w:b/>
          <w:bCs w:val="0"/>
          <w:color w:val="auto"/>
          <w:kern w:val="2"/>
          <w:sz w:val="32"/>
          <w:szCs w:val="24"/>
          <w:lang w:val="en-US" w:eastAsia="zh-CN" w:bidi="ar-SA"/>
        </w:rPr>
        <w:t>（一）开展经济运行监测，促进经济稳定发展。</w:t>
      </w:r>
      <w:r>
        <w:rPr>
          <w:rFonts w:hint="eastAsia" w:ascii="仿宋_GB2312" w:hAnsi="仿宋_GB2312" w:eastAsia="仿宋_GB2312" w:cs="仿宋_GB2312"/>
          <w:b w:val="0"/>
          <w:bCs w:val="0"/>
          <w:color w:val="auto"/>
          <w:kern w:val="2"/>
          <w:sz w:val="32"/>
          <w:szCs w:val="32"/>
          <w:u w:val="none"/>
          <w:lang w:val="en-US" w:eastAsia="zh-CN" w:bidi="ar-SA"/>
        </w:rPr>
        <w:t>坚持“月调度、季分析”工作制度，切实当好参谋助手，把握稳中求进总基调，有力应对了疫情冲击，全力促进经济高质量发展，全年完成地区生产总值增长418.07亿元，同比增长1.5%，全社会固定资产投资165.16亿元，同比增长6.6%，社会消费品零售总额294.46亿元，同比增长</w:t>
      </w:r>
      <w:r>
        <w:rPr>
          <w:rFonts w:hint="default" w:ascii="仿宋_GB2312" w:hAnsi="仿宋_GB2312" w:eastAsia="仿宋_GB2312" w:cs="仿宋_GB2312"/>
          <w:b w:val="0"/>
          <w:bCs w:val="0"/>
          <w:color w:val="auto"/>
          <w:kern w:val="2"/>
          <w:sz w:val="32"/>
          <w:szCs w:val="32"/>
          <w:u w:val="none"/>
          <w:lang w:val="en-US" w:eastAsia="zh-CN" w:bidi="ar-SA"/>
        </w:rPr>
        <w:t>0.</w:t>
      </w:r>
      <w:r>
        <w:rPr>
          <w:rFonts w:hint="eastAsia" w:ascii="仿宋_GB2312" w:hAnsi="仿宋_GB2312" w:eastAsia="仿宋_GB2312" w:cs="仿宋_GB2312"/>
          <w:b w:val="0"/>
          <w:bCs w:val="0"/>
          <w:color w:val="auto"/>
          <w:kern w:val="2"/>
          <w:sz w:val="32"/>
          <w:szCs w:val="32"/>
          <w:u w:val="none"/>
          <w:lang w:val="en-US" w:eastAsia="zh-CN" w:bidi="ar-SA"/>
        </w:rPr>
        <w:t>02%，规模以上工业增加值50.6亿元，同比增长</w:t>
      </w:r>
      <w:r>
        <w:rPr>
          <w:rFonts w:hint="default" w:ascii="仿宋_GB2312" w:hAnsi="仿宋_GB2312" w:eastAsia="仿宋_GB2312" w:cs="仿宋_GB2312"/>
          <w:b w:val="0"/>
          <w:bCs w:val="0"/>
          <w:color w:val="auto"/>
          <w:kern w:val="2"/>
          <w:sz w:val="32"/>
          <w:szCs w:val="32"/>
          <w:u w:val="none"/>
          <w:lang w:val="en-US" w:eastAsia="zh-CN" w:bidi="ar-SA"/>
        </w:rPr>
        <w:t>3.</w:t>
      </w:r>
      <w:r>
        <w:rPr>
          <w:rFonts w:hint="eastAsia" w:ascii="仿宋_GB2312" w:hAnsi="仿宋_GB2312" w:eastAsia="仿宋_GB2312" w:cs="仿宋_GB2312"/>
          <w:b w:val="0"/>
          <w:bCs w:val="0"/>
          <w:color w:val="auto"/>
          <w:kern w:val="2"/>
          <w:sz w:val="32"/>
          <w:szCs w:val="32"/>
          <w:u w:val="none"/>
          <w:lang w:val="en-US" w:eastAsia="zh-CN" w:bidi="ar-SA"/>
        </w:rPr>
        <w:t>9%；地方财政一般预算收入完成8.1亿元。城乡居民人均可支配收入分别为41387元和20215元，同比分别增长3.7%和6.2%。</w:t>
      </w:r>
    </w:p>
    <w:p>
      <w:pPr>
        <w:ind w:left="0" w:leftChars="0" w:firstLine="643" w:firstLineChars="200"/>
        <w:rPr>
          <w:rFonts w:hint="default" w:ascii="仿宋_GB2312" w:eastAsia="仿宋_GB2312"/>
          <w:b w:val="0"/>
          <w:bCs w:val="0"/>
          <w:color w:val="auto"/>
          <w:sz w:val="32"/>
          <w:szCs w:val="32"/>
          <w:u w:val="none"/>
          <w:lang w:val="en-US" w:eastAsia="zh-CN"/>
        </w:rPr>
      </w:pPr>
      <w:r>
        <w:rPr>
          <w:rFonts w:hint="eastAsia" w:ascii="楷体" w:hAnsi="楷体" w:eastAsia="楷体" w:cs="楷体"/>
          <w:b/>
          <w:bCs w:val="0"/>
          <w:color w:val="auto"/>
          <w:sz w:val="32"/>
          <w:lang w:val="en-US" w:eastAsia="zh-CN"/>
        </w:rPr>
        <w:t>（二）强化重点项目建设，全力扩大有效投资。</w:t>
      </w:r>
      <w:r>
        <w:rPr>
          <w:rFonts w:hint="eastAsia" w:ascii="仿宋_GB2312" w:hAnsi="仿宋_GB2312" w:eastAsia="仿宋_GB2312" w:cs="仿宋_GB2312"/>
          <w:b/>
          <w:bCs/>
          <w:color w:val="auto"/>
          <w:sz w:val="32"/>
          <w:szCs w:val="32"/>
          <w:highlight w:val="none"/>
          <w:lang w:val="en-US" w:eastAsia="zh-CN"/>
        </w:rPr>
        <w:t>一是狠抓重点项目建设。</w:t>
      </w:r>
      <w:r>
        <w:rPr>
          <w:rFonts w:hint="eastAsia" w:ascii="仿宋_GB2312" w:hAnsi="仿宋_GB2312" w:eastAsia="仿宋_GB2312" w:cs="仿宋_GB2312"/>
          <w:sz w:val="32"/>
          <w:szCs w:val="32"/>
          <w:lang w:val="en-US" w:eastAsia="zh-CN"/>
        </w:rPr>
        <w:t>大力开展“阔步新征程 奋力闯创干 喜迎二十大”活动，克服新冠肺炎疫情不利影响，</w:t>
      </w:r>
      <w:r>
        <w:rPr>
          <w:rFonts w:hint="eastAsia" w:ascii="Times New Roman" w:hAnsi="Times New Roman" w:eastAsia="仿宋_GB2312" w:cs="仿宋_GB2312"/>
          <w:sz w:val="32"/>
          <w:szCs w:val="32"/>
        </w:rPr>
        <w:t>按照</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每</w:t>
      </w:r>
      <w:r>
        <w:rPr>
          <w:rFonts w:hint="eastAsia" w:ascii="Times New Roman" w:hAnsi="Times New Roman" w:eastAsia="仿宋_GB2312" w:cs="仿宋_GB2312"/>
          <w:sz w:val="32"/>
          <w:szCs w:val="32"/>
          <w:lang w:val="en-US" w:eastAsia="zh-CN"/>
        </w:rPr>
        <w:t>月</w:t>
      </w:r>
      <w:r>
        <w:rPr>
          <w:rFonts w:hint="eastAsia" w:ascii="Times New Roman" w:hAnsi="Times New Roman" w:eastAsia="仿宋_GB2312" w:cs="仿宋_GB2312"/>
          <w:sz w:val="32"/>
          <w:szCs w:val="32"/>
        </w:rPr>
        <w:t>有数据调度、每</w:t>
      </w:r>
      <w:r>
        <w:rPr>
          <w:rFonts w:hint="eastAsia" w:ascii="Times New Roman" w:hAnsi="Times New Roman" w:eastAsia="仿宋_GB2312" w:cs="仿宋_GB2312"/>
          <w:sz w:val="32"/>
          <w:szCs w:val="32"/>
          <w:lang w:val="en-US" w:eastAsia="zh-CN"/>
        </w:rPr>
        <w:t>季</w:t>
      </w:r>
      <w:r>
        <w:rPr>
          <w:rFonts w:hint="eastAsia" w:ascii="Times New Roman" w:hAnsi="Times New Roman" w:eastAsia="仿宋_GB2312" w:cs="仿宋_GB2312"/>
          <w:sz w:val="32"/>
          <w:szCs w:val="32"/>
        </w:rPr>
        <w:t>有综合分析</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的动态管理机制</w:t>
      </w:r>
      <w:r>
        <w:rPr>
          <w:rFonts w:hint="eastAsia" w:ascii="Times New Roman" w:hAnsi="Times New Roman" w:eastAsia="仿宋_GB2312" w:cs="仿宋_GB2312"/>
          <w:sz w:val="32"/>
          <w:szCs w:val="32"/>
          <w:lang w:eastAsia="zh-CN"/>
        </w:rPr>
        <w:t>，</w:t>
      </w:r>
      <w:r>
        <w:rPr>
          <w:rFonts w:hint="eastAsia" w:ascii="仿宋_GB2312" w:hAnsi="仿宋_GB2312" w:eastAsia="仿宋_GB2312" w:cs="仿宋_GB2312"/>
          <w:sz w:val="32"/>
          <w:szCs w:val="32"/>
          <w:lang w:val="en-US" w:eastAsia="zh-CN"/>
        </w:rPr>
        <w:t>以重点（产业）项目为主要抓手，承接产业转移，有效扩大投资需求。2022年计划实施重点项目127个，年计划投资143亿元，全年重点项目完成投资117.02亿元，为年计划的81.3%。</w:t>
      </w:r>
      <w:r>
        <w:rPr>
          <w:rFonts w:hint="eastAsia" w:ascii="仿宋_GB2312" w:hAnsi="仿宋_GB2312" w:eastAsia="仿宋_GB2312" w:cs="仿宋_GB2312"/>
          <w:b/>
          <w:bCs/>
          <w:color w:val="auto"/>
          <w:sz w:val="32"/>
          <w:szCs w:val="32"/>
          <w:highlight w:val="none"/>
          <w:lang w:val="en-US" w:eastAsia="zh-CN"/>
        </w:rPr>
        <w:t>二是积极争取项目资金。</w:t>
      </w:r>
      <w:r>
        <w:rPr>
          <w:rFonts w:hint="eastAsia" w:ascii="仿宋_GB2312" w:hAnsi="仿宋_GB2312" w:eastAsia="仿宋_GB2312" w:cs="仿宋_GB2312"/>
          <w:b w:val="0"/>
          <w:bCs w:val="0"/>
          <w:color w:val="auto"/>
          <w:sz w:val="32"/>
          <w:szCs w:val="32"/>
          <w:highlight w:val="none"/>
          <w:lang w:val="en-US" w:eastAsia="zh-CN"/>
        </w:rPr>
        <w:t>全力以赴狠抓项目争资争项工作，</w:t>
      </w:r>
      <w:r>
        <w:rPr>
          <w:rFonts w:hint="eastAsia" w:ascii="仿宋_GB2312" w:hAnsi="仿宋_GB2312" w:eastAsia="仿宋_GB2312" w:cs="仿宋_GB2312"/>
          <w:b w:val="0"/>
          <w:bCs w:val="0"/>
          <w:color w:val="auto"/>
          <w:sz w:val="32"/>
          <w:szCs w:val="32"/>
          <w:highlight w:val="none"/>
          <w:u w:val="none"/>
          <w:lang w:val="en-US" w:eastAsia="zh-CN"/>
        </w:rPr>
        <w:t>2022年争取到位各类资金5.03亿元，其中中央预算内资金0.74亿元、专项债券资金1.89亿元、盘活存量资产融资贷款2.4亿元</w:t>
      </w:r>
      <w:r>
        <w:rPr>
          <w:rFonts w:hint="eastAsia" w:ascii="仿宋_GB2312" w:hAnsi="仿宋_GB2312" w:eastAsia="仿宋_GB2312" w:cs="仿宋_GB2312"/>
          <w:b w:val="0"/>
          <w:bCs w:val="0"/>
          <w:color w:val="auto"/>
          <w:sz w:val="32"/>
          <w:szCs w:val="32"/>
          <w:u w:val="none"/>
          <w:lang w:val="en-US" w:eastAsia="zh-CN"/>
        </w:rPr>
        <w:t>。</w:t>
      </w:r>
      <w:r>
        <w:rPr>
          <w:rFonts w:hint="eastAsia" w:ascii="仿宋_GB2312" w:hAnsi="仿宋_GB2312" w:eastAsia="仿宋_GB2312" w:cs="仿宋_GB2312"/>
          <w:b/>
          <w:bCs/>
          <w:color w:val="auto"/>
          <w:sz w:val="32"/>
          <w:szCs w:val="32"/>
          <w:highlight w:val="none"/>
          <w:lang w:val="en-US" w:eastAsia="zh-CN"/>
        </w:rPr>
        <w:t>三是强力推进项目谋划。</w:t>
      </w:r>
      <w:r>
        <w:rPr>
          <w:rFonts w:hint="eastAsia" w:ascii="仿宋_GB2312" w:hAnsi="仿宋_GB2312" w:eastAsia="仿宋_GB2312" w:cs="仿宋_GB2312"/>
          <w:b w:val="0"/>
          <w:bCs w:val="0"/>
          <w:color w:val="auto"/>
          <w:sz w:val="32"/>
          <w:szCs w:val="32"/>
          <w:u w:val="none"/>
          <w:lang w:val="en-US" w:eastAsia="zh-CN"/>
        </w:rPr>
        <w:t>组建工作专班强力推动中央预算内投资项目及专项债券项目谋划推进工作，截至目前，</w:t>
      </w:r>
      <w:r>
        <w:rPr>
          <w:rFonts w:hint="eastAsia" w:ascii="仿宋_GB2312" w:hAnsi="仿宋_GB2312" w:eastAsia="仿宋_GB2312" w:cs="仿宋_GB2312"/>
          <w:sz w:val="32"/>
          <w:szCs w:val="32"/>
          <w:lang w:val="en-US" w:eastAsia="zh-CN"/>
        </w:rPr>
        <w:t>6个项目进入了2023年全省提前批专项债券储备库，总投资14.95亿元，2023年专项债券需求金额4.55亿元。其中优先类项目5个、备选库项目1个。2个项目通过了国家审核，即将发行专项债券1.62亿元。</w:t>
      </w:r>
      <w:r>
        <w:rPr>
          <w:rFonts w:hint="eastAsia" w:ascii="仿宋_GB2312" w:hAnsi="仿宋_GB2312" w:eastAsia="仿宋_GB2312" w:cs="仿宋_GB2312"/>
          <w:b/>
          <w:bCs/>
          <w:color w:val="auto"/>
          <w:sz w:val="32"/>
          <w:szCs w:val="32"/>
          <w:highlight w:val="none"/>
          <w:lang w:val="en-US" w:eastAsia="zh-CN"/>
        </w:rPr>
        <w:t>四是强力推进存量资产盘活工作。</w:t>
      </w:r>
      <w:r>
        <w:rPr>
          <w:rFonts w:hint="eastAsia" w:ascii="仿宋_GB2312" w:hAnsi="仿宋_GB2312" w:eastAsia="仿宋_GB2312" w:cs="仿宋_GB2312"/>
          <w:sz w:val="32"/>
          <w:szCs w:val="32"/>
          <w:lang w:val="en-US" w:eastAsia="zh-CN"/>
        </w:rPr>
        <w:t>2022年11月上旬，对优先推进的4个重点盘活项目方案上报市盘活存量资产小组办公室，4个项目包括鹤城区老年公寓特许经营权项目、渣土消纳特许经营权项目、仓储物流分拣中心项目、标准厂房二期建设项目，4个项目拟融资4.24亿元。目前，4个项目产权明晰，招拍挂、竞争性谈判等相应手续推进顺利，盘活条件较成熟。</w:t>
      </w:r>
      <w:r>
        <w:rPr>
          <w:rFonts w:hint="eastAsia" w:ascii="仿宋_GB2312" w:hAnsi="仿宋_GB2312" w:eastAsia="仿宋_GB2312" w:cs="仿宋_GB2312"/>
          <w:b/>
          <w:bCs/>
          <w:color w:val="auto"/>
          <w:sz w:val="32"/>
          <w:szCs w:val="32"/>
          <w:highlight w:val="none"/>
          <w:lang w:val="en-US" w:eastAsia="zh-CN"/>
        </w:rPr>
        <w:t>五是扩大项目谋划储备。</w:t>
      </w:r>
      <w:r>
        <w:rPr>
          <w:rFonts w:hint="eastAsia" w:ascii="仿宋_GB2312" w:eastAsia="仿宋_GB2312"/>
          <w:b w:val="0"/>
          <w:bCs w:val="0"/>
          <w:color w:val="auto"/>
          <w:sz w:val="32"/>
          <w:szCs w:val="32"/>
          <w:u w:val="none"/>
          <w:lang w:val="en-US" w:eastAsia="zh-CN"/>
        </w:rPr>
        <w:t>全年审批、核准、备案项目73个，总投资78.56亿元，进一步夯实了全区重大建设项目储备库。</w:t>
      </w:r>
      <w:r>
        <w:rPr>
          <w:rFonts w:hint="eastAsia" w:ascii="仿宋_GB2312" w:hAnsi="仿宋_GB2312" w:eastAsia="仿宋_GB2312" w:cs="仿宋_GB2312"/>
          <w:b/>
          <w:bCs/>
          <w:color w:val="auto"/>
          <w:sz w:val="32"/>
          <w:szCs w:val="32"/>
          <w:highlight w:val="none"/>
          <w:lang w:val="en-US" w:eastAsia="zh-CN"/>
        </w:rPr>
        <w:t>六是强力推进产业项目招商。</w:t>
      </w:r>
      <w:r>
        <w:rPr>
          <w:rFonts w:hint="eastAsia" w:ascii="仿宋_GB2312" w:hAnsi="仿宋_GB2312" w:eastAsia="仿宋_GB2312" w:cs="仿宋_GB2312"/>
          <w:b w:val="0"/>
          <w:bCs w:val="0"/>
          <w:strike w:val="0"/>
          <w:dstrike w:val="0"/>
          <w:color w:val="auto"/>
          <w:sz w:val="32"/>
          <w:szCs w:val="32"/>
          <w:u w:val="none"/>
          <w:lang w:val="en-US" w:eastAsia="zh-CN"/>
        </w:rPr>
        <w:t>强力开展绿色能源制造产业链招商，哈电、中电等央企进驻鹤城，总投资50亿元的哈电绿色风能产业基地项目</w:t>
      </w:r>
      <w:r>
        <w:rPr>
          <w:rFonts w:hint="eastAsia" w:ascii="仿宋_GB2312" w:hAnsi="仿宋_GB2312" w:eastAsia="仿宋_GB2312" w:cs="仿宋_GB2312"/>
          <w:b w:val="0"/>
          <w:bCs w:val="0"/>
          <w:color w:val="auto"/>
          <w:sz w:val="32"/>
          <w:szCs w:val="32"/>
          <w:u w:val="none"/>
          <w:lang w:val="en-US" w:eastAsia="zh-CN"/>
        </w:rPr>
        <w:t>落户鹤城，中电怀化储能集成设备产线、中车智能装备制造、国电投换电重卡等签约落地，打造新能源装备制造基地雏形初显。</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color w:val="000000"/>
          <w:sz w:val="32"/>
          <w:szCs w:val="40"/>
          <w:lang w:val="en-US" w:eastAsia="zh-CN"/>
        </w:rPr>
      </w:pPr>
      <w:r>
        <w:rPr>
          <w:rFonts w:hint="eastAsia" w:ascii="楷体" w:hAnsi="楷体" w:eastAsia="楷体" w:cs="楷体"/>
          <w:b/>
          <w:bCs w:val="0"/>
          <w:color w:val="auto"/>
          <w:sz w:val="32"/>
          <w:lang w:val="en-US" w:eastAsia="zh-CN"/>
        </w:rPr>
        <w:t>（三）持续优化营商环境，加快信用体系建设。</w:t>
      </w:r>
      <w:r>
        <w:rPr>
          <w:rFonts w:hint="eastAsia" w:ascii="仿宋_GB2312" w:eastAsia="仿宋_GB2312"/>
          <w:b/>
          <w:bCs/>
          <w:color w:val="auto"/>
          <w:sz w:val="32"/>
          <w:szCs w:val="32"/>
          <w:u w:val="none"/>
          <w:lang w:val="en-US" w:eastAsia="zh-CN"/>
        </w:rPr>
        <w:t>一是营商环境不断优化。</w:t>
      </w:r>
      <w:r>
        <w:rPr>
          <w:rFonts w:hint="eastAsia" w:ascii="仿宋_GB2312" w:hAnsi="仿宋_GB2312" w:eastAsia="仿宋_GB2312" w:cs="仿宋_GB2312"/>
          <w:color w:val="auto"/>
          <w:sz w:val="32"/>
          <w:szCs w:val="32"/>
          <w:u w:val="none"/>
          <w:lang w:val="en-US" w:eastAsia="zh-CN"/>
        </w:rPr>
        <w:t>持续推进深化改革，落实《怀化市鹤城区2022年营商环境评价指标体系》，在招标投标、包容普惠创新、降本惠企等方面持续发力。</w:t>
      </w:r>
      <w:r>
        <w:rPr>
          <w:rFonts w:hint="eastAsia" w:ascii="仿宋_GB2312" w:hAnsi="仿宋_GB2312" w:eastAsia="仿宋_GB2312" w:cs="仿宋_GB2312"/>
          <w:b/>
          <w:bCs/>
          <w:color w:val="auto"/>
          <w:kern w:val="2"/>
          <w:sz w:val="32"/>
          <w:szCs w:val="32"/>
          <w:lang w:val="en-US" w:eastAsia="zh-CN" w:bidi="ar-SA"/>
        </w:rPr>
        <w:t>二是信用体系建设逐步完善。</w:t>
      </w:r>
      <w:r>
        <w:rPr>
          <w:rFonts w:hint="eastAsia" w:ascii="仿宋_GB2312" w:hAnsi="仿宋_GB2312" w:eastAsia="仿宋_GB2312" w:cs="仿宋_GB2312"/>
          <w:color w:val="000000"/>
          <w:sz w:val="32"/>
          <w:szCs w:val="40"/>
          <w:lang w:val="en-US" w:eastAsia="zh-CN"/>
        </w:rPr>
        <w:t>制定发布《关于鹤城区社会信用体系建设2022年工作重点和工作任务的通知》，将“双公示”、信用承诺归集、企业实名认证、重错码及信用修复、诚信宣传、信用核查等工作分解到全区社会信用体系建设各成员单位，统筹推进全区社会信用体系建设工作。</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val="0"/>
          <w:color w:val="auto"/>
          <w:sz w:val="32"/>
          <w:lang w:val="en-US" w:eastAsia="zh-CN"/>
        </w:rPr>
        <w:t>（四）落实国家粮食安全战略，切实保障粮食安全。</w:t>
      </w:r>
      <w:r>
        <w:rPr>
          <w:rFonts w:hint="eastAsia" w:ascii="仿宋_GB2312" w:hAnsi="仿宋_GB2312" w:eastAsia="仿宋_GB2312" w:cs="仿宋_GB2312"/>
          <w:b/>
          <w:bCs/>
          <w:sz w:val="32"/>
          <w:szCs w:val="32"/>
          <w:lang w:val="en-US" w:eastAsia="zh-CN"/>
        </w:rPr>
        <w:t>一是做好粮食储备工作。</w:t>
      </w:r>
      <w:r>
        <w:rPr>
          <w:rFonts w:hint="eastAsia" w:ascii="仿宋_GB2312" w:hAnsi="仿宋_GB2312" w:eastAsia="仿宋_GB2312" w:cs="仿宋_GB2312"/>
          <w:sz w:val="32"/>
          <w:szCs w:val="32"/>
          <w:lang w:val="en-US" w:eastAsia="zh-CN"/>
        </w:rPr>
        <w:t>抓粮食储备设施建设及粮食储备，保障鹤城区区级储备原粮6000吨，成品粮（大米）600吨的储备任务。加强对粮食市场的监管，对全区粮食市场供求和价格变化实施监测。</w:t>
      </w:r>
      <w:r>
        <w:rPr>
          <w:rFonts w:hint="eastAsia" w:ascii="仿宋_GB2312" w:hAnsi="仿宋_GB2312" w:eastAsia="仿宋_GB2312" w:cs="仿宋_GB2312"/>
          <w:b/>
          <w:bCs/>
          <w:sz w:val="32"/>
          <w:szCs w:val="32"/>
          <w:lang w:val="en-US" w:eastAsia="zh-CN"/>
        </w:rPr>
        <w:t>二是落实粮食安全责任制。</w:t>
      </w:r>
      <w:r>
        <w:rPr>
          <w:rFonts w:hint="eastAsia" w:ascii="仿宋_GB2312" w:hAnsi="仿宋_GB2312" w:eastAsia="仿宋_GB2312" w:cs="仿宋_GB2312"/>
          <w:sz w:val="32"/>
          <w:szCs w:val="32"/>
          <w:lang w:val="en-US" w:eastAsia="zh-CN"/>
        </w:rPr>
        <w:t>落实全区粮食安全责任制考核，持续按照粮食安全的职责和工作任务，积极落实发改部门牵头负责的各项任务。明确粮食安全主体责任，认真做好地方粮食储备，抓好粮食市场稳定，促进产业提质增效，依法依规履行工作职责。同时，主动积极衔接各责任单位认真对照考核任务分解表逐项自评，查漏补缺，及时完成了资料汇编及上报工作。加强粮食行业安全监管，确保粮食行业生产安全。</w:t>
      </w:r>
      <w:r>
        <w:rPr>
          <w:rFonts w:hint="eastAsia" w:ascii="仿宋_GB2312" w:hAnsi="仿宋_GB2312" w:eastAsia="仿宋_GB2312" w:cs="仿宋_GB2312"/>
          <w:b/>
          <w:bCs/>
          <w:sz w:val="32"/>
          <w:szCs w:val="32"/>
          <w:lang w:val="en-US" w:eastAsia="zh-CN"/>
        </w:rPr>
        <w:t>三是扎实开展粮食法律法规宣传。</w:t>
      </w:r>
      <w:r>
        <w:rPr>
          <w:rFonts w:hint="eastAsia" w:ascii="仿宋_GB2312" w:hAnsi="仿宋_GB2312" w:eastAsia="仿宋_GB2312" w:cs="仿宋_GB2312"/>
          <w:sz w:val="32"/>
          <w:szCs w:val="32"/>
          <w:lang w:val="en-US" w:eastAsia="zh-CN"/>
        </w:rPr>
        <w:t>开展了“2022年粮食科技周”“节粮减损优粮供给安全生产月”“世界粮食日”等宣传活动，提升了全社会粮食安全意识。</w:t>
      </w:r>
      <w:r>
        <w:rPr>
          <w:rFonts w:hint="eastAsia" w:ascii="仿宋_GB2312" w:hAnsi="仿宋_GB2312" w:eastAsia="仿宋_GB2312" w:cs="仿宋_GB2312"/>
          <w:b/>
          <w:bCs/>
          <w:sz w:val="32"/>
          <w:szCs w:val="32"/>
          <w:lang w:val="en-US" w:eastAsia="zh-CN"/>
        </w:rPr>
        <w:t>四是规范粮食市场管理，维护粮食正常流通秩序。</w:t>
      </w:r>
      <w:r>
        <w:rPr>
          <w:rFonts w:hint="eastAsia" w:ascii="仿宋_GB2312" w:hAnsi="仿宋_GB2312" w:eastAsia="仿宋_GB2312" w:cs="仿宋_GB2312"/>
          <w:sz w:val="32"/>
          <w:szCs w:val="32"/>
          <w:lang w:val="en-US" w:eastAsia="zh-CN"/>
        </w:rPr>
        <w:t>强化监督抽查检测。开展政策性粮食销售出库、收购入库等检查，对辖区内纳入粮油统计系统范围的粮油经营企业展开执法工作，检查企业10家，出动人员40余人次，维护粮食流通秩序。加强粮食市场监管巡查力度，对全区粮食市场供求和价格变化实施监测，实时掌握粮食行情。</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FangSong_GB2312" w:hAnsi="FangSong_GB2312" w:eastAsia="FangSong_GB2312" w:cs="FangSong_GB2312"/>
          <w:spacing w:val="-4"/>
          <w:sz w:val="32"/>
          <w:szCs w:val="32"/>
          <w:lang w:eastAsia="zh-CN"/>
        </w:rPr>
      </w:pPr>
      <w:r>
        <w:rPr>
          <w:rFonts w:hint="eastAsia" w:ascii="楷体" w:hAnsi="楷体" w:eastAsia="楷体" w:cs="楷体"/>
          <w:b/>
          <w:bCs w:val="0"/>
          <w:color w:val="auto"/>
          <w:sz w:val="32"/>
          <w:lang w:val="en-US" w:eastAsia="zh-CN"/>
        </w:rPr>
        <w:t>（五）全面推进乡村振兴，落实易扶后扶政策。</w:t>
      </w:r>
      <w:r>
        <w:rPr>
          <w:rFonts w:hint="eastAsia" w:ascii="仿宋_GB2312" w:hAnsi="仿宋_GB2312" w:eastAsia="仿宋_GB2312" w:cs="仿宋_GB2312"/>
          <w:b/>
          <w:bCs/>
          <w:sz w:val="32"/>
          <w:szCs w:val="32"/>
          <w:lang w:val="en-US" w:eastAsia="zh-CN"/>
        </w:rPr>
        <w:t>一是健全完善</w:t>
      </w:r>
      <w:r>
        <w:rPr>
          <w:rFonts w:hint="default" w:ascii="仿宋_GB2312" w:hAnsi="仿宋_GB2312" w:eastAsia="仿宋_GB2312" w:cs="仿宋_GB2312"/>
          <w:b/>
          <w:bCs/>
          <w:sz w:val="32"/>
          <w:szCs w:val="32"/>
          <w:lang w:val="zh-CN" w:eastAsia="zh-CN"/>
        </w:rPr>
        <w:t>考评机制</w:t>
      </w:r>
      <w:r>
        <w:rPr>
          <w:rFonts w:hint="eastAsia" w:ascii="仿宋_GB2312" w:hAnsi="仿宋_GB2312" w:eastAsia="仿宋_GB2312" w:cs="仿宋_GB2312"/>
          <w:b/>
          <w:bCs/>
          <w:sz w:val="32"/>
          <w:szCs w:val="32"/>
          <w:lang w:val="zh-CN" w:eastAsia="zh-CN"/>
        </w:rPr>
        <w:t>。</w:t>
      </w:r>
      <w:r>
        <w:rPr>
          <w:rFonts w:hint="eastAsia" w:ascii="仿宋_GB2312" w:hAnsi="仿宋_GB2312" w:eastAsia="仿宋_GB2312" w:cs="仿宋_GB2312"/>
          <w:sz w:val="32"/>
          <w:szCs w:val="32"/>
          <w:lang w:val="en-US" w:eastAsia="zh-CN"/>
        </w:rPr>
        <w:t>制定了</w:t>
      </w:r>
      <w:r>
        <w:rPr>
          <w:rFonts w:hint="eastAsia" w:ascii="仿宋_GB2312" w:hAnsi="仿宋_GB2312" w:eastAsia="仿宋_GB2312" w:cs="仿宋_GB2312"/>
          <w:sz w:val="32"/>
          <w:szCs w:val="32"/>
          <w:lang w:val="zh-CN" w:eastAsia="zh-CN"/>
        </w:rPr>
        <w:t>《怀化市鹤城区“十四五”易地扶贫搬迁后续帮扶工作规划》《</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lang w:val="zh-CN" w:eastAsia="zh-CN"/>
        </w:rPr>
        <w:t>怀化市鹤城区“十四五”易地扶贫搬迁后续帮扶工作</w:t>
      </w:r>
      <w:r>
        <w:rPr>
          <w:rFonts w:hint="eastAsia" w:ascii="仿宋_GB2312" w:hAnsi="仿宋_GB2312" w:eastAsia="仿宋_GB2312" w:cs="仿宋_GB2312"/>
          <w:sz w:val="32"/>
          <w:szCs w:val="32"/>
          <w:lang w:val="en-US" w:eastAsia="zh-CN"/>
        </w:rPr>
        <w:t>计</w:t>
      </w:r>
      <w:r>
        <w:rPr>
          <w:rFonts w:hint="eastAsia" w:ascii="仿宋_GB2312" w:hAnsi="仿宋_GB2312" w:eastAsia="仿宋_GB2312" w:cs="仿宋_GB2312"/>
          <w:sz w:val="32"/>
          <w:szCs w:val="32"/>
          <w:lang w:val="zh-CN" w:eastAsia="zh-CN"/>
        </w:rPr>
        <w:t>划》，</w:t>
      </w:r>
      <w:r>
        <w:rPr>
          <w:rFonts w:hint="default" w:ascii="仿宋_GB2312" w:hAnsi="仿宋_GB2312" w:eastAsia="仿宋_GB2312" w:cs="仿宋_GB2312"/>
          <w:sz w:val="32"/>
          <w:szCs w:val="32"/>
          <w:lang w:val="en-US" w:eastAsia="zh-CN"/>
        </w:rPr>
        <w:t>制定下发《</w:t>
      </w:r>
      <w:r>
        <w:rPr>
          <w:rFonts w:hint="eastAsia" w:ascii="仿宋_GB2312" w:hAnsi="仿宋_GB2312" w:eastAsia="仿宋_GB2312" w:cs="仿宋_GB2312"/>
          <w:sz w:val="32"/>
          <w:szCs w:val="32"/>
          <w:lang w:val="en-US" w:eastAsia="zh-CN"/>
        </w:rPr>
        <w:t>鹤城区</w:t>
      </w:r>
      <w:r>
        <w:rPr>
          <w:rFonts w:hint="default" w:ascii="仿宋_GB2312" w:hAnsi="仿宋_GB2312" w:eastAsia="仿宋_GB2312" w:cs="仿宋_GB2312"/>
          <w:sz w:val="32"/>
          <w:szCs w:val="32"/>
          <w:lang w:val="en-US" w:eastAsia="zh-CN"/>
        </w:rPr>
        <w:t>“十四五”易地扶贫搬迁后续帮扶工作成效考核办法》，全面按时兑现国家、省、市、</w:t>
      </w:r>
      <w:r>
        <w:rPr>
          <w:rFonts w:hint="eastAsia" w:ascii="仿宋_GB2312" w:hAnsi="仿宋_GB2312" w:eastAsia="仿宋_GB2312" w:cs="仿宋_GB2312"/>
          <w:sz w:val="32"/>
          <w:szCs w:val="32"/>
          <w:lang w:val="en-US" w:eastAsia="zh-CN"/>
        </w:rPr>
        <w:t>区</w:t>
      </w:r>
      <w:r>
        <w:rPr>
          <w:rFonts w:hint="default" w:ascii="仿宋_GB2312" w:hAnsi="仿宋_GB2312" w:eastAsia="仿宋_GB2312" w:cs="仿宋_GB2312"/>
          <w:sz w:val="32"/>
          <w:szCs w:val="32"/>
          <w:lang w:val="en-US" w:eastAsia="zh-CN"/>
        </w:rPr>
        <w:t>四级出台的易地搬迁后续帮扶各项扶持政策</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sz w:val="32"/>
          <w:szCs w:val="32"/>
          <w:lang w:val="en-US" w:eastAsia="zh-CN"/>
        </w:rPr>
        <w:t>二是稳步</w:t>
      </w:r>
      <w:r>
        <w:rPr>
          <w:rFonts w:hint="default" w:ascii="仿宋_GB2312" w:hAnsi="仿宋_GB2312" w:eastAsia="仿宋_GB2312" w:cs="仿宋_GB2312"/>
          <w:b/>
          <w:bCs/>
          <w:sz w:val="32"/>
          <w:szCs w:val="32"/>
          <w:lang w:val="en-US" w:eastAsia="zh-CN"/>
        </w:rPr>
        <w:t>促进稳岗就业</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lang w:val="en-US" w:eastAsia="zh-CN"/>
        </w:rPr>
        <w:t>通过</w:t>
      </w:r>
      <w:r>
        <w:rPr>
          <w:rFonts w:hint="eastAsia" w:ascii="FangSong_GB2312" w:hAnsi="FangSong_GB2312" w:eastAsia="FangSong_GB2312" w:cs="FangSong_GB2312"/>
          <w:kern w:val="0"/>
          <w:sz w:val="32"/>
          <w:szCs w:val="32"/>
        </w:rPr>
        <w:t>推荐到当地企业和农业合作社就业、安排到城乡公益性岗位、</w:t>
      </w:r>
      <w:r>
        <w:rPr>
          <w:rFonts w:hint="eastAsia" w:ascii="FangSong_GB2312" w:hAnsi="FangSong_GB2312" w:eastAsia="FangSong_GB2312" w:cs="FangSong_GB2312"/>
          <w:sz w:val="32"/>
          <w:szCs w:val="32"/>
        </w:rPr>
        <w:t>深入乡镇社区开展“春风行动”“迎新春送温暖、稳岗留工”</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lang w:val="en-US" w:eastAsia="zh-CN"/>
        </w:rPr>
        <w:t>就业帮扶车间等方式</w:t>
      </w:r>
      <w:r>
        <w:rPr>
          <w:rFonts w:hint="eastAsia" w:ascii="FangSong_GB2312" w:hAnsi="FangSong_GB2312" w:eastAsia="FangSong_GB2312" w:cs="FangSong_GB2312"/>
          <w:kern w:val="0"/>
          <w:sz w:val="32"/>
          <w:szCs w:val="32"/>
        </w:rPr>
        <w:t>引导外出务工就业，稳步扩大搬迁群众就业</w:t>
      </w:r>
      <w:r>
        <w:rPr>
          <w:rFonts w:hint="eastAsia" w:ascii="FangSong_GB2312" w:hAnsi="FangSong_GB2312" w:eastAsia="FangSong_GB2312" w:cs="FangSong_GB2312"/>
          <w:sz w:val="32"/>
          <w:szCs w:val="32"/>
        </w:rPr>
        <w:t>。</w:t>
      </w:r>
      <w:r>
        <w:rPr>
          <w:rFonts w:hint="eastAsia" w:ascii="仿宋_GB2312" w:hAnsi="仿宋_GB2312" w:eastAsia="仿宋_GB2312" w:cs="仿宋_GB2312"/>
          <w:b w:val="0"/>
          <w:bCs w:val="0"/>
          <w:color w:val="auto"/>
          <w:kern w:val="0"/>
          <w:sz w:val="32"/>
          <w:szCs w:val="32"/>
          <w:highlight w:val="none"/>
          <w:u w:val="none"/>
          <w:lang w:val="en-US" w:eastAsia="zh-CN" w:bidi="ar-SA"/>
        </w:rPr>
        <w:t>我区易地搬迁劳动力总数859人，已就业698人（县内就近就业358人,自主创业8人），除剩余2户为五保户和残疾户外，其余342户有劳动能力的易地搬迁户均实现至少一人以上就业。</w:t>
      </w:r>
      <w:r>
        <w:rPr>
          <w:rFonts w:hint="eastAsia" w:ascii="仿宋_GB2312" w:hAnsi="仿宋_GB2312" w:eastAsia="仿宋_GB2312" w:cs="仿宋_GB2312"/>
          <w:b/>
          <w:bCs/>
          <w:sz w:val="32"/>
          <w:szCs w:val="32"/>
          <w:lang w:val="en-US" w:eastAsia="zh-CN"/>
        </w:rPr>
        <w:t>三是推进</w:t>
      </w:r>
      <w:r>
        <w:rPr>
          <w:rFonts w:hint="default" w:ascii="仿宋_GB2312" w:hAnsi="仿宋_GB2312" w:eastAsia="仿宋_GB2312" w:cs="仿宋_GB2312"/>
          <w:b/>
          <w:bCs/>
          <w:sz w:val="32"/>
          <w:szCs w:val="32"/>
          <w:lang w:val="en-US" w:eastAsia="zh-CN"/>
        </w:rPr>
        <w:t>后扶产业发展</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color w:val="auto"/>
          <w:kern w:val="0"/>
          <w:sz w:val="32"/>
          <w:szCs w:val="32"/>
          <w:highlight w:val="none"/>
          <w:u w:val="none"/>
          <w:lang w:val="en-US" w:eastAsia="zh-CN" w:bidi="ar-SA"/>
        </w:rPr>
        <w:t>强化产业</w:t>
      </w:r>
      <w:r>
        <w:rPr>
          <w:rFonts w:hint="eastAsia" w:ascii="FangSong_GB2312" w:hAnsi="FangSong_GB2312" w:eastAsia="FangSong_GB2312" w:cs="FangSong_GB2312"/>
          <w:color w:val="000000"/>
          <w:sz w:val="32"/>
          <w:szCs w:val="32"/>
        </w:rPr>
        <w:t>项目监管，实行片区负责制，确保</w:t>
      </w:r>
      <w:r>
        <w:rPr>
          <w:rFonts w:hint="eastAsia" w:ascii="FangSong_GB2312" w:hAnsi="FangSong_GB2312" w:eastAsia="FangSong_GB2312" w:cs="FangSong_GB2312"/>
          <w:sz w:val="32"/>
          <w:szCs w:val="32"/>
        </w:rPr>
        <w:t>项目有序运营和搬迁户稳定分红</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加强微菜地监管，保障了搬迁户正常生活需求和农业生产。</w:t>
      </w:r>
      <w:r>
        <w:rPr>
          <w:rFonts w:hint="eastAsia" w:ascii="仿宋_GB2312" w:hAnsi="仿宋_GB2312" w:eastAsia="仿宋_GB2312" w:cs="仿宋_GB2312"/>
          <w:sz w:val="32"/>
          <w:szCs w:val="32"/>
          <w:u w:val="none"/>
          <w:lang w:val="en-US" w:eastAsia="zh-CN"/>
        </w:rPr>
        <w:t>加强易迁后扶项目谋划储备，全年储备项目9个，计划总投资达2.78亿元。</w:t>
      </w:r>
      <w:r>
        <w:rPr>
          <w:rFonts w:hint="eastAsia" w:ascii="仿宋_GB2312" w:hAnsi="仿宋_GB2312" w:eastAsia="仿宋_GB2312" w:cs="仿宋_GB2312"/>
          <w:b/>
          <w:bCs/>
          <w:sz w:val="32"/>
          <w:szCs w:val="32"/>
          <w:lang w:val="en-US" w:eastAsia="zh-CN"/>
        </w:rPr>
        <w:t>四是提升</w:t>
      </w:r>
      <w:r>
        <w:rPr>
          <w:rFonts w:hint="default" w:ascii="仿宋_GB2312" w:hAnsi="仿宋_GB2312" w:eastAsia="仿宋_GB2312" w:cs="仿宋_GB2312"/>
          <w:b/>
          <w:bCs/>
          <w:sz w:val="32"/>
          <w:szCs w:val="32"/>
          <w:lang w:val="en-US" w:eastAsia="zh-CN"/>
        </w:rPr>
        <w:t>公共服务</w:t>
      </w:r>
      <w:r>
        <w:rPr>
          <w:rFonts w:hint="eastAsia" w:ascii="仿宋_GB2312" w:hAnsi="仿宋_GB2312" w:eastAsia="仿宋_GB2312" w:cs="仿宋_GB2312"/>
          <w:b/>
          <w:bCs/>
          <w:sz w:val="32"/>
          <w:szCs w:val="32"/>
          <w:lang w:val="en-US" w:eastAsia="zh-CN"/>
        </w:rPr>
        <w:t>水平。</w:t>
      </w:r>
      <w:r>
        <w:rPr>
          <w:rFonts w:hint="eastAsia" w:ascii="仿宋_GB2312" w:hAnsi="仿宋_GB2312" w:eastAsia="仿宋_GB2312" w:cs="仿宋_GB2312"/>
          <w:b w:val="0"/>
          <w:bCs w:val="0"/>
          <w:color w:val="auto"/>
          <w:sz w:val="32"/>
          <w:szCs w:val="32"/>
          <w:u w:val="none"/>
          <w:lang w:val="en-US" w:eastAsia="zh-CN"/>
        </w:rPr>
        <w:t>完善配套基础设施，我区</w:t>
      </w:r>
      <w:r>
        <w:rPr>
          <w:rFonts w:hint="default" w:ascii="仿宋_GB2312" w:hAnsi="仿宋_GB2312" w:eastAsia="仿宋_GB2312" w:cs="仿宋_GB2312"/>
          <w:b w:val="0"/>
          <w:bCs w:val="0"/>
          <w:color w:val="auto"/>
          <w:sz w:val="32"/>
          <w:szCs w:val="32"/>
          <w:u w:val="none"/>
          <w:lang w:val="en-US" w:eastAsia="zh-CN"/>
        </w:rPr>
        <w:t>344户全部搬迁到交通便利的安置点，就业、就学、就医等条件显著改善，</w:t>
      </w:r>
      <w:r>
        <w:rPr>
          <w:rFonts w:hint="eastAsia" w:ascii="仿宋_GB2312" w:hAnsi="仿宋_GB2312" w:eastAsia="仿宋_GB2312" w:cs="仿宋_GB2312"/>
          <w:b w:val="0"/>
          <w:bCs w:val="0"/>
          <w:color w:val="auto"/>
          <w:sz w:val="32"/>
          <w:szCs w:val="32"/>
          <w:u w:val="none"/>
          <w:lang w:val="en-US" w:eastAsia="zh-CN"/>
        </w:rPr>
        <w:t>11</w:t>
      </w:r>
      <w:r>
        <w:rPr>
          <w:rFonts w:hint="default" w:ascii="仿宋_GB2312" w:hAnsi="仿宋_GB2312" w:eastAsia="仿宋_GB2312" w:cs="仿宋_GB2312"/>
          <w:b w:val="0"/>
          <w:bCs w:val="0"/>
          <w:color w:val="auto"/>
          <w:sz w:val="32"/>
          <w:szCs w:val="32"/>
          <w:u w:val="none"/>
          <w:lang w:val="en-US" w:eastAsia="zh-CN"/>
        </w:rPr>
        <w:t>个集中安置点均通水、通电、通路、通电视、通网络，</w:t>
      </w:r>
      <w:r>
        <w:rPr>
          <w:rFonts w:hint="eastAsia" w:ascii="仿宋_GB2312" w:hAnsi="仿宋_GB2312" w:eastAsia="仿宋_GB2312" w:cs="仿宋_GB2312"/>
          <w:b w:val="0"/>
          <w:bCs w:val="0"/>
          <w:color w:val="auto"/>
          <w:sz w:val="32"/>
          <w:szCs w:val="32"/>
          <w:u w:val="none"/>
          <w:lang w:val="en-US" w:eastAsia="zh-CN"/>
        </w:rPr>
        <w:t>安全饮水到户率、生活用电覆盖率、广播电视、手机信号、网络覆盖率100%。</w:t>
      </w:r>
      <w:r>
        <w:rPr>
          <w:rFonts w:hint="eastAsia" w:ascii="仿宋_GB2312" w:hAnsi="仿宋_GB2312" w:eastAsia="仿宋_GB2312" w:cs="仿宋_GB2312"/>
          <w:b/>
          <w:bCs/>
          <w:sz w:val="32"/>
          <w:szCs w:val="32"/>
          <w:lang w:val="en-US" w:eastAsia="zh-CN"/>
        </w:rPr>
        <w:t>五是强化</w:t>
      </w:r>
      <w:r>
        <w:rPr>
          <w:rFonts w:hint="default" w:ascii="仿宋_GB2312" w:hAnsi="仿宋_GB2312" w:eastAsia="仿宋_GB2312" w:cs="仿宋_GB2312"/>
          <w:b/>
          <w:bCs/>
          <w:sz w:val="32"/>
          <w:szCs w:val="32"/>
          <w:lang w:val="en-US" w:eastAsia="zh-CN"/>
        </w:rPr>
        <w:t>后续服务管理</w:t>
      </w:r>
      <w:r>
        <w:rPr>
          <w:rFonts w:hint="eastAsia" w:ascii="仿宋_GB2312" w:hAnsi="仿宋_GB2312" w:eastAsia="仿宋_GB2312" w:cs="仿宋_GB2312"/>
          <w:b/>
          <w:bCs/>
          <w:sz w:val="32"/>
          <w:szCs w:val="32"/>
          <w:lang w:val="en-US" w:eastAsia="zh-CN"/>
        </w:rPr>
        <w:t>。</w:t>
      </w:r>
      <w:r>
        <w:rPr>
          <w:rFonts w:hint="eastAsia" w:ascii="FangSong_GB2312" w:hAnsi="FangSong_GB2312" w:eastAsia="FangSong_GB2312" w:cs="FangSong_GB2312"/>
          <w:spacing w:val="-4"/>
          <w:sz w:val="32"/>
          <w:szCs w:val="32"/>
          <w:lang w:val="en-US" w:eastAsia="zh-CN"/>
        </w:rPr>
        <w:t>加强后续管理，</w:t>
      </w:r>
      <w:r>
        <w:rPr>
          <w:rFonts w:hint="eastAsia" w:ascii="FangSong_GB2312" w:hAnsi="FangSong_GB2312" w:eastAsia="FangSong_GB2312" w:cs="FangSong_GB2312"/>
          <w:spacing w:val="-4"/>
          <w:sz w:val="32"/>
          <w:szCs w:val="32"/>
          <w:lang w:eastAsia="zh-CN"/>
        </w:rPr>
        <w:t>健全完善搬迁群众自治机制，在安置点所在的村（社区）设立后续管理委员会，由所在村（社区）书记任主任，有小区便民办公室或服务点，全面开展党建、物业管理、卫生整治、矛盾纠纷调解、老人儿童关爱、文化宣传等管理服务。</w:t>
      </w:r>
    </w:p>
    <w:p>
      <w:pPr>
        <w:keepNext w:val="0"/>
        <w:keepLines w:val="0"/>
        <w:pageBreakBefore w:val="0"/>
        <w:kinsoku/>
        <w:wordWrap/>
        <w:overflowPunct/>
        <w:topLinePunct w:val="0"/>
        <w:autoSpaceDE/>
        <w:autoSpaceDN/>
        <w:bidi w:val="0"/>
        <w:adjustRightInd/>
        <w:snapToGrid/>
        <w:spacing w:line="600" w:lineRule="exact"/>
        <w:ind w:left="0" w:leftChars="0" w:firstLine="643"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楷体" w:hAnsi="楷体" w:eastAsia="楷体" w:cs="楷体"/>
          <w:b/>
          <w:bCs w:val="0"/>
          <w:color w:val="auto"/>
          <w:sz w:val="32"/>
          <w:lang w:val="en-US" w:eastAsia="zh-CN"/>
        </w:rPr>
        <w:t>（六）强化价格认定和监测，维护市场价格秩序。</w:t>
      </w:r>
      <w:r>
        <w:rPr>
          <w:rFonts w:hint="eastAsia" w:ascii="仿宋_GB2312" w:hAnsi="仿宋_GB2312" w:eastAsia="仿宋_GB2312" w:cs="仿宋_GB2312"/>
          <w:b/>
          <w:bCs/>
          <w:color w:val="auto"/>
          <w:sz w:val="32"/>
          <w:szCs w:val="32"/>
          <w:lang w:val="en-US" w:eastAsia="zh-CN"/>
        </w:rPr>
        <w:t>一是依法依规做好价格认定工作。</w:t>
      </w:r>
      <w:r>
        <w:rPr>
          <w:rFonts w:hint="eastAsia" w:ascii="仿宋_GB2312" w:hAnsi="仿宋_GB2312" w:eastAsia="仿宋_GB2312" w:cs="仿宋_GB2312"/>
          <w:b w:val="0"/>
          <w:bCs w:val="0"/>
          <w:color w:val="auto"/>
          <w:sz w:val="32"/>
          <w:szCs w:val="32"/>
          <w:lang w:val="en-US" w:eastAsia="zh-CN"/>
        </w:rPr>
        <w:t>认真做好鹤城区行政区域内纪检监察、司法、行政工作所涉及涉嫌违纪案件、刑事案件、行政执法案件等涉案财物的价格认定工作。</w:t>
      </w:r>
      <w:r>
        <w:rPr>
          <w:rFonts w:hint="eastAsia" w:ascii="仿宋_GB2312" w:hAnsi="仿宋_GB2312" w:eastAsia="仿宋_GB2312" w:cs="仿宋_GB2312"/>
          <w:sz w:val="32"/>
          <w:szCs w:val="32"/>
          <w:lang w:val="en-US" w:eastAsia="zh-CN"/>
        </w:rPr>
        <w:t>全年共受理和办结价格认定1036件</w:t>
      </w:r>
      <w:r>
        <w:rPr>
          <w:rFonts w:hint="eastAsia" w:ascii="仿宋_GB2312" w:hAnsi="仿宋_GB2312" w:eastAsia="仿宋_GB2312" w:cs="仿宋_GB2312"/>
          <w:b w:val="0"/>
          <w:bCs w:val="0"/>
          <w:color w:val="auto"/>
          <w:sz w:val="32"/>
          <w:szCs w:val="32"/>
          <w:lang w:val="en-US" w:eastAsia="zh-CN"/>
        </w:rPr>
        <w:t>，做到了无错案，案件申请复核率为零。</w:t>
      </w:r>
      <w:r>
        <w:rPr>
          <w:rFonts w:hint="eastAsia" w:ascii="仿宋_GB2312" w:hAnsi="仿宋_GB2312" w:eastAsia="仿宋_GB2312" w:cs="仿宋_GB2312"/>
          <w:b/>
          <w:bCs/>
          <w:color w:val="auto"/>
          <w:sz w:val="32"/>
          <w:szCs w:val="32"/>
          <w:lang w:val="en-US" w:eastAsia="zh-CN"/>
        </w:rPr>
        <w:t>二是做好市场保供稳价。</w:t>
      </w:r>
      <w:r>
        <w:rPr>
          <w:rFonts w:hint="eastAsia" w:ascii="仿宋_GB2312" w:hAnsi="仿宋_GB2312" w:eastAsia="仿宋_GB2312" w:cs="仿宋_GB2312"/>
          <w:b w:val="0"/>
          <w:bCs w:val="0"/>
          <w:color w:val="auto"/>
          <w:sz w:val="32"/>
          <w:szCs w:val="32"/>
          <w:lang w:val="en-US" w:eastAsia="zh-CN"/>
        </w:rPr>
        <w:t>重点加强对粮油、肉禽蛋、蔬菜、奶制品等65个生活必需品市场供应和市场价格变动情况的价格监测，做到及时发布和上报市发改委价格监测数据资料。</w:t>
      </w:r>
      <w:r>
        <w:rPr>
          <w:rFonts w:hint="eastAsia" w:ascii="仿宋_GB2312" w:hAnsi="仿宋_GB2312" w:eastAsia="仿宋_GB2312" w:cs="仿宋_GB2312"/>
          <w:b/>
          <w:bCs/>
          <w:color w:val="auto"/>
          <w:sz w:val="32"/>
          <w:szCs w:val="32"/>
          <w:lang w:val="en-US" w:eastAsia="zh-CN"/>
        </w:rPr>
        <w:t>三是认真落实价格联动机制。</w:t>
      </w:r>
      <w:r>
        <w:rPr>
          <w:rFonts w:hint="eastAsia" w:ascii="仿宋_GB2312" w:hAnsi="仿宋_GB2312" w:eastAsia="仿宋_GB2312" w:cs="仿宋_GB2312"/>
          <w:b w:val="0"/>
          <w:bCs w:val="0"/>
          <w:color w:val="auto"/>
          <w:sz w:val="32"/>
          <w:szCs w:val="32"/>
          <w:lang w:val="en-US" w:eastAsia="zh-CN"/>
        </w:rPr>
        <w:t>督促对困难群众发放价格临时补贴，7-10月，根据市里统一部署，鹤城区启动价格联动机制。</w:t>
      </w:r>
      <w:r>
        <w:rPr>
          <w:rFonts w:hint="eastAsia" w:ascii="仿宋_GB2312" w:hAnsi="仿宋_GB2312" w:eastAsia="仿宋_GB2312" w:cs="仿宋_GB2312"/>
          <w:b/>
          <w:bCs/>
          <w:color w:val="auto"/>
          <w:kern w:val="2"/>
          <w:sz w:val="32"/>
          <w:szCs w:val="32"/>
          <w:lang w:val="en-US" w:eastAsia="zh-CN" w:bidi="ar-SA"/>
        </w:rPr>
        <w:t>二是全面做好收费管理工作。</w:t>
      </w:r>
      <w:r>
        <w:rPr>
          <w:rFonts w:hint="eastAsia" w:ascii="仿宋_GB2312" w:hAnsi="仿宋_GB2312" w:eastAsia="仿宋_GB2312" w:cs="仿宋_GB2312"/>
          <w:color w:val="auto"/>
          <w:sz w:val="32"/>
          <w:szCs w:val="32"/>
          <w:u w:val="none"/>
          <w:lang w:val="en-US" w:eastAsia="zh-CN"/>
        </w:rPr>
        <w:t>进一步规范行业协会商会收费，对10家</w:t>
      </w:r>
      <w:r>
        <w:rPr>
          <w:rFonts w:hint="eastAsia" w:ascii="仿宋_GB2312" w:hAnsi="仿宋_GB2312" w:eastAsia="仿宋_GB2312" w:cs="仿宋_GB2312"/>
          <w:color w:val="auto"/>
          <w:sz w:val="32"/>
          <w:szCs w:val="32"/>
          <w:u w:val="none"/>
          <w:lang w:val="zh-CN" w:eastAsia="zh-CN"/>
        </w:rPr>
        <w:t>协会</w:t>
      </w:r>
      <w:r>
        <w:rPr>
          <w:rFonts w:hint="eastAsia" w:ascii="仿宋_GB2312" w:hAnsi="仿宋_GB2312" w:eastAsia="仿宋_GB2312" w:cs="仿宋_GB2312"/>
          <w:color w:val="auto"/>
          <w:sz w:val="32"/>
          <w:szCs w:val="32"/>
          <w:u w:val="none"/>
          <w:lang w:val="en-US" w:eastAsia="zh-CN"/>
        </w:rPr>
        <w:t>进行抽查</w:t>
      </w:r>
      <w:r>
        <w:rPr>
          <w:rFonts w:hint="eastAsia" w:ascii="仿宋_GB2312" w:hAnsi="仿宋_GB2312" w:eastAsia="仿宋_GB2312" w:cs="仿宋_GB2312"/>
          <w:color w:val="auto"/>
          <w:sz w:val="32"/>
          <w:szCs w:val="32"/>
          <w:u w:val="none"/>
          <w:lang w:val="zh-CN" w:eastAsia="zh-CN"/>
        </w:rPr>
        <w:t>检查</w:t>
      </w:r>
      <w:r>
        <w:rPr>
          <w:rFonts w:hint="eastAsia" w:ascii="仿宋_GB2312" w:hAnsi="仿宋_GB2312" w:eastAsia="仿宋_GB2312" w:cs="仿宋_GB2312"/>
          <w:color w:val="auto"/>
          <w:sz w:val="32"/>
          <w:szCs w:val="32"/>
          <w:u w:val="none"/>
          <w:lang w:val="en-US" w:eastAsia="zh-CN"/>
        </w:rPr>
        <w:t>。做好“公参民办”学校价格收费管理工作，依据省、市、区文件对“公参民办”学校价格收费进行了经成本监审，明确了学费标准。发布了鹤城区</w:t>
      </w:r>
      <w:r>
        <w:rPr>
          <w:rFonts w:hint="default" w:ascii="仿宋_GB2312" w:hAnsi="仿宋_GB2312" w:eastAsia="仿宋_GB2312" w:cs="仿宋_GB2312"/>
          <w:color w:val="auto"/>
          <w:sz w:val="32"/>
          <w:szCs w:val="32"/>
          <w:u w:val="none"/>
          <w:lang w:val="zh-CN" w:eastAsia="zh-CN"/>
        </w:rPr>
        <w:t>城市生活垃圾处理费</w:t>
      </w:r>
      <w:r>
        <w:rPr>
          <w:rFonts w:hint="eastAsia" w:ascii="仿宋_GB2312" w:hAnsi="仿宋_GB2312" w:eastAsia="仿宋_GB2312" w:cs="仿宋_GB2312"/>
          <w:color w:val="auto"/>
          <w:sz w:val="32"/>
          <w:szCs w:val="32"/>
          <w:u w:val="none"/>
          <w:lang w:val="en-US" w:eastAsia="zh-CN"/>
        </w:rPr>
        <w:t>征收</w:t>
      </w:r>
      <w:r>
        <w:rPr>
          <w:rFonts w:hint="default" w:ascii="仿宋_GB2312" w:hAnsi="仿宋_GB2312" w:eastAsia="仿宋_GB2312" w:cs="仿宋_GB2312"/>
          <w:color w:val="auto"/>
          <w:sz w:val="32"/>
          <w:szCs w:val="32"/>
          <w:u w:val="none"/>
          <w:lang w:val="zh-CN" w:eastAsia="zh-CN"/>
        </w:rPr>
        <w:t>标准</w:t>
      </w:r>
      <w:r>
        <w:rPr>
          <w:rFonts w:hint="eastAsia" w:ascii="仿宋_GB2312" w:hAnsi="仿宋_GB2312" w:eastAsia="仿宋_GB2312" w:cs="仿宋_GB2312"/>
          <w:color w:val="auto"/>
          <w:sz w:val="32"/>
          <w:szCs w:val="32"/>
          <w:u w:val="none"/>
          <w:lang w:val="en-US" w:eastAsia="zh-CN"/>
        </w:rPr>
        <w:t>、鹤城区工程渣土消纳价格</w:t>
      </w:r>
      <w:r>
        <w:rPr>
          <w:rFonts w:hint="default" w:ascii="仿宋_GB2312" w:hAnsi="仿宋_GB2312" w:eastAsia="仿宋_GB2312" w:cs="仿宋_GB2312"/>
          <w:color w:val="auto"/>
          <w:sz w:val="32"/>
          <w:szCs w:val="32"/>
          <w:u w:val="none"/>
          <w:lang w:val="en-US" w:eastAsia="zh-CN"/>
        </w:rPr>
        <w:t>。</w:t>
      </w:r>
    </w:p>
    <w:p>
      <w:pPr>
        <w:keepNext w:val="0"/>
        <w:keepLines w:val="0"/>
        <w:pageBreakBefore w:val="0"/>
        <w:widowControl w:val="0"/>
        <w:kinsoku/>
        <w:wordWrap/>
        <w:overflowPunct/>
        <w:topLinePunct w:val="0"/>
        <w:autoSpaceDE w:val="0"/>
        <w:autoSpaceDN/>
        <w:bidi w:val="0"/>
        <w:adjustRightInd/>
        <w:snapToGrid/>
        <w:spacing w:after="0" w:afterLines="0" w:line="600" w:lineRule="exact"/>
        <w:ind w:right="0" w:rightChars="0" w:firstLine="643" w:firstLineChars="200"/>
        <w:textAlignment w:val="auto"/>
        <w:rPr>
          <w:rFonts w:hint="default" w:ascii="仿宋_GB2312" w:hAnsi="仿宋_GB2312" w:eastAsia="仿宋_GB2312" w:cs="仿宋_GB2312"/>
          <w:color w:val="auto"/>
          <w:sz w:val="32"/>
          <w:szCs w:val="32"/>
          <w:u w:val="none"/>
          <w:lang w:val="en-US" w:eastAsia="zh-CN"/>
        </w:rPr>
      </w:pPr>
      <w:r>
        <w:rPr>
          <w:rFonts w:hint="eastAsia" w:ascii="楷体" w:hAnsi="楷体" w:eastAsia="楷体" w:cs="楷体"/>
          <w:b/>
          <w:bCs w:val="0"/>
          <w:color w:val="auto"/>
          <w:sz w:val="32"/>
          <w:lang w:val="en-US" w:eastAsia="zh-CN"/>
        </w:rPr>
        <w:t>（七）全面履行工作职责，统筹做好其他各项工作。</w:t>
      </w:r>
      <w:r>
        <w:rPr>
          <w:rFonts w:hint="eastAsia" w:ascii="仿宋_GB2312" w:hAnsi="仿宋_GB2312" w:eastAsia="仿宋_GB2312" w:cs="仿宋_GB2312"/>
          <w:color w:val="auto"/>
          <w:sz w:val="32"/>
          <w:szCs w:val="32"/>
          <w:u w:val="none"/>
          <w:lang w:val="en-US" w:eastAsia="zh-CN"/>
        </w:rPr>
        <w:t>全面做好疫情防控，全面做好多轮疫情防控工作，全方位做到社区防控、卡点值守、物资保供等工作，坚决打赢了疫情防控攻坚战。积极防范化解重大风险，从项目审批、项目申报等方面从严把关，源头防范违规增加政府隐形债务风险。将污染防治工作列入年度国民经济和社会发展计划报告，重点安排部署；积极做好污染防治项目审批。等重大斗争情况。持续推进法治建设和履行平安建设责任情况，常态化开展“扫黑除恶”专项斗争工作，全面优化营商环境，提升行政审批效能，营造良好发展环境。统筹推进安全生产、防汛救灾、法治建设、禁毒工作、统计、保密、人才、“双联”帮扶等其他各项工作。</w:t>
      </w:r>
    </w:p>
    <w:p>
      <w:pPr>
        <w:widowControl/>
        <w:shd w:val="clear" w:color="auto" w:fill="FFFFFF"/>
        <w:spacing w:line="600" w:lineRule="atLeast"/>
        <w:ind w:firstLine="640"/>
        <w:rPr>
          <w:rFonts w:ascii="楷体" w:hAnsi="楷体" w:eastAsia="楷体"/>
          <w:b/>
          <w:spacing w:val="-2"/>
          <w:sz w:val="32"/>
          <w:szCs w:val="21"/>
        </w:rPr>
      </w:pPr>
      <w:r>
        <w:rPr>
          <w:rFonts w:ascii="楷体" w:hAnsi="楷体" w:eastAsia="楷体"/>
          <w:b/>
          <w:spacing w:val="-2"/>
          <w:sz w:val="32"/>
          <w:szCs w:val="32"/>
        </w:rPr>
        <w:t>六、存在的主要问题</w:t>
      </w:r>
    </w:p>
    <w:p>
      <w:pPr>
        <w:pStyle w:val="2"/>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存在的主要问题是年初</w:t>
      </w:r>
      <w:r>
        <w:rPr>
          <w:rFonts w:hint="eastAsia" w:ascii="仿宋_GB2312" w:hAnsi="宋体" w:eastAsia="仿宋_GB2312" w:cs="宋体"/>
          <w:kern w:val="0"/>
          <w:sz w:val="32"/>
          <w:szCs w:val="32"/>
        </w:rPr>
        <w:t>预算</w:t>
      </w:r>
      <w:r>
        <w:rPr>
          <w:rFonts w:hint="eastAsia" w:ascii="仿宋_GB2312" w:hAnsi="宋体" w:eastAsia="仿宋_GB2312" w:cs="宋体"/>
          <w:kern w:val="0"/>
          <w:sz w:val="32"/>
          <w:szCs w:val="32"/>
          <w:lang w:eastAsia="zh-CN"/>
        </w:rPr>
        <w:t>不足。项目经费</w:t>
      </w:r>
      <w:r>
        <w:rPr>
          <w:rFonts w:hint="eastAsia" w:ascii="仿宋_GB2312" w:hAnsi="宋体" w:eastAsia="仿宋_GB2312" w:cs="宋体"/>
          <w:kern w:val="0"/>
          <w:sz w:val="32"/>
          <w:szCs w:val="32"/>
          <w:lang w:val="en-US" w:eastAsia="zh-CN"/>
        </w:rPr>
        <w:t>决算支出361万元，而</w:t>
      </w:r>
      <w:r>
        <w:rPr>
          <w:rFonts w:hint="eastAsia" w:ascii="仿宋_GB2312" w:hAnsi="宋体" w:eastAsia="仿宋_GB2312" w:cs="宋体"/>
          <w:kern w:val="0"/>
          <w:sz w:val="32"/>
          <w:szCs w:val="32"/>
          <w:lang w:eastAsia="zh-CN"/>
        </w:rPr>
        <w:t>纳入年初预算</w:t>
      </w:r>
      <w:r>
        <w:rPr>
          <w:rFonts w:hint="eastAsia" w:ascii="仿宋_GB2312" w:hAnsi="宋体" w:eastAsia="仿宋_GB2312" w:cs="宋体"/>
          <w:kern w:val="0"/>
          <w:sz w:val="32"/>
          <w:szCs w:val="32"/>
          <w:lang w:val="en-US" w:eastAsia="zh-CN"/>
        </w:rPr>
        <w:t>225万元，相差较大。</w:t>
      </w:r>
    </w:p>
    <w:p>
      <w:pPr>
        <w:widowControl/>
        <w:shd w:val="clear" w:color="auto" w:fill="FFFFFF"/>
        <w:spacing w:line="600" w:lineRule="atLeast"/>
        <w:ind w:firstLine="640"/>
        <w:rPr>
          <w:rFonts w:ascii="楷体" w:hAnsi="楷体" w:eastAsia="楷体"/>
          <w:b/>
          <w:spacing w:val="-2"/>
          <w:sz w:val="32"/>
          <w:szCs w:val="32"/>
        </w:rPr>
      </w:pPr>
      <w:r>
        <w:rPr>
          <w:rFonts w:ascii="楷体" w:hAnsi="楷体" w:eastAsia="楷体"/>
          <w:b/>
          <w:spacing w:val="-2"/>
          <w:sz w:val="32"/>
          <w:szCs w:val="32"/>
        </w:rPr>
        <w:t>七、改进措施和有关建议</w:t>
      </w:r>
    </w:p>
    <w:p>
      <w:pPr>
        <w:pStyle w:val="2"/>
        <w:rPr>
          <w:rFonts w:hint="eastAsia" w:ascii="仿宋" w:hAnsi="仿宋" w:eastAsia="仿宋" w:cs="仿宋"/>
          <w:b w:val="0"/>
          <w:bCs/>
          <w:lang w:eastAsia="zh-CN"/>
        </w:rPr>
      </w:pPr>
      <w:r>
        <w:rPr>
          <w:rFonts w:hint="eastAsia" w:ascii="仿宋" w:hAnsi="仿宋" w:eastAsia="仿宋" w:cs="仿宋"/>
          <w:b w:val="0"/>
          <w:bCs/>
          <w:spacing w:val="-2"/>
          <w:sz w:val="32"/>
          <w:szCs w:val="32"/>
          <w:lang w:eastAsia="zh-CN"/>
        </w:rPr>
        <w:t>严格执行区委、区政府相关规定，按照财政程序适时调整下年年初预算。</w:t>
      </w:r>
    </w:p>
    <w:p>
      <w:pPr>
        <w:pStyle w:val="2"/>
        <w:rPr>
          <w:rFonts w:eastAsia="黑体"/>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bookmarkStart w:id="0" w:name="_GoBack"/>
      <w:bookmarkEnd w:id="0"/>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p>
    <w:p>
      <w:pPr>
        <w:spacing w:line="560" w:lineRule="exact"/>
        <w:rPr>
          <w:rFonts w:hint="eastAsia" w:ascii="黑体" w:hAnsi="宋体" w:eastAsia="黑体" w:cs="宋体"/>
          <w:kern w:val="0"/>
          <w:sz w:val="32"/>
          <w:szCs w:val="32"/>
        </w:rPr>
      </w:pPr>
      <w:r>
        <w:rPr>
          <w:rFonts w:hint="eastAsia" w:ascii="黑体" w:hAnsi="宋体" w:eastAsia="黑体" w:cs="宋体"/>
          <w:kern w:val="0"/>
          <w:sz w:val="32"/>
          <w:szCs w:val="32"/>
        </w:rPr>
        <w:t>附件</w:t>
      </w:r>
      <w:r>
        <w:rPr>
          <w:rFonts w:hint="eastAsia" w:ascii="黑体" w:hAnsi="宋体" w:eastAsia="黑体" w:cs="宋体"/>
          <w:kern w:val="0"/>
          <w:sz w:val="32"/>
          <w:szCs w:val="32"/>
          <w:lang w:val="en-US" w:eastAsia="zh-CN"/>
        </w:rPr>
        <w:t>1</w:t>
      </w:r>
    </w:p>
    <w:p>
      <w:pPr>
        <w:spacing w:line="560" w:lineRule="exact"/>
        <w:jc w:val="center"/>
        <w:rPr>
          <w:rFonts w:ascii="宋体" w:hAnsi="宋体" w:cs="宋体"/>
          <w:kern w:val="0"/>
          <w:sz w:val="24"/>
        </w:rPr>
      </w:pPr>
      <w:r>
        <w:rPr>
          <w:rFonts w:hint="eastAsia" w:ascii="方正小标宋_GBK" w:hAnsi="宋体" w:eastAsia="方正小标宋_GBK" w:cs="宋体"/>
          <w:kern w:val="0"/>
          <w:sz w:val="36"/>
          <w:szCs w:val="36"/>
        </w:rPr>
        <w:t>部门整体支出绩效评价</w:t>
      </w:r>
      <w:r>
        <w:rPr>
          <w:rFonts w:hint="eastAsia" w:ascii="方正小标宋_GBK" w:hAnsi="宋体" w:eastAsia="方正小标宋_GBK" w:cs="宋体"/>
          <w:kern w:val="0"/>
          <w:sz w:val="36"/>
          <w:szCs w:val="36"/>
          <w:lang w:eastAsia="zh-CN"/>
        </w:rPr>
        <w:t>共性</w:t>
      </w:r>
      <w:r>
        <w:rPr>
          <w:rFonts w:hint="eastAsia" w:ascii="方正小标宋_GBK" w:hAnsi="宋体" w:eastAsia="方正小标宋_GBK" w:cs="宋体"/>
          <w:kern w:val="0"/>
          <w:sz w:val="36"/>
          <w:szCs w:val="36"/>
        </w:rPr>
        <w:t>指标表</w:t>
      </w:r>
    </w:p>
    <w:tbl>
      <w:tblPr>
        <w:tblStyle w:val="9"/>
        <w:tblW w:w="10600" w:type="dxa"/>
        <w:jc w:val="center"/>
        <w:tblLayout w:type="fixed"/>
        <w:tblCellMar>
          <w:top w:w="0" w:type="dxa"/>
          <w:left w:w="108" w:type="dxa"/>
          <w:bottom w:w="0" w:type="dxa"/>
          <w:right w:w="108" w:type="dxa"/>
        </w:tblCellMar>
      </w:tblPr>
      <w:tblGrid>
        <w:gridCol w:w="518"/>
        <w:gridCol w:w="470"/>
        <w:gridCol w:w="623"/>
        <w:gridCol w:w="416"/>
        <w:gridCol w:w="1015"/>
        <w:gridCol w:w="416"/>
        <w:gridCol w:w="3016"/>
        <w:gridCol w:w="3489"/>
        <w:gridCol w:w="637"/>
      </w:tblGrid>
      <w:tr>
        <w:tblPrEx>
          <w:tblCellMar>
            <w:top w:w="0" w:type="dxa"/>
            <w:left w:w="108" w:type="dxa"/>
            <w:bottom w:w="0" w:type="dxa"/>
            <w:right w:w="108" w:type="dxa"/>
          </w:tblCellMar>
        </w:tblPrEx>
        <w:trPr>
          <w:tblHeader/>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一级指标</w:t>
            </w:r>
          </w:p>
        </w:tc>
        <w:tc>
          <w:tcPr>
            <w:tcW w:w="47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分值</w:t>
            </w:r>
          </w:p>
        </w:tc>
        <w:tc>
          <w:tcPr>
            <w:tcW w:w="623"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分值</w:t>
            </w:r>
          </w:p>
        </w:tc>
        <w:tc>
          <w:tcPr>
            <w:tcW w:w="101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0"/>
                <w:szCs w:val="20"/>
              </w:rPr>
            </w:pPr>
            <w:r>
              <w:rPr>
                <w:rFonts w:hint="eastAsia" w:ascii="仿宋_GB2312" w:hAnsi="宋体" w:eastAsia="仿宋_GB2312" w:cs="宋体"/>
                <w:kern w:val="0"/>
                <w:sz w:val="20"/>
                <w:szCs w:val="20"/>
              </w:rPr>
              <w:t>三级</w:t>
            </w:r>
          </w:p>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分值</w:t>
            </w:r>
          </w:p>
        </w:tc>
        <w:tc>
          <w:tcPr>
            <w:tcW w:w="3016"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评价标准</w:t>
            </w:r>
          </w:p>
        </w:tc>
        <w:tc>
          <w:tcPr>
            <w:tcW w:w="3489"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指标说明</w:t>
            </w:r>
          </w:p>
        </w:tc>
        <w:tc>
          <w:tcPr>
            <w:tcW w:w="637"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得分</w:t>
            </w:r>
          </w:p>
        </w:tc>
      </w:tr>
      <w:tr>
        <w:tblPrEx>
          <w:tblCellMar>
            <w:top w:w="0" w:type="dxa"/>
            <w:left w:w="108" w:type="dxa"/>
            <w:bottom w:w="0" w:type="dxa"/>
            <w:right w:w="108" w:type="dxa"/>
          </w:tblCellMar>
        </w:tblPrEx>
        <w:trPr>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投入</w:t>
            </w:r>
          </w:p>
        </w:tc>
        <w:tc>
          <w:tcPr>
            <w:tcW w:w="47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rPr>
              <w:t>1</w:t>
            </w:r>
            <w:r>
              <w:rPr>
                <w:rFonts w:hint="eastAsia" w:ascii="仿宋_GB2312" w:hAnsi="宋体" w:eastAsia="仿宋_GB2312" w:cs="宋体"/>
                <w:kern w:val="0"/>
                <w:sz w:val="20"/>
                <w:szCs w:val="20"/>
                <w:lang w:val="en-US" w:eastAsia="zh-CN"/>
              </w:rPr>
              <w:t>0</w:t>
            </w:r>
          </w:p>
        </w:tc>
        <w:tc>
          <w:tcPr>
            <w:tcW w:w="623" w:type="dxa"/>
            <w:vMerge w:val="restart"/>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预算配置</w:t>
            </w:r>
          </w:p>
        </w:tc>
        <w:tc>
          <w:tcPr>
            <w:tcW w:w="41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rPr>
              <w:t>1</w:t>
            </w:r>
            <w:r>
              <w:rPr>
                <w:rFonts w:hint="eastAsia" w:ascii="仿宋_GB2312" w:hAnsi="宋体" w:eastAsia="仿宋_GB2312" w:cs="宋体"/>
                <w:kern w:val="0"/>
                <w:sz w:val="20"/>
                <w:szCs w:val="20"/>
                <w:lang w:val="en-US" w:eastAsia="zh-CN"/>
              </w:rPr>
              <w:t>0</w:t>
            </w: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在职人员控制率</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3016" w:type="dxa"/>
            <w:tcBorders>
              <w:top w:val="nil"/>
              <w:left w:val="nil"/>
              <w:bottom w:val="nil"/>
              <w:right w:val="nil"/>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以100%为标准。在职人员控制率</w:t>
            </w:r>
            <w:r>
              <w:rPr>
                <w:rFonts w:hint="eastAsia" w:ascii="宋体" w:hAnsi="宋体" w:cs="宋体"/>
                <w:kern w:val="0"/>
                <w:sz w:val="20"/>
                <w:szCs w:val="20"/>
              </w:rPr>
              <w:t>≦</w:t>
            </w:r>
            <w:r>
              <w:rPr>
                <w:rFonts w:hint="eastAsia" w:ascii="仿宋_GB2312" w:hAnsi="宋体" w:eastAsia="仿宋_GB2312" w:cs="宋体"/>
                <w:kern w:val="0"/>
                <w:sz w:val="20"/>
                <w:szCs w:val="20"/>
              </w:rPr>
              <w:t>100%，计5分；每超过一个百分点扣0.5分，扣完为止。</w:t>
            </w:r>
          </w:p>
        </w:tc>
        <w:tc>
          <w:tcPr>
            <w:tcW w:w="3489"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在职人员控制率=（在职人员数/编制数）×100%，在职人员数：部门（单位）实际在职人数，以财政确定的部门决算编制口径为准。</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编制数：机构编制部门核定批复的部门（单位）的人员编制数。</w:t>
            </w:r>
          </w:p>
        </w:tc>
        <w:tc>
          <w:tcPr>
            <w:tcW w:w="63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5</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“三公经费”变动率</w:t>
            </w:r>
          </w:p>
        </w:tc>
        <w:tc>
          <w:tcPr>
            <w:tcW w:w="4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lang w:val="en-US" w:eastAsia="zh-CN"/>
              </w:rPr>
              <w:t>5</w:t>
            </w:r>
          </w:p>
        </w:tc>
        <w:tc>
          <w:tcPr>
            <w:tcW w:w="3016" w:type="dxa"/>
            <w:tcBorders>
              <w:top w:val="single" w:color="auto" w:sz="4" w:space="0"/>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“三公经费”变动率</w:t>
            </w:r>
            <w:r>
              <w:rPr>
                <w:rFonts w:hint="eastAsia" w:ascii="宋体" w:hAnsi="宋体" w:cs="宋体"/>
                <w:kern w:val="0"/>
                <w:sz w:val="20"/>
                <w:szCs w:val="20"/>
              </w:rPr>
              <w:t>≦</w:t>
            </w:r>
            <w:r>
              <w:rPr>
                <w:rFonts w:hint="eastAsia" w:ascii="仿宋_GB2312" w:hAnsi="宋体" w:eastAsia="仿宋_GB2312" w:cs="宋体"/>
                <w:kern w:val="0"/>
                <w:sz w:val="20"/>
                <w:szCs w:val="20"/>
              </w:rPr>
              <w:t>0,计</w:t>
            </w:r>
            <w:r>
              <w:rPr>
                <w:rFonts w:hint="eastAsia" w:ascii="仿宋_GB2312" w:hAnsi="宋体" w:eastAsia="仿宋_GB2312" w:cs="宋体"/>
                <w:kern w:val="0"/>
                <w:sz w:val="20"/>
                <w:szCs w:val="20"/>
                <w:lang w:val="en-US" w:eastAsia="zh-CN"/>
              </w:rPr>
              <w:t>5</w:t>
            </w:r>
            <w:r>
              <w:rPr>
                <w:rFonts w:hint="eastAsia" w:ascii="仿宋_GB2312" w:hAnsi="宋体" w:eastAsia="仿宋_GB2312" w:cs="宋体"/>
                <w:kern w:val="0"/>
                <w:sz w:val="20"/>
                <w:szCs w:val="20"/>
              </w:rPr>
              <w:t>分；“三公经费”＞0，每超过一个百分点扣0.</w:t>
            </w:r>
            <w:r>
              <w:rPr>
                <w:rFonts w:hint="eastAsia" w:ascii="仿宋_GB2312" w:hAnsi="宋体" w:eastAsia="仿宋_GB2312" w:cs="宋体"/>
                <w:kern w:val="0"/>
                <w:sz w:val="20"/>
                <w:szCs w:val="20"/>
                <w:lang w:val="en-US" w:eastAsia="zh-CN"/>
              </w:rPr>
              <w:t>5</w:t>
            </w:r>
            <w:r>
              <w:rPr>
                <w:rFonts w:hint="eastAsia" w:ascii="仿宋_GB2312" w:hAnsi="宋体" w:eastAsia="仿宋_GB2312" w:cs="宋体"/>
                <w:kern w:val="0"/>
                <w:sz w:val="20"/>
                <w:szCs w:val="20"/>
              </w:rPr>
              <w:t>分，扣完为止。</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“三公经费”变动率=[（本年度“三公经费”预算数-上年度“三公经费”预算数）/上年度“三公经费”预算数]×100%</w:t>
            </w:r>
          </w:p>
        </w:tc>
        <w:tc>
          <w:tcPr>
            <w:tcW w:w="6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5</w:t>
            </w:r>
          </w:p>
        </w:tc>
      </w:tr>
      <w:tr>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过                                                                                                                                       程</w:t>
            </w:r>
          </w:p>
        </w:tc>
        <w:tc>
          <w:tcPr>
            <w:tcW w:w="47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rPr>
              <w:t>6</w:t>
            </w:r>
            <w:r>
              <w:rPr>
                <w:rFonts w:hint="eastAsia" w:ascii="仿宋_GB2312" w:hAnsi="宋体" w:eastAsia="仿宋_GB2312" w:cs="宋体"/>
                <w:kern w:val="0"/>
                <w:sz w:val="20"/>
                <w:szCs w:val="20"/>
                <w:lang w:val="en-US" w:eastAsia="zh-CN"/>
              </w:rPr>
              <w:t>0</w:t>
            </w:r>
          </w:p>
        </w:tc>
        <w:tc>
          <w:tcPr>
            <w:tcW w:w="62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预算执行</w:t>
            </w:r>
          </w:p>
        </w:tc>
        <w:tc>
          <w:tcPr>
            <w:tcW w:w="41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20</w:t>
            </w: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预算完成率</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100%计满分，每低于5%扣2分，扣完为止。</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预算完成率=（上年结转+年初预算+本年追加预算-年末结余）/（上年结转+年初预算+本年追加预算）×100%。</w:t>
            </w:r>
          </w:p>
        </w:tc>
        <w:tc>
          <w:tcPr>
            <w:tcW w:w="6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5</w:t>
            </w:r>
          </w:p>
        </w:tc>
      </w:tr>
      <w:tr>
        <w:tblPrEx>
          <w:tblCellMar>
            <w:top w:w="0" w:type="dxa"/>
            <w:left w:w="108" w:type="dxa"/>
            <w:bottom w:w="0" w:type="dxa"/>
            <w:right w:w="108" w:type="dxa"/>
          </w:tblCellMar>
        </w:tblPrEx>
        <w:trPr>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预算控制率</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预算控制率=0，计5分；0-10%（含），计4分；10-20%（含），计3分；20-30%（含），计2分；大于30%不得分。</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预算控制率=（本年追加预算/年初预算）×100%。</w:t>
            </w:r>
          </w:p>
        </w:tc>
        <w:tc>
          <w:tcPr>
            <w:tcW w:w="63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lang w:val="en-US" w:eastAsia="zh-CN"/>
              </w:rPr>
              <w:t>5</w:t>
            </w:r>
          </w:p>
        </w:tc>
      </w:tr>
      <w:tr>
        <w:tblPrEx>
          <w:tblCellMar>
            <w:top w:w="0" w:type="dxa"/>
            <w:left w:w="108" w:type="dxa"/>
            <w:bottom w:w="0" w:type="dxa"/>
            <w:right w:w="108" w:type="dxa"/>
          </w:tblCellMar>
        </w:tblPrEx>
        <w:trPr>
          <w:trHeight w:val="1160"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新建楼堂馆所面积控制率</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100%以下（含）计满分，每超出5%扣2分，扣完为止。没有楼堂馆所项目的部门按满分计算。</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楼堂馆所面积控制率=实际建设面积/批准建设面积×100% 。</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该指标以</w:t>
            </w:r>
            <w:r>
              <w:rPr>
                <w:rFonts w:hint="eastAsia" w:ascii="仿宋_GB2312" w:hAnsi="宋体" w:eastAsia="仿宋_GB2312" w:cs="宋体"/>
                <w:kern w:val="0"/>
                <w:sz w:val="20"/>
                <w:szCs w:val="20"/>
                <w:lang w:val="en-US" w:eastAsia="zh-CN"/>
              </w:rPr>
              <w:t>2021</w:t>
            </w:r>
            <w:r>
              <w:rPr>
                <w:rFonts w:hint="eastAsia" w:ascii="仿宋_GB2312" w:hAnsi="宋体" w:eastAsia="仿宋_GB2312" w:cs="宋体"/>
                <w:kern w:val="0"/>
                <w:sz w:val="20"/>
                <w:szCs w:val="20"/>
              </w:rPr>
              <w:t>年完工的新建楼堂馆所为评价内容。</w:t>
            </w:r>
          </w:p>
        </w:tc>
        <w:tc>
          <w:tcPr>
            <w:tcW w:w="6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5</w:t>
            </w:r>
          </w:p>
        </w:tc>
      </w:tr>
      <w:tr>
        <w:tblPrEx>
          <w:tblCellMar>
            <w:top w:w="0" w:type="dxa"/>
            <w:left w:w="108" w:type="dxa"/>
            <w:bottom w:w="0" w:type="dxa"/>
            <w:right w:w="108" w:type="dxa"/>
          </w:tblCellMar>
        </w:tblPrEx>
        <w:trPr>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新建楼堂馆所投资概算控制率</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100%以下（含）计满分，每超出5%扣2分，扣完为止。</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楼堂馆所投资预算控制率=实际投资金额/批准投资金额×100% 。</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该指标以2</w:t>
            </w:r>
            <w:r>
              <w:rPr>
                <w:rFonts w:hint="eastAsia" w:ascii="仿宋_GB2312" w:hAnsi="宋体" w:eastAsia="仿宋_GB2312" w:cs="宋体"/>
                <w:kern w:val="0"/>
                <w:sz w:val="20"/>
                <w:szCs w:val="20"/>
                <w:lang w:val="en-US" w:eastAsia="zh-CN"/>
              </w:rPr>
              <w:t>021</w:t>
            </w:r>
            <w:r>
              <w:rPr>
                <w:rFonts w:hint="eastAsia" w:ascii="仿宋_GB2312" w:hAnsi="宋体" w:eastAsia="仿宋_GB2312" w:cs="宋体"/>
                <w:kern w:val="0"/>
                <w:sz w:val="20"/>
                <w:szCs w:val="20"/>
              </w:rPr>
              <w:t>年完工的新建楼堂馆所为评价内容。</w:t>
            </w:r>
          </w:p>
        </w:tc>
        <w:tc>
          <w:tcPr>
            <w:tcW w:w="63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lang w:val="en-US" w:eastAsia="zh-CN"/>
              </w:rPr>
              <w:t>5</w:t>
            </w:r>
          </w:p>
        </w:tc>
      </w:tr>
      <w:tr>
        <w:tblPrEx>
          <w:tblCellMar>
            <w:top w:w="0" w:type="dxa"/>
            <w:left w:w="108" w:type="dxa"/>
            <w:bottom w:w="0" w:type="dxa"/>
            <w:right w:w="108" w:type="dxa"/>
          </w:tblCellMar>
        </w:tblPrEx>
        <w:trPr>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预算管理</w:t>
            </w:r>
          </w:p>
        </w:tc>
        <w:tc>
          <w:tcPr>
            <w:tcW w:w="41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40</w:t>
            </w: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公用经费控制率</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100%以下（含）计满分，每超出1%扣1分，扣完为止。</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公用经费控制率=（实际支出公用经费总额/预算安排公用经费总额）×100%。</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公用经费支出是指部门基本支出中的一般商品和服务支出。</w:t>
            </w:r>
          </w:p>
        </w:tc>
        <w:tc>
          <w:tcPr>
            <w:tcW w:w="6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8</w:t>
            </w:r>
          </w:p>
        </w:tc>
      </w:tr>
      <w:tr>
        <w:tblPrEx>
          <w:tblCellMar>
            <w:top w:w="0" w:type="dxa"/>
            <w:left w:w="108" w:type="dxa"/>
            <w:bottom w:w="0" w:type="dxa"/>
            <w:right w:w="108" w:type="dxa"/>
          </w:tblCellMar>
        </w:tblPrEx>
        <w:trPr>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“三公经费”控制率</w:t>
            </w:r>
          </w:p>
        </w:tc>
        <w:tc>
          <w:tcPr>
            <w:tcW w:w="4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lang w:val="en-US" w:eastAsia="zh-CN"/>
              </w:rPr>
              <w:t>7</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100%以下（含）计满分，每超出1%扣1分，扣完为止。</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“三公经费”控制率-（“三公经费”实际支出数/“三公经费”预算安排数）×100%。</w:t>
            </w:r>
          </w:p>
        </w:tc>
        <w:tc>
          <w:tcPr>
            <w:tcW w:w="6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7</w:t>
            </w:r>
          </w:p>
        </w:tc>
      </w:tr>
      <w:tr>
        <w:tblPrEx>
          <w:tblCellMar>
            <w:top w:w="0" w:type="dxa"/>
            <w:left w:w="108" w:type="dxa"/>
            <w:bottom w:w="0" w:type="dxa"/>
            <w:right w:w="108" w:type="dxa"/>
          </w:tblCellMar>
        </w:tblPrEx>
        <w:trPr>
          <w:trHeight w:val="918" w:hRule="atLeast"/>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政府采购执行率</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6</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100%计满分，每超过（降低）5%扣2分。扣完为止。</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政府采购执行率=（实际政府采购金额/政府采购预算数）×100%</w:t>
            </w:r>
          </w:p>
        </w:tc>
        <w:tc>
          <w:tcPr>
            <w:tcW w:w="6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6</w:t>
            </w:r>
          </w:p>
        </w:tc>
      </w:tr>
      <w:tr>
        <w:tblPrEx>
          <w:tblCellMar>
            <w:top w:w="0" w:type="dxa"/>
            <w:left w:w="108" w:type="dxa"/>
            <w:bottom w:w="0" w:type="dxa"/>
            <w:right w:w="108" w:type="dxa"/>
          </w:tblCellMar>
        </w:tblPrEx>
        <w:trPr>
          <w:jc w:val="center"/>
        </w:trPr>
        <w:tc>
          <w:tcPr>
            <w:tcW w:w="518" w:type="dxa"/>
            <w:vMerge w:val="restart"/>
            <w:tcBorders>
              <w:top w:val="single" w:color="auto" w:sz="4" w:space="0"/>
              <w:left w:val="single" w:color="auto" w:sz="4" w:space="0"/>
              <w:bottom w:val="single" w:color="000000" w:sz="4" w:space="0"/>
              <w:right w:val="single" w:color="auto" w:sz="4" w:space="0"/>
            </w:tcBorders>
            <w:noWrap w:val="0"/>
            <w:vAlign w:val="center"/>
          </w:tcPr>
          <w:p>
            <w:pPr>
              <w:jc w:val="left"/>
              <w:rPr>
                <w:rFonts w:ascii="仿宋_GB2312" w:hAnsi="宋体" w:eastAsia="仿宋_GB2312" w:cs="宋体"/>
                <w:kern w:val="0"/>
                <w:sz w:val="20"/>
                <w:szCs w:val="20"/>
              </w:rPr>
            </w:pPr>
            <w:r>
              <w:rPr>
                <w:rFonts w:hint="eastAsia" w:ascii="仿宋_GB2312" w:hAnsi="宋体" w:eastAsia="仿宋_GB2312" w:cs="宋体"/>
                <w:kern w:val="0"/>
                <w:sz w:val="20"/>
                <w:szCs w:val="20"/>
              </w:rPr>
              <w:t>过                                                                                                                                       程</w:t>
            </w:r>
          </w:p>
        </w:tc>
        <w:tc>
          <w:tcPr>
            <w:tcW w:w="470" w:type="dxa"/>
            <w:vMerge w:val="restart"/>
            <w:tcBorders>
              <w:top w:val="single" w:color="auto" w:sz="4" w:space="0"/>
              <w:left w:val="single" w:color="auto" w:sz="4" w:space="0"/>
              <w:bottom w:val="single" w:color="000000" w:sz="4" w:space="0"/>
              <w:right w:val="single" w:color="auto" w:sz="4" w:space="0"/>
            </w:tcBorders>
            <w:noWrap w:val="0"/>
            <w:vAlign w:val="center"/>
          </w:tcPr>
          <w:p>
            <w:pPr>
              <w:jc w:val="left"/>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rPr>
              <w:t>6</w:t>
            </w:r>
            <w:r>
              <w:rPr>
                <w:rFonts w:hint="eastAsia" w:ascii="仿宋_GB2312" w:hAnsi="宋体" w:eastAsia="仿宋_GB2312" w:cs="宋体"/>
                <w:kern w:val="0"/>
                <w:sz w:val="20"/>
                <w:szCs w:val="20"/>
                <w:lang w:val="en-US" w:eastAsia="zh-CN"/>
              </w:rPr>
              <w:t>0</w:t>
            </w:r>
          </w:p>
        </w:tc>
        <w:tc>
          <w:tcPr>
            <w:tcW w:w="623" w:type="dxa"/>
            <w:vMerge w:val="restart"/>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预算管理</w:t>
            </w:r>
          </w:p>
        </w:tc>
        <w:tc>
          <w:tcPr>
            <w:tcW w:w="4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管理制度健全性</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①有内部财务管理制度、会计核算制度等管理制度，2分；</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②有本部门厉行节约制度,2分；</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③相关管理制度合法、合规、完整，2分；④相关管理制度得到有效执行，2分。</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6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8</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资金使用合规性</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6</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以上情况每出现一例不符合要求的扣1分，扣完为止。</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6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6</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continue"/>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预决算信息公开性</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预决算信息是指与部门预算、执行、决算、监督、绩效等管理相关的信息。</w:t>
            </w:r>
          </w:p>
        </w:tc>
        <w:tc>
          <w:tcPr>
            <w:tcW w:w="6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5</w:t>
            </w:r>
          </w:p>
        </w:tc>
      </w:tr>
      <w:tr>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产出及效率</w:t>
            </w:r>
          </w:p>
        </w:tc>
        <w:tc>
          <w:tcPr>
            <w:tcW w:w="47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30</w:t>
            </w:r>
          </w:p>
        </w:tc>
        <w:tc>
          <w:tcPr>
            <w:tcW w:w="62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职责履行</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1015" w:type="dxa"/>
            <w:tcBorders>
              <w:top w:val="nil"/>
              <w:left w:val="nil"/>
              <w:bottom w:val="nil"/>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重点工作实际完成率</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根据绩效办20</w:t>
            </w:r>
            <w:r>
              <w:rPr>
                <w:rFonts w:hint="eastAsia" w:ascii="仿宋_GB2312" w:hAnsi="宋体" w:eastAsia="仿宋_GB2312" w:cs="宋体"/>
                <w:kern w:val="0"/>
                <w:sz w:val="20"/>
                <w:szCs w:val="20"/>
                <w:lang w:val="en-US" w:eastAsia="zh-CN"/>
              </w:rPr>
              <w:t>21</w:t>
            </w:r>
            <w:r>
              <w:rPr>
                <w:rFonts w:hint="eastAsia" w:ascii="仿宋_GB2312" w:hAnsi="宋体" w:eastAsia="仿宋_GB2312" w:cs="宋体"/>
                <w:kern w:val="0"/>
                <w:sz w:val="20"/>
                <w:szCs w:val="20"/>
              </w:rPr>
              <w:t>年对各部门为民办实事和部门重点工程与重点工作考核分数折算。</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该项得分=（绩效办对应部分考核得分/</w:t>
            </w:r>
            <w:r>
              <w:rPr>
                <w:rFonts w:hint="eastAsia" w:ascii="仿宋_GB2312" w:hAnsi="宋体" w:eastAsia="仿宋_GB2312" w:cs="宋体"/>
                <w:kern w:val="0"/>
                <w:sz w:val="20"/>
                <w:szCs w:val="20"/>
                <w:lang w:eastAsia="zh-CN"/>
              </w:rPr>
              <w:t>该部分总分</w:t>
            </w:r>
            <w:r>
              <w:rPr>
                <w:rFonts w:hint="eastAsia" w:ascii="仿宋_GB2312" w:hAnsi="宋体" w:eastAsia="仿宋_GB2312" w:cs="宋体"/>
                <w:kern w:val="0"/>
                <w:sz w:val="20"/>
                <w:szCs w:val="20"/>
              </w:rPr>
              <w:t>）*8</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6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8</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履职 效益</w:t>
            </w:r>
          </w:p>
        </w:tc>
        <w:tc>
          <w:tcPr>
            <w:tcW w:w="41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10</w:t>
            </w:r>
          </w:p>
        </w:tc>
        <w:tc>
          <w:tcPr>
            <w:tcW w:w="1015"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经济效益</w:t>
            </w:r>
          </w:p>
        </w:tc>
        <w:tc>
          <w:tcPr>
            <w:tcW w:w="416" w:type="dxa"/>
            <w:vMerge w:val="restart"/>
            <w:tcBorders>
              <w:top w:val="nil"/>
              <w:left w:val="single" w:color="auto" w:sz="4" w:space="0"/>
              <w:bottom w:val="nil"/>
              <w:right w:val="single" w:color="auto" w:sz="4" w:space="0"/>
            </w:tcBorders>
            <w:noWrap w:val="0"/>
            <w:vAlign w:val="center"/>
          </w:tcPr>
          <w:p>
            <w:pPr>
              <w:widowControl/>
              <w:jc w:val="center"/>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10</w:t>
            </w:r>
          </w:p>
        </w:tc>
        <w:tc>
          <w:tcPr>
            <w:tcW w:w="6505" w:type="dxa"/>
            <w:gridSpan w:val="2"/>
            <w:vMerge w:val="restart"/>
            <w:tcBorders>
              <w:top w:val="single" w:color="auto" w:sz="4" w:space="0"/>
              <w:left w:val="single" w:color="auto" w:sz="4" w:space="0"/>
              <w:bottom w:val="nil"/>
              <w:right w:val="single" w:color="000000"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此两项指标为设置部门整体支出绩效评价指标时必须考虑的共性要素，可根据部门实际情况有选择的进行设置，并将其细化为相应的个性化指标。</w:t>
            </w:r>
          </w:p>
        </w:tc>
        <w:tc>
          <w:tcPr>
            <w:tcW w:w="637" w:type="dxa"/>
            <w:tcBorders>
              <w:top w:val="nil"/>
              <w:left w:val="nil"/>
              <w:bottom w:val="nil"/>
              <w:right w:val="single" w:color="auto" w:sz="4" w:space="0"/>
            </w:tcBorders>
            <w:noWrap w:val="0"/>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10</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101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社会效益</w:t>
            </w:r>
          </w:p>
        </w:tc>
        <w:tc>
          <w:tcPr>
            <w:tcW w:w="416" w:type="dxa"/>
            <w:vMerge w:val="continue"/>
            <w:tcBorders>
              <w:top w:val="nil"/>
              <w:left w:val="single" w:color="auto" w:sz="4" w:space="0"/>
              <w:bottom w:val="nil"/>
              <w:right w:val="single" w:color="auto" w:sz="4" w:space="0"/>
            </w:tcBorders>
            <w:noWrap w:val="0"/>
            <w:vAlign w:val="center"/>
          </w:tcPr>
          <w:p>
            <w:pPr>
              <w:widowControl/>
              <w:jc w:val="left"/>
              <w:rPr>
                <w:rFonts w:ascii="仿宋_GB2312" w:hAnsi="宋体" w:eastAsia="仿宋_GB2312" w:cs="宋体"/>
                <w:kern w:val="0"/>
                <w:sz w:val="20"/>
                <w:szCs w:val="20"/>
              </w:rPr>
            </w:pPr>
          </w:p>
        </w:tc>
        <w:tc>
          <w:tcPr>
            <w:tcW w:w="6505" w:type="dxa"/>
            <w:gridSpan w:val="2"/>
            <w:vMerge w:val="continue"/>
            <w:tcBorders>
              <w:top w:val="single" w:color="auto" w:sz="4" w:space="0"/>
              <w:left w:val="single" w:color="auto" w:sz="4" w:space="0"/>
              <w:bottom w:val="nil"/>
              <w:right w:val="single" w:color="000000" w:sz="4" w:space="0"/>
            </w:tcBorders>
            <w:noWrap w:val="0"/>
            <w:vAlign w:val="center"/>
          </w:tcPr>
          <w:p>
            <w:pPr>
              <w:widowControl/>
              <w:jc w:val="left"/>
              <w:rPr>
                <w:rFonts w:ascii="仿宋_GB2312" w:hAnsi="宋体" w:eastAsia="仿宋_GB2312" w:cs="宋体"/>
                <w:kern w:val="0"/>
                <w:sz w:val="20"/>
                <w:szCs w:val="20"/>
              </w:rPr>
            </w:pPr>
          </w:p>
        </w:tc>
        <w:tc>
          <w:tcPr>
            <w:tcW w:w="637" w:type="dxa"/>
            <w:tcBorders>
              <w:top w:val="nil"/>
              <w:left w:val="nil"/>
              <w:bottom w:val="nil"/>
              <w:right w:val="single" w:color="auto" w:sz="4" w:space="0"/>
            </w:tcBorders>
            <w:noWrap w:val="0"/>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1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12</w:t>
            </w: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行政效能</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6</w:t>
            </w:r>
          </w:p>
        </w:tc>
        <w:tc>
          <w:tcPr>
            <w:tcW w:w="3016" w:type="dxa"/>
            <w:tcBorders>
              <w:top w:val="single" w:color="auto" w:sz="4" w:space="0"/>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促进部门改进文风会风，加强经费及资产管理，推动网上办事，提高行政效率，降低行政成本效果较好的计6分；一般3分；无效果或者效果不明显0分。</w:t>
            </w:r>
          </w:p>
        </w:tc>
        <w:tc>
          <w:tcPr>
            <w:tcW w:w="3489" w:type="dxa"/>
            <w:tcBorders>
              <w:top w:val="single" w:color="auto" w:sz="4" w:space="0"/>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根据部门自评材料评定。</w:t>
            </w:r>
          </w:p>
        </w:tc>
        <w:tc>
          <w:tcPr>
            <w:tcW w:w="637"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6</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7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62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4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kern w:val="0"/>
                <w:sz w:val="20"/>
                <w:szCs w:val="20"/>
              </w:rPr>
            </w:pPr>
          </w:p>
        </w:tc>
        <w:tc>
          <w:tcPr>
            <w:tcW w:w="101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社会公众或服务对象满意度</w:t>
            </w:r>
          </w:p>
        </w:tc>
        <w:tc>
          <w:tcPr>
            <w:tcW w:w="4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6</w:t>
            </w:r>
          </w:p>
        </w:tc>
        <w:tc>
          <w:tcPr>
            <w:tcW w:w="301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90%（含）以上计6分；</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80%（含）-90%，计4分；</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70%（含）-80%，计2分；</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低于70%计0分。</w:t>
            </w:r>
          </w:p>
        </w:tc>
        <w:tc>
          <w:tcPr>
            <w:tcW w:w="348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社会公众或服务对象是指部门（单位）履行职责而影响到的部门、群体或个人，一般采取社会调查的方式。</w:t>
            </w:r>
          </w:p>
        </w:tc>
        <w:tc>
          <w:tcPr>
            <w:tcW w:w="63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lang w:val="en-US" w:eastAsia="zh-CN"/>
              </w:rPr>
              <w:t>6</w:t>
            </w:r>
          </w:p>
        </w:tc>
      </w:tr>
    </w:tbl>
    <w:p>
      <w:pPr>
        <w:widowControl/>
        <w:spacing w:line="600" w:lineRule="exact"/>
        <w:ind w:firstLine="645"/>
        <w:jc w:val="left"/>
        <w:rPr>
          <w:rFonts w:eastAsia="仿宋_GB2312"/>
          <w:sz w:val="32"/>
          <w:szCs w:val="32"/>
        </w:rPr>
      </w:pPr>
    </w:p>
    <w:sectPr>
      <w:footerReference r:id="rId3" w:type="default"/>
      <w:pgSz w:w="11906" w:h="16838"/>
      <w:pgMar w:top="850" w:right="1800" w:bottom="85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FangSong_GB2312">
    <w:altName w:val="仿宋"/>
    <w:panose1 w:val="020106090600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1YWRmZDc2NGJiM2M4MzVlMWRhYjUyMDM0OTFjNDEifQ=="/>
  </w:docVars>
  <w:rsids>
    <w:rsidRoot w:val="00A045A1"/>
    <w:rsid w:val="000000A5"/>
    <w:rsid w:val="00022046"/>
    <w:rsid w:val="000B0765"/>
    <w:rsid w:val="000B57BC"/>
    <w:rsid w:val="00162440"/>
    <w:rsid w:val="00174EEF"/>
    <w:rsid w:val="001A127E"/>
    <w:rsid w:val="002558F7"/>
    <w:rsid w:val="0031755D"/>
    <w:rsid w:val="003711D0"/>
    <w:rsid w:val="00377767"/>
    <w:rsid w:val="00377A33"/>
    <w:rsid w:val="003E5114"/>
    <w:rsid w:val="00426627"/>
    <w:rsid w:val="005833DD"/>
    <w:rsid w:val="00595424"/>
    <w:rsid w:val="005A4AB0"/>
    <w:rsid w:val="00614437"/>
    <w:rsid w:val="006370F0"/>
    <w:rsid w:val="006811E5"/>
    <w:rsid w:val="007B54D9"/>
    <w:rsid w:val="00887C00"/>
    <w:rsid w:val="008A4834"/>
    <w:rsid w:val="008D7141"/>
    <w:rsid w:val="009D4AE4"/>
    <w:rsid w:val="00A045A1"/>
    <w:rsid w:val="00A070E1"/>
    <w:rsid w:val="00A317C9"/>
    <w:rsid w:val="00A75C37"/>
    <w:rsid w:val="00AA700A"/>
    <w:rsid w:val="00B364CE"/>
    <w:rsid w:val="00BB6107"/>
    <w:rsid w:val="00BD1C3A"/>
    <w:rsid w:val="00C25716"/>
    <w:rsid w:val="00C3391C"/>
    <w:rsid w:val="00C344EC"/>
    <w:rsid w:val="00C4552C"/>
    <w:rsid w:val="00C72139"/>
    <w:rsid w:val="00CC4C2C"/>
    <w:rsid w:val="00CD20A2"/>
    <w:rsid w:val="00D10324"/>
    <w:rsid w:val="00E127F9"/>
    <w:rsid w:val="00E50869"/>
    <w:rsid w:val="00ED0475"/>
    <w:rsid w:val="00F55CD7"/>
    <w:rsid w:val="00FC7FE9"/>
    <w:rsid w:val="0215400D"/>
    <w:rsid w:val="02D94456"/>
    <w:rsid w:val="04D01847"/>
    <w:rsid w:val="062A43C9"/>
    <w:rsid w:val="065C003A"/>
    <w:rsid w:val="07D86362"/>
    <w:rsid w:val="085A33ED"/>
    <w:rsid w:val="0C3B5596"/>
    <w:rsid w:val="0ECA3786"/>
    <w:rsid w:val="0FB252BC"/>
    <w:rsid w:val="11DF7EEF"/>
    <w:rsid w:val="124A70DD"/>
    <w:rsid w:val="133C4B4F"/>
    <w:rsid w:val="140570F6"/>
    <w:rsid w:val="14BE438E"/>
    <w:rsid w:val="1A330456"/>
    <w:rsid w:val="1E2E5C48"/>
    <w:rsid w:val="1EE510F2"/>
    <w:rsid w:val="212C6F36"/>
    <w:rsid w:val="22F90A6F"/>
    <w:rsid w:val="23960C12"/>
    <w:rsid w:val="246F02E5"/>
    <w:rsid w:val="247E7606"/>
    <w:rsid w:val="24A116F7"/>
    <w:rsid w:val="24EE4147"/>
    <w:rsid w:val="25B04809"/>
    <w:rsid w:val="28E13594"/>
    <w:rsid w:val="291D3AB4"/>
    <w:rsid w:val="2D8A198D"/>
    <w:rsid w:val="31336B36"/>
    <w:rsid w:val="31D13F78"/>
    <w:rsid w:val="32E40718"/>
    <w:rsid w:val="39AA3A3B"/>
    <w:rsid w:val="39AE1450"/>
    <w:rsid w:val="3AA872FE"/>
    <w:rsid w:val="3DC323D7"/>
    <w:rsid w:val="43806A43"/>
    <w:rsid w:val="448D14FC"/>
    <w:rsid w:val="464873A9"/>
    <w:rsid w:val="46B50266"/>
    <w:rsid w:val="47186814"/>
    <w:rsid w:val="477D5A14"/>
    <w:rsid w:val="49BC3570"/>
    <w:rsid w:val="4A7C2C73"/>
    <w:rsid w:val="4B1E568F"/>
    <w:rsid w:val="4F292EA2"/>
    <w:rsid w:val="4FAA4B63"/>
    <w:rsid w:val="52AC60B3"/>
    <w:rsid w:val="531C4FC4"/>
    <w:rsid w:val="539A0A48"/>
    <w:rsid w:val="54F36FF9"/>
    <w:rsid w:val="5CC579CC"/>
    <w:rsid w:val="5CCF4C0A"/>
    <w:rsid w:val="5F35266D"/>
    <w:rsid w:val="60665259"/>
    <w:rsid w:val="60C03693"/>
    <w:rsid w:val="61C35311"/>
    <w:rsid w:val="631133BC"/>
    <w:rsid w:val="64D8481E"/>
    <w:rsid w:val="66D1294E"/>
    <w:rsid w:val="6A310A8E"/>
    <w:rsid w:val="6A592E24"/>
    <w:rsid w:val="6A7F203A"/>
    <w:rsid w:val="6BA13361"/>
    <w:rsid w:val="6BE515D1"/>
    <w:rsid w:val="6D0D6AE8"/>
    <w:rsid w:val="6D714B6E"/>
    <w:rsid w:val="70721569"/>
    <w:rsid w:val="75C23374"/>
    <w:rsid w:val="78D43611"/>
    <w:rsid w:val="7B285865"/>
    <w:rsid w:val="7BE27D1D"/>
    <w:rsid w:val="7C3136E3"/>
    <w:rsid w:val="7E2E5C88"/>
    <w:rsid w:val="7E5F1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99"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_Style 1"/>
    <w:basedOn w:val="1"/>
    <w:qFormat/>
    <w:uiPriority w:val="99"/>
    <w:pPr>
      <w:spacing w:line="481" w:lineRule="atLeast"/>
      <w:ind w:firstLine="623"/>
      <w:textAlignment w:val="baseline"/>
    </w:pPr>
    <w:rPr>
      <w:color w:val="000000"/>
      <w:sz w:val="31"/>
      <w:szCs w:val="31"/>
    </w:rPr>
  </w:style>
  <w:style w:type="paragraph" w:styleId="3">
    <w:name w:val="Body Text"/>
    <w:basedOn w:val="1"/>
    <w:next w:val="4"/>
    <w:qFormat/>
    <w:uiPriority w:val="0"/>
    <w:pPr>
      <w:spacing w:after="120"/>
    </w:pPr>
    <w:rPr>
      <w:rFonts w:ascii="Calibri" w:hAnsi="Calibri" w:eastAsia="宋体" w:cs="Times New Roman"/>
    </w:rPr>
  </w:style>
  <w:style w:type="paragraph" w:styleId="4">
    <w:name w:val="toc 5"/>
    <w:basedOn w:val="1"/>
    <w:next w:val="1"/>
    <w:qFormat/>
    <w:uiPriority w:val="99"/>
    <w:pPr>
      <w:spacing w:line="600" w:lineRule="exact"/>
      <w:jc w:val="center"/>
    </w:pPr>
    <w:rPr>
      <w:rFonts w:ascii="仿宋_GB2312" w:eastAsia="仿宋_GB2312" w:cs="仿宋_GB2312"/>
      <w:b/>
      <w:bCs/>
      <w:sz w:val="32"/>
      <w:szCs w:val="32"/>
    </w:rPr>
  </w:style>
  <w:style w:type="paragraph" w:styleId="5">
    <w:name w:val="Body Text Indent"/>
    <w:basedOn w:val="1"/>
    <w:qFormat/>
    <w:uiPriority w:val="99"/>
    <w:pPr>
      <w:ind w:left="359" w:leftChars="171" w:firstLine="524" w:firstLineChars="187"/>
    </w:pPr>
  </w:style>
  <w:style w:type="paragraph" w:styleId="6">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Body Text First Indent 2"/>
    <w:basedOn w:val="5"/>
    <w:qFormat/>
    <w:uiPriority w:val="99"/>
    <w:pPr>
      <w:autoSpaceDE w:val="0"/>
      <w:autoSpaceDN w:val="0"/>
      <w:adjustRightInd w:val="0"/>
      <w:ind w:firstLine="420"/>
      <w:jc w:val="left"/>
    </w:pPr>
    <w:rPr>
      <w:kern w:val="0"/>
    </w:rPr>
  </w:style>
  <w:style w:type="character" w:customStyle="1" w:styleId="11">
    <w:name w:val="页眉 Char"/>
    <w:basedOn w:val="10"/>
    <w:link w:val="7"/>
    <w:semiHidden/>
    <w:qFormat/>
    <w:uiPriority w:val="99"/>
    <w:rPr>
      <w:sz w:val="18"/>
      <w:szCs w:val="18"/>
    </w:rPr>
  </w:style>
  <w:style w:type="character" w:customStyle="1" w:styleId="12">
    <w:name w:val="页脚 Char"/>
    <w:basedOn w:val="10"/>
    <w:link w:val="6"/>
    <w:semiHidden/>
    <w:qFormat/>
    <w:uiPriority w:val="99"/>
    <w:rPr>
      <w:sz w:val="18"/>
      <w:szCs w:val="18"/>
    </w:rPr>
  </w:style>
  <w:style w:type="paragraph" w:styleId="13">
    <w:name w:val="List Paragraph"/>
    <w:basedOn w:val="1"/>
    <w:qFormat/>
    <w:uiPriority w:val="99"/>
    <w:pPr>
      <w:ind w:firstLine="420" w:firstLineChars="200"/>
    </w:pPr>
    <w:rPr>
      <w:rFonts w:ascii="Calibri" w:hAnsi="Calibri"/>
      <w:szCs w:val="22"/>
    </w:rPr>
  </w:style>
  <w:style w:type="paragraph" w:customStyle="1" w:styleId="14">
    <w:name w:val="无间隔"/>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7A52A0-7CFB-406C-A053-BBAB53DDD23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18</Pages>
  <Words>9701</Words>
  <Characters>10494</Characters>
  <Lines>61</Lines>
  <Paragraphs>17</Paragraphs>
  <TotalTime>22</TotalTime>
  <ScaleCrop>false</ScaleCrop>
  <LinksUpToDate>false</LinksUpToDate>
  <CharactersWithSpaces>10968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2020-06-24T01:59:00Z</dcterms:created>
  <dc:creator>AutoBVT</dc:creator>
  <cp:lastModifiedBy>Administrator</cp:lastModifiedBy>
  <cp:lastPrinted>2023-09-20T01:53:39Z</cp:lastPrinted>
  <dcterms:modified xsi:type="dcterms:W3CDTF">2023-09-20T01:54:10Z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ECFC8DC4D99A46A2A2444F14D9B7C349_13</vt:lpwstr>
  </property>
</Properties>
</file>