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hd w:val="solid" w:color="FFFFFF" w:fill="auto"/>
        <w:autoSpaceDN w:val="0"/>
        <w:spacing w:line="360" w:lineRule="atLeast"/>
        <w:jc w:val="center"/>
        <w:rPr>
          <w:rFonts w:hint="eastAsia" w:cs="仿宋_GB2312" w:asciiTheme="majorEastAsia" w:hAnsiTheme="majorEastAsia" w:eastAsiaTheme="majorEastAsia"/>
          <w:b/>
          <w:sz w:val="36"/>
          <w:szCs w:val="36"/>
          <w:shd w:val="clear" w:color="auto" w:fill="FFFFFF"/>
        </w:rPr>
      </w:pPr>
      <w:r>
        <w:rPr>
          <w:rFonts w:hint="eastAsia" w:cs="仿宋_GB2312" w:asciiTheme="majorEastAsia" w:hAnsiTheme="majorEastAsia" w:eastAsiaTheme="majorEastAsia"/>
          <w:b/>
          <w:sz w:val="36"/>
          <w:szCs w:val="36"/>
          <w:shd w:val="clear" w:color="auto" w:fill="FFFFFF"/>
          <w:lang w:val="en-US" w:eastAsia="zh-CN"/>
        </w:rPr>
        <w:t>2022年度</w:t>
      </w:r>
      <w:r>
        <w:rPr>
          <w:rFonts w:hint="eastAsia" w:cs="仿宋_GB2312" w:asciiTheme="majorEastAsia" w:hAnsiTheme="majorEastAsia" w:eastAsiaTheme="majorEastAsia"/>
          <w:b/>
          <w:sz w:val="36"/>
          <w:szCs w:val="36"/>
          <w:shd w:val="clear" w:color="auto" w:fill="FFFFFF"/>
        </w:rPr>
        <w:t>鹤城区卫生</w:t>
      </w:r>
      <w:r>
        <w:rPr>
          <w:rFonts w:hint="eastAsia" w:cs="仿宋_GB2312" w:asciiTheme="majorEastAsia" w:hAnsiTheme="majorEastAsia" w:eastAsiaTheme="majorEastAsia"/>
          <w:b/>
          <w:sz w:val="36"/>
          <w:szCs w:val="36"/>
          <w:shd w:val="clear" w:color="auto" w:fill="FFFFFF"/>
          <w:lang w:eastAsia="zh-CN"/>
        </w:rPr>
        <w:t>健康</w:t>
      </w:r>
      <w:r>
        <w:rPr>
          <w:rFonts w:hint="eastAsia" w:cs="仿宋_GB2312" w:asciiTheme="majorEastAsia" w:hAnsiTheme="majorEastAsia" w:eastAsiaTheme="majorEastAsia"/>
          <w:b/>
          <w:sz w:val="36"/>
          <w:szCs w:val="36"/>
          <w:shd w:val="clear" w:color="auto" w:fill="FFFFFF"/>
        </w:rPr>
        <w:t>局专项资金</w:t>
      </w:r>
    </w:p>
    <w:p>
      <w:pPr>
        <w:shd w:val="solid" w:color="FFFFFF" w:fill="auto"/>
        <w:autoSpaceDN w:val="0"/>
        <w:spacing w:line="360" w:lineRule="atLeast"/>
        <w:jc w:val="center"/>
        <w:rPr>
          <w:rFonts w:hint="eastAsia" w:cs="仿宋_GB2312" w:asciiTheme="majorEastAsia" w:hAnsiTheme="majorEastAsia" w:eastAsiaTheme="majorEastAsia"/>
          <w:b/>
          <w:sz w:val="36"/>
          <w:szCs w:val="36"/>
          <w:shd w:val="clear" w:color="auto" w:fill="FFFFFF"/>
        </w:rPr>
      </w:pPr>
      <w:r>
        <w:rPr>
          <w:rFonts w:hint="eastAsia" w:cs="仿宋_GB2312" w:asciiTheme="majorEastAsia" w:hAnsiTheme="majorEastAsia" w:eastAsiaTheme="majorEastAsia"/>
          <w:b/>
          <w:sz w:val="36"/>
          <w:szCs w:val="36"/>
          <w:shd w:val="clear" w:color="auto" w:fill="FFFFFF"/>
        </w:rPr>
        <w:t>绩效评价报告</w:t>
      </w:r>
    </w:p>
    <w:p>
      <w:pPr>
        <w:numPr>
          <w:ilvl w:val="0"/>
          <w:numId w:val="0"/>
        </w:numPr>
        <w:spacing w:line="560" w:lineRule="exact"/>
        <w:ind w:firstLine="2560" w:firstLineChars="800"/>
        <w:rPr>
          <w:rFonts w:hint="eastAsia" w:ascii="黑体" w:hAnsi="黑体" w:eastAsia="黑体" w:cs="仿宋_GB2312"/>
          <w:bCs/>
          <w:sz w:val="32"/>
          <w:szCs w:val="32"/>
          <w:lang w:eastAsia="zh-CN"/>
        </w:rPr>
      </w:pP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黑体" w:hAnsi="黑体" w:eastAsia="黑体" w:cs="仿宋_GB2312"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进一步规范财政资金管理，强化部门责任意识，切实提高财政资金使用效益本着独立、客观、公正、科学的原则，按照规定的绩效评价方法对我区2022年度专项资金开展了绩效评价工作。现将绩效评价情况及评价结果报告如下：</w:t>
      </w:r>
    </w:p>
    <w:p>
      <w:pPr>
        <w:numPr>
          <w:ilvl w:val="0"/>
          <w:numId w:val="0"/>
        </w:numPr>
        <w:spacing w:line="560" w:lineRule="exact"/>
        <w:rPr>
          <w:rFonts w:hint="eastAsia" w:ascii="黑体" w:hAnsi="黑体" w:eastAsia="黑体" w:cs="仿宋_GB2312"/>
          <w:bCs/>
          <w:sz w:val="32"/>
          <w:szCs w:val="32"/>
          <w:lang w:eastAsia="zh-CN"/>
        </w:rPr>
      </w:pPr>
      <w:r>
        <w:rPr>
          <w:rFonts w:hint="eastAsia" w:ascii="黑体" w:hAnsi="黑体" w:eastAsia="黑体" w:cs="仿宋_GB2312"/>
          <w:bCs/>
          <w:sz w:val="32"/>
          <w:szCs w:val="32"/>
          <w:lang w:eastAsia="zh-CN"/>
        </w:rPr>
        <w:t>　　一、项目基本情况</w:t>
      </w:r>
    </w:p>
    <w:p>
      <w:pPr>
        <w:numPr>
          <w:ilvl w:val="0"/>
          <w:numId w:val="0"/>
        </w:numPr>
        <w:spacing w:line="560" w:lineRule="exact"/>
        <w:ind w:firstLine="64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2022年，我局项目支出总计7142.06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万元。主要实施的项目有：1、公共卫生服务项目4946.3176万元（其中：基本公共卫生服务项目4140.99万元，重大公共卫生服务805.3276万元）；2、计划生育利益导向项目（</w:t>
      </w:r>
      <w:r>
        <w:rPr>
          <w:rFonts w:hint="eastAsia" w:ascii="仿宋_GB2312" w:eastAsia="仿宋_GB2312"/>
          <w:sz w:val="30"/>
          <w:szCs w:val="30"/>
        </w:rPr>
        <w:t>“奖扶”、“特扶”、“独生子女保健费”</w:t>
      </w:r>
      <w:r>
        <w:rPr>
          <w:rFonts w:hint="eastAsia" w:ascii="仿宋_GB2312" w:eastAsia="仿宋_GB2312"/>
          <w:sz w:val="30"/>
          <w:szCs w:val="30"/>
          <w:lang w:eastAsia="zh-CN"/>
        </w:rPr>
        <w:t>、“城镇独生子女父母奖励”、</w:t>
      </w:r>
      <w:r>
        <w:rPr>
          <w:rFonts w:hint="eastAsia" w:ascii="仿宋_GB2312" w:eastAsia="仿宋_GB2312"/>
          <w:sz w:val="30"/>
          <w:szCs w:val="30"/>
        </w:rPr>
        <w:t>“手术并发症”</w:t>
      </w:r>
      <w:r>
        <w:rPr>
          <w:rFonts w:hint="eastAsia" w:ascii="仿宋_GB2312" w:eastAsia="仿宋_GB2312"/>
          <w:sz w:val="30"/>
          <w:szCs w:val="30"/>
          <w:lang w:eastAsia="zh-CN"/>
        </w:rPr>
        <w:t>、“农村计生“两户”人员代缴城乡居民医保”、“农村计生“两户”人员代缴城乡居民养老保险”、“计生特别扶助家庭传统节日及生日走访慰问”、“计生特殊家庭购买城乡居民医保”、“计生特殊家庭购买城乡居民养老保险”、“独生子女死亡一次性扶助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）资金1728.266万元.</w:t>
      </w:r>
    </w:p>
    <w:p>
      <w:pPr>
        <w:numPr>
          <w:ilvl w:val="0"/>
          <w:numId w:val="0"/>
        </w:numPr>
        <w:spacing w:line="560" w:lineRule="exact"/>
        <w:rPr>
          <w:rFonts w:hint="eastAsia" w:ascii="黑体" w:hAnsi="黑体" w:eastAsia="黑体" w:cs="仿宋_GB2312"/>
          <w:bCs/>
          <w:sz w:val="32"/>
          <w:szCs w:val="32"/>
          <w:lang w:eastAsia="zh-CN"/>
        </w:rPr>
      </w:pPr>
      <w:r>
        <w:rPr>
          <w:rFonts w:hint="eastAsia" w:ascii="黑体" w:hAnsi="黑体" w:eastAsia="黑体" w:cs="仿宋_GB2312"/>
          <w:bCs/>
          <w:sz w:val="32"/>
          <w:szCs w:val="32"/>
          <w:lang w:eastAsia="zh-CN"/>
        </w:rPr>
        <w:t>　　二、专项资金和项目绩效目标的设定及完成情况</w:t>
      </w:r>
    </w:p>
    <w:p>
      <w:pPr>
        <w:numPr>
          <w:ilvl w:val="0"/>
          <w:numId w:val="0"/>
        </w:numPr>
        <w:spacing w:line="560" w:lineRule="exac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　　2022年我局严格绩效目标的设定，做到目标明确、清新，绩效目标与部门预算密切相关，充分细化量化了具体的绩效指标和标准，恰当的反映了绩效目标的可实现程度。资金规模与绩效目标匹配得当，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所有项目均按预期目标实施完成，完成率100%。 </w:t>
      </w:r>
    </w:p>
    <w:p>
      <w:pPr>
        <w:numPr>
          <w:ilvl w:val="0"/>
          <w:numId w:val="0"/>
        </w:numPr>
        <w:spacing w:line="560" w:lineRule="exact"/>
        <w:rPr>
          <w:rFonts w:hint="eastAsia" w:ascii="黑体" w:hAnsi="黑体" w:eastAsia="黑体" w:cs="仿宋_GB2312"/>
          <w:bCs/>
          <w:sz w:val="32"/>
          <w:szCs w:val="32"/>
          <w:lang w:eastAsia="zh-CN"/>
        </w:rPr>
      </w:pPr>
      <w:r>
        <w:rPr>
          <w:rFonts w:hint="eastAsia" w:ascii="黑体" w:hAnsi="黑体" w:eastAsia="黑体" w:cs="仿宋_GB2312"/>
          <w:bCs/>
          <w:sz w:val="32"/>
          <w:szCs w:val="32"/>
          <w:lang w:eastAsia="zh-CN"/>
        </w:rPr>
        <w:t>　　三、专项资金使用管理情况</w:t>
      </w:r>
    </w:p>
    <w:p>
      <w:pPr>
        <w:numPr>
          <w:ilvl w:val="0"/>
          <w:numId w:val="0"/>
        </w:numPr>
        <w:spacing w:line="56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仿宋_GB2312"/>
          <w:bCs/>
          <w:sz w:val="32"/>
          <w:szCs w:val="32"/>
          <w:lang w:eastAsia="zh-CN"/>
        </w:rPr>
        <w:t>　　20</w:t>
      </w:r>
      <w:r>
        <w:rPr>
          <w:rFonts w:hint="eastAsia" w:ascii="黑体" w:hAnsi="黑体" w:eastAsia="黑体" w:cs="仿宋_GB2312"/>
          <w:bCs/>
          <w:sz w:val="32"/>
          <w:szCs w:val="32"/>
          <w:lang w:val="en-US" w:eastAsia="zh-CN"/>
        </w:rPr>
        <w:t>22</w:t>
      </w:r>
      <w:r>
        <w:rPr>
          <w:rFonts w:hint="eastAsia" w:ascii="黑体" w:hAnsi="黑体" w:eastAsia="黑体" w:cs="仿宋_GB2312"/>
          <w:bCs/>
          <w:sz w:val="32"/>
          <w:szCs w:val="32"/>
          <w:lang w:eastAsia="zh-CN"/>
        </w:rPr>
        <w:t>年我局对各项专项资金都进行了严格的管理</w:t>
      </w:r>
      <w:r>
        <w:rPr>
          <w:rFonts w:hint="eastAsia" w:ascii="仿宋_GB2312" w:hAnsi="仿宋_GB2312" w:eastAsia="仿宋_GB2312" w:cs="仿宋_GB2312"/>
          <w:sz w:val="32"/>
          <w:szCs w:val="32"/>
        </w:rPr>
        <w:t>和控制，各项资金按时足额拨付到位，拨付程序严格执行省市专项资金管理制度，尽量减少中间环节，并要求各专项资金使用单位专款专用，严禁挪用、截留、挤占资金和虚列支出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，严禁项目安排存在“散、小、乱”的现象，同时</w:t>
      </w:r>
      <w:r>
        <w:rPr>
          <w:rFonts w:hint="eastAsia" w:ascii="仿宋_GB2312" w:hAnsi="仿宋_GB2312" w:eastAsia="仿宋_GB2312" w:cs="仿宋_GB2312"/>
          <w:sz w:val="32"/>
          <w:szCs w:val="32"/>
        </w:rPr>
        <w:t>将专项资金的管理工作纳入年终考核责任制进行考核。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卫健系统</w:t>
      </w:r>
      <w:r>
        <w:rPr>
          <w:rFonts w:hint="eastAsia" w:ascii="仿宋_GB2312" w:hAnsi="仿宋_GB2312" w:eastAsia="仿宋_GB2312" w:cs="仿宋_GB2312"/>
          <w:sz w:val="32"/>
          <w:szCs w:val="32"/>
        </w:rPr>
        <w:t>各单位制定了专项经费管理制度，设立专帐进行财务管理，做到了专款专用，不存在截留、挤占、挪用、虚列支出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以及</w:t>
      </w:r>
      <w:r>
        <w:rPr>
          <w:rFonts w:hint="eastAsia" w:ascii="仿宋_GB2312" w:hAnsi="仿宋_GB2312" w:eastAsia="仿宋_GB2312" w:cs="仿宋_GB2312"/>
          <w:sz w:val="32"/>
          <w:szCs w:val="32"/>
        </w:rPr>
        <w:t>的情况。所有项目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均</w:t>
      </w:r>
      <w:r>
        <w:rPr>
          <w:rFonts w:hint="eastAsia" w:ascii="仿宋_GB2312" w:hAnsi="仿宋_GB2312" w:eastAsia="仿宋_GB2312" w:cs="仿宋_GB2312"/>
          <w:sz w:val="32"/>
          <w:szCs w:val="32"/>
        </w:rPr>
        <w:t>按预期目标实施完成，完成率100%。通过专项项目的实施，减少了主要健康危险因素，有利于预防和控制传染病及慢性病的蔓延，有利于提高居民对公共卫生服务的可及性，逐步缩小城乡、地区和人群之间的差距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经</w:t>
      </w:r>
      <w:r>
        <w:rPr>
          <w:rFonts w:hint="eastAsia" w:ascii="仿宋_GB2312" w:hAnsi="仿宋_GB2312" w:eastAsia="仿宋_GB2312" w:cs="仿宋_GB2312"/>
          <w:sz w:val="32"/>
          <w:szCs w:val="32"/>
        </w:rPr>
        <w:t>调查了解，计划生育利益导向专项资金和计划生育技术服务专项资金的实施，让人民群众直接感受到政府的关怀，政府的公信力得到提高，对各项医疗卫生计生服务工作的经济效益也有显著的提升作用。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四、专项资金绩效情况</w:t>
      </w:r>
    </w:p>
    <w:p>
      <w:pPr>
        <w:numPr>
          <w:ilvl w:val="0"/>
          <w:numId w:val="0"/>
        </w:numPr>
        <w:spacing w:line="560" w:lineRule="exact"/>
        <w:ind w:firstLine="643" w:firstLineChars="200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eastAsia="zh-CN"/>
        </w:rPr>
        <w:t>计划生育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资金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eastAsia="zh-CN"/>
        </w:rPr>
        <w:t>情况</w:t>
      </w:r>
    </w:p>
    <w:p>
      <w:pPr>
        <w:ind w:firstLine="645"/>
        <w:rPr>
          <w:rFonts w:hint="eastAsia" w:ascii="仿宋_GB2312" w:eastAsia="仿宋_GB2312"/>
          <w:sz w:val="30"/>
          <w:szCs w:val="30"/>
          <w:lang w:val="en-US" w:eastAsia="zh-CN"/>
        </w:rPr>
      </w:pPr>
      <w:r>
        <w:rPr>
          <w:rFonts w:hint="eastAsia" w:ascii="仿宋_GB2312" w:eastAsia="仿宋_GB2312"/>
          <w:sz w:val="30"/>
          <w:szCs w:val="30"/>
        </w:rPr>
        <w:t>20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22</w:t>
      </w:r>
      <w:r>
        <w:rPr>
          <w:rFonts w:hint="eastAsia" w:ascii="仿宋_GB2312" w:eastAsia="仿宋_GB2312"/>
          <w:sz w:val="30"/>
          <w:szCs w:val="30"/>
        </w:rPr>
        <w:t>年，我</w:t>
      </w:r>
      <w:r>
        <w:rPr>
          <w:rFonts w:hint="eastAsia" w:ascii="仿宋_GB2312" w:eastAsia="仿宋_GB2312"/>
          <w:sz w:val="30"/>
          <w:szCs w:val="30"/>
          <w:lang w:eastAsia="zh-CN"/>
        </w:rPr>
        <w:t>区</w:t>
      </w:r>
      <w:r>
        <w:rPr>
          <w:rFonts w:hint="eastAsia" w:ascii="仿宋_GB2312" w:eastAsia="仿宋_GB2312"/>
          <w:sz w:val="30"/>
          <w:szCs w:val="30"/>
        </w:rPr>
        <w:t>共实施计划生育项目有“</w:t>
      </w:r>
      <w:r>
        <w:rPr>
          <w:rFonts w:hint="eastAsia" w:ascii="仿宋_GB2312" w:eastAsia="仿宋_GB2312"/>
          <w:sz w:val="30"/>
          <w:szCs w:val="30"/>
          <w:lang w:eastAsia="zh-CN"/>
        </w:rPr>
        <w:t>农村部分计划生育家庭奖励扶助</w:t>
      </w:r>
      <w:r>
        <w:rPr>
          <w:rFonts w:hint="eastAsia" w:ascii="仿宋_GB2312" w:eastAsia="仿宋_GB2312"/>
          <w:sz w:val="30"/>
          <w:szCs w:val="30"/>
        </w:rPr>
        <w:t>”、“</w:t>
      </w:r>
      <w:r>
        <w:rPr>
          <w:rFonts w:hint="eastAsia" w:ascii="仿宋_GB2312" w:eastAsia="仿宋_GB2312"/>
          <w:sz w:val="30"/>
          <w:szCs w:val="30"/>
          <w:lang w:eastAsia="zh-CN"/>
        </w:rPr>
        <w:t>计划生育特别扶助</w:t>
      </w:r>
      <w:r>
        <w:rPr>
          <w:rFonts w:hint="eastAsia" w:ascii="仿宋_GB2312" w:eastAsia="仿宋_GB2312"/>
          <w:sz w:val="30"/>
          <w:szCs w:val="30"/>
        </w:rPr>
        <w:t>”、“独生子女保健费”</w:t>
      </w:r>
      <w:r>
        <w:rPr>
          <w:rFonts w:hint="eastAsia" w:ascii="仿宋_GB2312" w:eastAsia="仿宋_GB2312"/>
          <w:sz w:val="30"/>
          <w:szCs w:val="30"/>
          <w:lang w:eastAsia="zh-CN"/>
        </w:rPr>
        <w:t>、“城镇独生子女父母奖励”、“计生特别扶助家庭传统节日及生日走访慰问”、“计生特殊家庭购买城乡居民医保”、“计生特殊家庭购买城乡居民养老保险”、“独生子女死亡一次性扶助”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8</w:t>
      </w:r>
      <w:r>
        <w:rPr>
          <w:rFonts w:hint="eastAsia" w:ascii="仿宋_GB2312" w:eastAsia="仿宋_GB2312"/>
          <w:sz w:val="30"/>
          <w:szCs w:val="30"/>
        </w:rPr>
        <w:t>个项目。这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8</w:t>
      </w:r>
      <w:r>
        <w:rPr>
          <w:rFonts w:hint="eastAsia" w:ascii="仿宋_GB2312" w:eastAsia="仿宋_GB2312"/>
          <w:sz w:val="30"/>
          <w:szCs w:val="30"/>
        </w:rPr>
        <w:t>个项目共有人数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82156</w:t>
      </w:r>
      <w:r>
        <w:rPr>
          <w:rFonts w:hint="eastAsia" w:ascii="仿宋_GB2312" w:eastAsia="仿宋_GB2312"/>
          <w:sz w:val="30"/>
          <w:szCs w:val="30"/>
        </w:rPr>
        <w:t>人，</w:t>
      </w:r>
      <w:r>
        <w:rPr>
          <w:rFonts w:hint="eastAsia" w:ascii="仿宋_GB2312" w:eastAsia="仿宋_GB2312"/>
          <w:sz w:val="30"/>
          <w:szCs w:val="30"/>
          <w:lang w:eastAsia="zh-CN"/>
        </w:rPr>
        <w:t>共发放项目资金</w:t>
      </w:r>
      <w:r>
        <w:rPr>
          <w:rFonts w:hint="eastAsia" w:ascii="仿宋_GB2312" w:eastAsia="仿宋_GB2312"/>
          <w:b/>
          <w:bCs/>
          <w:sz w:val="30"/>
          <w:szCs w:val="30"/>
          <w:lang w:val="en-US" w:eastAsia="zh-CN"/>
        </w:rPr>
        <w:t>1728.266</w:t>
      </w:r>
      <w:r>
        <w:rPr>
          <w:rFonts w:hint="eastAsia" w:ascii="仿宋_GB2312" w:eastAsia="仿宋_GB2312"/>
          <w:sz w:val="30"/>
          <w:szCs w:val="30"/>
          <w:highlight w:val="none"/>
          <w:lang w:val="en-US" w:eastAsia="zh-CN"/>
        </w:rPr>
        <w:t>万元。</w:t>
      </w:r>
      <w:r>
        <w:rPr>
          <w:rFonts w:hint="eastAsia" w:ascii="仿宋_GB2312" w:eastAsia="仿宋_GB2312"/>
          <w:sz w:val="30"/>
          <w:szCs w:val="30"/>
          <w:highlight w:val="none"/>
        </w:rPr>
        <w:t>其中</w:t>
      </w:r>
      <w:r>
        <w:rPr>
          <w:rFonts w:hint="eastAsia" w:ascii="仿宋_GB2312" w:eastAsia="仿宋_GB2312"/>
          <w:sz w:val="30"/>
          <w:szCs w:val="30"/>
          <w:lang w:eastAsia="zh-CN"/>
        </w:rPr>
        <w:t>农村部分计划生育家庭奖励扶助</w:t>
      </w:r>
      <w:r>
        <w:rPr>
          <w:rFonts w:hint="eastAsia" w:ascii="仿宋_GB2312" w:eastAsia="仿宋_GB2312"/>
          <w:sz w:val="30"/>
          <w:szCs w:val="30"/>
          <w:highlight w:val="none"/>
          <w:lang w:val="en-US" w:eastAsia="zh-CN"/>
        </w:rPr>
        <w:t>1136</w:t>
      </w:r>
      <w:r>
        <w:rPr>
          <w:rFonts w:hint="eastAsia" w:ascii="仿宋_GB2312" w:eastAsia="仿宋_GB2312"/>
          <w:sz w:val="30"/>
          <w:szCs w:val="30"/>
          <w:highlight w:val="none"/>
        </w:rPr>
        <w:t>人，已发放资金</w:t>
      </w:r>
      <w:r>
        <w:rPr>
          <w:rFonts w:hint="eastAsia" w:ascii="仿宋_GB2312" w:eastAsia="仿宋_GB2312"/>
          <w:b/>
          <w:bCs/>
          <w:sz w:val="30"/>
          <w:szCs w:val="30"/>
          <w:highlight w:val="none"/>
          <w:lang w:val="en-US" w:eastAsia="zh-CN"/>
        </w:rPr>
        <w:t xml:space="preserve">    109.056</w:t>
      </w:r>
      <w:r>
        <w:rPr>
          <w:rFonts w:hint="eastAsia" w:ascii="仿宋_GB2312" w:eastAsia="仿宋_GB2312"/>
          <w:b w:val="0"/>
          <w:bCs w:val="0"/>
          <w:sz w:val="30"/>
          <w:szCs w:val="30"/>
          <w:highlight w:val="none"/>
          <w:lang w:val="en-US" w:eastAsia="zh-CN"/>
        </w:rPr>
        <w:t>万元，计划生育特别扶助对象</w:t>
      </w:r>
      <w:r>
        <w:rPr>
          <w:rFonts w:hint="eastAsia" w:ascii="仿宋_GB2312" w:eastAsia="仿宋_GB2312"/>
          <w:sz w:val="30"/>
          <w:szCs w:val="30"/>
          <w:highlight w:val="none"/>
          <w:lang w:val="en-US" w:eastAsia="zh-CN"/>
        </w:rPr>
        <w:t>1035</w:t>
      </w:r>
      <w:r>
        <w:rPr>
          <w:rFonts w:hint="eastAsia" w:ascii="仿宋_GB2312" w:eastAsia="仿宋_GB2312"/>
          <w:sz w:val="30"/>
          <w:szCs w:val="30"/>
          <w:highlight w:val="none"/>
        </w:rPr>
        <w:t>人</w:t>
      </w:r>
      <w:r>
        <w:rPr>
          <w:rFonts w:hint="eastAsia" w:ascii="仿宋_GB2312" w:eastAsia="仿宋_GB2312"/>
          <w:sz w:val="30"/>
          <w:szCs w:val="30"/>
          <w:highlight w:val="none"/>
          <w:lang w:val="en-US" w:eastAsia="zh-CN"/>
        </w:rPr>
        <w:t>，</w:t>
      </w:r>
      <w:r>
        <w:rPr>
          <w:rFonts w:hint="eastAsia" w:ascii="仿宋_GB2312" w:eastAsia="仿宋_GB2312"/>
          <w:sz w:val="30"/>
          <w:szCs w:val="30"/>
          <w:highlight w:val="none"/>
        </w:rPr>
        <w:t>已发放资金</w:t>
      </w:r>
      <w:r>
        <w:rPr>
          <w:rFonts w:hint="eastAsia" w:ascii="仿宋_GB2312" w:eastAsia="仿宋_GB2312"/>
          <w:sz w:val="30"/>
          <w:szCs w:val="30"/>
          <w:highlight w:val="none"/>
          <w:lang w:val="en-US" w:eastAsia="zh-CN"/>
        </w:rPr>
        <w:t>804.14</w:t>
      </w:r>
      <w:r>
        <w:rPr>
          <w:rFonts w:hint="eastAsia" w:ascii="仿宋_GB2312" w:eastAsia="仿宋_GB2312"/>
          <w:b w:val="0"/>
          <w:bCs w:val="0"/>
          <w:sz w:val="30"/>
          <w:szCs w:val="30"/>
          <w:highlight w:val="none"/>
          <w:lang w:val="en-US" w:eastAsia="zh-CN"/>
        </w:rPr>
        <w:t>万</w:t>
      </w:r>
      <w:r>
        <w:rPr>
          <w:rFonts w:hint="eastAsia" w:ascii="仿宋_GB2312" w:eastAsia="仿宋_GB2312"/>
          <w:sz w:val="30"/>
          <w:szCs w:val="30"/>
          <w:highlight w:val="none"/>
        </w:rPr>
        <w:t>元；独生子女保健费对象</w:t>
      </w:r>
      <w:r>
        <w:rPr>
          <w:rFonts w:hint="eastAsia" w:ascii="仿宋_GB2312" w:eastAsia="仿宋_GB2312"/>
          <w:sz w:val="30"/>
          <w:szCs w:val="30"/>
          <w:highlight w:val="none"/>
          <w:lang w:val="en-US" w:eastAsia="zh-CN"/>
        </w:rPr>
        <w:t>505</w:t>
      </w:r>
      <w:r>
        <w:rPr>
          <w:rFonts w:hint="eastAsia" w:ascii="仿宋_GB2312" w:eastAsia="仿宋_GB2312"/>
          <w:sz w:val="30"/>
          <w:szCs w:val="30"/>
          <w:highlight w:val="none"/>
        </w:rPr>
        <w:t>人，已发放资金</w:t>
      </w:r>
      <w:r>
        <w:rPr>
          <w:rFonts w:hint="eastAsia" w:ascii="仿宋_GB2312" w:eastAsia="仿宋_GB2312"/>
          <w:b/>
          <w:bCs/>
          <w:sz w:val="30"/>
          <w:szCs w:val="30"/>
          <w:highlight w:val="none"/>
          <w:lang w:val="en-US" w:eastAsia="zh-CN"/>
        </w:rPr>
        <w:t>12.12</w:t>
      </w:r>
      <w:r>
        <w:rPr>
          <w:rFonts w:hint="eastAsia" w:ascii="仿宋_GB2312" w:eastAsia="仿宋_GB2312"/>
          <w:b w:val="0"/>
          <w:bCs w:val="0"/>
          <w:sz w:val="30"/>
          <w:szCs w:val="30"/>
          <w:highlight w:val="none"/>
          <w:lang w:val="en-US" w:eastAsia="zh-CN"/>
        </w:rPr>
        <w:t>万</w:t>
      </w:r>
      <w:r>
        <w:rPr>
          <w:rFonts w:hint="eastAsia" w:ascii="仿宋_GB2312" w:eastAsia="仿宋_GB2312"/>
          <w:sz w:val="30"/>
          <w:szCs w:val="30"/>
          <w:highlight w:val="none"/>
        </w:rPr>
        <w:t>元；</w:t>
      </w:r>
      <w:r>
        <w:rPr>
          <w:rFonts w:hint="eastAsia" w:ascii="仿宋_GB2312" w:eastAsia="仿宋_GB2312"/>
          <w:sz w:val="30"/>
          <w:szCs w:val="30"/>
          <w:highlight w:val="none"/>
          <w:lang w:eastAsia="zh-CN"/>
        </w:rPr>
        <w:t>城镇独生子女父母奖励对象</w:t>
      </w:r>
      <w:r>
        <w:rPr>
          <w:rFonts w:hint="eastAsia" w:ascii="仿宋_GB2312" w:eastAsia="仿宋_GB2312"/>
          <w:sz w:val="30"/>
          <w:szCs w:val="30"/>
          <w:highlight w:val="none"/>
          <w:lang w:val="en-US" w:eastAsia="zh-CN"/>
        </w:rPr>
        <w:t>77878人次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，已发放资金</w:t>
      </w:r>
      <w:r>
        <w:rPr>
          <w:rFonts w:hint="eastAsia" w:ascii="仿宋_GB2312" w:eastAsia="仿宋_GB2312"/>
          <w:b/>
          <w:bCs/>
          <w:sz w:val="30"/>
          <w:szCs w:val="30"/>
          <w:lang w:val="en-US" w:eastAsia="zh-CN"/>
        </w:rPr>
        <w:t xml:space="preserve">    709.95万元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，</w:t>
      </w:r>
      <w:r>
        <w:rPr>
          <w:rFonts w:hint="eastAsia" w:ascii="仿宋_GB2312" w:eastAsia="仿宋_GB2312"/>
          <w:sz w:val="30"/>
          <w:szCs w:val="30"/>
          <w:highlight w:val="none"/>
          <w:lang w:eastAsia="zh-CN"/>
        </w:rPr>
        <w:t>计生特别扶助家庭传统节日及生日走访慰问春节走访</w:t>
      </w:r>
      <w:r>
        <w:rPr>
          <w:rFonts w:hint="eastAsia" w:ascii="仿宋_GB2312" w:eastAsia="仿宋_GB2312"/>
          <w:sz w:val="30"/>
          <w:szCs w:val="30"/>
          <w:highlight w:val="none"/>
          <w:lang w:val="en-US" w:eastAsia="zh-CN"/>
        </w:rPr>
        <w:t>474人</w:t>
      </w:r>
      <w:r>
        <w:rPr>
          <w:rFonts w:hint="eastAsia" w:ascii="仿宋_GB2312" w:eastAsia="仿宋_GB2312"/>
          <w:sz w:val="30"/>
          <w:szCs w:val="30"/>
          <w:highlight w:val="none"/>
          <w:lang w:eastAsia="zh-CN"/>
        </w:rPr>
        <w:t>，重阳节、中秋节走访</w:t>
      </w:r>
      <w:r>
        <w:rPr>
          <w:rFonts w:hint="eastAsia" w:ascii="仿宋_GB2312" w:eastAsia="仿宋_GB2312"/>
          <w:sz w:val="30"/>
          <w:szCs w:val="30"/>
          <w:highlight w:val="none"/>
          <w:lang w:val="en-US" w:eastAsia="zh-CN"/>
        </w:rPr>
        <w:t>504人，共用资金</w:t>
      </w:r>
      <w:r>
        <w:rPr>
          <w:rFonts w:hint="eastAsia" w:ascii="仿宋_GB2312" w:eastAsia="仿宋_GB2312"/>
          <w:b/>
          <w:bCs/>
          <w:sz w:val="30"/>
          <w:szCs w:val="30"/>
          <w:highlight w:val="none"/>
          <w:lang w:val="en-US" w:eastAsia="zh-CN"/>
        </w:rPr>
        <w:t>88.92万元</w:t>
      </w:r>
      <w:r>
        <w:rPr>
          <w:rFonts w:hint="eastAsia" w:ascii="仿宋_GB2312" w:eastAsia="仿宋_GB2312"/>
          <w:sz w:val="30"/>
          <w:szCs w:val="30"/>
          <w:highlight w:val="none"/>
          <w:lang w:val="en-US" w:eastAsia="zh-CN"/>
        </w:rPr>
        <w:t>，</w:t>
      </w:r>
      <w:r>
        <w:rPr>
          <w:rFonts w:hint="eastAsia" w:ascii="仿宋_GB2312" w:eastAsia="仿宋_GB2312"/>
          <w:sz w:val="30"/>
          <w:szCs w:val="30"/>
          <w:highlight w:val="none"/>
          <w:lang w:eastAsia="zh-CN"/>
        </w:rPr>
        <w:t>计生特殊家庭购买城乡居民医保</w:t>
      </w:r>
      <w:r>
        <w:rPr>
          <w:rFonts w:hint="eastAsia" w:ascii="仿宋_GB2312" w:eastAsia="仿宋_GB2312"/>
          <w:sz w:val="30"/>
          <w:szCs w:val="30"/>
          <w:highlight w:val="none"/>
          <w:lang w:val="en-US" w:eastAsia="zh-CN"/>
        </w:rPr>
        <w:t>89人，共用资金</w:t>
      </w:r>
      <w:r>
        <w:rPr>
          <w:rFonts w:hint="eastAsia" w:ascii="仿宋_GB2312" w:eastAsia="仿宋_GB2312"/>
          <w:b/>
          <w:bCs/>
          <w:sz w:val="30"/>
          <w:szCs w:val="30"/>
          <w:highlight w:val="none"/>
          <w:lang w:val="en-US" w:eastAsia="zh-CN"/>
        </w:rPr>
        <w:t>3.11万元</w:t>
      </w:r>
      <w:r>
        <w:rPr>
          <w:rFonts w:hint="eastAsia" w:ascii="仿宋_GB2312" w:eastAsia="仿宋_GB2312"/>
          <w:sz w:val="30"/>
          <w:szCs w:val="30"/>
          <w:highlight w:val="none"/>
          <w:lang w:val="en-US" w:eastAsia="zh-CN"/>
        </w:rPr>
        <w:t>，</w:t>
      </w:r>
      <w:r>
        <w:rPr>
          <w:rFonts w:hint="eastAsia" w:ascii="仿宋_GB2312" w:eastAsia="仿宋_GB2312"/>
          <w:sz w:val="30"/>
          <w:szCs w:val="30"/>
          <w:highlight w:val="none"/>
          <w:lang w:eastAsia="zh-CN"/>
        </w:rPr>
        <w:t>计生特殊家庭购买城乡居民养老保险</w:t>
      </w:r>
      <w:r>
        <w:rPr>
          <w:rFonts w:hint="eastAsia" w:ascii="仿宋_GB2312" w:eastAsia="仿宋_GB2312"/>
          <w:sz w:val="30"/>
          <w:szCs w:val="30"/>
          <w:highlight w:val="none"/>
          <w:lang w:val="en-US" w:eastAsia="zh-CN"/>
        </w:rPr>
        <w:t>31人，共用资金</w:t>
      </w:r>
      <w:r>
        <w:rPr>
          <w:rFonts w:hint="eastAsia" w:ascii="仿宋_GB2312" w:eastAsia="仿宋_GB2312"/>
          <w:b/>
          <w:bCs/>
          <w:sz w:val="30"/>
          <w:szCs w:val="30"/>
          <w:highlight w:val="none"/>
          <w:lang w:val="en-US" w:eastAsia="zh-CN"/>
        </w:rPr>
        <w:t>0.93</w:t>
      </w:r>
      <w:r>
        <w:rPr>
          <w:rFonts w:hint="eastAsia" w:ascii="仿宋_GB2312" w:eastAsia="仿宋_GB2312"/>
          <w:sz w:val="30"/>
          <w:szCs w:val="30"/>
          <w:highlight w:val="none"/>
          <w:lang w:val="en-US" w:eastAsia="zh-CN"/>
        </w:rPr>
        <w:t>万元，</w:t>
      </w:r>
      <w:r>
        <w:rPr>
          <w:rFonts w:hint="eastAsia" w:ascii="仿宋_GB2312" w:eastAsia="仿宋_GB2312"/>
          <w:sz w:val="30"/>
          <w:szCs w:val="30"/>
          <w:highlight w:val="none"/>
          <w:lang w:eastAsia="zh-CN"/>
        </w:rPr>
        <w:t>独生子女死亡一次性扶助</w:t>
      </w:r>
      <w:r>
        <w:rPr>
          <w:rFonts w:hint="eastAsia" w:ascii="仿宋_GB2312" w:eastAsia="仿宋_GB2312"/>
          <w:sz w:val="30"/>
          <w:szCs w:val="30"/>
          <w:highlight w:val="none"/>
          <w:lang w:val="en-US" w:eastAsia="zh-CN"/>
        </w:rPr>
        <w:t>8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人，共用资金</w:t>
      </w:r>
      <w:r>
        <w:rPr>
          <w:rFonts w:hint="eastAsia" w:ascii="仿宋_GB2312" w:eastAsia="仿宋_GB2312"/>
          <w:b/>
          <w:bCs/>
          <w:sz w:val="30"/>
          <w:szCs w:val="30"/>
          <w:lang w:val="en-US" w:eastAsia="zh-CN"/>
        </w:rPr>
        <w:t>6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万元。</w:t>
      </w:r>
    </w:p>
    <w:p>
      <w:pPr>
        <w:ind w:firstLine="645"/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2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基本公共卫生情况</w:t>
      </w:r>
    </w:p>
    <w:p>
      <w:pPr>
        <w:numPr>
          <w:ilvl w:val="0"/>
          <w:numId w:val="0"/>
        </w:numPr>
        <w:ind w:firstLine="960" w:firstLineChars="3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2022年共收到转移支付资金4946.3176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万元。</w:t>
      </w:r>
      <w:r>
        <w:rPr>
          <w:rFonts w:hint="eastAsia" w:ascii="仿宋_GB2312" w:hAnsi="仿宋_GB2312" w:eastAsia="仿宋_GB2312" w:cs="仿宋_GB2312"/>
          <w:sz w:val="32"/>
          <w:szCs w:val="32"/>
        </w:rPr>
        <w:t>鹤城区怀化市市辖区，人口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71.26</w:t>
      </w:r>
      <w:r>
        <w:rPr>
          <w:rFonts w:hint="eastAsia" w:ascii="仿宋_GB2312" w:hAnsi="仿宋_GB2312" w:eastAsia="仿宋_GB2312" w:cs="仿宋_GB2312"/>
          <w:sz w:val="32"/>
          <w:szCs w:val="32"/>
        </w:rPr>
        <w:t>万。下辖3个乡镇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62</w:t>
      </w:r>
      <w:r>
        <w:rPr>
          <w:rFonts w:hint="eastAsia" w:ascii="仿宋_GB2312" w:hAnsi="仿宋_GB2312" w:eastAsia="仿宋_GB2312" w:cs="仿宋_GB2312"/>
          <w:sz w:val="32"/>
          <w:szCs w:val="32"/>
        </w:rPr>
        <w:t>个行政村、7个街道办事处社区。鹤城区卫生局辖基层卫生机构2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个，医务人员330人，其中社区卫生服务中心11个、站4个、乡镇卫生院6个。根据上级有关文件要求，为提高城乡居民以及城市少数民族流动人口享受基本公共卫生服务，加强对基层医疗卫生服务机构的监管，加快推进我区基本公共卫生服务项目的落实，切实提高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了</w:t>
      </w:r>
      <w:r>
        <w:rPr>
          <w:rFonts w:hint="eastAsia" w:ascii="仿宋_GB2312" w:hAnsi="仿宋_GB2312" w:eastAsia="仿宋_GB2312" w:cs="仿宋_GB2312"/>
          <w:sz w:val="32"/>
          <w:szCs w:val="32"/>
        </w:rPr>
        <w:t>工作质量和工作效率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pStyle w:val="9"/>
        <w:spacing w:line="540" w:lineRule="exact"/>
        <w:ind w:firstLine="640"/>
        <w:rPr>
          <w:rFonts w:hint="eastAsia" w:ascii="黑体" w:hAnsi="黑体" w:eastAsia="黑体"/>
          <w:bCs/>
          <w:sz w:val="32"/>
          <w:szCs w:val="32"/>
          <w:lang w:eastAsia="zh-CN"/>
        </w:rPr>
      </w:pPr>
      <w:r>
        <w:rPr>
          <w:rFonts w:hint="eastAsia" w:ascii="黑体" w:hAnsi="黑体" w:eastAsia="黑体"/>
          <w:bCs/>
          <w:sz w:val="32"/>
          <w:szCs w:val="32"/>
          <w:lang w:eastAsia="zh-CN"/>
        </w:rPr>
        <w:t>四</w:t>
      </w:r>
      <w:r>
        <w:rPr>
          <w:rFonts w:hint="eastAsia" w:ascii="黑体" w:hAnsi="黑体" w:eastAsia="黑体"/>
          <w:bCs/>
          <w:sz w:val="32"/>
          <w:szCs w:val="32"/>
        </w:rPr>
        <w:t>、存在的</w:t>
      </w:r>
      <w:r>
        <w:rPr>
          <w:rFonts w:hint="eastAsia" w:ascii="黑体" w:hAnsi="黑体" w:eastAsia="黑体"/>
          <w:bCs/>
          <w:sz w:val="32"/>
          <w:szCs w:val="32"/>
          <w:lang w:eastAsia="zh-CN"/>
        </w:rPr>
        <w:t>主要</w:t>
      </w:r>
      <w:r>
        <w:rPr>
          <w:rFonts w:hint="eastAsia" w:ascii="黑体" w:hAnsi="黑体" w:eastAsia="黑体"/>
          <w:bCs/>
          <w:sz w:val="32"/>
          <w:szCs w:val="32"/>
        </w:rPr>
        <w:t>问题和建议</w:t>
      </w:r>
      <w:r>
        <w:rPr>
          <w:rFonts w:hint="eastAsia" w:ascii="黑体" w:hAnsi="黑体" w:eastAsia="黑体"/>
          <w:bCs/>
          <w:sz w:val="32"/>
          <w:szCs w:val="32"/>
          <w:lang w:eastAsia="zh-CN"/>
        </w:rPr>
        <w:t>事项</w:t>
      </w:r>
    </w:p>
    <w:p>
      <w:pPr>
        <w:pStyle w:val="9"/>
        <w:spacing w:line="540" w:lineRule="exact"/>
        <w:ind w:firstLine="640"/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（一）存在的主要问题</w:t>
      </w:r>
    </w:p>
    <w:p>
      <w:pPr>
        <w:bidi w:val="0"/>
        <w:ind w:firstLine="6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基本药物制度补助金额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不足，无法充分调动基层医疗机构积极性。基药价格与市场同性价药品价格偏高。</w:t>
      </w:r>
    </w:p>
    <w:p>
      <w:pPr>
        <w:bidi w:val="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基层医疗卫生机构没有纳入全额拨款事业补助，基层医疗机构近年来收支亏损严重，不利于卫生健康事业发展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。</w:t>
      </w:r>
    </w:p>
    <w:p>
      <w:pPr>
        <w:pStyle w:val="9"/>
        <w:spacing w:line="540" w:lineRule="exact"/>
        <w:ind w:firstLine="640"/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（二）建议事项</w:t>
      </w:r>
    </w:p>
    <w:p>
      <w:pPr>
        <w:pStyle w:val="9"/>
        <w:spacing w:line="540" w:lineRule="exact"/>
        <w:ind w:firstLine="64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1.</w:t>
      </w:r>
      <w:r>
        <w:rPr>
          <w:rFonts w:hint="eastAsia" w:ascii="仿宋_GB2312" w:eastAsia="仿宋_GB2312"/>
          <w:sz w:val="32"/>
          <w:szCs w:val="32"/>
        </w:rPr>
        <w:t>建议适当提高实施基本药物制度补助金额</w:t>
      </w:r>
      <w:r>
        <w:rPr>
          <w:rFonts w:hint="eastAsia" w:ascii="仿宋_GB2312" w:eastAsia="仿宋_GB2312"/>
          <w:sz w:val="32"/>
          <w:szCs w:val="32"/>
          <w:lang w:eastAsia="zh-CN"/>
        </w:rPr>
        <w:t>，提高基层医疗业务收入，充分解决基层医疗机构日常运营举步维艰的难题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pStyle w:val="9"/>
        <w:spacing w:line="540" w:lineRule="exact"/>
        <w:ind w:firstLine="64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尽快进行卫健系统人事改革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。</w:t>
      </w:r>
      <w:r>
        <w:rPr>
          <w:rFonts w:hint="eastAsia" w:ascii="仿宋_GB2312" w:eastAsia="仿宋_GB2312"/>
          <w:b/>
          <w:bCs/>
          <w:sz w:val="32"/>
          <w:szCs w:val="32"/>
        </w:rPr>
        <w:t>一是</w:t>
      </w:r>
      <w:r>
        <w:rPr>
          <w:rFonts w:hint="eastAsia" w:ascii="仿宋_GB2312" w:eastAsia="仿宋_GB2312"/>
          <w:sz w:val="32"/>
          <w:szCs w:val="32"/>
        </w:rPr>
        <w:t>将乡镇卫生院纳入财政全额事业编制，工资津补贴由财政全额发放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;</w:t>
      </w:r>
      <w:r>
        <w:rPr>
          <w:rFonts w:hint="eastAsia" w:ascii="仿宋_GB2312" w:eastAsia="仿宋_GB2312"/>
          <w:sz w:val="32"/>
          <w:szCs w:val="32"/>
          <w:lang w:eastAsia="zh-CN"/>
        </w:rPr>
        <w:t>二是</w:t>
      </w:r>
      <w:r>
        <w:rPr>
          <w:rFonts w:hint="eastAsia" w:ascii="仿宋_GB2312" w:eastAsia="仿宋_GB2312"/>
          <w:b w:val="0"/>
          <w:bCs w:val="0"/>
          <w:sz w:val="32"/>
          <w:szCs w:val="32"/>
        </w:rPr>
        <w:t>及时更新省直报系统通知公告</w:t>
      </w:r>
      <w:r>
        <w:rPr>
          <w:rFonts w:hint="eastAsia" w:ascii="仿宋_GB2312" w:eastAsia="仿宋_GB2312"/>
          <w:b w:val="0"/>
          <w:bCs w:val="0"/>
          <w:sz w:val="32"/>
          <w:szCs w:val="32"/>
          <w:lang w:eastAsia="zh-CN"/>
        </w:rPr>
        <w:t>。建议</w:t>
      </w:r>
      <w:r>
        <w:rPr>
          <w:rFonts w:hint="eastAsia" w:ascii="仿宋_GB2312" w:eastAsia="仿宋_GB2312"/>
          <w:sz w:val="32"/>
          <w:szCs w:val="32"/>
        </w:rPr>
        <w:t>省里在下达资金指标文件的同时及时更新省直报系统通知公告，以便各项目实施单位能及时了解资金</w:t>
      </w:r>
      <w:r>
        <w:rPr>
          <w:rFonts w:hint="eastAsia" w:ascii="仿宋_GB2312" w:eastAsia="仿宋_GB2312"/>
          <w:sz w:val="32"/>
          <w:szCs w:val="32"/>
          <w:lang w:eastAsia="zh-CN"/>
        </w:rPr>
        <w:t>情况</w:t>
      </w:r>
      <w:r>
        <w:rPr>
          <w:rFonts w:hint="eastAsia" w:ascii="仿宋_GB2312" w:eastAsia="仿宋_GB2312"/>
          <w:sz w:val="32"/>
          <w:szCs w:val="32"/>
        </w:rPr>
        <w:t>，县财政部门及时准确将专项资金拨付给项目单位使用，保证项目顺利实施。</w:t>
      </w:r>
    </w:p>
    <w:p>
      <w:pPr>
        <w:pStyle w:val="9"/>
        <w:spacing w:line="560" w:lineRule="exact"/>
        <w:ind w:firstLine="640"/>
        <w:rPr>
          <w:rFonts w:hint="eastAsia" w:ascii="仿宋_GB2312" w:eastAsia="仿宋_GB2312"/>
          <w:b w:val="0"/>
          <w:bCs w:val="0"/>
          <w:sz w:val="32"/>
          <w:szCs w:val="32"/>
          <w:u w:val="none"/>
        </w:rPr>
      </w:pPr>
      <w:r>
        <w:rPr>
          <w:rFonts w:hint="eastAsia" w:ascii="仿宋_GB2312" w:eastAsia="仿宋_GB2312"/>
          <w:b w:val="0"/>
          <w:bCs w:val="0"/>
          <w:sz w:val="32"/>
          <w:szCs w:val="32"/>
          <w:u w:val="none"/>
          <w:lang w:val="en-US" w:eastAsia="zh-CN"/>
        </w:rPr>
        <w:t>3</w:t>
      </w:r>
      <w:r>
        <w:rPr>
          <w:rFonts w:hint="eastAsia" w:ascii="仿宋_GB2312" w:eastAsia="仿宋_GB2312"/>
          <w:b w:val="0"/>
          <w:bCs w:val="0"/>
          <w:sz w:val="32"/>
          <w:szCs w:val="32"/>
          <w:u w:val="none"/>
        </w:rPr>
        <w:t>.</w:t>
      </w:r>
      <w:r>
        <w:rPr>
          <w:rFonts w:hint="eastAsia" w:ascii="仿宋_GB2312" w:eastAsia="仿宋_GB2312"/>
          <w:b w:val="0"/>
          <w:bCs w:val="0"/>
          <w:sz w:val="32"/>
          <w:szCs w:val="32"/>
          <w:u w:val="none"/>
          <w:lang w:eastAsia="zh-CN"/>
        </w:rPr>
        <w:t>建议</w:t>
      </w:r>
      <w:r>
        <w:rPr>
          <w:rFonts w:hint="eastAsia" w:ascii="仿宋_GB2312" w:eastAsia="仿宋_GB2312"/>
          <w:b w:val="0"/>
          <w:bCs w:val="0"/>
          <w:sz w:val="32"/>
          <w:szCs w:val="32"/>
          <w:u w:val="none"/>
        </w:rPr>
        <w:t>因素分解法的经费指标文件，明确各项工作经费的比例。</w:t>
      </w:r>
    </w:p>
    <w:p>
      <w:pPr>
        <w:pStyle w:val="9"/>
        <w:spacing w:line="560" w:lineRule="exact"/>
        <w:ind w:firstLine="64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b w:val="0"/>
          <w:bCs w:val="0"/>
          <w:sz w:val="32"/>
          <w:szCs w:val="32"/>
        </w:rPr>
        <w:t>.</w:t>
      </w:r>
      <w:r>
        <w:rPr>
          <w:rFonts w:hint="eastAsia" w:ascii="仿宋_GB2312" w:eastAsia="仿宋_GB2312"/>
          <w:b w:val="0"/>
          <w:bCs w:val="0"/>
          <w:sz w:val="32"/>
          <w:szCs w:val="32"/>
          <w:lang w:eastAsia="zh-CN"/>
        </w:rPr>
        <w:t>加大财务人员培训力度。</w:t>
      </w:r>
      <w:r>
        <w:rPr>
          <w:rFonts w:hint="eastAsia" w:ascii="仿宋_GB2312" w:eastAsia="仿宋_GB2312"/>
          <w:sz w:val="32"/>
          <w:szCs w:val="32"/>
        </w:rPr>
        <w:t>近年来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对基层人群的健康投入</w:t>
      </w:r>
      <w:r>
        <w:rPr>
          <w:rFonts w:hint="eastAsia" w:ascii="仿宋_GB2312" w:eastAsia="仿宋_GB2312"/>
          <w:sz w:val="32"/>
          <w:szCs w:val="32"/>
          <w:lang w:eastAsia="zh-CN"/>
        </w:rPr>
        <w:t>越来越大</w:t>
      </w:r>
      <w:r>
        <w:rPr>
          <w:rFonts w:hint="eastAsia" w:ascii="仿宋_GB2312" w:eastAsia="仿宋_GB2312"/>
          <w:sz w:val="32"/>
          <w:szCs w:val="32"/>
        </w:rPr>
        <w:t>,列入国家拨款支持的经费也越来越多,中央转移支付和地方配套的各项重大公共卫生专项资金</w:t>
      </w:r>
      <w:r>
        <w:rPr>
          <w:rFonts w:hint="eastAsia" w:ascii="仿宋_GB2312" w:eastAsia="仿宋_GB2312"/>
          <w:sz w:val="32"/>
          <w:szCs w:val="32"/>
          <w:lang w:eastAsia="zh-CN"/>
        </w:rPr>
        <w:t>也</w:t>
      </w:r>
      <w:r>
        <w:rPr>
          <w:rFonts w:hint="eastAsia" w:ascii="仿宋_GB2312" w:eastAsia="仿宋_GB2312"/>
          <w:sz w:val="32"/>
          <w:szCs w:val="32"/>
        </w:rPr>
        <w:t>逐年增加,管好、用好专项资金显得尤为重要</w:t>
      </w:r>
      <w:r>
        <w:rPr>
          <w:rFonts w:hint="eastAsia" w:ascii="仿宋_GB2312" w:eastAsia="仿宋_GB2312"/>
          <w:sz w:val="32"/>
          <w:szCs w:val="32"/>
          <w:lang w:eastAsia="zh-CN"/>
        </w:rPr>
        <w:t>。因此，建议</w:t>
      </w:r>
      <w:r>
        <w:rPr>
          <w:rFonts w:hint="eastAsia" w:ascii="仿宋_GB2312" w:eastAsia="仿宋_GB2312"/>
          <w:sz w:val="32"/>
          <w:szCs w:val="32"/>
        </w:rPr>
        <w:t>加强</w:t>
      </w:r>
      <w:r>
        <w:rPr>
          <w:rFonts w:hint="eastAsia" w:ascii="仿宋_GB2312" w:eastAsia="仿宋_GB2312"/>
          <w:sz w:val="32"/>
          <w:szCs w:val="32"/>
          <w:lang w:eastAsia="zh-CN"/>
        </w:rPr>
        <w:t>对</w:t>
      </w:r>
      <w:r>
        <w:rPr>
          <w:rFonts w:hint="eastAsia" w:ascii="仿宋_GB2312" w:eastAsia="仿宋_GB2312"/>
          <w:sz w:val="32"/>
          <w:szCs w:val="32"/>
        </w:rPr>
        <w:t>财务人员</w:t>
      </w:r>
      <w:r>
        <w:rPr>
          <w:rFonts w:hint="eastAsia" w:ascii="仿宋_GB2312" w:eastAsia="仿宋_GB2312"/>
          <w:sz w:val="32"/>
          <w:szCs w:val="32"/>
          <w:lang w:eastAsia="zh-CN"/>
        </w:rPr>
        <w:t>的</w:t>
      </w:r>
      <w:r>
        <w:rPr>
          <w:rFonts w:hint="eastAsia" w:ascii="仿宋_GB2312" w:eastAsia="仿宋_GB2312"/>
          <w:sz w:val="32"/>
          <w:szCs w:val="32"/>
        </w:rPr>
        <w:t>培训</w:t>
      </w:r>
      <w:r>
        <w:rPr>
          <w:rFonts w:hint="eastAsia" w:ascii="仿宋_GB2312" w:eastAsia="仿宋_GB2312"/>
          <w:sz w:val="32"/>
          <w:szCs w:val="32"/>
          <w:lang w:eastAsia="zh-CN"/>
        </w:rPr>
        <w:t>力度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hint="eastAsia" w:ascii="仿宋_GB2312" w:eastAsia="仿宋_GB2312"/>
          <w:sz w:val="32"/>
          <w:szCs w:val="32"/>
          <w:lang w:eastAsia="zh-CN"/>
        </w:rPr>
        <w:t>加强资金监管使用水平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pStyle w:val="9"/>
        <w:spacing w:line="560" w:lineRule="exact"/>
        <w:ind w:firstLine="640"/>
        <w:rPr>
          <w:rFonts w:hint="eastAsia" w:ascii="仿宋_GB2312" w:eastAsia="仿宋_GB2312"/>
          <w:sz w:val="32"/>
          <w:szCs w:val="32"/>
        </w:rPr>
      </w:pPr>
    </w:p>
    <w:p>
      <w:pPr>
        <w:pStyle w:val="9"/>
        <w:spacing w:line="560" w:lineRule="exact"/>
        <w:rPr>
          <w:rFonts w:hint="eastAsia" w:hAnsi="宋体"/>
        </w:rPr>
      </w:pPr>
    </w:p>
    <w:p>
      <w:pPr>
        <w:numPr>
          <w:ilvl w:val="0"/>
          <w:numId w:val="0"/>
        </w:numPr>
        <w:rPr>
          <w:rFonts w:hint="eastAsia" w:ascii="仿宋_GB2312" w:hAnsi="Arial" w:eastAsia="仿宋_GB2312" w:cs="Arial"/>
          <w:color w:val="000000"/>
          <w:sz w:val="32"/>
          <w:szCs w:val="32"/>
          <w:lang w:val="en-US" w:eastAsia="zh-CN"/>
        </w:rPr>
      </w:pPr>
    </w:p>
    <w:p>
      <w:pPr>
        <w:ind w:firstLine="645"/>
        <w:rPr>
          <w:rFonts w:hint="eastAsia" w:asciiTheme="minorEastAsia" w:hAnsiTheme="minorEastAsia" w:eastAsiaTheme="minorEastAsia"/>
          <w:sz w:val="32"/>
          <w:szCs w:val="32"/>
          <w:lang w:eastAsia="zh-CN"/>
        </w:rPr>
      </w:pPr>
    </w:p>
    <w:sectPr>
      <w:pgSz w:w="11906" w:h="16838"/>
      <w:pgMar w:top="1871" w:right="1797" w:bottom="1588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ViOTA3OWUzNTcyODAxZjM4MmYwZWU5ZWYxZWZiNTUifQ=="/>
  </w:docVars>
  <w:rsids>
    <w:rsidRoot w:val="005E4D35"/>
    <w:rsid w:val="001A496E"/>
    <w:rsid w:val="002E1035"/>
    <w:rsid w:val="0031434E"/>
    <w:rsid w:val="004C60DD"/>
    <w:rsid w:val="005733E1"/>
    <w:rsid w:val="005E4D35"/>
    <w:rsid w:val="005E7C7D"/>
    <w:rsid w:val="00616244"/>
    <w:rsid w:val="00622B1F"/>
    <w:rsid w:val="006B3B51"/>
    <w:rsid w:val="00716293"/>
    <w:rsid w:val="007C78BF"/>
    <w:rsid w:val="00935369"/>
    <w:rsid w:val="00986AED"/>
    <w:rsid w:val="00A63BAE"/>
    <w:rsid w:val="00A94454"/>
    <w:rsid w:val="00B90E06"/>
    <w:rsid w:val="00BF744B"/>
    <w:rsid w:val="00C36849"/>
    <w:rsid w:val="00C37DAC"/>
    <w:rsid w:val="00CD357A"/>
    <w:rsid w:val="00CE2F44"/>
    <w:rsid w:val="00D36730"/>
    <w:rsid w:val="00D93D11"/>
    <w:rsid w:val="00DD3568"/>
    <w:rsid w:val="00EB1264"/>
    <w:rsid w:val="00EF72FA"/>
    <w:rsid w:val="00F21CAA"/>
    <w:rsid w:val="00F237A7"/>
    <w:rsid w:val="012D736F"/>
    <w:rsid w:val="016F646D"/>
    <w:rsid w:val="01FC6363"/>
    <w:rsid w:val="01FC6C97"/>
    <w:rsid w:val="029A3AA3"/>
    <w:rsid w:val="02A528CB"/>
    <w:rsid w:val="02E32DE9"/>
    <w:rsid w:val="0362429C"/>
    <w:rsid w:val="038D0FC9"/>
    <w:rsid w:val="06D7276C"/>
    <w:rsid w:val="07845129"/>
    <w:rsid w:val="081C6D28"/>
    <w:rsid w:val="090137DB"/>
    <w:rsid w:val="091B760A"/>
    <w:rsid w:val="0A854D52"/>
    <w:rsid w:val="0A862E4A"/>
    <w:rsid w:val="0A8D68FF"/>
    <w:rsid w:val="0AB51B34"/>
    <w:rsid w:val="0ADD4DA2"/>
    <w:rsid w:val="0B6914C3"/>
    <w:rsid w:val="0B700D78"/>
    <w:rsid w:val="0C31086E"/>
    <w:rsid w:val="0D532281"/>
    <w:rsid w:val="0E7511CC"/>
    <w:rsid w:val="0F10730A"/>
    <w:rsid w:val="0F2B06B5"/>
    <w:rsid w:val="111F2696"/>
    <w:rsid w:val="11D26206"/>
    <w:rsid w:val="131D398A"/>
    <w:rsid w:val="15ED4A39"/>
    <w:rsid w:val="17582A02"/>
    <w:rsid w:val="1839189B"/>
    <w:rsid w:val="1B346E3C"/>
    <w:rsid w:val="1B5D087F"/>
    <w:rsid w:val="1C262E12"/>
    <w:rsid w:val="1E7D44EA"/>
    <w:rsid w:val="1F6B3C93"/>
    <w:rsid w:val="201342E6"/>
    <w:rsid w:val="201A1FB1"/>
    <w:rsid w:val="2021363D"/>
    <w:rsid w:val="23CC24E3"/>
    <w:rsid w:val="252235A1"/>
    <w:rsid w:val="253C2FAE"/>
    <w:rsid w:val="25A1176A"/>
    <w:rsid w:val="27FD3592"/>
    <w:rsid w:val="283A6FF0"/>
    <w:rsid w:val="299B428A"/>
    <w:rsid w:val="2AA76585"/>
    <w:rsid w:val="2C6E0541"/>
    <w:rsid w:val="2C770089"/>
    <w:rsid w:val="2DBA497F"/>
    <w:rsid w:val="2E1A4F7C"/>
    <w:rsid w:val="2EDB635D"/>
    <w:rsid w:val="2F1242D3"/>
    <w:rsid w:val="2F7D0D72"/>
    <w:rsid w:val="30362FA0"/>
    <w:rsid w:val="307F1F78"/>
    <w:rsid w:val="30FC4097"/>
    <w:rsid w:val="313233D4"/>
    <w:rsid w:val="31375DC1"/>
    <w:rsid w:val="323725E3"/>
    <w:rsid w:val="35B21673"/>
    <w:rsid w:val="36406E5F"/>
    <w:rsid w:val="3CA56183"/>
    <w:rsid w:val="3E206AE0"/>
    <w:rsid w:val="3F18780D"/>
    <w:rsid w:val="3FFE7FBE"/>
    <w:rsid w:val="41645CAF"/>
    <w:rsid w:val="41814EF1"/>
    <w:rsid w:val="42064FF6"/>
    <w:rsid w:val="42276237"/>
    <w:rsid w:val="437B062E"/>
    <w:rsid w:val="438F7491"/>
    <w:rsid w:val="448C26A1"/>
    <w:rsid w:val="46CC0288"/>
    <w:rsid w:val="484C5E72"/>
    <w:rsid w:val="495B2817"/>
    <w:rsid w:val="49813029"/>
    <w:rsid w:val="4A691233"/>
    <w:rsid w:val="4AD16DEE"/>
    <w:rsid w:val="4B912655"/>
    <w:rsid w:val="4BEA27BB"/>
    <w:rsid w:val="4CD5700C"/>
    <w:rsid w:val="4E99270C"/>
    <w:rsid w:val="4F1D01EF"/>
    <w:rsid w:val="50243655"/>
    <w:rsid w:val="50B04FE3"/>
    <w:rsid w:val="520B09E9"/>
    <w:rsid w:val="52361345"/>
    <w:rsid w:val="52ED5CFA"/>
    <w:rsid w:val="53425017"/>
    <w:rsid w:val="539F14B9"/>
    <w:rsid w:val="54DA469A"/>
    <w:rsid w:val="550C1783"/>
    <w:rsid w:val="55C45DDD"/>
    <w:rsid w:val="56E316AC"/>
    <w:rsid w:val="5736344E"/>
    <w:rsid w:val="586E0C35"/>
    <w:rsid w:val="58D636B1"/>
    <w:rsid w:val="593D2EB2"/>
    <w:rsid w:val="5A1B0724"/>
    <w:rsid w:val="5B3345F4"/>
    <w:rsid w:val="5BA81EB7"/>
    <w:rsid w:val="5C002C10"/>
    <w:rsid w:val="5C407A5F"/>
    <w:rsid w:val="5C56388E"/>
    <w:rsid w:val="5D54424F"/>
    <w:rsid w:val="5EE26254"/>
    <w:rsid w:val="5F05614A"/>
    <w:rsid w:val="5F8C227A"/>
    <w:rsid w:val="604F424F"/>
    <w:rsid w:val="6108406E"/>
    <w:rsid w:val="612A10D1"/>
    <w:rsid w:val="61B670B0"/>
    <w:rsid w:val="63386235"/>
    <w:rsid w:val="64371CE6"/>
    <w:rsid w:val="664303AB"/>
    <w:rsid w:val="675D1A88"/>
    <w:rsid w:val="677E5E7F"/>
    <w:rsid w:val="67CE3D41"/>
    <w:rsid w:val="68192CF1"/>
    <w:rsid w:val="68247659"/>
    <w:rsid w:val="692C301E"/>
    <w:rsid w:val="6AF83650"/>
    <w:rsid w:val="6B2F43B7"/>
    <w:rsid w:val="6B822971"/>
    <w:rsid w:val="6BEA0280"/>
    <w:rsid w:val="6BF81211"/>
    <w:rsid w:val="6D2B7855"/>
    <w:rsid w:val="6E777DAD"/>
    <w:rsid w:val="6E8201DA"/>
    <w:rsid w:val="6E880FF4"/>
    <w:rsid w:val="71053AB1"/>
    <w:rsid w:val="71473AA6"/>
    <w:rsid w:val="73080FA3"/>
    <w:rsid w:val="73F544E2"/>
    <w:rsid w:val="742134ED"/>
    <w:rsid w:val="749B0F1C"/>
    <w:rsid w:val="75B83702"/>
    <w:rsid w:val="777D2B7A"/>
    <w:rsid w:val="7BAF6370"/>
    <w:rsid w:val="7BD84972"/>
    <w:rsid w:val="7C3E3385"/>
    <w:rsid w:val="7ECF6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5"/>
    <w:link w:val="2"/>
    <w:qFormat/>
    <w:uiPriority w:val="0"/>
    <w:rPr>
      <w:kern w:val="2"/>
      <w:sz w:val="18"/>
      <w:szCs w:val="18"/>
    </w:rPr>
  </w:style>
  <w:style w:type="paragraph" w:customStyle="1" w:styleId="9">
    <w:name w:val="List Paragraph"/>
    <w:basedOn w:val="1"/>
    <w:qFormat/>
    <w:uiPriority w:val="34"/>
    <w:pPr>
      <w:ind w:firstLine="420" w:firstLineChars="200"/>
    </w:pPr>
  </w:style>
  <w:style w:type="paragraph" w:customStyle="1" w:styleId="10">
    <w:name w:val="p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 China</Company>
  <Pages>6</Pages>
  <Words>2714</Words>
  <Characters>2913</Characters>
  <Lines>5</Lines>
  <Paragraphs>1</Paragraphs>
  <TotalTime>4</TotalTime>
  <ScaleCrop>false</ScaleCrop>
  <LinksUpToDate>false</LinksUpToDate>
  <CharactersWithSpaces>2928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2017-10-30T01:01:00Z</dcterms:created>
  <dc:creator>User</dc:creator>
  <cp:lastModifiedBy>miss</cp:lastModifiedBy>
  <cp:lastPrinted>2020-09-18T10:31:00Z</cp:lastPrinted>
  <dcterms:modified xsi:type="dcterms:W3CDTF">2023-09-21T08:04:46Z</dcterms:modified>
  <dc:title>2014年芷江计划生育利益导向专项资金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DC0A9C1E3D2F4EA1A58598D63BB09808</vt:lpwstr>
  </property>
</Properties>
</file>