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hint="eastAsia" w:ascii="仿宋_GB2312" w:eastAsia="仿宋_GB2312"/>
                <w:b/>
                <w:bCs/>
                <w:szCs w:val="21"/>
              </w:rPr>
            </w:pPr>
            <w:r>
              <w:rPr>
                <w:rFonts w:hint="eastAsia" w:ascii="仿宋_GB2312" w:eastAsia="仿宋_GB2312"/>
                <w:b/>
                <w:bCs/>
                <w:szCs w:val="21"/>
              </w:rPr>
              <w:t>自评分</w:t>
            </w:r>
          </w:p>
          <w:p>
            <w:pPr>
              <w:ind w:left="105" w:leftChars="50" w:right="105" w:rightChars="50"/>
              <w:jc w:val="center"/>
              <w:rPr>
                <w:rFonts w:hint="default" w:ascii="仿宋_GB2312" w:eastAsia="仿宋_GB2312"/>
                <w:b/>
                <w:bCs/>
                <w:szCs w:val="21"/>
                <w:lang w:val="en-US" w:eastAsia="zh-CN"/>
              </w:rPr>
            </w:pPr>
            <w:r>
              <w:rPr>
                <w:rFonts w:hint="eastAsia" w:ascii="仿宋_GB2312" w:eastAsia="仿宋_GB2312"/>
                <w:b/>
                <w:bCs/>
                <w:szCs w:val="21"/>
                <w:lang w:val="en-US" w:eastAsia="zh-CN"/>
              </w:rPr>
              <w:t>87分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鹤城区工商联</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ind w:firstLine="420" w:firstLineChars="200"/>
              <w:jc w:val="center"/>
              <w:rPr>
                <w:rFonts w:hint="default" w:ascii="仿宋" w:hAnsi="仿宋" w:eastAsia="仿宋"/>
                <w:lang w:val="en-US" w:eastAsia="zh-CN"/>
              </w:rPr>
            </w:pPr>
            <w:r>
              <w:rPr>
                <w:rFonts w:hint="eastAsia" w:ascii="仿宋" w:hAnsi="仿宋" w:eastAsia="仿宋"/>
                <w:lang w:val="en-US" w:eastAsia="zh-CN"/>
              </w:rPr>
              <w:t>16000.00</w:t>
            </w:r>
          </w:p>
        </w:tc>
        <w:tc>
          <w:tcPr>
            <w:tcW w:w="2292" w:type="dxa"/>
            <w:tcBorders>
              <w:top w:val="single" w:color="000000" w:sz="4" w:space="0"/>
              <w:left w:val="nil"/>
              <w:bottom w:val="single" w:color="000000" w:sz="4" w:space="0"/>
              <w:right w:val="single" w:color="000000" w:sz="4" w:space="0"/>
            </w:tcBorders>
          </w:tcPr>
          <w:p>
            <w:pPr>
              <w:spacing w:line="440" w:lineRule="exact"/>
              <w:ind w:firstLine="630" w:firstLineChars="300"/>
              <w:jc w:val="center"/>
              <w:rPr>
                <w:rFonts w:hint="default" w:ascii="仿宋" w:hAnsi="仿宋" w:eastAsia="仿宋"/>
                <w:lang w:val="en-US" w:eastAsia="zh-CN"/>
              </w:rPr>
            </w:pPr>
            <w:r>
              <w:rPr>
                <w:rFonts w:hint="eastAsia" w:ascii="仿宋" w:hAnsi="仿宋" w:eastAsia="仿宋"/>
                <w:lang w:val="en-US" w:eastAsia="zh-CN"/>
              </w:rPr>
              <w:t>30300.00</w:t>
            </w:r>
          </w:p>
        </w:tc>
        <w:tc>
          <w:tcPr>
            <w:tcW w:w="2244"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hint="default" w:ascii="仿宋" w:hAnsi="仿宋" w:eastAsia="仿宋"/>
                <w:lang w:val="en-US" w:eastAsia="zh-CN"/>
              </w:rPr>
            </w:pPr>
            <w:r>
              <w:rPr>
                <w:rFonts w:hint="eastAsia" w:ascii="仿宋" w:hAnsi="仿宋" w:eastAsia="仿宋"/>
                <w:lang w:val="en-US" w:eastAsia="zh-CN"/>
              </w:rPr>
              <w:t>15900.00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319198.03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248000.00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187723.92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130706.03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58000.00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113376.92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59290.00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47877.00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129202.00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26470.00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keepNext w:val="0"/>
        <w:keepLines w:val="0"/>
        <w:pageBreakBefore w:val="0"/>
        <w:widowControl/>
        <w:kinsoku/>
        <w:wordWrap/>
        <w:autoSpaceDE/>
        <w:autoSpaceDN/>
        <w:bidi w:val="0"/>
        <w:adjustRightInd/>
        <w:snapToGrid/>
        <w:spacing w:line="580" w:lineRule="exact"/>
        <w:ind w:left="0"/>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keepNext w:val="0"/>
        <w:keepLines w:val="0"/>
        <w:pageBreakBefore w:val="0"/>
        <w:widowControl/>
        <w:kinsoku/>
        <w:wordWrap/>
        <w:autoSpaceDE/>
        <w:autoSpaceDN/>
        <w:bidi w:val="0"/>
        <w:adjustRightInd/>
        <w:snapToGrid/>
        <w:spacing w:line="580" w:lineRule="exact"/>
        <w:ind w:left="0"/>
        <w:jc w:val="center"/>
        <w:rPr>
          <w:rFonts w:hint="eastAsia" w:ascii="黑体" w:hAnsi="黑体" w:eastAsia="黑体" w:cs="黑体"/>
          <w:kern w:val="0"/>
          <w:sz w:val="44"/>
          <w:szCs w:val="44"/>
          <w:lang w:val="en-US" w:eastAsia="zh-CN"/>
        </w:rPr>
      </w:pPr>
      <w:r>
        <w:rPr>
          <w:rFonts w:hint="eastAsia" w:ascii="黑体" w:hAnsi="黑体" w:eastAsia="黑体" w:cs="黑体"/>
          <w:kern w:val="0"/>
          <w:sz w:val="44"/>
          <w:szCs w:val="44"/>
          <w:lang w:val="en-US" w:eastAsia="zh-CN"/>
        </w:rPr>
        <w:t>鹤城区工商联</w:t>
      </w:r>
    </w:p>
    <w:p>
      <w:pPr>
        <w:keepNext w:val="0"/>
        <w:keepLines w:val="0"/>
        <w:pageBreakBefore w:val="0"/>
        <w:kinsoku/>
        <w:wordWrap/>
        <w:autoSpaceDE/>
        <w:autoSpaceDN/>
        <w:bidi w:val="0"/>
        <w:adjustRightInd/>
        <w:snapToGrid/>
        <w:spacing w:line="580" w:lineRule="exact"/>
        <w:ind w:left="0"/>
        <w:jc w:val="center"/>
        <w:rPr>
          <w:rFonts w:hint="eastAsia" w:ascii="黑体" w:hAnsi="黑体" w:eastAsia="黑体" w:cs="黑体"/>
          <w:sz w:val="44"/>
          <w:szCs w:val="44"/>
        </w:rPr>
      </w:pPr>
      <w:r>
        <w:rPr>
          <w:rFonts w:hint="eastAsia" w:ascii="黑体" w:hAnsi="黑体" w:eastAsia="黑体" w:cs="黑体"/>
          <w:sz w:val="44"/>
          <w:szCs w:val="44"/>
          <w:lang w:val="en-US" w:eastAsia="zh-CN"/>
        </w:rPr>
        <w:t>2020年</w:t>
      </w:r>
      <w:r>
        <w:rPr>
          <w:rFonts w:hint="eastAsia" w:ascii="黑体" w:hAnsi="黑体" w:eastAsia="黑体" w:cs="黑体"/>
          <w:sz w:val="44"/>
          <w:szCs w:val="44"/>
        </w:rPr>
        <w:t>部门整体支出绩效评价报告</w:t>
      </w:r>
    </w:p>
    <w:p>
      <w:pPr>
        <w:keepNext w:val="0"/>
        <w:keepLines w:val="0"/>
        <w:pageBreakBefore w:val="0"/>
        <w:kinsoku/>
        <w:wordWrap/>
        <w:autoSpaceDE/>
        <w:autoSpaceDN/>
        <w:bidi w:val="0"/>
        <w:adjustRightInd/>
        <w:snapToGrid/>
        <w:spacing w:line="580" w:lineRule="exact"/>
        <w:ind w:left="0"/>
        <w:jc w:val="center"/>
        <w:rPr>
          <w:rFonts w:eastAsia="方正小标宋_GBK"/>
          <w:sz w:val="36"/>
          <w:szCs w:val="36"/>
        </w:rPr>
      </w:pPr>
    </w:p>
    <w:p>
      <w:pPr>
        <w:pStyle w:val="4"/>
        <w:keepNext w:val="0"/>
        <w:keepLines w:val="0"/>
        <w:pageBreakBefore w:val="0"/>
        <w:widowControl/>
        <w:shd w:val="clear" w:color="auto" w:fill="FFFFFF"/>
        <w:kinsoku/>
        <w:wordWrap/>
        <w:autoSpaceDE/>
        <w:autoSpaceDN/>
        <w:bidi w:val="0"/>
        <w:adjustRightInd/>
        <w:snapToGrid/>
        <w:spacing w:line="580" w:lineRule="exact"/>
        <w:ind w:left="0"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为进一步规范财政资金管理，树立决算绩效理念，强化支出责任，提高财政资金使用效益，认真组织开展了20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年度工商联部门决算绩效自评工作，现将我联20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年度部门整体支出绩效评价情况报告如下：</w:t>
      </w:r>
    </w:p>
    <w:p>
      <w:pPr>
        <w:pStyle w:val="9"/>
        <w:keepNext w:val="0"/>
        <w:keepLines w:val="0"/>
        <w:pageBreakBefore w:val="0"/>
        <w:widowControl/>
        <w:numPr>
          <w:ilvl w:val="0"/>
          <w:numId w:val="0"/>
        </w:numPr>
        <w:kinsoku/>
        <w:wordWrap/>
        <w:autoSpaceDE/>
        <w:autoSpaceDN/>
        <w:bidi w:val="0"/>
        <w:adjustRightInd/>
        <w:snapToGrid/>
        <w:spacing w:line="580" w:lineRule="exact"/>
        <w:ind w:leftChars="0"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一、</w:t>
      </w:r>
      <w:r>
        <w:rPr>
          <w:rFonts w:ascii="Times New Roman" w:hAnsi="Times New Roman" w:eastAsia="黑体"/>
          <w:sz w:val="32"/>
          <w:szCs w:val="32"/>
        </w:rPr>
        <w:t>部门、单位基本情况</w:t>
      </w:r>
    </w:p>
    <w:p>
      <w:pPr>
        <w:pStyle w:val="9"/>
        <w:keepNext w:val="0"/>
        <w:keepLines w:val="0"/>
        <w:pageBreakBefore w:val="0"/>
        <w:widowControl/>
        <w:numPr>
          <w:ilvl w:val="0"/>
          <w:numId w:val="0"/>
        </w:numPr>
        <w:kinsoku/>
        <w:wordWrap/>
        <w:autoSpaceDE/>
        <w:autoSpaceDN/>
        <w:bidi w:val="0"/>
        <w:adjustRightInd/>
        <w:snapToGrid/>
        <w:spacing w:line="580" w:lineRule="exact"/>
        <w:ind w:left="0" w:firstLine="643" w:firstLineChars="200"/>
        <w:rPr>
          <w:rFonts w:hint="eastAsia" w:ascii="仿宋" w:hAnsi="仿宋" w:eastAsia="仿宋" w:cs="仿宋"/>
          <w:lang w:eastAsia="zh-CN"/>
        </w:rPr>
      </w:pPr>
      <w:r>
        <w:rPr>
          <w:rFonts w:hint="eastAsia" w:ascii="Times New Roman" w:hAnsi="Times New Roman" w:eastAsia="仿宋_GB2312" w:cs="Times New Roman"/>
          <w:b/>
          <w:bCs/>
          <w:kern w:val="2"/>
          <w:sz w:val="32"/>
          <w:szCs w:val="32"/>
          <w:lang w:val="en-US" w:eastAsia="zh-CN" w:bidi="ar-SA"/>
        </w:rPr>
        <w:t>机构和人数：</w:t>
      </w:r>
      <w:r>
        <w:rPr>
          <w:rFonts w:hint="eastAsia" w:ascii="仿宋" w:hAnsi="仿宋" w:eastAsia="仿宋" w:cs="仿宋"/>
          <w:color w:val="000000"/>
          <w:kern w:val="21"/>
          <w:sz w:val="31"/>
          <w:szCs w:val="31"/>
          <w:shd w:val="clear" w:color="auto" w:fill="FFFFFF"/>
        </w:rPr>
        <w:t>区工商联</w:t>
      </w:r>
      <w:r>
        <w:rPr>
          <w:rFonts w:hint="eastAsia" w:ascii="仿宋" w:hAnsi="仿宋" w:eastAsia="仿宋" w:cs="仿宋"/>
          <w:sz w:val="32"/>
          <w:szCs w:val="32"/>
        </w:rPr>
        <w:t>作为一级部门预算单位</w:t>
      </w:r>
      <w:r>
        <w:rPr>
          <w:rFonts w:hint="eastAsia" w:ascii="仿宋" w:hAnsi="仿宋" w:eastAsia="仿宋" w:cs="仿宋"/>
          <w:color w:val="000000"/>
          <w:kern w:val="21"/>
          <w:sz w:val="31"/>
          <w:szCs w:val="31"/>
          <w:shd w:val="clear" w:color="auto" w:fill="FFFFFF"/>
        </w:rPr>
        <w:t>内设三个职能股室：1.办公室、</w:t>
      </w:r>
      <w:r>
        <w:rPr>
          <w:rFonts w:hint="eastAsia" w:ascii="仿宋" w:hAnsi="仿宋" w:eastAsia="仿宋" w:cs="仿宋"/>
          <w:kern w:val="0"/>
          <w:sz w:val="32"/>
          <w:szCs w:val="32"/>
        </w:rPr>
        <w:t>2.会员发展股、 3.会员维权股</w:t>
      </w:r>
      <w:r>
        <w:rPr>
          <w:rFonts w:hint="eastAsia" w:ascii="仿宋" w:hAnsi="仿宋" w:eastAsia="仿宋" w:cs="仿宋"/>
          <w:color w:val="000000"/>
          <w:kern w:val="21"/>
          <w:sz w:val="31"/>
          <w:szCs w:val="31"/>
          <w:shd w:val="clear" w:color="auto" w:fill="FFFFFF"/>
        </w:rPr>
        <w:t>。我联现有在职人员 9 人，退休人员 4 人。根据区政府机构改革“三定”方案;我联编制为10 个，其中行政编 5 个、事业编 5 个</w:t>
      </w:r>
      <w:r>
        <w:rPr>
          <w:rFonts w:hint="eastAsia" w:ascii="仿宋" w:hAnsi="仿宋" w:eastAsia="仿宋" w:cs="仿宋"/>
          <w:color w:val="000000"/>
          <w:kern w:val="21"/>
          <w:sz w:val="31"/>
          <w:szCs w:val="31"/>
          <w:shd w:val="clear" w:color="auto" w:fill="FFFFFF"/>
          <w:lang w:eastAsia="zh-CN"/>
        </w:rPr>
        <w:t>，</w:t>
      </w:r>
      <w:r>
        <w:rPr>
          <w:rFonts w:hint="eastAsia" w:ascii="仿宋" w:hAnsi="仿宋" w:eastAsia="仿宋" w:cs="仿宋"/>
          <w:sz w:val="32"/>
          <w:szCs w:val="32"/>
        </w:rPr>
        <w:t>财政供应人员控制率</w:t>
      </w:r>
      <w:r>
        <w:rPr>
          <w:rFonts w:hint="eastAsia" w:ascii="仿宋" w:hAnsi="仿宋" w:eastAsia="仿宋" w:cs="仿宋"/>
          <w:sz w:val="32"/>
          <w:szCs w:val="32"/>
          <w:lang w:val="en-US" w:eastAsia="zh-CN"/>
        </w:rPr>
        <w:t>90</w:t>
      </w:r>
      <w:r>
        <w:rPr>
          <w:rFonts w:hint="eastAsia" w:ascii="仿宋" w:hAnsi="仿宋" w:eastAsia="仿宋" w:cs="仿宋"/>
          <w:sz w:val="32"/>
          <w:szCs w:val="32"/>
        </w:rPr>
        <w:t>%，未超过编制，控制较好。</w:t>
      </w:r>
    </w:p>
    <w:p>
      <w:pPr>
        <w:keepNext w:val="0"/>
        <w:keepLines w:val="0"/>
        <w:pageBreakBefore w:val="0"/>
        <w:kinsoku/>
        <w:wordWrap/>
        <w:overflowPunct w:val="0"/>
        <w:topLinePunct/>
        <w:autoSpaceDE/>
        <w:autoSpaceDN/>
        <w:bidi w:val="0"/>
        <w:adjustRightInd/>
        <w:snapToGrid/>
        <w:spacing w:line="580" w:lineRule="exact"/>
        <w:ind w:left="0" w:firstLine="643" w:firstLineChars="200"/>
        <w:textAlignment w:val="baseline"/>
      </w:pPr>
      <w:r>
        <w:rPr>
          <w:rFonts w:hint="eastAsia" w:ascii="仿宋" w:hAnsi="仿宋" w:eastAsia="仿宋" w:cs="仿宋"/>
          <w:b/>
          <w:bCs/>
          <w:color w:val="000000"/>
          <w:kern w:val="21"/>
          <w:sz w:val="32"/>
          <w:szCs w:val="32"/>
          <w:shd w:val="clear" w:color="auto" w:fill="FFFFFF"/>
        </w:rPr>
        <w:t>部门职能职责</w:t>
      </w:r>
      <w:r>
        <w:rPr>
          <w:rFonts w:ascii="仿宋_GB2312" w:hAnsi="仿宋_GB2312"/>
          <w:color w:val="000000"/>
          <w:kern w:val="21"/>
          <w:sz w:val="31"/>
          <w:szCs w:val="31"/>
          <w:shd w:val="clear" w:color="auto" w:fill="FFFFFF"/>
        </w:rPr>
        <w:t>：</w:t>
      </w:r>
    </w:p>
    <w:p>
      <w:pPr>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1.办公室。负责机关日常运转工作。</w:t>
      </w:r>
    </w:p>
    <w:p>
      <w:pPr>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2.会员发展股，参与政治协商， 发挥民主监督作用，积极参政议政:负责会员发展。管理和服务工作:原办区工商联换届的具体组织工作和届中的常。抗委调整工作:负责区工商联领导班子和领导机构中的非公有制经济代表人士的日常联系:协助做好区工商联领导机构人选的推荐、考察;负责区工商联执委人选的推荐、考察、呈报工作;加强和改进非公有制经济人士思想政治工作;促进行业协会商会改革发展;协助做好非公有制经济代表人士政治安排的其他有关工作.</w:t>
      </w:r>
    </w:p>
    <w:p>
      <w:pPr>
        <w:keepNext w:val="0"/>
        <w:keepLines w:val="0"/>
        <w:pageBreakBefore w:val="0"/>
        <w:widowControl/>
        <w:kinsoku/>
        <w:wordWrap/>
        <w:autoSpaceDE/>
        <w:autoSpaceDN/>
        <w:bidi w:val="0"/>
        <w:adjustRightInd/>
        <w:snapToGrid/>
        <w:spacing w:line="580" w:lineRule="exact"/>
        <w:ind w:left="0"/>
        <w:rPr>
          <w:rFonts w:hint="eastAsia" w:ascii="仿宋" w:hAnsi="仿宋" w:eastAsia="仿宋" w:cs="仿宋"/>
          <w:kern w:val="0"/>
          <w:sz w:val="32"/>
          <w:szCs w:val="32"/>
        </w:rPr>
      </w:pPr>
      <w:r>
        <w:rPr>
          <w:rFonts w:hint="eastAsia" w:ascii="仿宋" w:hAnsi="仿宋" w:eastAsia="仿宋" w:cs="仿宋"/>
          <w:kern w:val="0"/>
          <w:sz w:val="32"/>
          <w:szCs w:val="32"/>
        </w:rPr>
        <w:t xml:space="preserve">     3.会员维权股。协助政府管理和服务非公有制经济;负责会员信息资料的收集、整理和统计工作，建设会员信息库;指导乡镇商会、经济类行业协会、异地商会的规范化管理;组织商协会和非公企业相互或对外联系交流，增进非公经济人士的联谊沟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参与协调劳动关系，协同社会治理，促进社会和谐稳定;依法加强会产管理、经营和保护:实施政策咨询、法律提助、走访慰问、信息传递等服务，加大非公经济人士的关爱力度。</w:t>
      </w:r>
    </w:p>
    <w:p>
      <w:pPr>
        <w:pStyle w:val="9"/>
        <w:keepNext w:val="0"/>
        <w:keepLines w:val="0"/>
        <w:pageBreakBefore w:val="0"/>
        <w:widowControl/>
        <w:kinsoku/>
        <w:wordWrap/>
        <w:autoSpaceDE/>
        <w:autoSpaceDN/>
        <w:bidi w:val="0"/>
        <w:adjustRightInd/>
        <w:snapToGrid/>
        <w:spacing w:line="580" w:lineRule="exact"/>
        <w:ind w:left="0" w:leftChars="0" w:firstLine="361" w:firstLineChars="100"/>
        <w:rPr>
          <w:rFonts w:hint="default" w:ascii="仿宋" w:hAnsi="仿宋" w:eastAsia="仿宋" w:cs="仿宋"/>
          <w:b/>
          <w:bCs/>
          <w:sz w:val="32"/>
          <w:szCs w:val="32"/>
          <w:lang w:val="en-US" w:eastAsia="zh-CN"/>
        </w:rPr>
      </w:pPr>
      <w:r>
        <w:rPr>
          <w:rFonts w:hint="eastAsia" w:ascii="仿宋" w:hAnsi="仿宋" w:eastAsia="仿宋" w:cs="仿宋"/>
          <w:b/>
          <w:bCs/>
          <w:sz w:val="36"/>
          <w:szCs w:val="36"/>
        </w:rPr>
        <w:t xml:space="preserve"> </w:t>
      </w:r>
      <w:r>
        <w:rPr>
          <w:rFonts w:hint="eastAsia" w:ascii="黑体" w:hAnsi="黑体" w:eastAsia="黑体" w:cs="黑体"/>
          <w:b w:val="0"/>
          <w:bCs w:val="0"/>
          <w:sz w:val="32"/>
          <w:szCs w:val="32"/>
        </w:rPr>
        <w:t>二、一般公共预算支出情况</w:t>
      </w:r>
      <w:r>
        <w:rPr>
          <w:rFonts w:hint="eastAsia" w:ascii="黑体" w:hAnsi="黑体" w:eastAsia="黑体" w:cs="黑体"/>
          <w:b w:val="0"/>
          <w:bCs w:val="0"/>
          <w:sz w:val="32"/>
          <w:szCs w:val="32"/>
          <w:lang w:eastAsia="zh-CN"/>
        </w:rPr>
        <w:t>：</w:t>
      </w:r>
      <w:r>
        <w:rPr>
          <w:rFonts w:hint="eastAsia" w:ascii="仿宋" w:hAnsi="仿宋" w:eastAsia="仿宋" w:cs="仿宋"/>
          <w:b/>
          <w:bCs/>
          <w:sz w:val="36"/>
          <w:szCs w:val="36"/>
          <w:lang w:val="en-US" w:eastAsia="zh-CN"/>
        </w:rPr>
        <w:t xml:space="preserve"> </w:t>
      </w:r>
    </w:p>
    <w:p>
      <w:pPr>
        <w:pStyle w:val="9"/>
        <w:keepNext w:val="0"/>
        <w:keepLines w:val="0"/>
        <w:pageBreakBefore w:val="0"/>
        <w:widowControl/>
        <w:kinsoku/>
        <w:wordWrap/>
        <w:autoSpaceDE/>
        <w:autoSpaceDN/>
        <w:bidi w:val="0"/>
        <w:adjustRightInd/>
        <w:snapToGrid/>
        <w:spacing w:line="580" w:lineRule="exact"/>
        <w:ind w:left="0" w:firstLine="0" w:firstLineChars="0"/>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 xml:space="preserve"> </w:t>
      </w:r>
      <w:r>
        <w:rPr>
          <w:rFonts w:hint="eastAsia" w:ascii="仿宋" w:hAnsi="仿宋" w:eastAsia="仿宋" w:cs="仿宋"/>
          <w:color w:val="000000"/>
          <w:kern w:val="21"/>
          <w:sz w:val="32"/>
          <w:szCs w:val="32"/>
          <w:shd w:val="clear" w:color="auto" w:fill="FFFFFF"/>
          <w:lang w:val="en-US" w:eastAsia="zh-CN"/>
        </w:rPr>
        <w:t xml:space="preserve">  </w:t>
      </w:r>
      <w:r>
        <w:rPr>
          <w:rFonts w:hint="eastAsia" w:ascii="仿宋" w:hAnsi="仿宋" w:eastAsia="仿宋" w:cs="仿宋"/>
          <w:color w:val="000000"/>
          <w:kern w:val="21"/>
          <w:sz w:val="32"/>
          <w:szCs w:val="32"/>
          <w:shd w:val="clear" w:color="auto" w:fill="FFFFFF"/>
        </w:rPr>
        <w:t>收入决算：20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年度年初决数</w:t>
      </w:r>
      <w:r>
        <w:rPr>
          <w:rFonts w:hint="eastAsia" w:ascii="仿宋" w:hAnsi="仿宋" w:eastAsia="仿宋" w:cs="仿宋"/>
          <w:color w:val="000000"/>
          <w:kern w:val="21"/>
          <w:sz w:val="32"/>
          <w:szCs w:val="32"/>
          <w:shd w:val="clear" w:color="auto" w:fill="FFFFFF"/>
          <w:lang w:val="en-US" w:eastAsia="zh-CN"/>
        </w:rPr>
        <w:t>157.30</w:t>
      </w:r>
      <w:r>
        <w:rPr>
          <w:rFonts w:hint="eastAsia" w:ascii="仿宋" w:hAnsi="仿宋" w:eastAsia="仿宋" w:cs="仿宋"/>
          <w:color w:val="000000"/>
          <w:kern w:val="21"/>
          <w:sz w:val="32"/>
          <w:szCs w:val="32"/>
          <w:shd w:val="clear" w:color="auto" w:fill="FFFFFF"/>
        </w:rPr>
        <w:t>万元，其中：工商联部门预算收入中没有非税收入项目，全部来源于预算内拨款，决算收入完成率</w:t>
      </w:r>
      <w:r>
        <w:rPr>
          <w:rFonts w:hint="eastAsia" w:ascii="仿宋" w:hAnsi="仿宋" w:eastAsia="仿宋" w:cs="仿宋"/>
          <w:color w:val="000000"/>
          <w:kern w:val="21"/>
          <w:sz w:val="32"/>
          <w:szCs w:val="32"/>
          <w:shd w:val="clear" w:color="auto" w:fill="FFFFFF"/>
          <w:lang w:val="en-US" w:eastAsia="zh-CN"/>
        </w:rPr>
        <w:t>92</w:t>
      </w:r>
      <w:r>
        <w:rPr>
          <w:rFonts w:hint="eastAsia" w:ascii="仿宋" w:hAnsi="仿宋" w:eastAsia="仿宋" w:cs="仿宋"/>
          <w:color w:val="000000"/>
          <w:kern w:val="21"/>
          <w:sz w:val="32"/>
          <w:szCs w:val="32"/>
          <w:shd w:val="clear" w:color="auto" w:fill="FFFFFF"/>
        </w:rPr>
        <w:t>%。支出决算：20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年年决算数</w:t>
      </w:r>
      <w:r>
        <w:rPr>
          <w:rFonts w:hint="eastAsia" w:ascii="仿宋" w:hAnsi="仿宋" w:eastAsia="仿宋" w:cs="仿宋"/>
          <w:color w:val="000000"/>
          <w:kern w:val="21"/>
          <w:sz w:val="32"/>
          <w:szCs w:val="32"/>
          <w:shd w:val="clear" w:color="auto" w:fill="FFFFFF"/>
          <w:lang w:val="en-US" w:eastAsia="zh-CN"/>
        </w:rPr>
        <w:t>144.16</w:t>
      </w:r>
      <w:r>
        <w:rPr>
          <w:rFonts w:hint="eastAsia" w:ascii="仿宋" w:hAnsi="仿宋" w:eastAsia="仿宋" w:cs="仿宋"/>
          <w:color w:val="000000"/>
          <w:kern w:val="21"/>
          <w:sz w:val="32"/>
          <w:szCs w:val="32"/>
          <w:shd w:val="clear" w:color="auto" w:fill="FFFFFF"/>
        </w:rPr>
        <w:t>万元，其中：基本支出</w:t>
      </w:r>
      <w:r>
        <w:rPr>
          <w:rFonts w:hint="eastAsia" w:ascii="仿宋" w:hAnsi="仿宋" w:eastAsia="仿宋" w:cs="仿宋"/>
          <w:color w:val="000000"/>
          <w:kern w:val="21"/>
          <w:sz w:val="32"/>
          <w:szCs w:val="32"/>
          <w:shd w:val="clear" w:color="auto" w:fill="FFFFFF"/>
          <w:lang w:val="en-US" w:eastAsia="zh-CN"/>
        </w:rPr>
        <w:t>127.16</w:t>
      </w:r>
      <w:r>
        <w:rPr>
          <w:rFonts w:hint="eastAsia" w:ascii="仿宋" w:hAnsi="仿宋" w:eastAsia="仿宋" w:cs="仿宋"/>
          <w:color w:val="000000"/>
          <w:kern w:val="21"/>
          <w:sz w:val="32"/>
          <w:szCs w:val="32"/>
          <w:shd w:val="clear" w:color="auto" w:fill="FFFFFF"/>
        </w:rPr>
        <w:t>万元，项目支出</w:t>
      </w:r>
      <w:r>
        <w:rPr>
          <w:rFonts w:hint="eastAsia" w:ascii="仿宋" w:hAnsi="仿宋" w:eastAsia="仿宋" w:cs="仿宋"/>
          <w:color w:val="000000"/>
          <w:kern w:val="21"/>
          <w:sz w:val="32"/>
          <w:szCs w:val="32"/>
          <w:shd w:val="clear" w:color="auto" w:fill="FFFFFF"/>
          <w:lang w:val="en-US" w:eastAsia="zh-CN"/>
        </w:rPr>
        <w:t>17</w:t>
      </w:r>
      <w:r>
        <w:rPr>
          <w:rFonts w:hint="eastAsia" w:ascii="仿宋" w:hAnsi="仿宋" w:eastAsia="仿宋" w:cs="仿宋"/>
          <w:color w:val="000000"/>
          <w:kern w:val="21"/>
          <w:sz w:val="32"/>
          <w:szCs w:val="32"/>
          <w:shd w:val="clear" w:color="auto" w:fill="FFFFFF"/>
        </w:rPr>
        <w:t>万元。预算支出完成率</w:t>
      </w:r>
      <w:r>
        <w:rPr>
          <w:rFonts w:hint="eastAsia" w:ascii="仿宋" w:hAnsi="仿宋" w:eastAsia="仿宋" w:cs="仿宋"/>
          <w:color w:val="000000"/>
          <w:kern w:val="21"/>
          <w:sz w:val="32"/>
          <w:szCs w:val="32"/>
          <w:shd w:val="clear" w:color="auto" w:fill="FFFFFF"/>
          <w:lang w:val="en-US" w:eastAsia="zh-CN"/>
        </w:rPr>
        <w:t>92</w:t>
      </w:r>
      <w:r>
        <w:rPr>
          <w:rFonts w:hint="eastAsia" w:ascii="仿宋" w:hAnsi="仿宋" w:eastAsia="仿宋" w:cs="仿宋"/>
          <w:color w:val="000000"/>
          <w:kern w:val="21"/>
          <w:sz w:val="32"/>
          <w:szCs w:val="32"/>
          <w:shd w:val="clear" w:color="auto" w:fill="FFFFFF"/>
        </w:rPr>
        <w:t>%</w:t>
      </w:r>
    </w:p>
    <w:p>
      <w:pPr>
        <w:pStyle w:val="9"/>
        <w:keepNext w:val="0"/>
        <w:keepLines w:val="0"/>
        <w:pageBreakBefore w:val="0"/>
        <w:widowControl/>
        <w:kinsoku/>
        <w:wordWrap/>
        <w:autoSpaceDE/>
        <w:autoSpaceDN/>
        <w:bidi w:val="0"/>
        <w:adjustRightInd/>
        <w:snapToGrid/>
        <w:spacing w:line="580" w:lineRule="exact"/>
        <w:rPr>
          <w:rFonts w:hint="eastAsia" w:ascii="仿宋" w:hAnsi="仿宋" w:eastAsia="仿宋" w:cs="仿宋"/>
          <w:sz w:val="32"/>
          <w:szCs w:val="32"/>
          <w:lang w:eastAsia="zh-CN"/>
        </w:rPr>
      </w:pPr>
      <w:r>
        <w:rPr>
          <w:rFonts w:hint="eastAsia" w:ascii="仿宋" w:hAnsi="仿宋" w:eastAsia="仿宋" w:cs="仿宋"/>
          <w:sz w:val="32"/>
          <w:szCs w:val="32"/>
        </w:rPr>
        <w:t>（一）基本支出情况</w:t>
      </w:r>
      <w:r>
        <w:rPr>
          <w:rFonts w:hint="eastAsia" w:ascii="仿宋" w:hAnsi="仿宋" w:eastAsia="仿宋" w:cs="仿宋"/>
          <w:sz w:val="32"/>
          <w:szCs w:val="32"/>
          <w:lang w:eastAsia="zh-CN"/>
        </w:rPr>
        <w:t>：</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eastAsia="仿宋_GB2312"/>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年基本支出</w:t>
      </w:r>
      <w:r>
        <w:rPr>
          <w:rFonts w:hint="eastAsia" w:eastAsia="仿宋_GB2312"/>
          <w:sz w:val="32"/>
          <w:szCs w:val="32"/>
          <w:lang w:val="en-US" w:eastAsia="zh-CN"/>
        </w:rPr>
        <w:t>127.16</w:t>
      </w:r>
      <w:r>
        <w:rPr>
          <w:rFonts w:hint="eastAsia" w:eastAsia="仿宋_GB2312"/>
          <w:sz w:val="32"/>
          <w:szCs w:val="32"/>
        </w:rPr>
        <w:t>万元 ，具体包括：</w:t>
      </w:r>
    </w:p>
    <w:p>
      <w:pPr>
        <w:keepNext w:val="0"/>
        <w:keepLines w:val="0"/>
        <w:pageBreakBefore w:val="0"/>
        <w:widowControl/>
        <w:kinsoku/>
        <w:wordWrap/>
        <w:autoSpaceDE/>
        <w:autoSpaceDN/>
        <w:bidi w:val="0"/>
        <w:adjustRightInd/>
        <w:snapToGrid/>
        <w:spacing w:line="580" w:lineRule="exact"/>
        <w:ind w:left="0" w:firstLine="600" w:firstLineChars="200"/>
        <w:jc w:val="left"/>
        <w:rPr>
          <w:rFonts w:hint="eastAsia" w:ascii="仿宋" w:hAnsi="仿宋" w:eastAsia="仿宋" w:cs="仿宋"/>
          <w:sz w:val="32"/>
          <w:szCs w:val="32"/>
        </w:rPr>
      </w:pPr>
      <w:r>
        <w:rPr>
          <w:rFonts w:hint="eastAsia" w:ascii="仿宋" w:hAnsi="仿宋" w:eastAsia="仿宋" w:cs="仿宋"/>
          <w:w w:val="94"/>
          <w:sz w:val="32"/>
          <w:szCs w:val="32"/>
        </w:rPr>
        <w:t>1、工资福利支出</w:t>
      </w:r>
      <w:r>
        <w:rPr>
          <w:rFonts w:hint="eastAsia" w:ascii="仿宋" w:hAnsi="仿宋" w:eastAsia="仿宋" w:cs="仿宋"/>
          <w:w w:val="94"/>
          <w:sz w:val="32"/>
          <w:szCs w:val="32"/>
          <w:lang w:val="en-US" w:eastAsia="zh-CN"/>
        </w:rPr>
        <w:t>107.63</w:t>
      </w:r>
      <w:r>
        <w:rPr>
          <w:rFonts w:hint="eastAsia" w:ascii="仿宋" w:hAnsi="仿宋" w:eastAsia="仿宋" w:cs="仿宋"/>
          <w:w w:val="94"/>
          <w:sz w:val="32"/>
          <w:szCs w:val="32"/>
        </w:rPr>
        <w:t>万元。主要包括在职人员工资、津贴补贴、政策规定奖金、</w:t>
      </w:r>
      <w:r>
        <w:rPr>
          <w:rFonts w:hint="eastAsia" w:ascii="仿宋" w:hAnsi="仿宋" w:eastAsia="仿宋" w:cs="仿宋"/>
          <w:w w:val="94"/>
          <w:sz w:val="32"/>
          <w:szCs w:val="32"/>
          <w:lang w:eastAsia="zh-CN"/>
        </w:rPr>
        <w:t>伙食补助费</w:t>
      </w:r>
      <w:r>
        <w:rPr>
          <w:rFonts w:hint="eastAsia" w:ascii="仿宋" w:hAnsi="仿宋" w:eastAsia="仿宋" w:cs="仿宋"/>
          <w:w w:val="94"/>
          <w:sz w:val="32"/>
          <w:szCs w:val="32"/>
        </w:rPr>
        <w:t>、其他社会保障缴费等支出。</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ascii="仿宋" w:hAnsi="仿宋" w:eastAsia="仿宋" w:cs="仿宋"/>
          <w:sz w:val="32"/>
          <w:szCs w:val="32"/>
        </w:rPr>
      </w:pPr>
      <w:r>
        <w:rPr>
          <w:rFonts w:hint="eastAsia" w:ascii="仿宋" w:hAnsi="仿宋" w:eastAsia="仿宋" w:cs="仿宋"/>
          <w:sz w:val="32"/>
          <w:szCs w:val="32"/>
        </w:rPr>
        <w:t>2、一般商品和服务支出</w:t>
      </w:r>
      <w:r>
        <w:rPr>
          <w:rFonts w:hint="eastAsia" w:ascii="仿宋" w:hAnsi="仿宋" w:eastAsia="仿宋" w:cs="仿宋"/>
          <w:sz w:val="32"/>
          <w:szCs w:val="32"/>
          <w:lang w:val="en-US" w:eastAsia="zh-CN"/>
        </w:rPr>
        <w:t>14.75</w:t>
      </w:r>
      <w:r>
        <w:rPr>
          <w:rFonts w:hint="eastAsia" w:ascii="仿宋" w:hAnsi="仿宋" w:eastAsia="仿宋" w:cs="仿宋"/>
          <w:sz w:val="32"/>
          <w:szCs w:val="32"/>
        </w:rPr>
        <w:t>万元。包括日常运行正常办公经费、水费、</w:t>
      </w:r>
      <w:r>
        <w:rPr>
          <w:rFonts w:hint="eastAsia" w:ascii="仿宋" w:hAnsi="仿宋" w:eastAsia="仿宋" w:cs="仿宋"/>
          <w:sz w:val="32"/>
          <w:szCs w:val="32"/>
          <w:lang w:eastAsia="zh-CN"/>
        </w:rPr>
        <w:t>电费、</w:t>
      </w:r>
      <w:r>
        <w:rPr>
          <w:rFonts w:hint="eastAsia" w:ascii="仿宋" w:hAnsi="仿宋" w:eastAsia="仿宋" w:cs="仿宋"/>
          <w:sz w:val="32"/>
          <w:szCs w:val="32"/>
        </w:rPr>
        <w:t>邮电费、差旅费、</w:t>
      </w:r>
      <w:r>
        <w:rPr>
          <w:rFonts w:hint="eastAsia" w:ascii="仿宋" w:hAnsi="仿宋" w:eastAsia="仿宋" w:cs="仿宋"/>
          <w:sz w:val="32"/>
          <w:szCs w:val="32"/>
          <w:lang w:eastAsia="zh-CN"/>
        </w:rPr>
        <w:t>专用材料费、工会经费、</w:t>
      </w:r>
      <w:r>
        <w:rPr>
          <w:rFonts w:hint="eastAsia" w:ascii="仿宋" w:hAnsi="仿宋" w:eastAsia="仿宋" w:cs="仿宋"/>
          <w:sz w:val="32"/>
          <w:szCs w:val="32"/>
        </w:rPr>
        <w:t>其他交通费及其他商品服务支出等。“三公”经费方面。公务接待费实际开支</w:t>
      </w:r>
      <w:r>
        <w:rPr>
          <w:rFonts w:hint="eastAsia" w:ascii="仿宋" w:hAnsi="仿宋" w:eastAsia="仿宋" w:cs="仿宋"/>
          <w:sz w:val="32"/>
          <w:szCs w:val="32"/>
          <w:lang w:val="en-US" w:eastAsia="zh-CN"/>
        </w:rPr>
        <w:t>1.59</w:t>
      </w:r>
      <w:r>
        <w:rPr>
          <w:rFonts w:hint="eastAsia" w:ascii="仿宋" w:hAnsi="仿宋" w:eastAsia="仿宋" w:cs="仿宋"/>
          <w:sz w:val="32"/>
          <w:szCs w:val="32"/>
        </w:rPr>
        <w:t>万元，</w:t>
      </w:r>
      <w:r>
        <w:rPr>
          <w:rFonts w:hint="eastAsia" w:ascii="仿宋" w:hAnsi="仿宋" w:eastAsia="仿宋" w:cs="仿宋"/>
          <w:sz w:val="32"/>
          <w:szCs w:val="32"/>
          <w:lang w:val="en-US" w:eastAsia="zh-CN"/>
        </w:rPr>
        <w:t>厉行节约</w:t>
      </w:r>
      <w:r>
        <w:rPr>
          <w:rFonts w:hint="eastAsia" w:ascii="仿宋" w:hAnsi="仿宋" w:eastAsia="仿宋" w:cs="仿宋"/>
          <w:color w:val="000000"/>
          <w:kern w:val="21"/>
          <w:sz w:val="31"/>
          <w:szCs w:val="31"/>
          <w:shd w:val="clear" w:color="auto" w:fill="FFFFFF"/>
        </w:rPr>
        <w:t>取得了良好效果</w:t>
      </w:r>
      <w:r>
        <w:rPr>
          <w:rFonts w:hint="eastAsia" w:ascii="仿宋" w:hAnsi="仿宋" w:eastAsia="仿宋" w:cs="仿宋"/>
          <w:sz w:val="32"/>
          <w:szCs w:val="32"/>
        </w:rPr>
        <w:t>；车辆运行费实际开支</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b w:val="0"/>
          <w:bCs w:val="0"/>
          <w:color w:val="000000"/>
          <w:kern w:val="21"/>
          <w:sz w:val="32"/>
          <w:szCs w:val="32"/>
          <w:shd w:val="clear" w:color="auto" w:fill="FFFFFF"/>
        </w:rPr>
        <w:t>无公务用车运行维护费</w:t>
      </w:r>
      <w:r>
        <w:rPr>
          <w:rFonts w:hint="eastAsia" w:ascii="仿宋" w:hAnsi="仿宋" w:eastAsia="仿宋" w:cs="仿宋"/>
          <w:sz w:val="32"/>
          <w:szCs w:val="32"/>
        </w:rPr>
        <w:t>；无任何出国出境考察开支。会议费、培训费。会议费开支</w:t>
      </w:r>
      <w:r>
        <w:rPr>
          <w:rFonts w:hint="eastAsia" w:ascii="仿宋" w:hAnsi="仿宋" w:eastAsia="仿宋" w:cs="仿宋"/>
          <w:sz w:val="32"/>
          <w:szCs w:val="32"/>
          <w:lang w:val="en-US" w:eastAsia="zh-CN"/>
        </w:rPr>
        <w:t>1.65</w:t>
      </w:r>
      <w:r>
        <w:rPr>
          <w:rFonts w:hint="eastAsia" w:ascii="仿宋" w:hAnsi="仿宋" w:eastAsia="仿宋" w:cs="仿宋"/>
          <w:sz w:val="32"/>
          <w:szCs w:val="32"/>
        </w:rPr>
        <w:t>万元，培训费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kinsoku/>
        <w:wordWrap/>
        <w:autoSpaceDE/>
        <w:autoSpaceDN/>
        <w:bidi w:val="0"/>
        <w:adjustRightInd/>
        <w:snapToGrid/>
        <w:spacing w:line="58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3、对个人和家庭补助支出</w:t>
      </w:r>
      <w:r>
        <w:rPr>
          <w:rFonts w:hint="eastAsia" w:ascii="仿宋" w:hAnsi="仿宋" w:eastAsia="仿宋" w:cs="仿宋"/>
          <w:sz w:val="32"/>
          <w:szCs w:val="32"/>
          <w:lang w:val="en-US" w:eastAsia="zh-CN"/>
        </w:rPr>
        <w:t>4.78</w:t>
      </w:r>
      <w:r>
        <w:rPr>
          <w:rFonts w:hint="eastAsia" w:ascii="仿宋" w:hAnsi="仿宋" w:eastAsia="仿宋" w:cs="仿宋"/>
          <w:sz w:val="32"/>
          <w:szCs w:val="32"/>
        </w:rPr>
        <w:t>万元。主要包括退休人员春节一次性生活补助费等支出。</w:t>
      </w:r>
    </w:p>
    <w:p>
      <w:pPr>
        <w:pStyle w:val="9"/>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（二）项目支出情况</w:t>
      </w:r>
    </w:p>
    <w:p>
      <w:pPr>
        <w:pStyle w:val="9"/>
        <w:keepNext w:val="0"/>
        <w:keepLines w:val="0"/>
        <w:pageBreakBefore w:val="0"/>
        <w:widowControl/>
        <w:kinsoku/>
        <w:wordWrap/>
        <w:autoSpaceDE/>
        <w:autoSpaceDN/>
        <w:bidi w:val="0"/>
        <w:adjustRightInd/>
        <w:snapToGrid/>
        <w:spacing w:line="580" w:lineRule="exact"/>
        <w:ind w:left="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2020年年初预算数为17万元，主要用于招商引资会同有关部门组织筹备各项招商引资活动，协助相关部门归集和发布相关招商信息，参与重大项目的招商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和非公有制经济人士利益诉求，维护其合法权益，参与经济纠纷调解及仲裁。</w:t>
      </w:r>
    </w:p>
    <w:p>
      <w:pPr>
        <w:pStyle w:val="9"/>
        <w:widowControl/>
        <w:numPr>
          <w:ilvl w:val="0"/>
          <w:numId w:val="0"/>
        </w:numPr>
        <w:spacing w:line="600" w:lineRule="exact"/>
        <w:ind w:left="640" w:leftChars="0"/>
        <w:rPr>
          <w:rFonts w:hint="eastAsia" w:ascii="Times New Roman" w:hAnsi="Times New Roman" w:eastAsia="黑体"/>
          <w:sz w:val="32"/>
          <w:szCs w:val="32"/>
          <w:lang w:eastAsia="zh-CN"/>
        </w:rPr>
      </w:pPr>
    </w:p>
    <w:p>
      <w:pPr>
        <w:pStyle w:val="9"/>
        <w:widowControl/>
        <w:numPr>
          <w:ilvl w:val="0"/>
          <w:numId w:val="0"/>
        </w:numPr>
        <w:spacing w:line="600" w:lineRule="exact"/>
        <w:ind w:left="640" w:leftChars="0"/>
        <w:rPr>
          <w:rFonts w:hint="eastAsia" w:ascii="仿宋" w:hAnsi="仿宋" w:eastAsia="仿宋" w:cs="仿宋"/>
          <w:sz w:val="32"/>
          <w:szCs w:val="32"/>
          <w:lang w:eastAsia="zh-CN"/>
        </w:rPr>
      </w:pP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预决算公开：20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年，按照上级的要求，我联在政府网站上进行了预决算公开。</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资产管理：我们进一步加强资产的管理，制定了《机关资产管理使用制度》等制度，明确了具体责任人，完善了固定资产档案，严格报批、销审等手续，做好资产登记工作，单位无任何资产流失现象。</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三公经费控制情况：我联贯彻落实上级有关精神，严格控制“三公经费”支出，取得了良好效果。具体情况如下：20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年“三公”经费1.</w:t>
      </w:r>
      <w:r>
        <w:rPr>
          <w:rFonts w:hint="eastAsia" w:ascii="仿宋" w:hAnsi="仿宋" w:eastAsia="仿宋" w:cs="仿宋"/>
          <w:color w:val="000000"/>
          <w:kern w:val="21"/>
          <w:sz w:val="32"/>
          <w:szCs w:val="32"/>
          <w:shd w:val="clear" w:color="auto" w:fill="FFFFFF"/>
          <w:lang w:val="en-US" w:eastAsia="zh-CN"/>
        </w:rPr>
        <w:t>59</w:t>
      </w:r>
      <w:r>
        <w:rPr>
          <w:rFonts w:hint="eastAsia" w:ascii="仿宋" w:hAnsi="仿宋" w:eastAsia="仿宋" w:cs="仿宋"/>
          <w:color w:val="000000"/>
          <w:kern w:val="21"/>
          <w:sz w:val="32"/>
          <w:szCs w:val="32"/>
          <w:shd w:val="clear" w:color="auto" w:fill="FFFFFF"/>
        </w:rPr>
        <w:t>万元，其中公务接待费为1万元，无公务用车运行维护费和因公出国（境）费用。</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项目绩效总目标完成情况：20</w:t>
      </w:r>
      <w:r>
        <w:rPr>
          <w:rFonts w:hint="eastAsia" w:ascii="仿宋" w:hAnsi="仿宋" w:eastAsia="仿宋" w:cs="仿宋"/>
          <w:color w:val="000000"/>
          <w:kern w:val="21"/>
          <w:sz w:val="32"/>
          <w:szCs w:val="32"/>
          <w:shd w:val="clear" w:color="auto" w:fill="FFFFFF"/>
          <w:lang w:val="en-US" w:eastAsia="zh-CN"/>
        </w:rPr>
        <w:t>20</w:t>
      </w:r>
      <w:r>
        <w:rPr>
          <w:rFonts w:hint="eastAsia" w:ascii="仿宋" w:hAnsi="仿宋" w:eastAsia="仿宋" w:cs="仿宋"/>
          <w:color w:val="000000"/>
          <w:kern w:val="21"/>
          <w:sz w:val="32"/>
          <w:szCs w:val="32"/>
          <w:shd w:val="clear" w:color="auto" w:fill="FFFFFF"/>
        </w:rPr>
        <w:t>年，我联民主党派工商联事务和招商引资等各项业务工作任务圆满完成。</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鹤城区工商联2020年度无政府性基金收支。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鹤城区工商联2020年度无国有资本经营收支。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 w:hAnsi="仿宋" w:eastAsia="仿宋" w:cs="仿宋"/>
          <w:i w:val="0"/>
          <w:iCs w:val="0"/>
          <w:sz w:val="32"/>
          <w:szCs w:val="32"/>
        </w:rPr>
      </w:pPr>
      <w:r>
        <w:rPr>
          <w:rFonts w:hint="eastAsia" w:ascii="仿宋" w:hAnsi="仿宋" w:eastAsia="仿宋" w:cs="仿宋"/>
          <w:i w:val="0"/>
          <w:iCs w:val="0"/>
          <w:color w:val="auto"/>
          <w:kern w:val="2"/>
          <w:sz w:val="32"/>
          <w:szCs w:val="32"/>
          <w:lang w:val="en-US" w:eastAsia="zh-CN" w:bidi="ar-SA"/>
        </w:rPr>
        <w:t xml:space="preserve">鹤城区工商联2020年度无社会保险基金收支。 </w:t>
      </w:r>
    </w:p>
    <w:p>
      <w:pPr>
        <w:widowControl/>
        <w:spacing w:line="600" w:lineRule="exact"/>
        <w:ind w:firstLine="645"/>
        <w:jc w:val="left"/>
        <w:rPr>
          <w:rFonts w:eastAsia="黑体"/>
          <w:i w:val="0"/>
          <w:iCs w:val="0"/>
          <w:sz w:val="32"/>
          <w:szCs w:val="32"/>
        </w:rPr>
      </w:pPr>
      <w:r>
        <w:rPr>
          <w:rFonts w:eastAsia="黑体"/>
          <w:i w:val="0"/>
          <w:iCs w:val="0"/>
          <w:sz w:val="32"/>
          <w:szCs w:val="32"/>
        </w:rPr>
        <w:t>六、部门整体支出绩效情况</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对照鹤财绩〔20</w:t>
      </w:r>
      <w:r>
        <w:rPr>
          <w:rFonts w:hint="eastAsia" w:eastAsia="仿宋_GB2312" w:cs="Times New Roman"/>
          <w:color w:val="auto"/>
          <w:kern w:val="2"/>
          <w:sz w:val="32"/>
          <w:szCs w:val="32"/>
          <w:lang w:val="en-US" w:eastAsia="zh-CN" w:bidi="ar-SA"/>
        </w:rPr>
        <w:t>21</w:t>
      </w:r>
      <w:r>
        <w:rPr>
          <w:rFonts w:hint="eastAsia" w:ascii="Times New Roman" w:hAnsi="Times New Roman" w:eastAsia="仿宋_GB2312" w:cs="Times New Roman"/>
          <w:color w:val="auto"/>
          <w:kern w:val="2"/>
          <w:sz w:val="32"/>
          <w:szCs w:val="32"/>
          <w:lang w:val="en-US" w:eastAsia="zh-CN" w:bidi="ar-SA"/>
        </w:rPr>
        <w:t>〕3</w:t>
      </w:r>
      <w:r>
        <w:rPr>
          <w:rFonts w:hint="eastAsia" w:eastAsia="仿宋_GB2312" w:cs="Times New Roman"/>
          <w:color w:val="auto"/>
          <w:kern w:val="2"/>
          <w:sz w:val="32"/>
          <w:szCs w:val="32"/>
          <w:lang w:val="en-US" w:eastAsia="zh-CN" w:bidi="ar-SA"/>
        </w:rPr>
        <w:t>0</w:t>
      </w:r>
      <w:r>
        <w:rPr>
          <w:rFonts w:hint="eastAsia" w:ascii="Times New Roman" w:hAnsi="Times New Roman" w:eastAsia="仿宋_GB2312" w:cs="Times New Roman"/>
          <w:color w:val="auto"/>
          <w:kern w:val="2"/>
          <w:sz w:val="32"/>
          <w:szCs w:val="32"/>
          <w:lang w:val="en-US" w:eastAsia="zh-CN" w:bidi="ar-SA"/>
        </w:rPr>
        <w:t>号文件规定的考核指标，我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从经济性、效率性、有效性和可持续性等对20</w:t>
      </w:r>
      <w:r>
        <w:rPr>
          <w:rFonts w:hint="eastAsia" w:eastAsia="仿宋_GB2312" w:cs="Times New Roman"/>
          <w:color w:val="auto"/>
          <w:kern w:val="2"/>
          <w:sz w:val="32"/>
          <w:szCs w:val="32"/>
          <w:lang w:val="en-US" w:eastAsia="zh-CN" w:bidi="ar-SA"/>
        </w:rPr>
        <w:t>20</w:t>
      </w:r>
      <w:r>
        <w:rPr>
          <w:rFonts w:hint="eastAsia" w:ascii="Times New Roman" w:hAnsi="Times New Roman" w:eastAsia="仿宋_GB2312" w:cs="Times New Roman"/>
          <w:color w:val="auto"/>
          <w:kern w:val="2"/>
          <w:sz w:val="32"/>
          <w:szCs w:val="32"/>
          <w:lang w:val="en-US" w:eastAsia="zh-CN" w:bidi="ar-SA"/>
        </w:rPr>
        <w:t>年部门整体支出绩效开展了评价，自评得分</w:t>
      </w:r>
      <w:r>
        <w:rPr>
          <w:rFonts w:hint="eastAsia" w:eastAsia="仿宋_GB2312" w:cs="Times New Roman"/>
          <w:color w:val="auto"/>
          <w:kern w:val="2"/>
          <w:sz w:val="32"/>
          <w:szCs w:val="32"/>
          <w:lang w:val="en-US" w:eastAsia="zh-CN" w:bidi="ar-SA"/>
        </w:rPr>
        <w:t>87</w:t>
      </w:r>
      <w:r>
        <w:rPr>
          <w:rFonts w:hint="eastAsia" w:ascii="Times New Roman" w:hAnsi="Times New Roman" w:eastAsia="仿宋_GB2312" w:cs="Times New Roman"/>
          <w:color w:val="auto"/>
          <w:kern w:val="2"/>
          <w:sz w:val="32"/>
          <w:szCs w:val="32"/>
          <w:lang w:val="en-US" w:eastAsia="zh-CN" w:bidi="ar-SA"/>
        </w:rPr>
        <w:t>分，具体情况如下：</w:t>
      </w:r>
    </w:p>
    <w:p>
      <w:pPr>
        <w:widowControl/>
        <w:numPr>
          <w:ilvl w:val="0"/>
          <w:numId w:val="1"/>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经济性分析</w:t>
      </w:r>
    </w:p>
    <w:p>
      <w:pPr>
        <w:widowControl/>
        <w:spacing w:line="600" w:lineRule="exact"/>
        <w:ind w:firstLine="645"/>
        <w:jc w:val="left"/>
        <w:rPr>
          <w:rFonts w:hint="eastAsia" w:ascii="仿宋" w:hAnsi="仿宋" w:eastAsia="仿宋"/>
          <w:spacing w:val="-2"/>
          <w:sz w:val="32"/>
          <w:szCs w:val="32"/>
          <w:lang w:val="en-US" w:eastAsia="zh-CN"/>
        </w:rPr>
      </w:pPr>
      <w:r>
        <w:rPr>
          <w:rFonts w:hint="eastAsia" w:ascii="Times New Roman" w:hAnsi="Times New Roman" w:eastAsia="仿宋_GB2312" w:cs="Times New Roman"/>
          <w:color w:val="auto"/>
          <w:kern w:val="2"/>
          <w:sz w:val="32"/>
          <w:szCs w:val="32"/>
          <w:lang w:val="en-US" w:eastAsia="zh-CN" w:bidi="ar-SA"/>
        </w:rPr>
        <w:t xml:space="preserve"> </w:t>
      </w:r>
      <w:r>
        <w:rPr>
          <w:rFonts w:hint="eastAsia" w:eastAsia="仿宋_GB2312" w:cs="Times New Roman"/>
          <w:color w:val="auto"/>
          <w:kern w:val="2"/>
          <w:sz w:val="32"/>
          <w:szCs w:val="32"/>
          <w:lang w:val="en-US" w:eastAsia="zh-CN" w:bidi="ar-SA"/>
        </w:rPr>
        <w:t>从预算配置情况来看：</w:t>
      </w:r>
      <w:r>
        <w:rPr>
          <w:rFonts w:hint="eastAsia" w:ascii="Times New Roman" w:hAnsi="Times New Roman" w:eastAsia="仿宋_GB2312" w:cs="Times New Roman"/>
          <w:color w:val="auto"/>
          <w:kern w:val="2"/>
          <w:sz w:val="32"/>
          <w:szCs w:val="32"/>
          <w:lang w:val="en-US" w:eastAsia="zh-CN" w:bidi="ar-SA"/>
        </w:rPr>
        <w:t>20</w:t>
      </w:r>
      <w:r>
        <w:rPr>
          <w:rFonts w:hint="eastAsia" w:eastAsia="仿宋_GB2312" w:cs="Times New Roman"/>
          <w:color w:val="auto"/>
          <w:kern w:val="2"/>
          <w:sz w:val="32"/>
          <w:szCs w:val="32"/>
          <w:lang w:val="en-US" w:eastAsia="zh-CN" w:bidi="ar-SA"/>
        </w:rPr>
        <w:t>20</w:t>
      </w:r>
      <w:r>
        <w:rPr>
          <w:rFonts w:hint="eastAsia" w:ascii="Times New Roman" w:hAnsi="Times New Roman" w:eastAsia="仿宋_GB2312" w:cs="Times New Roman"/>
          <w:color w:val="auto"/>
          <w:kern w:val="2"/>
          <w:sz w:val="32"/>
          <w:szCs w:val="32"/>
          <w:lang w:val="en-US" w:eastAsia="zh-CN" w:bidi="ar-SA"/>
        </w:rPr>
        <w:t>年年初预算</w:t>
      </w:r>
      <w:r>
        <w:rPr>
          <w:rFonts w:hint="eastAsia" w:eastAsia="仿宋_GB2312" w:cs="Times New Roman"/>
          <w:color w:val="auto"/>
          <w:kern w:val="2"/>
          <w:sz w:val="32"/>
          <w:szCs w:val="32"/>
          <w:lang w:val="en-US" w:eastAsia="zh-CN" w:bidi="ar-SA"/>
        </w:rPr>
        <w:t>157.30</w:t>
      </w:r>
      <w:r>
        <w:rPr>
          <w:rFonts w:hint="eastAsia" w:ascii="Times New Roman" w:hAnsi="Times New Roman" w:eastAsia="仿宋_GB2312" w:cs="Times New Roman"/>
          <w:color w:val="auto"/>
          <w:kern w:val="2"/>
          <w:sz w:val="32"/>
          <w:szCs w:val="32"/>
          <w:lang w:val="en-US" w:eastAsia="zh-CN" w:bidi="ar-SA"/>
        </w:rPr>
        <w:t>万元，</w:t>
      </w:r>
      <w:r>
        <w:rPr>
          <w:rFonts w:hint="eastAsia" w:eastAsia="仿宋_GB2312" w:cs="Times New Roman"/>
          <w:color w:val="auto"/>
          <w:kern w:val="2"/>
          <w:sz w:val="32"/>
          <w:szCs w:val="32"/>
          <w:lang w:val="en-US" w:eastAsia="zh-CN" w:bidi="ar-SA"/>
        </w:rPr>
        <w:t>预算资金覆盖了民主党派工商联事务工作各方面的需求，能保证单位正常运转需要，通过科学分配、统筹协调，基本保证了人员经费支出和单位全年工商联工作任务的完成</w:t>
      </w:r>
      <w:r>
        <w:rPr>
          <w:rFonts w:hint="eastAsia" w:ascii="Times New Roman" w:hAnsi="Times New Roman" w:eastAsia="仿宋_GB2312" w:cs="Times New Roman"/>
          <w:color w:val="auto"/>
          <w:kern w:val="2"/>
          <w:sz w:val="32"/>
          <w:szCs w:val="32"/>
          <w:lang w:val="en-US" w:eastAsia="zh-CN" w:bidi="ar-SA"/>
        </w:rPr>
        <w:t>。</w:t>
      </w:r>
      <w:r>
        <w:rPr>
          <w:rFonts w:hint="eastAsia" w:ascii="仿宋" w:hAnsi="仿宋" w:eastAsia="仿宋"/>
          <w:spacing w:val="-2"/>
          <w:sz w:val="32"/>
          <w:szCs w:val="32"/>
        </w:rPr>
        <w:t xml:space="preserve"> </w:t>
      </w:r>
    </w:p>
    <w:p>
      <w:pPr>
        <w:widowControl/>
        <w:numPr>
          <w:ilvl w:val="0"/>
          <w:numId w:val="1"/>
        </w:numPr>
        <w:shd w:val="clear" w:color="auto" w:fill="FFFFFF"/>
        <w:tabs>
          <w:tab w:val="left" w:pos="1281"/>
        </w:tabs>
        <w:spacing w:line="600" w:lineRule="atLeast"/>
        <w:ind w:left="0" w:leftChars="0" w:firstLine="640" w:firstLineChars="0"/>
        <w:rPr>
          <w:rFonts w:ascii="仿宋" w:hAnsi="仿宋" w:eastAsia="仿宋"/>
          <w:b/>
          <w:bCs/>
          <w:spacing w:val="-2"/>
          <w:sz w:val="32"/>
          <w:szCs w:val="32"/>
        </w:rPr>
      </w:pPr>
      <w:r>
        <w:rPr>
          <w:rFonts w:ascii="仿宋" w:hAnsi="仿宋" w:eastAsia="仿宋"/>
          <w:b/>
          <w:bCs/>
          <w:spacing w:val="-2"/>
          <w:sz w:val="32"/>
          <w:szCs w:val="32"/>
        </w:rPr>
        <w:t>效率性分析</w:t>
      </w:r>
    </w:p>
    <w:p>
      <w:pPr>
        <w:widowControl/>
        <w:numPr>
          <w:ilvl w:val="0"/>
          <w:numId w:val="0"/>
        </w:numPr>
        <w:shd w:val="clear" w:color="auto" w:fill="FFFFFF"/>
        <w:tabs>
          <w:tab w:val="left" w:pos="1281"/>
        </w:tabs>
        <w:spacing w:line="600" w:lineRule="atLeast"/>
        <w:ind w:firstLine="640" w:firstLineChars="200"/>
        <w:jc w:val="both"/>
        <w:rPr>
          <w:rFonts w:ascii="仿宋" w:hAnsi="仿宋" w:eastAsia="仿宋"/>
          <w:b/>
          <w:bCs/>
          <w:spacing w:val="-2"/>
          <w:sz w:val="32"/>
          <w:szCs w:val="32"/>
        </w:rPr>
      </w:pPr>
      <w:r>
        <w:rPr>
          <w:rFonts w:hint="eastAsia" w:ascii="仿宋" w:hAnsi="仿宋" w:eastAsia="仿宋" w:cs="仿宋"/>
          <w:color w:val="0C0C0C"/>
          <w:sz w:val="32"/>
          <w:szCs w:val="32"/>
        </w:rPr>
        <w:t>20</w:t>
      </w:r>
      <w:r>
        <w:rPr>
          <w:rFonts w:hint="eastAsia" w:ascii="仿宋" w:hAnsi="仿宋" w:eastAsia="仿宋" w:cs="仿宋"/>
          <w:color w:val="0C0C0C"/>
          <w:sz w:val="32"/>
          <w:szCs w:val="32"/>
          <w:lang w:val="en-US" w:eastAsia="zh-CN"/>
        </w:rPr>
        <w:t>20</w:t>
      </w:r>
      <w:r>
        <w:rPr>
          <w:rFonts w:hint="eastAsia" w:ascii="仿宋" w:hAnsi="仿宋" w:eastAsia="仿宋" w:cs="仿宋"/>
          <w:color w:val="0C0C0C"/>
          <w:sz w:val="32"/>
          <w:szCs w:val="32"/>
        </w:rPr>
        <w:t>年，鹤城区工商联（总商会）在习近平新时代中国特色社会主义思想指引下,在区委、区政府的正确领导下，在市工商联、区政协及区委统战部的具体指导下，</w:t>
      </w:r>
      <w:r>
        <w:rPr>
          <w:rFonts w:hint="eastAsia" w:ascii="仿宋" w:hAnsi="仿宋" w:eastAsia="仿宋" w:cs="仿宋"/>
          <w:color w:val="0C0C0C"/>
          <w:sz w:val="32"/>
          <w:szCs w:val="32"/>
          <w:lang w:val="en-US" w:eastAsia="zh-CN"/>
        </w:rPr>
        <w:t>我联</w:t>
      </w:r>
      <w:r>
        <w:rPr>
          <w:rFonts w:hint="eastAsia" w:ascii="仿宋" w:hAnsi="仿宋" w:eastAsia="仿宋" w:cs="仿宋"/>
          <w:color w:val="0C0C0C"/>
          <w:sz w:val="32"/>
          <w:szCs w:val="32"/>
        </w:rPr>
        <w:t>紧紧围绕中心服务大局,紧扣</w:t>
      </w:r>
      <w:r>
        <w:rPr>
          <w:rFonts w:hint="eastAsia" w:ascii="仿宋" w:hAnsi="仿宋" w:eastAsia="仿宋" w:cs="仿宋"/>
          <w:color w:val="0C0C0C"/>
          <w:sz w:val="32"/>
          <w:szCs w:val="32"/>
          <w:lang w:eastAsia="zh-CN"/>
        </w:rPr>
        <w:t>“</w:t>
      </w:r>
      <w:r>
        <w:rPr>
          <w:rFonts w:hint="eastAsia" w:ascii="仿宋" w:hAnsi="仿宋" w:eastAsia="仿宋" w:cs="仿宋"/>
          <w:color w:val="0C0C0C"/>
          <w:sz w:val="32"/>
          <w:szCs w:val="32"/>
        </w:rPr>
        <w:t>两个健康”主题,坚持突出政治引领、竭尽全力做好服务、助力改善营商环境、群策群力助推地方发展、构建亲清健康政商关系，为决胜全面建成小康社会</w:t>
      </w:r>
      <w:r>
        <w:rPr>
          <w:rFonts w:hint="eastAsia" w:ascii="仿宋" w:hAnsi="仿宋" w:eastAsia="仿宋" w:cs="仿宋"/>
          <w:color w:val="0C0C0C"/>
          <w:sz w:val="32"/>
          <w:szCs w:val="32"/>
          <w:lang w:eastAsia="zh-CN"/>
        </w:rPr>
        <w:t>、建设“西南明珠”</w:t>
      </w:r>
      <w:r>
        <w:rPr>
          <w:rFonts w:hint="eastAsia" w:ascii="仿宋" w:hAnsi="仿宋" w:eastAsia="仿宋" w:cs="仿宋"/>
          <w:color w:val="0C0C0C"/>
          <w:sz w:val="32"/>
          <w:szCs w:val="32"/>
        </w:rPr>
        <w:t>战略目标完成自己的本职工作，</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321" w:firstLineChars="100"/>
        <w:jc w:val="left"/>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（一）</w:t>
      </w:r>
      <w:r>
        <w:rPr>
          <w:rFonts w:hint="eastAsia" w:ascii="仿宋_GB2312" w:hAnsi="仿宋" w:eastAsia="仿宋_GB2312"/>
          <w:b/>
          <w:sz w:val="32"/>
          <w:szCs w:val="32"/>
        </w:rPr>
        <w:t>开展</w:t>
      </w:r>
      <w:r>
        <w:rPr>
          <w:rFonts w:hint="eastAsia" w:ascii="仿宋_GB2312" w:hAnsi="仿宋" w:eastAsia="仿宋_GB2312"/>
          <w:b/>
          <w:sz w:val="32"/>
          <w:szCs w:val="32"/>
          <w:lang w:eastAsia="zh-CN"/>
        </w:rPr>
        <w:t>思想</w:t>
      </w:r>
      <w:r>
        <w:rPr>
          <w:rFonts w:hint="eastAsia" w:ascii="仿宋_GB2312" w:hAnsi="仿宋" w:eastAsia="仿宋_GB2312"/>
          <w:b/>
          <w:sz w:val="32"/>
          <w:szCs w:val="32"/>
        </w:rPr>
        <w:t>教育，强化政治引领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3" w:firstLineChars="200"/>
        <w:jc w:val="left"/>
        <w:textAlignment w:val="auto"/>
        <w:rPr>
          <w:rFonts w:hint="eastAsia" w:ascii="仿宋_GB2312" w:hAnsi="仿宋" w:eastAsia="仿宋_GB2312"/>
          <w:b/>
          <w:sz w:val="32"/>
          <w:szCs w:val="32"/>
        </w:rPr>
      </w:pPr>
      <w:r>
        <w:rPr>
          <w:rFonts w:hint="eastAsia" w:ascii="楷体" w:hAnsi="楷体" w:eastAsia="楷体" w:cs="楷体"/>
          <w:b/>
          <w:sz w:val="32"/>
          <w:szCs w:val="32"/>
          <w:lang w:val="en-US" w:eastAsia="zh-CN"/>
        </w:rPr>
        <w:t>1、</w:t>
      </w:r>
      <w:r>
        <w:rPr>
          <w:rFonts w:hint="eastAsia" w:ascii="楷体" w:hAnsi="楷体" w:eastAsia="楷体" w:cs="楷体"/>
          <w:b/>
          <w:sz w:val="32"/>
          <w:szCs w:val="32"/>
          <w:lang w:eastAsia="zh-CN"/>
        </w:rPr>
        <w:t>思想</w:t>
      </w:r>
      <w:r>
        <w:rPr>
          <w:rFonts w:hint="eastAsia" w:ascii="楷体" w:hAnsi="楷体" w:eastAsia="楷体" w:cs="楷体"/>
          <w:b/>
          <w:sz w:val="32"/>
          <w:szCs w:val="32"/>
        </w:rPr>
        <w:t>教育入脑入心。</w:t>
      </w:r>
      <w:r>
        <w:rPr>
          <w:rFonts w:hint="eastAsia" w:ascii="仿宋_GB2312" w:hAnsi="仿宋" w:eastAsia="仿宋_GB2312"/>
          <w:sz w:val="32"/>
          <w:szCs w:val="32"/>
        </w:rPr>
        <w:t>深</w:t>
      </w:r>
      <w:r>
        <w:rPr>
          <w:rFonts w:hint="eastAsia" w:ascii="仿宋_GB2312" w:hAnsi="仿宋" w:eastAsia="仿宋_GB2312"/>
          <w:sz w:val="32"/>
          <w:szCs w:val="32"/>
          <w:lang w:eastAsia="zh-CN"/>
        </w:rPr>
        <w:t>化</w:t>
      </w:r>
      <w:r>
        <w:rPr>
          <w:rFonts w:hint="eastAsia" w:ascii="仿宋_GB2312" w:hAnsi="仿宋" w:eastAsia="仿宋_GB2312"/>
          <w:sz w:val="32"/>
          <w:szCs w:val="32"/>
        </w:rPr>
        <w:t>“不忘初心、牢记使命”主题教育</w:t>
      </w:r>
      <w:r>
        <w:rPr>
          <w:rFonts w:hint="eastAsia" w:ascii="仿宋_GB2312" w:hAnsi="仿宋" w:eastAsia="仿宋_GB2312"/>
          <w:sz w:val="32"/>
          <w:szCs w:val="32"/>
          <w:lang w:eastAsia="zh-CN"/>
        </w:rPr>
        <w:t>成果</w:t>
      </w:r>
      <w:r>
        <w:rPr>
          <w:rFonts w:hint="eastAsia" w:ascii="仿宋_GB2312" w:hAnsi="仿宋" w:eastAsia="仿宋_GB2312"/>
          <w:sz w:val="32"/>
          <w:szCs w:val="32"/>
        </w:rPr>
        <w:t xml:space="preserve">， </w:t>
      </w:r>
      <w:r>
        <w:rPr>
          <w:rFonts w:hint="eastAsia" w:ascii="仿宋_GB2312" w:eastAsia="仿宋_GB2312"/>
          <w:sz w:val="32"/>
          <w:szCs w:val="32"/>
          <w:lang w:eastAsia="zh-CN"/>
        </w:rPr>
        <w:t>继续开展</w:t>
      </w:r>
      <w:r>
        <w:rPr>
          <w:rFonts w:hint="eastAsia" w:ascii="仿宋_GB2312" w:eastAsia="仿宋_GB2312"/>
          <w:sz w:val="32"/>
          <w:szCs w:val="32"/>
        </w:rPr>
        <w:t>“</w:t>
      </w:r>
      <w:r>
        <w:rPr>
          <w:rFonts w:hint="eastAsia" w:ascii="仿宋_GB2312" w:eastAsia="仿宋_GB2312"/>
          <w:sz w:val="32"/>
          <w:szCs w:val="32"/>
          <w:lang w:eastAsia="zh-CN"/>
        </w:rPr>
        <w:t>寻初心、守初心、践初心</w:t>
      </w:r>
      <w:r>
        <w:rPr>
          <w:rFonts w:hint="eastAsia" w:ascii="仿宋_GB2312" w:eastAsia="仿宋_GB2312"/>
          <w:sz w:val="32"/>
          <w:szCs w:val="32"/>
        </w:rPr>
        <w:t>”</w:t>
      </w:r>
      <w:r>
        <w:rPr>
          <w:rFonts w:hint="eastAsia" w:ascii="仿宋_GB2312" w:eastAsia="仿宋_GB2312"/>
          <w:sz w:val="32"/>
          <w:szCs w:val="32"/>
          <w:lang w:eastAsia="zh-CN"/>
        </w:rPr>
        <w:t>专题教育，</w:t>
      </w:r>
      <w:r>
        <w:rPr>
          <w:rFonts w:hint="eastAsia" w:ascii="仿宋_GB2312" w:eastAsia="仿宋_GB2312"/>
          <w:sz w:val="32"/>
          <w:szCs w:val="32"/>
        </w:rPr>
        <w:t>坚持边学边改、边查边改，立行立改、即知即改，检视的问题</w:t>
      </w:r>
      <w:r>
        <w:rPr>
          <w:rFonts w:hint="eastAsia" w:ascii="仿宋_GB2312" w:hAnsi="仿宋" w:eastAsia="仿宋_GB2312" w:cs="仿宋"/>
          <w:color w:val="0D0D0D"/>
          <w:sz w:val="32"/>
          <w:szCs w:val="32"/>
        </w:rPr>
        <w:t>全部整改落实到位。</w:t>
      </w:r>
      <w:r>
        <w:rPr>
          <w:rFonts w:hint="eastAsia" w:ascii="仿宋_GB2312" w:eastAsia="仿宋_GB2312"/>
          <w:sz w:val="32"/>
          <w:szCs w:val="32"/>
        </w:rPr>
        <w:t>我联</w:t>
      </w:r>
      <w:r>
        <w:rPr>
          <w:rFonts w:hint="eastAsia" w:ascii="仿宋_GB2312" w:hAnsi="仿宋" w:eastAsia="仿宋_GB2312"/>
          <w:sz w:val="32"/>
          <w:szCs w:val="32"/>
        </w:rPr>
        <w:t>党组班子集中研讨学20余次、书记讲党课4次，下发党建书籍800余本，组织机关党员</w:t>
      </w:r>
      <w:r>
        <w:rPr>
          <w:rFonts w:hint="eastAsia" w:ascii="仿宋_GB2312" w:hAnsi="仿宋" w:eastAsia="仿宋_GB2312"/>
          <w:sz w:val="32"/>
          <w:szCs w:val="32"/>
          <w:lang w:eastAsia="zh-CN"/>
        </w:rPr>
        <w:t>开展“光影铸魂”主题党日活动，观看红色主题教育影片，并要求每位党员专心观影心得。</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3" w:firstLineChars="200"/>
        <w:jc w:val="left"/>
        <w:textAlignment w:val="auto"/>
        <w:rPr>
          <w:rFonts w:hint="eastAsia" w:ascii="仿宋_GB2312" w:hAnsi="仿宋" w:eastAsia="仿宋_GB2312"/>
          <w:b/>
          <w:sz w:val="32"/>
          <w:szCs w:val="32"/>
        </w:rPr>
      </w:pPr>
      <w:r>
        <w:rPr>
          <w:rFonts w:hint="eastAsia" w:ascii="楷体" w:hAnsi="楷体" w:eastAsia="楷体" w:cs="楷体"/>
          <w:b/>
          <w:sz w:val="32"/>
          <w:szCs w:val="32"/>
          <w:lang w:val="en-US" w:eastAsia="zh-CN"/>
        </w:rPr>
        <w:t>2、</w:t>
      </w:r>
      <w:r>
        <w:rPr>
          <w:rFonts w:hint="eastAsia" w:ascii="楷体" w:hAnsi="楷体" w:eastAsia="楷体" w:cs="楷体"/>
          <w:b/>
          <w:sz w:val="32"/>
          <w:szCs w:val="32"/>
        </w:rPr>
        <w:t>理论学习走深走实。</w:t>
      </w:r>
      <w:r>
        <w:rPr>
          <w:rFonts w:hint="eastAsia" w:ascii="仿宋_GB2312" w:hAnsi="仿宋" w:eastAsia="仿宋_GB2312"/>
          <w:sz w:val="32"/>
          <w:szCs w:val="32"/>
        </w:rPr>
        <w:t>积极组织民营企业家与机关干部共同学习</w:t>
      </w:r>
      <w:r>
        <w:rPr>
          <w:rFonts w:hint="eastAsia" w:ascii="仿宋_GB2312" w:hAnsi="仿宋" w:eastAsia="仿宋_GB2312" w:cs="仿宋"/>
          <w:color w:val="0D0D0D"/>
          <w:sz w:val="32"/>
          <w:szCs w:val="32"/>
        </w:rPr>
        <w:t>《习近平新时中国特色社会主义思想学习纲要》、</w:t>
      </w:r>
      <w:r>
        <w:rPr>
          <w:rFonts w:hint="eastAsia" w:ascii="仿宋_GB2312" w:hAnsi="宋体" w:eastAsia="仿宋_GB2312" w:cs="宋体"/>
          <w:sz w:val="32"/>
          <w:szCs w:val="32"/>
        </w:rPr>
        <w:t>习近平总书记对湖南工作提出的一系列重要指示要求</w:t>
      </w:r>
      <w:r>
        <w:rPr>
          <w:rFonts w:hint="eastAsia" w:ascii="仿宋_GB2312" w:hAnsi="仿宋" w:eastAsia="仿宋_GB2312"/>
          <w:sz w:val="32"/>
          <w:szCs w:val="32"/>
        </w:rPr>
        <w:t>、习近平总书记在民营企业座谈会重要讲话精神</w:t>
      </w:r>
      <w:r>
        <w:rPr>
          <w:rFonts w:hint="eastAsia" w:ascii="仿宋_GB2312" w:hAnsi="仿宋" w:eastAsia="仿宋_GB2312" w:cs="仿宋"/>
          <w:color w:val="0D0D0D"/>
          <w:sz w:val="32"/>
          <w:szCs w:val="32"/>
        </w:rPr>
        <w:t>等，</w:t>
      </w:r>
      <w:r>
        <w:rPr>
          <w:rFonts w:hint="eastAsia" w:ascii="仿宋_GB2312" w:eastAsia="仿宋_GB2312"/>
          <w:sz w:val="32"/>
          <w:szCs w:val="32"/>
        </w:rPr>
        <w:t>切实增强“四个意识”、坚定“四个自信”、做到“两个维护”。</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580" w:lineRule="exact"/>
        <w:ind w:firstLine="643" w:firstLineChars="200"/>
        <w:jc w:val="left"/>
        <w:textAlignment w:val="auto"/>
        <w:rPr>
          <w:rFonts w:hint="eastAsia" w:ascii="仿宋_GB2312" w:hAnsi="仿宋" w:eastAsia="仿宋_GB2312"/>
          <w:b/>
          <w:sz w:val="32"/>
          <w:szCs w:val="32"/>
          <w:lang w:val="en-US" w:eastAsia="zh-CN"/>
        </w:rPr>
      </w:pPr>
      <w:r>
        <w:rPr>
          <w:rFonts w:hint="eastAsia" w:ascii="仿宋_GB2312" w:hAnsi="仿宋" w:eastAsia="仿宋_GB2312"/>
          <w:b/>
          <w:sz w:val="32"/>
          <w:szCs w:val="32"/>
          <w:lang w:val="en-US" w:eastAsia="zh-CN"/>
        </w:rPr>
        <w:t>(二）加强党建工作，强化党的领导</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80" w:lineRule="exact"/>
        <w:ind w:firstLine="643" w:firstLineChars="200"/>
        <w:textAlignment w:val="auto"/>
        <w:rPr>
          <w:rFonts w:hint="eastAsia" w:ascii="仿宋" w:hAnsi="仿宋" w:eastAsia="仿宋" w:cs="仿宋"/>
          <w:color w:val="0C0C0C"/>
          <w:sz w:val="32"/>
          <w:szCs w:val="32"/>
          <w:lang w:val="en-US" w:eastAsia="zh-CN"/>
        </w:rPr>
      </w:pPr>
      <w:r>
        <w:rPr>
          <w:rFonts w:hint="eastAsia" w:ascii="楷体" w:hAnsi="楷体" w:eastAsia="楷体" w:cs="楷体"/>
          <w:b/>
          <w:bCs/>
          <w:color w:val="0C0C0C"/>
          <w:sz w:val="32"/>
          <w:szCs w:val="32"/>
          <w:lang w:val="en-US" w:eastAsia="zh-CN"/>
        </w:rPr>
        <w:t>1、助推支部“五化”建设</w:t>
      </w:r>
      <w:r>
        <w:rPr>
          <w:rFonts w:hint="eastAsia" w:ascii="仿宋" w:hAnsi="仿宋" w:eastAsia="仿宋" w:cs="仿宋"/>
          <w:color w:val="0C0C0C"/>
          <w:sz w:val="32"/>
          <w:szCs w:val="32"/>
          <w:lang w:val="en-US" w:eastAsia="zh-CN"/>
        </w:rPr>
        <w:t>（支部设置标准化，组织生活正常化，管理服务精细化，工作制度体系化，阵地建设规范化）。在支部“五化”建设中，各支部认真学习“五化”建设的标准和要求，能积极参加支部组织的三会一课和每月一次的主题党日活动；同时我联积极组织非公企业党支部书记、党务专干参加全区两新党组织党建业务培训班，达到了增强基层组织书记及党建专干的政治意识、组织意识、责任意识、提高服务能力和履职水平、有效推进支部“五化”建设，促进基层党组织堡垒作用发挥，提升了区工商联党建工作水平具有重要意义。</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Chars="0" w:firstLine="643" w:firstLineChars="200"/>
        <w:jc w:val="left"/>
        <w:textAlignment w:val="auto"/>
        <w:rPr>
          <w:rFonts w:hint="eastAsia" w:ascii="仿宋_GB2312" w:hAnsi="仿宋" w:eastAsia="仿宋_GB2312"/>
          <w:sz w:val="32"/>
          <w:szCs w:val="32"/>
        </w:rPr>
      </w:pPr>
      <w:r>
        <w:rPr>
          <w:rFonts w:hint="eastAsia" w:ascii="楷体" w:hAnsi="楷体" w:eastAsia="楷体" w:cs="楷体"/>
          <w:b/>
          <w:color w:val="0D0D0D"/>
          <w:sz w:val="32"/>
          <w:szCs w:val="32"/>
          <w:lang w:val="en-US" w:eastAsia="zh-CN"/>
        </w:rPr>
        <w:t>2、</w:t>
      </w:r>
      <w:r>
        <w:rPr>
          <w:rFonts w:hint="eastAsia" w:ascii="楷体" w:hAnsi="楷体" w:eastAsia="楷体" w:cs="楷体"/>
          <w:b/>
          <w:color w:val="0D0D0D"/>
          <w:sz w:val="32"/>
          <w:szCs w:val="32"/>
        </w:rPr>
        <w:t>非公党建做优做强。</w:t>
      </w:r>
      <w:r>
        <w:rPr>
          <w:rFonts w:hint="eastAsia" w:ascii="仿宋_GB2312" w:eastAsia="仿宋_GB2312"/>
          <w:color w:val="000000"/>
          <w:sz w:val="32"/>
          <w:szCs w:val="32"/>
          <w:shd w:val="clear" w:color="auto" w:fill="FFFFFF"/>
        </w:rPr>
        <w:t>规模以上企业党组织覆盖率达100%，全年新组建基层党组织</w:t>
      </w:r>
      <w:r>
        <w:rPr>
          <w:rFonts w:hint="eastAsia" w:ascii="仿宋_GB2312" w:eastAsia="仿宋_GB2312"/>
          <w:color w:val="000000"/>
          <w:sz w:val="32"/>
          <w:szCs w:val="32"/>
          <w:u w:val="none"/>
          <w:shd w:val="clear" w:color="auto" w:fill="FFFFFF"/>
          <w:lang w:val="en-US" w:eastAsia="zh-CN"/>
        </w:rPr>
        <w:t>2</w:t>
      </w:r>
      <w:r>
        <w:rPr>
          <w:rFonts w:hint="eastAsia" w:ascii="仿宋_GB2312" w:eastAsia="仿宋_GB2312"/>
          <w:color w:val="000000"/>
          <w:sz w:val="32"/>
          <w:szCs w:val="32"/>
          <w:shd w:val="clear" w:color="auto" w:fill="FFFFFF"/>
        </w:rPr>
        <w:t>个，</w:t>
      </w:r>
      <w:r>
        <w:rPr>
          <w:rFonts w:hint="eastAsia" w:ascii="仿宋_GB2312" w:hAnsi="仿宋" w:eastAsia="仿宋_GB2312"/>
          <w:sz w:val="32"/>
          <w:szCs w:val="32"/>
        </w:rPr>
        <w:t>新发展党员</w:t>
      </w:r>
      <w:r>
        <w:rPr>
          <w:rFonts w:hint="eastAsia" w:ascii="仿宋_GB2312" w:hAnsi="仿宋" w:eastAsia="仿宋_GB2312"/>
          <w:sz w:val="32"/>
          <w:szCs w:val="32"/>
          <w:u w:val="none"/>
          <w:lang w:val="en-US" w:eastAsia="zh-CN"/>
        </w:rPr>
        <w:t>14</w:t>
      </w:r>
      <w:r>
        <w:rPr>
          <w:rFonts w:hint="eastAsia" w:ascii="仿宋_GB2312" w:hAnsi="仿宋" w:eastAsia="仿宋_GB2312"/>
          <w:sz w:val="32"/>
          <w:szCs w:val="32"/>
        </w:rPr>
        <w:t>名</w:t>
      </w:r>
      <w:r>
        <w:rPr>
          <w:rFonts w:hint="eastAsia" w:ascii="仿宋_GB2312" w:hAnsi="仿宋" w:eastAsia="仿宋_GB2312"/>
          <w:sz w:val="32"/>
          <w:szCs w:val="32"/>
          <w:lang w:eastAsia="zh-CN"/>
        </w:rPr>
        <w:t>。</w:t>
      </w:r>
      <w:r>
        <w:rPr>
          <w:rFonts w:hint="eastAsia" w:ascii="仿宋_GB2312" w:hAnsi="仿宋" w:eastAsia="仿宋_GB2312"/>
          <w:sz w:val="32"/>
          <w:szCs w:val="32"/>
        </w:rPr>
        <w:t>全年共培训各级党务工作者63人次。</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Chars="0" w:firstLine="643" w:firstLineChars="200"/>
        <w:jc w:val="left"/>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（三）</w:t>
      </w:r>
      <w:r>
        <w:rPr>
          <w:rFonts w:hint="eastAsia" w:ascii="仿宋_GB2312" w:hAnsi="仿宋" w:eastAsia="仿宋_GB2312"/>
          <w:b/>
          <w:sz w:val="32"/>
          <w:szCs w:val="32"/>
        </w:rPr>
        <w:t>加强</w:t>
      </w:r>
      <w:r>
        <w:rPr>
          <w:rFonts w:hint="eastAsia" w:ascii="仿宋_GB2312" w:hAnsi="仿宋" w:eastAsia="仿宋_GB2312"/>
          <w:b/>
          <w:sz w:val="32"/>
          <w:szCs w:val="32"/>
          <w:lang w:eastAsia="zh-CN"/>
        </w:rPr>
        <w:t>疫情防控工作</w:t>
      </w:r>
      <w:r>
        <w:rPr>
          <w:rFonts w:hint="eastAsia" w:ascii="仿宋_GB2312" w:hAnsi="仿宋" w:eastAsia="仿宋_GB2312"/>
          <w:b/>
          <w:sz w:val="32"/>
          <w:szCs w:val="32"/>
        </w:rPr>
        <w:t>，</w:t>
      </w:r>
      <w:r>
        <w:rPr>
          <w:rFonts w:hint="eastAsia" w:ascii="仿宋_GB2312" w:hAnsi="仿宋" w:eastAsia="仿宋_GB2312"/>
          <w:b/>
          <w:sz w:val="32"/>
          <w:szCs w:val="32"/>
          <w:lang w:eastAsia="zh-CN"/>
        </w:rPr>
        <w:t>落实“六稳六保”</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i w:val="0"/>
          <w:caps w:val="0"/>
          <w:color w:val="0C0C0C"/>
          <w:spacing w:val="0"/>
          <w:sz w:val="32"/>
          <w:szCs w:val="32"/>
          <w:shd w:val="clear" w:color="auto" w:fill="FFFFFF"/>
          <w:lang w:val="en-US" w:eastAsia="zh-CN"/>
        </w:rPr>
        <w:t>1、提高站位，倾情倾力助抗疫。</w:t>
      </w:r>
      <w:r>
        <w:rPr>
          <w:rFonts w:hint="eastAsia" w:ascii="仿宋_GB2312" w:hAnsi="仿宋_GB2312" w:eastAsia="仿宋_GB2312" w:cs="仿宋_GB2312"/>
          <w:sz w:val="32"/>
          <w:szCs w:val="32"/>
          <w:lang w:eastAsia="zh-CN"/>
        </w:rPr>
        <w:t>自抗疫阻击战打响以来，根据区委、区政府对抗疫工作的部署安排，鹤城区工商联抽调4名机关干部职工深入河西街道办事处、盈口乡井坪村、城中街道太平桥社区等地参加防控，与社区、村工作人员一道，组成“五队五员”，每天进社区、入村做好疫情监测、排查、预警、教育疏导、管理服务等工作， 及时宣传《关于实施疫情防控“十四条”禁令》等政策措施，严格落实居家隔离人员“三包一”措施，筑牢家庭防疫的严密壁垒。严格管控小区、村，及时劝阻村民聚集、串门，劝停办喜宴9家，关闭麻将馆23家，发放宣传资料上万份。疫情期间，河西街道、盈口乡井坪村、城中街道太平桥社区累计管控对象936人，累计解除居家隔离747人，剩余管控对象75人，累计登记返怀人员</w:t>
      </w:r>
      <w:r>
        <w:rPr>
          <w:rFonts w:hint="eastAsia" w:ascii="仿宋_GB2312" w:hAnsi="仿宋_GB2312" w:eastAsia="仿宋_GB2312" w:cs="仿宋_GB2312"/>
          <w:sz w:val="32"/>
          <w:szCs w:val="32"/>
          <w:lang w:val="en-US" w:eastAsia="zh-CN"/>
        </w:rPr>
        <w:t>5600</w:t>
      </w:r>
      <w:r>
        <w:rPr>
          <w:rFonts w:hint="eastAsia" w:ascii="仿宋_GB2312" w:hAnsi="仿宋_GB2312" w:eastAsia="仿宋_GB2312" w:cs="仿宋_GB2312"/>
          <w:sz w:val="32"/>
          <w:szCs w:val="32"/>
          <w:lang w:eastAsia="zh-CN"/>
        </w:rPr>
        <w:t>人，河西街道5名确诊病例均已治愈出院。</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i w:val="0"/>
          <w:caps w:val="0"/>
          <w:color w:val="0C0C0C"/>
          <w:spacing w:val="0"/>
          <w:sz w:val="32"/>
          <w:szCs w:val="32"/>
          <w:shd w:val="clear" w:color="auto" w:fill="FFFFFF"/>
          <w:lang w:val="en-US" w:eastAsia="zh-CN"/>
        </w:rPr>
        <w:t>2、积极引导，履行社会责任。</w:t>
      </w:r>
      <w:r>
        <w:rPr>
          <w:rFonts w:hint="eastAsia" w:ascii="仿宋_GB2312" w:hAnsi="仿宋_GB2312" w:eastAsia="仿宋_GB2312" w:cs="仿宋_GB2312"/>
          <w:sz w:val="32"/>
          <w:szCs w:val="32"/>
          <w:lang w:eastAsia="zh-CN"/>
        </w:rPr>
        <w:t>通过怀化日报、今日头条、怀化红网、区融媒体等媒介，及时宣传报道各商（协）会和会员企业捐款捐物的典型事迹，引导树立攻坚克难的信心。目前，广大非公经济人士以多种形式参与到抗击疫情的工作中来，为抗击疫情贡献爱心和力量。疫情期间，我联各类商（协）会、会员企业共有</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lang w:eastAsia="zh-CN"/>
        </w:rPr>
        <w:t>家企业进行捐赠，累计捐资332.1万元，捐赠价值</w:t>
      </w:r>
      <w:r>
        <w:rPr>
          <w:rFonts w:hint="eastAsia" w:ascii="仿宋_GB2312" w:hAnsi="仿宋_GB2312" w:eastAsia="仿宋_GB2312" w:cs="仿宋_GB2312"/>
          <w:sz w:val="32"/>
          <w:szCs w:val="32"/>
          <w:lang w:val="en-US" w:eastAsia="zh-CN"/>
        </w:rPr>
        <w:t>81.9</w:t>
      </w:r>
      <w:r>
        <w:rPr>
          <w:rFonts w:hint="eastAsia" w:ascii="仿宋_GB2312" w:hAnsi="仿宋_GB2312" w:eastAsia="仿宋_GB2312" w:cs="仿宋_GB2312"/>
          <w:sz w:val="32"/>
          <w:szCs w:val="32"/>
          <w:lang w:eastAsia="zh-CN"/>
        </w:rPr>
        <w:t>万元的医疗防护、生活物资，全部上交区委政府支持防控工作。</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643" w:firstLineChars="200"/>
        <w:textAlignment w:val="auto"/>
        <w:rPr>
          <w:rFonts w:hint="eastAsia" w:ascii="仿宋_GB2312" w:hAnsi="仿宋" w:eastAsia="仿宋_GB2312"/>
          <w:b/>
          <w:sz w:val="32"/>
          <w:szCs w:val="32"/>
        </w:rPr>
      </w:pPr>
      <w:r>
        <w:rPr>
          <w:rFonts w:hint="eastAsia" w:ascii="楷体" w:hAnsi="楷体" w:eastAsia="楷体" w:cs="楷体"/>
          <w:b/>
          <w:bCs/>
          <w:i w:val="0"/>
          <w:caps w:val="0"/>
          <w:color w:val="0C0C0C"/>
          <w:spacing w:val="0"/>
          <w:sz w:val="32"/>
          <w:szCs w:val="32"/>
          <w:shd w:val="clear" w:color="auto" w:fill="FFFFFF"/>
          <w:lang w:val="en-US" w:eastAsia="zh-CN"/>
        </w:rPr>
        <w:t xml:space="preserve"> 3、万企走访，提振发展信心。</w:t>
      </w:r>
      <w:r>
        <w:rPr>
          <w:rFonts w:hint="eastAsia" w:ascii="仿宋" w:hAnsi="仿宋" w:eastAsia="仿宋" w:cs="仿宋"/>
          <w:sz w:val="32"/>
          <w:szCs w:val="32"/>
          <w:lang w:val="en-US" w:eastAsia="zh-CN"/>
        </w:rPr>
        <w:t>根据省统战部、省工商联以及市统战部、市工商联《关于开展“万企大走访、同心促发展”活动的通知》，我联积极向区委、区政府主要领导汇报，由区委统战部牵头，召开“万企大走访、同心促发展”活动推进会，根据全区民营企业和商协会实际情况，精心挑选了100家困难大、问题多、复工难的企业和商协会为走访对象，并联合下发了鹤城区统战部、区工商联《关于开展“万企大走访、同心促发展”活动方案的通知》，由区级领导带队，分成了八个走访工作组进行走访。各走访工作组及时传达精神，解读政策，了解情况，反映诉求，组织相关部门为企业解决难题，分类分批推进企业复工复产，企业复工复产难等问题基本得到有效解决。截止5月底，已走访调研企业60家，开复工率达94.20%，员工到岗率90%,产能恢复率90%；已走访商会4家，商会会员数145人，已走访座谈会员数60人；已走访园区1个，园区企业开复工率95%，产能恢复率89%；收集解决问题40个。</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leftChars="0" w:firstLine="321" w:firstLineChars="100"/>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（四）</w:t>
      </w:r>
      <w:r>
        <w:rPr>
          <w:rFonts w:hint="eastAsia" w:ascii="仿宋_GB2312" w:hAnsi="仿宋" w:eastAsia="仿宋_GB2312"/>
          <w:b/>
          <w:sz w:val="32"/>
          <w:szCs w:val="32"/>
        </w:rPr>
        <w:t>优化营商环境，夯实发展基础</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仿宋_GB2312" w:hAnsi="宋体" w:eastAsia="仿宋_GB2312" w:cs="宋体"/>
          <w:sz w:val="32"/>
          <w:szCs w:val="32"/>
        </w:rPr>
      </w:pPr>
      <w:r>
        <w:rPr>
          <w:rFonts w:hint="eastAsia" w:ascii="楷体" w:hAnsi="楷体" w:eastAsia="楷体" w:cs="楷体"/>
          <w:b/>
          <w:sz w:val="32"/>
          <w:szCs w:val="32"/>
          <w:lang w:val="en-US" w:eastAsia="zh-CN"/>
        </w:rPr>
        <w:t>1、</w:t>
      </w:r>
      <w:r>
        <w:rPr>
          <w:rFonts w:hint="eastAsia" w:ascii="楷体" w:hAnsi="楷体" w:eastAsia="楷体" w:cs="楷体"/>
          <w:b/>
          <w:sz w:val="32"/>
          <w:szCs w:val="32"/>
          <w:lang w:eastAsia="zh-CN"/>
        </w:rPr>
        <w:t>加强</w:t>
      </w:r>
      <w:r>
        <w:rPr>
          <w:rFonts w:hint="eastAsia" w:ascii="楷体" w:hAnsi="楷体" w:eastAsia="楷体" w:cs="楷体"/>
          <w:b/>
          <w:sz w:val="32"/>
          <w:szCs w:val="32"/>
        </w:rPr>
        <w:t>政策法规</w:t>
      </w:r>
      <w:r>
        <w:rPr>
          <w:rFonts w:hint="eastAsia" w:ascii="楷体" w:hAnsi="楷体" w:eastAsia="楷体" w:cs="楷体"/>
          <w:b/>
          <w:sz w:val="32"/>
          <w:szCs w:val="32"/>
          <w:lang w:eastAsia="zh-CN"/>
        </w:rPr>
        <w:t>对企业的</w:t>
      </w:r>
      <w:r>
        <w:rPr>
          <w:rFonts w:hint="eastAsia" w:ascii="楷体" w:hAnsi="楷体" w:eastAsia="楷体" w:cs="楷体"/>
          <w:b/>
          <w:sz w:val="32"/>
          <w:szCs w:val="32"/>
        </w:rPr>
        <w:t>精准推送。</w:t>
      </w:r>
      <w:r>
        <w:rPr>
          <w:rFonts w:hint="eastAsia" w:ascii="仿宋_GB2312" w:hAnsi="仿宋" w:eastAsia="仿宋_GB2312"/>
          <w:b w:val="0"/>
          <w:bCs/>
          <w:sz w:val="32"/>
          <w:szCs w:val="32"/>
          <w:lang w:eastAsia="zh-CN"/>
        </w:rPr>
        <w:t>我联</w:t>
      </w:r>
      <w:r>
        <w:rPr>
          <w:rFonts w:hint="eastAsia" w:ascii="仿宋_GB2312" w:hAnsi="仿宋" w:eastAsia="仿宋_GB2312"/>
          <w:sz w:val="32"/>
          <w:szCs w:val="32"/>
        </w:rPr>
        <w:t>着力落实民营企业减税降费政策，</w:t>
      </w:r>
      <w:r>
        <w:rPr>
          <w:rFonts w:hint="eastAsia" w:ascii="仿宋_GB2312" w:hAnsi="仿宋" w:eastAsia="仿宋_GB2312" w:cs="仿宋_GB2312"/>
          <w:color w:val="000000"/>
          <w:sz w:val="32"/>
          <w:szCs w:val="32"/>
        </w:rPr>
        <w:t>全年为企业减负约</w:t>
      </w:r>
      <w:r>
        <w:rPr>
          <w:rFonts w:ascii="仿宋_GB2312" w:hAnsi="仿宋" w:eastAsia="仿宋_GB2312" w:cs="仿宋_GB2312"/>
          <w:color w:val="000000"/>
          <w:sz w:val="32"/>
          <w:szCs w:val="32"/>
        </w:rPr>
        <w:t>2.2</w:t>
      </w:r>
      <w:r>
        <w:rPr>
          <w:rFonts w:hint="eastAsia" w:ascii="仿宋_GB2312" w:hAnsi="仿宋" w:eastAsia="仿宋_GB2312" w:cs="仿宋_GB2312"/>
          <w:color w:val="000000"/>
          <w:sz w:val="32"/>
          <w:szCs w:val="32"/>
        </w:rPr>
        <w:t>亿元。</w:t>
      </w:r>
      <w:r>
        <w:rPr>
          <w:rFonts w:hint="eastAsia" w:ascii="仿宋_GB2312" w:hAnsi="仿宋" w:eastAsia="仿宋_GB2312"/>
          <w:sz w:val="32"/>
          <w:szCs w:val="32"/>
        </w:rPr>
        <w:t>预防化解非公有制经济领域矛盾纠纷，为会员企业提供法律服务，</w:t>
      </w:r>
      <w:r>
        <w:rPr>
          <w:rFonts w:hint="eastAsia" w:ascii="仿宋_GB2312" w:hAnsi="_4eff_5b8b_GB2312" w:eastAsia="仿宋_GB2312" w:cs="宋体"/>
          <w:color w:val="000000"/>
          <w:kern w:val="0"/>
          <w:sz w:val="32"/>
          <w:szCs w:val="32"/>
        </w:rPr>
        <w:t>成立了区工商联（总商会）法律顾问团，</w:t>
      </w:r>
      <w:r>
        <w:rPr>
          <w:rFonts w:hint="eastAsia" w:ascii="仿宋_GB2312" w:hAnsi="仿宋_GB2312" w:eastAsia="仿宋_GB2312" w:cs="仿宋_GB2312"/>
          <w:sz w:val="32"/>
          <w:szCs w:val="32"/>
        </w:rPr>
        <w:t>与</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名律师签订法律顾问协议，举办“中小企业法律风险与防范”座谈会、“法律实务”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知识讲座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次。</w:t>
      </w:r>
      <w:r>
        <w:rPr>
          <w:rFonts w:hint="eastAsia" w:ascii="仿宋_GB2312" w:hAnsi="仿宋" w:eastAsia="仿宋_GB2312" w:cs="仿宋"/>
          <w:sz w:val="32"/>
          <w:szCs w:val="32"/>
        </w:rPr>
        <w:t>积极探索银企对接服务，</w:t>
      </w:r>
      <w:r>
        <w:rPr>
          <w:rFonts w:hint="eastAsia" w:ascii="仿宋_GB2312" w:hAnsi="_4eff_5b8b_GB2312" w:eastAsia="仿宋_GB2312" w:cs="宋体"/>
          <w:color w:val="000000"/>
          <w:kern w:val="0"/>
          <w:sz w:val="32"/>
          <w:szCs w:val="32"/>
        </w:rPr>
        <w:t>解决民营企业和中小微企业融资难融资贵问题，</w:t>
      </w:r>
      <w:r>
        <w:rPr>
          <w:rFonts w:hint="eastAsia" w:ascii="仿宋_GB2312" w:hAnsi="仿宋" w:eastAsia="仿宋_GB2312" w:cs="仿宋"/>
          <w:sz w:val="32"/>
          <w:szCs w:val="32"/>
        </w:rPr>
        <w:t>召开2次政企银座谈会、融资产品推介会</w:t>
      </w:r>
      <w:r>
        <w:rPr>
          <w:rFonts w:hint="eastAsia" w:ascii="仿宋_GB2312" w:hAnsi="仿宋" w:eastAsia="仿宋_GB2312" w:cs="仿宋"/>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仿宋_GB2312" w:hAnsi="宋体" w:eastAsia="仿宋_GB2312" w:cs="宋体"/>
          <w:b w:val="0"/>
          <w:bCs/>
          <w:sz w:val="32"/>
          <w:szCs w:val="32"/>
        </w:rPr>
      </w:pPr>
      <w:r>
        <w:rPr>
          <w:rFonts w:hint="eastAsia" w:ascii="楷体" w:hAnsi="楷体" w:eastAsia="楷体" w:cs="楷体"/>
          <w:b/>
          <w:sz w:val="32"/>
          <w:szCs w:val="32"/>
          <w:lang w:val="en-US" w:eastAsia="zh-CN"/>
        </w:rPr>
        <w:t>2、</w:t>
      </w:r>
      <w:r>
        <w:rPr>
          <w:rFonts w:hint="eastAsia" w:ascii="楷体" w:hAnsi="楷体" w:eastAsia="楷体" w:cs="楷体"/>
          <w:b/>
          <w:sz w:val="32"/>
          <w:szCs w:val="32"/>
          <w:lang w:eastAsia="zh-CN"/>
        </w:rPr>
        <w:t>开展优化营商环境调查为市场</w:t>
      </w:r>
      <w:r>
        <w:rPr>
          <w:rFonts w:hint="eastAsia" w:ascii="楷体" w:hAnsi="楷体" w:eastAsia="楷体" w:cs="楷体"/>
          <w:b/>
          <w:sz w:val="32"/>
          <w:szCs w:val="32"/>
        </w:rPr>
        <w:t>把脉。</w:t>
      </w:r>
      <w:r>
        <w:rPr>
          <w:rFonts w:hint="eastAsia" w:ascii="仿宋_GB2312" w:hAnsi="仿宋" w:eastAsia="仿宋_GB2312"/>
          <w:b w:val="0"/>
          <w:bCs/>
          <w:sz w:val="32"/>
          <w:szCs w:val="32"/>
          <w:lang w:eastAsia="zh-CN"/>
        </w:rPr>
        <w:t>按照上级优化营商环境相关精神，为更加全面客观地评价我区优化营商环境，我联积极落实</w:t>
      </w:r>
      <w:r>
        <w:rPr>
          <w:rFonts w:hint="eastAsia" w:ascii="仿宋_GB2312" w:hAnsi="仿宋" w:eastAsia="仿宋_GB2312"/>
          <w:b w:val="0"/>
          <w:bCs/>
          <w:sz w:val="32"/>
          <w:szCs w:val="32"/>
          <w:lang w:val="en-US" w:eastAsia="zh-CN"/>
        </w:rPr>
        <w:t>2020年湖南省营商环境市场主题评价工作，组织100家企业参与网上调查。</w:t>
      </w:r>
    </w:p>
    <w:p>
      <w:pPr>
        <w:keepNext w:val="0"/>
        <w:keepLines w:val="0"/>
        <w:pageBreakBefore w:val="0"/>
        <w:numPr>
          <w:ilvl w:val="0"/>
          <w:numId w:val="2"/>
        </w:numPr>
        <w:kinsoku/>
        <w:wordWrap/>
        <w:overflowPunct/>
        <w:topLinePunct w:val="0"/>
        <w:autoSpaceDE/>
        <w:autoSpaceDN/>
        <w:bidi w:val="0"/>
        <w:adjustRightInd w:val="0"/>
        <w:snapToGrid w:val="0"/>
        <w:spacing w:line="580" w:lineRule="exact"/>
        <w:ind w:leftChars="0" w:firstLine="630" w:firstLineChars="196"/>
        <w:textAlignment w:val="auto"/>
        <w:rPr>
          <w:rFonts w:hint="eastAsia" w:ascii="仿宋_GB2312" w:hAnsi="仿宋" w:eastAsia="仿宋_GB2312"/>
          <w:b/>
          <w:sz w:val="32"/>
          <w:szCs w:val="32"/>
        </w:rPr>
      </w:pPr>
      <w:r>
        <w:rPr>
          <w:rFonts w:hint="eastAsia" w:ascii="仿宋_GB2312" w:hAnsi="仿宋" w:eastAsia="仿宋_GB2312"/>
          <w:b/>
          <w:sz w:val="32"/>
          <w:szCs w:val="32"/>
        </w:rPr>
        <w:t>汇聚智慧力量，奋战全面小康</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仿宋_GB2312" w:hAnsi="宋体" w:eastAsia="仿宋_GB2312" w:cs="宋体"/>
          <w:color w:val="000000"/>
          <w:sz w:val="32"/>
          <w:szCs w:val="32"/>
        </w:rPr>
      </w:pPr>
      <w:r>
        <w:rPr>
          <w:rFonts w:hint="eastAsia" w:ascii="楷体" w:hAnsi="楷体" w:eastAsia="楷体" w:cs="楷体"/>
          <w:b/>
          <w:color w:val="000000"/>
          <w:sz w:val="32"/>
          <w:szCs w:val="32"/>
          <w:lang w:val="en-US" w:eastAsia="zh-CN"/>
        </w:rPr>
        <w:t>1、</w:t>
      </w:r>
      <w:r>
        <w:rPr>
          <w:rFonts w:hint="eastAsia" w:ascii="楷体" w:hAnsi="楷体" w:eastAsia="楷体" w:cs="楷体"/>
          <w:b/>
          <w:color w:val="000000"/>
          <w:sz w:val="32"/>
          <w:szCs w:val="32"/>
        </w:rPr>
        <w:t>脱贫攻坚巩固成果。</w:t>
      </w:r>
      <w:r>
        <w:rPr>
          <w:rFonts w:hint="eastAsia" w:ascii="仿宋_GB2312" w:hAnsi="仿宋" w:eastAsia="仿宋_GB2312" w:cs="仿宋"/>
          <w:color w:val="000000"/>
          <w:sz w:val="32"/>
          <w:szCs w:val="32"/>
        </w:rPr>
        <w:t>深入开展“万企帮万村”</w:t>
      </w:r>
      <w:r>
        <w:rPr>
          <w:rFonts w:hint="eastAsia" w:ascii="仿宋_GB2312" w:hAnsi="仿宋" w:eastAsia="仿宋_GB2312"/>
          <w:color w:val="000000"/>
          <w:sz w:val="32"/>
          <w:szCs w:val="32"/>
        </w:rPr>
        <w:t>精准扶贫行动，</w:t>
      </w:r>
      <w:r>
        <w:rPr>
          <w:rFonts w:hint="eastAsia" w:ascii="仿宋_GB2312" w:hAnsi="仿宋_GB2312" w:eastAsia="仿宋_GB2312" w:cs="仿宋_GB2312"/>
          <w:color w:val="000000"/>
          <w:kern w:val="0"/>
          <w:sz w:val="32"/>
          <w:szCs w:val="32"/>
        </w:rPr>
        <w:t>全区共有</w:t>
      </w:r>
      <w:r>
        <w:rPr>
          <w:rFonts w:hint="eastAsia" w:ascii="仿宋_GB2312" w:hAnsi="仿宋_GB2312" w:eastAsia="仿宋_GB2312" w:cs="仿宋_GB2312"/>
          <w:color w:val="000000"/>
          <w:kern w:val="0"/>
          <w:sz w:val="32"/>
          <w:szCs w:val="32"/>
          <w:lang w:val="en-US" w:eastAsia="zh-CN"/>
        </w:rPr>
        <w:t>85</w:t>
      </w:r>
      <w:r>
        <w:rPr>
          <w:rFonts w:hint="eastAsia" w:ascii="仿宋_GB2312" w:hAnsi="仿宋_GB2312" w:eastAsia="仿宋_GB2312" w:cs="仿宋_GB2312"/>
          <w:color w:val="000000"/>
          <w:kern w:val="0"/>
          <w:sz w:val="32"/>
          <w:szCs w:val="32"/>
        </w:rPr>
        <w:t>家企业参与全国“万企帮万村”精准扶贫行动，</w:t>
      </w:r>
      <w:r>
        <w:rPr>
          <w:rFonts w:hint="eastAsia" w:ascii="仿宋_GB2312" w:hAnsi="仿宋_GB2312" w:eastAsia="仿宋_GB2312" w:cs="仿宋_GB2312"/>
          <w:color w:val="000000"/>
          <w:kern w:val="0"/>
          <w:sz w:val="32"/>
          <w:szCs w:val="32"/>
          <w:lang w:val="en-US" w:eastAsia="zh-CN"/>
        </w:rPr>
        <w:t>惠及96个村，帮扶53310人。总投入19201.1万元，其中产业扶贫项目帮扶总额16133.38万元，就业扶贫发放工资总额2591.86万元，公益扶贫捐款捐物总额388.86万元，技能扶贫企业投入总额87万元。</w:t>
      </w:r>
      <w:r>
        <w:rPr>
          <w:rFonts w:hint="eastAsia" w:ascii="仿宋_GB2312" w:eastAsia="仿宋_GB2312"/>
          <w:color w:val="000000"/>
          <w:sz w:val="32"/>
          <w:szCs w:val="32"/>
        </w:rPr>
        <w:t>佳惠公司荣获湖南省“万企帮万村”精准扶贫行动先进民营企业。</w:t>
      </w:r>
      <w:r>
        <w:rPr>
          <w:rFonts w:hint="eastAsia" w:ascii="仿宋_GB2312" w:hAnsi="仿宋" w:eastAsia="仿宋_GB2312" w:cs="仿宋"/>
          <w:sz w:val="32"/>
          <w:szCs w:val="32"/>
        </w:rPr>
        <w:t>湖南芭颉生态农牧股份有限公司产业扶贫帮扶已覆盖全区</w:t>
      </w:r>
      <w:r>
        <w:rPr>
          <w:rFonts w:ascii="仿宋_GB2312" w:hAnsi="仿宋" w:eastAsia="仿宋_GB2312" w:cs="仿宋"/>
          <w:sz w:val="32"/>
          <w:szCs w:val="32"/>
        </w:rPr>
        <w:t>5</w:t>
      </w:r>
      <w:r>
        <w:rPr>
          <w:rFonts w:hint="eastAsia" w:ascii="仿宋_GB2312" w:hAnsi="仿宋" w:eastAsia="仿宋_GB2312" w:cs="仿宋"/>
          <w:sz w:val="32"/>
          <w:szCs w:val="32"/>
        </w:rPr>
        <w:t>个乡镇（街道）、</w:t>
      </w:r>
      <w:r>
        <w:rPr>
          <w:rFonts w:ascii="仿宋_GB2312" w:hAnsi="仿宋" w:eastAsia="仿宋_GB2312" w:cs="仿宋"/>
          <w:sz w:val="32"/>
          <w:szCs w:val="32"/>
        </w:rPr>
        <w:t>25</w:t>
      </w:r>
      <w:r>
        <w:rPr>
          <w:rFonts w:hint="eastAsia" w:ascii="仿宋_GB2312" w:hAnsi="仿宋" w:eastAsia="仿宋_GB2312" w:cs="仿宋"/>
          <w:sz w:val="32"/>
          <w:szCs w:val="32"/>
        </w:rPr>
        <w:t>个村、贫困户</w:t>
      </w:r>
      <w:r>
        <w:rPr>
          <w:rFonts w:ascii="仿宋_GB2312" w:hAnsi="仿宋" w:eastAsia="仿宋_GB2312" w:cs="仿宋"/>
          <w:sz w:val="32"/>
          <w:szCs w:val="32"/>
        </w:rPr>
        <w:t>589</w:t>
      </w:r>
      <w:r>
        <w:rPr>
          <w:rFonts w:hint="eastAsia" w:ascii="仿宋_GB2312" w:hAnsi="仿宋" w:eastAsia="仿宋_GB2312" w:cs="仿宋"/>
          <w:sz w:val="32"/>
          <w:szCs w:val="32"/>
        </w:rPr>
        <w:t>户</w:t>
      </w:r>
      <w:r>
        <w:rPr>
          <w:rFonts w:hint="eastAsia" w:ascii="仿宋_GB2312" w:hAnsi="仿宋" w:eastAsia="仿宋_GB2312" w:cs="仿宋"/>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仿宋_GB2312" w:hAnsi="宋体" w:eastAsia="仿宋_GB2312" w:cs="宋体"/>
          <w:color w:val="000000"/>
          <w:sz w:val="32"/>
          <w:szCs w:val="32"/>
        </w:rPr>
      </w:pPr>
      <w:r>
        <w:rPr>
          <w:rFonts w:hint="eastAsia" w:ascii="楷体" w:hAnsi="楷体" w:eastAsia="楷体" w:cs="楷体"/>
          <w:b/>
          <w:sz w:val="32"/>
          <w:szCs w:val="32"/>
          <w:lang w:val="en-US" w:eastAsia="zh-CN"/>
        </w:rPr>
        <w:t>2、</w:t>
      </w:r>
      <w:r>
        <w:rPr>
          <w:rFonts w:hint="eastAsia" w:ascii="楷体" w:hAnsi="楷体" w:eastAsia="楷体" w:cs="楷体"/>
          <w:b/>
          <w:sz w:val="32"/>
          <w:szCs w:val="32"/>
        </w:rPr>
        <w:t>济贫帮困</w:t>
      </w:r>
      <w:r>
        <w:rPr>
          <w:rFonts w:hint="eastAsia" w:ascii="楷体" w:hAnsi="楷体" w:eastAsia="楷体" w:cs="楷体"/>
          <w:b/>
          <w:color w:val="000000"/>
          <w:kern w:val="0"/>
          <w:sz w:val="32"/>
          <w:szCs w:val="32"/>
        </w:rPr>
        <w:t>回馈社会。</w:t>
      </w:r>
      <w:r>
        <w:rPr>
          <w:rFonts w:hint="eastAsia" w:ascii="仿宋_GB2312" w:hAnsi="仿宋" w:eastAsia="仿宋_GB2312" w:cs="仿宋_GB2312"/>
          <w:b w:val="0"/>
          <w:bCs/>
          <w:color w:val="000000"/>
          <w:kern w:val="0"/>
          <w:sz w:val="32"/>
          <w:szCs w:val="32"/>
          <w:lang w:eastAsia="zh-CN"/>
        </w:rPr>
        <w:t>我联</w:t>
      </w:r>
      <w:r>
        <w:rPr>
          <w:rFonts w:hint="eastAsia" w:ascii="仿宋_GB2312" w:hAnsi="仿宋" w:eastAsia="仿宋_GB2312" w:cs="宋体"/>
          <w:b w:val="0"/>
          <w:bCs/>
          <w:sz w:val="32"/>
          <w:szCs w:val="32"/>
        </w:rPr>
        <w:t>积</w:t>
      </w:r>
      <w:r>
        <w:rPr>
          <w:rFonts w:hint="eastAsia" w:ascii="仿宋_GB2312" w:hAnsi="仿宋" w:eastAsia="仿宋_GB2312" w:cs="宋体"/>
          <w:sz w:val="32"/>
          <w:szCs w:val="32"/>
        </w:rPr>
        <w:t>极引导民营企业家参加各类慈善捐助活动，弘扬团结互助、向上向善的正能量。</w:t>
      </w:r>
      <w:r>
        <w:rPr>
          <w:rFonts w:hint="eastAsia" w:eastAsia="仿宋_GB2312"/>
          <w:sz w:val="32"/>
          <w:szCs w:val="32"/>
        </w:rPr>
        <w:t>今年1月新冠肺炎疫情暴发，</w:t>
      </w:r>
      <w:r>
        <w:rPr>
          <w:rFonts w:hint="eastAsia" w:ascii="仿宋_GB2312" w:hAnsi="仿宋" w:eastAsia="仿宋_GB2312" w:cs="仿宋_GB2312"/>
          <w:color w:val="000000"/>
          <w:sz w:val="32"/>
          <w:szCs w:val="32"/>
        </w:rPr>
        <w:t>区工商联认真贯彻落实区委、区政府决策部署，按照坚定信心、同舟共济、科学防治、精准施策的要求，机关全体工作人员主动投入抗疫斗争，并</w:t>
      </w:r>
      <w:r>
        <w:rPr>
          <w:rFonts w:hint="eastAsia" w:ascii="仿宋_GB2312" w:eastAsia="仿宋_GB2312"/>
          <w:sz w:val="32"/>
          <w:szCs w:val="32"/>
        </w:rPr>
        <w:t>在第一时间向全区非公经济人士及会员企业发出倡议书。</w:t>
      </w:r>
      <w:r>
        <w:rPr>
          <w:rFonts w:hint="eastAsia" w:ascii="仿宋_GB2312" w:hAnsi="仿宋" w:eastAsia="仿宋_GB2312" w:cs="仿宋"/>
          <w:sz w:val="32"/>
          <w:szCs w:val="32"/>
        </w:rPr>
        <w:t>各类商会、会员企业积极响应，踊跃捐款捐物，用实际行动驰援抗疫，传承了“一方有难、八方支援”的中华传统美德，彰显了非公经济人士勇于奉献、敢于担当的精神。据统计，</w:t>
      </w:r>
      <w:r>
        <w:rPr>
          <w:rFonts w:ascii="仿宋_GB2312" w:hAnsi="仿宋" w:eastAsia="仿宋_GB2312" w:cs="仿宋"/>
          <w:sz w:val="32"/>
          <w:szCs w:val="32"/>
        </w:rPr>
        <w:t>40</w:t>
      </w:r>
      <w:r>
        <w:rPr>
          <w:rFonts w:hint="eastAsia" w:ascii="仿宋_GB2312" w:hAnsi="仿宋" w:eastAsia="仿宋_GB2312" w:cs="仿宋"/>
          <w:sz w:val="32"/>
          <w:szCs w:val="32"/>
        </w:rPr>
        <w:t>家企业及个人共捐资</w:t>
      </w:r>
      <w:r>
        <w:rPr>
          <w:rFonts w:ascii="仿宋_GB2312" w:hAnsi="仿宋" w:eastAsia="仿宋_GB2312" w:cs="仿宋"/>
          <w:sz w:val="32"/>
          <w:szCs w:val="32"/>
        </w:rPr>
        <w:t>321.2</w:t>
      </w:r>
      <w:r>
        <w:rPr>
          <w:rFonts w:hint="eastAsia" w:ascii="仿宋_GB2312" w:hAnsi="仿宋" w:eastAsia="仿宋_GB2312" w:cs="仿宋"/>
          <w:sz w:val="32"/>
          <w:szCs w:val="32"/>
        </w:rPr>
        <w:t>万元，捐物价值</w:t>
      </w:r>
      <w:r>
        <w:rPr>
          <w:rFonts w:ascii="仿宋_GB2312" w:hAnsi="仿宋" w:eastAsia="仿宋_GB2312" w:cs="仿宋"/>
          <w:sz w:val="32"/>
          <w:szCs w:val="32"/>
        </w:rPr>
        <w:t>64.4</w:t>
      </w:r>
      <w:r>
        <w:rPr>
          <w:rFonts w:hint="eastAsia" w:ascii="仿宋_GB2312" w:hAnsi="仿宋" w:eastAsia="仿宋_GB2312" w:cs="仿宋"/>
          <w:sz w:val="32"/>
          <w:szCs w:val="32"/>
        </w:rPr>
        <w:t>万元。</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321" w:firstLineChars="100"/>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（六）</w:t>
      </w:r>
      <w:r>
        <w:rPr>
          <w:rFonts w:hint="eastAsia" w:ascii="仿宋_GB2312" w:hAnsi="仿宋" w:eastAsia="仿宋_GB2312"/>
          <w:b/>
          <w:sz w:val="32"/>
          <w:szCs w:val="32"/>
        </w:rPr>
        <w:t>注重自身建设，提升队伍素质</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643" w:firstLineChars="200"/>
        <w:textAlignment w:val="auto"/>
        <w:rPr>
          <w:rFonts w:hint="eastAsia" w:ascii="仿宋_GB2312" w:hAnsi="仿宋" w:eastAsia="仿宋_GB2312" w:cs="仿宋"/>
          <w:bCs/>
          <w:sz w:val="32"/>
          <w:szCs w:val="32"/>
        </w:rPr>
      </w:pPr>
      <w:r>
        <w:rPr>
          <w:rFonts w:hint="eastAsia" w:ascii="楷体" w:hAnsi="楷体" w:eastAsia="楷体" w:cs="楷体"/>
          <w:b/>
          <w:bCs/>
          <w:i w:val="0"/>
          <w:caps w:val="0"/>
          <w:color w:val="0C0C0C"/>
          <w:spacing w:val="0"/>
          <w:sz w:val="32"/>
          <w:szCs w:val="32"/>
          <w:shd w:val="clear" w:color="auto" w:fill="FFFFFF"/>
          <w:lang w:val="en-US" w:eastAsia="zh-CN"/>
        </w:rPr>
        <w:t>1、积极创建“四好”商会。</w:t>
      </w:r>
      <w:r>
        <w:rPr>
          <w:rFonts w:hint="eastAsia" w:ascii="仿宋" w:hAnsi="仿宋" w:eastAsia="仿宋"/>
          <w:sz w:val="32"/>
          <w:szCs w:val="32"/>
        </w:rPr>
        <w:t>巩固区工商联全国“五好”县级工商联的建设成果，发挥应有的示范引领作用。牢固树立“四个意识”，坚定“四个自信”，坚决做到“两个维护”。</w:t>
      </w:r>
      <w:r>
        <w:rPr>
          <w:rFonts w:hint="eastAsia" w:ascii="仿宋" w:hAnsi="仿宋" w:eastAsia="仿宋" w:cs="仿宋_GB2312"/>
          <w:color w:val="000000"/>
          <w:kern w:val="0"/>
          <w:sz w:val="32"/>
          <w:szCs w:val="32"/>
        </w:rPr>
        <w:t>基层商协会现有会员</w:t>
      </w:r>
      <w:r>
        <w:rPr>
          <w:rFonts w:hint="eastAsia" w:ascii="仿宋" w:hAnsi="仿宋" w:eastAsia="仿宋" w:cs="仿宋_GB2312"/>
          <w:sz w:val="32"/>
          <w:szCs w:val="32"/>
        </w:rPr>
        <w:t>数达到</w:t>
      </w:r>
      <w:r>
        <w:rPr>
          <w:rFonts w:ascii="仿宋" w:hAnsi="仿宋" w:eastAsia="仿宋" w:cs="仿宋_GB2312"/>
          <w:sz w:val="32"/>
          <w:szCs w:val="32"/>
        </w:rPr>
        <w:t>1</w:t>
      </w:r>
      <w:r>
        <w:rPr>
          <w:rFonts w:hint="eastAsia" w:ascii="仿宋" w:hAnsi="仿宋" w:eastAsia="仿宋" w:cs="仿宋_GB2312"/>
          <w:sz w:val="32"/>
          <w:szCs w:val="32"/>
          <w:lang w:val="en-US" w:eastAsia="zh-CN"/>
        </w:rPr>
        <w:t>154</w:t>
      </w:r>
      <w:r>
        <w:rPr>
          <w:rFonts w:hint="eastAsia" w:ascii="仿宋" w:hAnsi="仿宋" w:eastAsia="仿宋" w:cs="仿宋_GB2312"/>
          <w:sz w:val="32"/>
          <w:szCs w:val="32"/>
        </w:rPr>
        <w:t>人，比上年增长</w:t>
      </w:r>
      <w:r>
        <w:rPr>
          <w:rFonts w:hint="eastAsia" w:ascii="仿宋" w:hAnsi="仿宋" w:eastAsia="仿宋" w:cs="仿宋_GB2312"/>
          <w:sz w:val="32"/>
          <w:szCs w:val="32"/>
          <w:lang w:val="en-US" w:eastAsia="zh-CN"/>
        </w:rPr>
        <w:t>3</w:t>
      </w:r>
      <w:r>
        <w:rPr>
          <w:rFonts w:ascii="仿宋" w:hAnsi="仿宋" w:eastAsia="仿宋" w:cs="仿宋_GB2312"/>
          <w:sz w:val="32"/>
          <w:szCs w:val="32"/>
        </w:rPr>
        <w:t>%</w:t>
      </w:r>
      <w:r>
        <w:rPr>
          <w:rFonts w:hint="eastAsia" w:ascii="仿宋" w:hAnsi="仿宋" w:eastAsia="仿宋" w:cs="仿宋_GB2312"/>
          <w:sz w:val="32"/>
          <w:szCs w:val="32"/>
        </w:rPr>
        <w:t>，在服务全区经济社会发展中发挥了积极作用。始终坚持商会的正确发展方向，按照全国工商联建设“四好”商会的要求，加强和促进商会规范化建设。黄岩商会引导商会会员参与旅游扶贫开发，</w:t>
      </w:r>
      <w:r>
        <w:rPr>
          <w:rFonts w:hint="eastAsia" w:ascii="仿宋" w:hAnsi="仿宋" w:eastAsia="仿宋" w:cs="仿宋_GB2312"/>
          <w:color w:val="000000"/>
          <w:kern w:val="0"/>
          <w:sz w:val="32"/>
          <w:szCs w:val="32"/>
        </w:rPr>
        <w:t>打造了具有影响力的怀化大峡谷、千亩花海旅游品牌，黄岩商会创新“商会</w:t>
      </w:r>
      <w:r>
        <w:rPr>
          <w:rFonts w:ascii="仿宋" w:hAnsi="仿宋" w:eastAsia="仿宋" w:cs="仿宋_GB2312"/>
          <w:color w:val="000000"/>
          <w:kern w:val="0"/>
          <w:sz w:val="32"/>
          <w:szCs w:val="32"/>
        </w:rPr>
        <w:t>+</w:t>
      </w:r>
      <w:r>
        <w:rPr>
          <w:rFonts w:hint="eastAsia" w:ascii="仿宋" w:hAnsi="仿宋" w:eastAsia="仿宋" w:cs="仿宋_GB2312"/>
          <w:color w:val="000000"/>
          <w:kern w:val="0"/>
          <w:sz w:val="32"/>
          <w:szCs w:val="32"/>
        </w:rPr>
        <w:t>旅游”带动模式，得到了省联领导的高度肯定和认可。</w:t>
      </w:r>
      <w:r>
        <w:rPr>
          <w:rFonts w:hint="eastAsia" w:ascii="仿宋" w:hAnsi="仿宋" w:eastAsia="仿宋" w:cs="仿宋_GB2312"/>
          <w:color w:val="000000"/>
          <w:kern w:val="0"/>
          <w:sz w:val="32"/>
          <w:szCs w:val="32"/>
          <w:lang w:val="en-US" w:eastAsia="zh-CN"/>
        </w:rPr>
        <w:t>黄岩商会创建</w:t>
      </w:r>
      <w:r>
        <w:rPr>
          <w:rFonts w:hint="eastAsia" w:ascii="仿宋" w:hAnsi="仿宋" w:eastAsia="仿宋" w:cs="仿宋_GB2312"/>
          <w:sz w:val="32"/>
          <w:szCs w:val="32"/>
        </w:rPr>
        <w:t>“四好”商会</w:t>
      </w:r>
      <w:r>
        <w:rPr>
          <w:rFonts w:hint="eastAsia" w:ascii="仿宋" w:hAnsi="仿宋" w:eastAsia="仿宋" w:cs="仿宋_GB2312"/>
          <w:sz w:val="32"/>
          <w:szCs w:val="32"/>
          <w:lang w:eastAsia="zh-CN"/>
        </w:rPr>
        <w:t>已经</w:t>
      </w:r>
      <w:r>
        <w:rPr>
          <w:rFonts w:hint="eastAsia" w:ascii="仿宋" w:hAnsi="仿宋" w:eastAsia="仿宋" w:cs="仿宋_GB2312"/>
          <w:color w:val="000000"/>
          <w:kern w:val="0"/>
          <w:sz w:val="32"/>
          <w:szCs w:val="32"/>
          <w:lang w:val="en-US" w:eastAsia="zh-CN"/>
        </w:rPr>
        <w:t>通过了市里的初步审查。</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leftChars="0" w:firstLine="643" w:firstLineChars="200"/>
        <w:textAlignment w:val="auto"/>
        <w:rPr>
          <w:rFonts w:hint="eastAsia" w:ascii="仿宋_GB2312" w:hAnsi="仿宋" w:eastAsia="仿宋_GB2312"/>
          <w:b/>
          <w:sz w:val="32"/>
          <w:szCs w:val="32"/>
        </w:rPr>
      </w:pPr>
      <w:r>
        <w:rPr>
          <w:rFonts w:hint="eastAsia" w:ascii="楷体" w:hAnsi="楷体" w:eastAsia="楷体" w:cs="楷体"/>
          <w:b/>
          <w:bCs/>
          <w:i w:val="0"/>
          <w:caps w:val="0"/>
          <w:color w:val="0C0C0C"/>
          <w:spacing w:val="0"/>
          <w:sz w:val="32"/>
          <w:szCs w:val="32"/>
          <w:shd w:val="clear" w:color="auto" w:fill="FFFFFF"/>
          <w:lang w:val="en-US" w:eastAsia="zh-CN"/>
        </w:rPr>
        <w:t>2、</w:t>
      </w:r>
      <w:r>
        <w:rPr>
          <w:rFonts w:hint="eastAsia" w:ascii="楷体" w:hAnsi="楷体" w:eastAsia="楷体" w:cs="楷体"/>
          <w:b/>
          <w:sz w:val="32"/>
          <w:szCs w:val="32"/>
        </w:rPr>
        <w:t>机关建设廉洁务实。</w:t>
      </w:r>
      <w:r>
        <w:rPr>
          <w:rFonts w:hint="eastAsia" w:eastAsia="仿宋_GB2312"/>
          <w:sz w:val="32"/>
          <w:szCs w:val="32"/>
        </w:rPr>
        <w:t>加强党风廉政建设，切实落实“一岗双责”，推进全面从严治党，坚定理想信念，自觉树立廉洁从政意识，积极构建“亲”“清”政商关系。</w:t>
      </w:r>
      <w:r>
        <w:rPr>
          <w:rFonts w:hint="eastAsia" w:ascii="仿宋_GB2312" w:hAnsi="仿宋" w:eastAsia="仿宋_GB2312"/>
          <w:sz w:val="32"/>
          <w:szCs w:val="32"/>
        </w:rPr>
        <w:t>巩固“五好”工商联建设成果，</w:t>
      </w:r>
      <w:r>
        <w:rPr>
          <w:rFonts w:hint="eastAsia" w:ascii="仿宋_GB2312" w:hAnsi="_4eff_5b8b_GB2312" w:eastAsia="仿宋_GB2312" w:cs="宋体"/>
          <w:color w:val="000000"/>
          <w:kern w:val="0"/>
          <w:sz w:val="32"/>
          <w:szCs w:val="32"/>
        </w:rPr>
        <w:t>20</w:t>
      </w:r>
      <w:r>
        <w:rPr>
          <w:rFonts w:hint="eastAsia" w:ascii="仿宋_GB2312" w:hAnsi="_4eff_5b8b_GB2312" w:eastAsia="仿宋_GB2312" w:cs="宋体"/>
          <w:color w:val="000000"/>
          <w:kern w:val="0"/>
          <w:sz w:val="32"/>
          <w:szCs w:val="32"/>
          <w:lang w:val="en-US" w:eastAsia="zh-CN"/>
        </w:rPr>
        <w:t>20</w:t>
      </w:r>
      <w:r>
        <w:rPr>
          <w:rFonts w:hint="eastAsia" w:ascii="仿宋_GB2312" w:hAnsi="_4eff_5b8b_GB2312" w:eastAsia="仿宋_GB2312" w:cs="宋体"/>
          <w:color w:val="000000"/>
          <w:kern w:val="0"/>
          <w:sz w:val="32"/>
          <w:szCs w:val="32"/>
        </w:rPr>
        <w:t>年我联保持全国</w:t>
      </w:r>
      <w:r>
        <w:rPr>
          <w:rFonts w:hint="eastAsia" w:ascii="_4eff_5b8b_GB2312" w:hAnsi="_4eff_5b8b_GB2312" w:eastAsia="仿宋_GB2312" w:cs="宋体"/>
          <w:color w:val="000000"/>
          <w:kern w:val="0"/>
          <w:sz w:val="32"/>
          <w:szCs w:val="32"/>
        </w:rPr>
        <w:t> </w:t>
      </w:r>
      <w:r>
        <w:rPr>
          <w:rFonts w:hint="eastAsia" w:ascii="仿宋_GB2312" w:hAnsi="_4eff_5b8b_GB2312" w:eastAsia="仿宋_GB2312" w:cs="宋体"/>
          <w:color w:val="000000"/>
          <w:kern w:val="0"/>
          <w:sz w:val="32"/>
          <w:szCs w:val="32"/>
        </w:rPr>
        <w:t>“五好”县级工商联先进单位。</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321" w:firstLineChars="100"/>
        <w:textAlignment w:val="auto"/>
        <w:rPr>
          <w:rFonts w:hint="eastAsia" w:ascii="仿宋_GB2312" w:hAnsi="仿宋" w:eastAsia="仿宋_GB2312"/>
          <w:b/>
          <w:sz w:val="32"/>
          <w:szCs w:val="32"/>
          <w:lang w:eastAsia="zh-CN"/>
        </w:rPr>
      </w:pPr>
      <w:r>
        <w:rPr>
          <w:rFonts w:hint="eastAsia" w:ascii="仿宋_GB2312" w:hAnsi="仿宋" w:eastAsia="仿宋_GB2312"/>
          <w:b/>
          <w:sz w:val="32"/>
          <w:szCs w:val="32"/>
          <w:lang w:eastAsia="zh-CN"/>
        </w:rPr>
        <w:t>（七）积极开展意识形态工作,注重舆论引导</w:t>
      </w:r>
    </w:p>
    <w:p>
      <w:pPr>
        <w:keepNext w:val="0"/>
        <w:keepLines w:val="0"/>
        <w:pageBreakBefore w:val="0"/>
        <w:widowControl/>
        <w:kinsoku/>
        <w:wordWrap/>
        <w:overflowPunct/>
        <w:topLinePunct w:val="0"/>
        <w:autoSpaceDE/>
        <w:autoSpaceDN/>
        <w:bidi w:val="0"/>
        <w:adjustRightInd w:val="0"/>
        <w:snapToGrid w:val="0"/>
        <w:spacing w:after="0" w:line="580" w:lineRule="exact"/>
        <w:ind w:leftChars="0" w:firstLine="643" w:firstLineChars="200"/>
        <w:textAlignment w:val="auto"/>
        <w:rPr>
          <w:rFonts w:hint="eastAsia" w:ascii="仿宋" w:hAnsi="仿宋" w:eastAsia="仿宋" w:cs="仿宋"/>
          <w:color w:val="0C0C0C"/>
          <w:sz w:val="32"/>
          <w:szCs w:val="32"/>
        </w:rPr>
      </w:pPr>
      <w:r>
        <w:rPr>
          <w:rFonts w:hint="eastAsia" w:ascii="楷体" w:hAnsi="楷体" w:eastAsia="楷体" w:cs="楷体"/>
          <w:b/>
          <w:bCs/>
          <w:color w:val="0C0C0C"/>
          <w:sz w:val="32"/>
          <w:szCs w:val="32"/>
        </w:rPr>
        <w:t>1、深入开展机关意识形态工作。</w:t>
      </w:r>
      <w:r>
        <w:rPr>
          <w:rFonts w:hint="eastAsia" w:ascii="仿宋" w:hAnsi="仿宋" w:eastAsia="仿宋" w:cs="仿宋"/>
          <w:color w:val="0C0C0C"/>
          <w:sz w:val="32"/>
          <w:szCs w:val="32"/>
        </w:rPr>
        <w:t>我联积极开展学习区委区政府关于意识形态相关文件精神，力求体悟透彻、体会深刻。意识形态工作是党的一项重要工作，关乎旗帜、关乎道路、关乎国家政治安全。我联负责人以对党负责的态度，旗帜鲜明地站在意识形态工作第一线，时刻履行监督责任，带头批评错误观点和错误倾向，加强组织领导，塑造坚定政治立场。</w:t>
      </w:r>
    </w:p>
    <w:p>
      <w:pPr>
        <w:keepNext w:val="0"/>
        <w:keepLines w:val="0"/>
        <w:pageBreakBefore w:val="0"/>
        <w:widowControl/>
        <w:kinsoku/>
        <w:wordWrap/>
        <w:overflowPunct/>
        <w:topLinePunct w:val="0"/>
        <w:autoSpaceDE/>
        <w:autoSpaceDN/>
        <w:bidi w:val="0"/>
        <w:adjustRightInd w:val="0"/>
        <w:snapToGrid w:val="0"/>
        <w:spacing w:after="0" w:line="580" w:lineRule="exact"/>
        <w:ind w:leftChars="0" w:firstLine="643" w:firstLineChars="200"/>
        <w:textAlignment w:val="auto"/>
        <w:rPr>
          <w:rFonts w:hint="eastAsia" w:ascii="仿宋" w:hAnsi="仿宋" w:eastAsia="仿宋" w:cs="仿宋"/>
          <w:color w:val="0C0C0C"/>
          <w:sz w:val="32"/>
          <w:szCs w:val="32"/>
        </w:rPr>
      </w:pPr>
      <w:r>
        <w:rPr>
          <w:rFonts w:hint="eastAsia" w:ascii="楷体" w:hAnsi="楷体" w:eastAsia="楷体" w:cs="楷体"/>
          <w:b/>
          <w:bCs w:val="0"/>
          <w:color w:val="0C0C0C"/>
          <w:sz w:val="32"/>
          <w:szCs w:val="32"/>
        </w:rPr>
        <w:t>2、深入开展非公企业意识形态工作。</w:t>
      </w:r>
      <w:r>
        <w:rPr>
          <w:rFonts w:hint="eastAsia" w:ascii="仿宋" w:hAnsi="仿宋" w:eastAsia="仿宋" w:cs="仿宋"/>
          <w:color w:val="0C0C0C"/>
          <w:sz w:val="32"/>
          <w:szCs w:val="32"/>
        </w:rPr>
        <w:t xml:space="preserve">继续推进非公企业意识形态工作，加强新媒体对非公有制经济领域意识形态影响的研究和应对，积极主动宣传中央和国家的方针、政策，加大对错误思潮的批判，引导非公有制经济领域人士认清一些网络误导甚至主动驳斥错误言论。坚持“团结、服务、引导、教育”的方针，一手抓鼓励支持，一手抓教育引导，关注他们的思想，关注他们的困难，有针对性地进行帮助引导，引导非公有制经济人士特别是年轻一代致富思源、富而思进，做到爱国、敬业、创新、守法、诚信、贡献。 </w:t>
      </w:r>
    </w:p>
    <w:p>
      <w:pPr>
        <w:keepNext w:val="0"/>
        <w:keepLines w:val="0"/>
        <w:pageBreakBefore w:val="0"/>
        <w:widowControl/>
        <w:kinsoku/>
        <w:wordWrap/>
        <w:overflowPunct/>
        <w:topLinePunct w:val="0"/>
        <w:autoSpaceDE/>
        <w:autoSpaceDN/>
        <w:bidi w:val="0"/>
        <w:adjustRightInd w:val="0"/>
        <w:snapToGrid w:val="0"/>
        <w:spacing w:after="0" w:line="580" w:lineRule="exact"/>
        <w:ind w:leftChars="0" w:firstLine="640" w:firstLineChars="200"/>
        <w:textAlignment w:val="auto"/>
        <w:rPr>
          <w:rFonts w:hint="eastAsia" w:ascii="仿宋" w:hAnsi="仿宋" w:eastAsia="仿宋" w:cs="仿宋"/>
          <w:i w:val="0"/>
          <w:caps w:val="0"/>
          <w:color w:val="0C0C0C"/>
          <w:spacing w:val="0"/>
          <w:sz w:val="32"/>
          <w:szCs w:val="32"/>
          <w:shd w:val="clear" w:color="auto" w:fill="FFFFFF"/>
        </w:rPr>
      </w:pPr>
      <w:r>
        <w:rPr>
          <w:rFonts w:hint="eastAsia" w:ascii="仿宋" w:hAnsi="仿宋" w:eastAsia="仿宋" w:cs="仿宋"/>
          <w:i w:val="0"/>
          <w:caps w:val="0"/>
          <w:color w:val="0C0C0C"/>
          <w:spacing w:val="0"/>
          <w:sz w:val="32"/>
          <w:szCs w:val="32"/>
          <w:shd w:val="clear" w:color="auto" w:fill="FFFFFF"/>
        </w:rPr>
        <w:t>20</w:t>
      </w:r>
      <w:r>
        <w:rPr>
          <w:rFonts w:hint="eastAsia" w:ascii="仿宋" w:hAnsi="仿宋" w:eastAsia="仿宋" w:cs="仿宋"/>
          <w:i w:val="0"/>
          <w:caps w:val="0"/>
          <w:color w:val="0C0C0C"/>
          <w:spacing w:val="0"/>
          <w:sz w:val="32"/>
          <w:szCs w:val="32"/>
          <w:shd w:val="clear" w:color="auto" w:fill="FFFFFF"/>
          <w:lang w:val="en-US" w:eastAsia="zh-CN"/>
        </w:rPr>
        <w:t>20</w:t>
      </w:r>
      <w:r>
        <w:rPr>
          <w:rFonts w:hint="eastAsia" w:ascii="仿宋" w:hAnsi="仿宋" w:eastAsia="仿宋" w:cs="仿宋"/>
          <w:i w:val="0"/>
          <w:caps w:val="0"/>
          <w:color w:val="0C0C0C"/>
          <w:spacing w:val="0"/>
          <w:sz w:val="32"/>
          <w:szCs w:val="32"/>
          <w:shd w:val="clear" w:color="auto" w:fill="FFFFFF"/>
        </w:rPr>
        <w:t>年，</w:t>
      </w:r>
      <w:r>
        <w:rPr>
          <w:rFonts w:hint="eastAsia" w:ascii="仿宋" w:hAnsi="仿宋" w:eastAsia="仿宋" w:cs="仿宋"/>
          <w:i w:val="0"/>
          <w:caps w:val="0"/>
          <w:color w:val="0C0C0C"/>
          <w:spacing w:val="0"/>
          <w:sz w:val="32"/>
          <w:szCs w:val="32"/>
          <w:shd w:val="clear" w:color="auto" w:fill="FFFFFF"/>
          <w:lang w:eastAsia="zh-CN"/>
        </w:rPr>
        <w:t>我</w:t>
      </w:r>
      <w:r>
        <w:rPr>
          <w:rFonts w:hint="eastAsia" w:ascii="仿宋" w:hAnsi="仿宋" w:eastAsia="仿宋" w:cs="仿宋"/>
          <w:i w:val="0"/>
          <w:caps w:val="0"/>
          <w:color w:val="0C0C0C"/>
          <w:spacing w:val="0"/>
          <w:sz w:val="32"/>
          <w:szCs w:val="32"/>
          <w:shd w:val="clear" w:color="auto" w:fill="FFFFFF"/>
        </w:rPr>
        <w:t>联积极发挥职能作用，各方面都取得了较好的成绩。但我们也清醒地认识到，面对新的形势、新的任务和新的要求，我们仍存在不少问题，如缺乏深层次针对非公企业家的专题培训，提升企业家“二次创业”信心成效不明显，工商联机关干部队伍结构不合理等等。</w:t>
      </w:r>
    </w:p>
    <w:p>
      <w:pPr>
        <w:ind w:firstLine="643" w:firstLineChars="200"/>
        <w:rPr>
          <w:rFonts w:hint="eastAsia" w:ascii="Times New Roman" w:hAnsi="Times New Roman" w:eastAsia="仿宋_GB2312" w:cs="Times New Roman"/>
          <w:b/>
          <w:bCs/>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（三）有效性分析</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1、预算完成率。2020年上年结转0.051万元，年初预算</w:t>
      </w:r>
      <w:r>
        <w:rPr>
          <w:rFonts w:hint="eastAsia" w:ascii="仿宋" w:hAnsi="仿宋" w:eastAsia="仿宋" w:cs="仿宋"/>
          <w:color w:val="000000"/>
          <w:kern w:val="21"/>
          <w:sz w:val="32"/>
          <w:szCs w:val="32"/>
          <w:shd w:val="clear" w:color="auto" w:fill="FFFFFF"/>
          <w:lang w:val="en-US" w:eastAsia="zh-CN"/>
        </w:rPr>
        <w:t>157.30</w:t>
      </w:r>
      <w:r>
        <w:rPr>
          <w:rFonts w:hint="eastAsia" w:ascii="仿宋" w:hAnsi="仿宋" w:eastAsia="仿宋" w:cs="仿宋"/>
          <w:color w:val="auto"/>
          <w:kern w:val="2"/>
          <w:sz w:val="32"/>
          <w:szCs w:val="32"/>
          <w:lang w:val="en-US" w:eastAsia="zh-CN" w:bidi="ar-SA"/>
        </w:rPr>
        <w:t>万元，调整预算13.14万元，年末结转0万元，预算完成率92%。</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2、预算调整率。2020年预算控制率低于100%，预算控制未达到预期目标。</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3、公用经费控制率。2020年我联预算管理（按部门预算经济分类）各项指标控制良好，实际支出公用经费总额18.77万元，预算安排公用经费总额18.77万元，公用经费控制率100%。</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4、“三公经费”控制率。“三公经费”实际支出数为1.59万元，预算安排3.03万元，“三公经费”控制率为0.52%。</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5、政府采购执行率。政府采购预算0万元，实际政府采购金额0万元，预算执行率0%。</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6、管理制度健全性。严格落实《鹤城区工商联财务管理办法》等有关管理制度，规范财务审批程序，推行公务卡结算，严格差旅费和接待费支出标准、范围和程序的审核。</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w w:val="99"/>
          <w:kern w:val="2"/>
          <w:sz w:val="32"/>
          <w:szCs w:val="32"/>
          <w:lang w:val="en-US" w:eastAsia="zh-CN" w:bidi="ar-SA"/>
        </w:rPr>
        <w:t>7、 资金使用合规性。严格落实中央八项规定和有关公务支出标准。加强经费合法合规性审核和预算控制，严格按制度政策办事，资金使用合法合规，支出手续齐全，程序到位。</w:t>
      </w:r>
    </w:p>
    <w:p>
      <w:pPr>
        <w:widowControl/>
        <w:numPr>
          <w:ilvl w:val="0"/>
          <w:numId w:val="3"/>
        </w:numPr>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基础信息完善性。基础数据信息和会计信息资料真实、完整、准确。</w:t>
      </w:r>
    </w:p>
    <w:p>
      <w:pPr>
        <w:widowControl/>
        <w:numPr>
          <w:ilvl w:val="0"/>
          <w:numId w:val="3"/>
        </w:numPr>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资产管理安全性。我联</w:t>
      </w:r>
      <w:r>
        <w:rPr>
          <w:rFonts w:hint="eastAsia" w:ascii="仿宋" w:hAnsi="仿宋" w:eastAsia="仿宋" w:cs="仿宋"/>
          <w:spacing w:val="-2"/>
          <w:sz w:val="32"/>
          <w:szCs w:val="32"/>
        </w:rPr>
        <w:t>严格按照《</w:t>
      </w:r>
      <w:r>
        <w:rPr>
          <w:rFonts w:hint="eastAsia" w:ascii="仿宋" w:hAnsi="仿宋" w:eastAsia="仿宋" w:cs="仿宋"/>
          <w:spacing w:val="-2"/>
          <w:sz w:val="32"/>
          <w:szCs w:val="32"/>
          <w:lang w:eastAsia="zh-CN"/>
        </w:rPr>
        <w:t>鹤城区</w:t>
      </w:r>
      <w:r>
        <w:rPr>
          <w:rFonts w:hint="eastAsia" w:ascii="仿宋" w:hAnsi="仿宋" w:eastAsia="仿宋" w:cs="仿宋"/>
          <w:spacing w:val="-2"/>
          <w:sz w:val="32"/>
          <w:szCs w:val="32"/>
        </w:rPr>
        <w:t>资产管理办法》和《政府采购</w:t>
      </w:r>
      <w:r>
        <w:rPr>
          <w:rFonts w:hint="eastAsia" w:ascii="仿宋" w:hAnsi="仿宋" w:eastAsia="仿宋" w:cs="仿宋"/>
          <w:spacing w:val="-2"/>
          <w:sz w:val="32"/>
          <w:szCs w:val="32"/>
          <w:lang w:eastAsia="zh-CN"/>
        </w:rPr>
        <w:t>管理制度</w:t>
      </w:r>
      <w:r>
        <w:rPr>
          <w:rFonts w:hint="eastAsia" w:ascii="仿宋" w:hAnsi="仿宋" w:eastAsia="仿宋" w:cs="仿宋"/>
          <w:spacing w:val="-2"/>
          <w:sz w:val="32"/>
          <w:szCs w:val="32"/>
        </w:rPr>
        <w:t>》</w:t>
      </w:r>
      <w:r>
        <w:rPr>
          <w:rFonts w:hint="eastAsia" w:ascii="仿宋" w:hAnsi="仿宋" w:eastAsia="仿宋" w:cs="仿宋"/>
          <w:spacing w:val="-2"/>
          <w:sz w:val="32"/>
          <w:szCs w:val="32"/>
          <w:lang w:eastAsia="zh-CN"/>
        </w:rPr>
        <w:t>对固定资产</w:t>
      </w:r>
      <w:r>
        <w:rPr>
          <w:rFonts w:hint="eastAsia" w:ascii="仿宋" w:hAnsi="仿宋" w:eastAsia="仿宋" w:cs="仿宋"/>
          <w:spacing w:val="-2"/>
          <w:sz w:val="32"/>
          <w:szCs w:val="32"/>
        </w:rPr>
        <w:t>进行配置和处置，按计划购置办公用</w:t>
      </w:r>
      <w:r>
        <w:rPr>
          <w:rFonts w:hint="eastAsia" w:ascii="仿宋" w:hAnsi="仿宋" w:eastAsia="仿宋" w:cs="仿宋"/>
          <w:spacing w:val="-2"/>
          <w:sz w:val="32"/>
          <w:szCs w:val="32"/>
          <w:lang w:eastAsia="zh-CN"/>
        </w:rPr>
        <w:t>品。</w:t>
      </w:r>
    </w:p>
    <w:p>
      <w:pPr>
        <w:widowControl/>
        <w:spacing w:line="600" w:lineRule="exact"/>
        <w:ind w:firstLine="645"/>
        <w:jc w:val="left"/>
        <w:rPr>
          <w:rFonts w:hint="eastAsia" w:ascii="仿宋" w:hAnsi="仿宋" w:eastAsia="仿宋" w:cs="仿宋"/>
          <w:color w:val="000000"/>
          <w:sz w:val="32"/>
          <w:szCs w:val="32"/>
        </w:rPr>
      </w:pPr>
      <w:r>
        <w:rPr>
          <w:rFonts w:hint="eastAsia" w:ascii="仿宋" w:hAnsi="仿宋" w:eastAsia="仿宋" w:cs="仿宋"/>
          <w:color w:val="auto"/>
          <w:w w:val="99"/>
          <w:kern w:val="2"/>
          <w:sz w:val="32"/>
          <w:szCs w:val="32"/>
          <w:lang w:val="en-US" w:eastAsia="zh-CN" w:bidi="ar-SA"/>
        </w:rPr>
        <w:t>10、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widowControl/>
        <w:shd w:val="clear" w:color="auto" w:fill="FFFFFF"/>
        <w:spacing w:line="600" w:lineRule="atLeast"/>
        <w:ind w:firstLine="624"/>
        <w:rPr>
          <w:rFonts w:hint="eastAsia" w:ascii="仿宋" w:hAnsi="仿宋" w:eastAsia="仿宋"/>
          <w:b/>
          <w:bCs/>
          <w:spacing w:val="-2"/>
          <w:sz w:val="32"/>
          <w:szCs w:val="32"/>
        </w:rPr>
      </w:pPr>
      <w:r>
        <w:rPr>
          <w:rFonts w:hint="eastAsia" w:ascii="仿宋" w:hAnsi="仿宋" w:eastAsia="仿宋"/>
          <w:b/>
          <w:bCs/>
          <w:spacing w:val="-2"/>
          <w:sz w:val="32"/>
          <w:szCs w:val="32"/>
        </w:rPr>
        <w:t>（四）可持续性分析</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1、深入开展机关意识形态工作。我联积极开展学习区委区政府关于意识形态相关文件精神，力求体悟透彻、体会深刻。意识形态工作是党的一项重要工作，关乎旗帜、关乎道路、关乎国家政治安全。我联负责人以对党负责的态度，旗帜鲜明地站在意识形态工作第一线，时刻履行监督责任，带头批评错误观点和错误倾向，加强组织领导，塑造坚定政治立场。</w:t>
      </w:r>
    </w:p>
    <w:p>
      <w:pPr>
        <w:widowControl/>
        <w:autoSpaceDE w:val="0"/>
        <w:adjustRightInd w:val="0"/>
        <w:snapToGrid w:val="0"/>
        <w:spacing w:line="600" w:lineRule="exact"/>
        <w:ind w:firstLine="643" w:firstLineChars="200"/>
        <w:rPr>
          <w:rFonts w:hint="eastAsia" w:ascii="仿宋" w:hAnsi="仿宋" w:eastAsia="仿宋" w:cs="仿宋"/>
          <w:color w:val="0C0C0C"/>
          <w:sz w:val="32"/>
          <w:szCs w:val="32"/>
        </w:rPr>
      </w:pPr>
      <w:r>
        <w:rPr>
          <w:rFonts w:hint="eastAsia" w:ascii="仿宋" w:hAnsi="仿宋" w:eastAsia="仿宋" w:cs="仿宋"/>
          <w:b/>
          <w:bCs/>
          <w:color w:val="0C0C0C"/>
          <w:sz w:val="32"/>
          <w:szCs w:val="32"/>
        </w:rPr>
        <w:t>2、</w:t>
      </w:r>
      <w:r>
        <w:rPr>
          <w:rFonts w:hint="eastAsia" w:ascii="仿宋" w:hAnsi="仿宋" w:eastAsia="仿宋" w:cs="仿宋"/>
          <w:color w:val="0C0C0C"/>
          <w:sz w:val="32"/>
          <w:szCs w:val="32"/>
        </w:rPr>
        <w:t xml:space="preserve">深入开展非公企业意识形态工作。继续推进非公企业意识形态工作，加强新媒体对非公有制经济领域意识形态影响的研究和应对，积极主动宣传中央和国家的方针、政策，加大对错误思潮的批判，引导非公有制经济领域人士认清一些网络误导甚至主动驳斥错误言论。坚持“团结、服务、引导、教育”的方针，一手抓鼓励支持，一手抓教育引导，关注他们的思想，关注他们的困难，有针对性地进行帮助引导，引导非公有制经济人士特别是年轻一代致富思源、富而思进，做到爱国、敬业、创新、守法、诚信、贡献。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20</w:t>
      </w:r>
      <w:r>
        <w:rPr>
          <w:rFonts w:hint="eastAsia" w:eastAsia="仿宋_GB2312" w:cs="Times New Roman"/>
          <w:color w:val="auto"/>
          <w:kern w:val="2"/>
          <w:sz w:val="32"/>
          <w:szCs w:val="32"/>
          <w:lang w:val="en-US" w:eastAsia="zh-CN" w:bidi="ar-SA"/>
        </w:rPr>
        <w:t>20</w:t>
      </w:r>
      <w:r>
        <w:rPr>
          <w:rFonts w:hint="eastAsia" w:ascii="Times New Roman" w:hAnsi="Times New Roman" w:eastAsia="仿宋_GB2312" w:cs="Times New Roman"/>
          <w:color w:val="auto"/>
          <w:kern w:val="2"/>
          <w:sz w:val="32"/>
          <w:szCs w:val="32"/>
          <w:lang w:val="en-US" w:eastAsia="zh-CN" w:bidi="ar-SA"/>
        </w:rPr>
        <w:t>年我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ascii="仿宋" w:hAnsi="仿宋" w:eastAsia="仿宋"/>
          <w:spacing w:val="-2"/>
          <w:sz w:val="32"/>
          <w:szCs w:val="32"/>
        </w:rPr>
      </w:pPr>
      <w:r>
        <w:rPr>
          <w:rFonts w:eastAsia="黑体"/>
          <w:sz w:val="32"/>
          <w:szCs w:val="32"/>
        </w:rPr>
        <w:t>八、下一步改进措施</w:t>
      </w:r>
    </w:p>
    <w:p>
      <w:pPr>
        <w:ind w:firstLine="640" w:firstLineChars="200"/>
        <w:rPr>
          <w:rFonts w:eastAsia="黑体"/>
          <w:sz w:val="32"/>
          <w:szCs w:val="32"/>
        </w:rPr>
      </w:pPr>
      <w:r>
        <w:rPr>
          <w:rFonts w:hint="eastAsia" w:ascii="Times New Roman" w:hAnsi="Times New Roman" w:eastAsia="仿宋_GB2312" w:cs="Times New Roman"/>
          <w:color w:val="auto"/>
          <w:kern w:val="2"/>
          <w:sz w:val="32"/>
          <w:szCs w:val="32"/>
          <w:lang w:val="en-US" w:eastAsia="zh-CN" w:bidi="ar-SA"/>
        </w:rPr>
        <w:t>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需要增强预算编制的全面性、准确性，强化预算执行的严肃性。对年初没有预算安排的支出原则上不安排支出。严格按预算批复的用途使用资金，减少预算调整事项。 </w:t>
      </w:r>
    </w:p>
    <w:p>
      <w:pPr>
        <w:widowControl/>
        <w:spacing w:line="600" w:lineRule="exact"/>
        <w:ind w:firstLine="645"/>
        <w:jc w:val="left"/>
        <w:rPr>
          <w:rFonts w:eastAsia="黑体"/>
          <w:sz w:val="32"/>
          <w:szCs w:val="32"/>
        </w:rPr>
      </w:pPr>
      <w:r>
        <w:rPr>
          <w:rFonts w:eastAsia="黑体"/>
          <w:sz w:val="32"/>
          <w:szCs w:val="32"/>
        </w:rPr>
        <w:t>九、其他需要说明的情况</w:t>
      </w:r>
    </w:p>
    <w:p>
      <w:pPr>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无。</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pStyle w:val="4"/>
        <w:widowControl/>
        <w:shd w:val="clear" w:color="auto" w:fill="FFFFFF"/>
        <w:spacing w:line="450" w:lineRule="atLeast"/>
        <w:ind w:firstLine="300"/>
      </w:pPr>
      <w:r>
        <w:rPr>
          <w:rFonts w:ascii="Times New Roman" w:hAnsi="Times New Roman" w:eastAsia="仿宋_GB2312"/>
          <w:color w:val="000000"/>
          <w:kern w:val="21"/>
          <w:sz w:val="31"/>
          <w:szCs w:val="31"/>
          <w:shd w:val="clear" w:color="auto" w:fill="FFFFFF"/>
        </w:rPr>
        <w:t xml:space="preserve"> </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92分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hint="eastAsia" w:eastAsia="黑体"/>
          <w:sz w:val="32"/>
          <w:szCs w:val="32"/>
          <w:lang w:val="en-US" w:eastAsia="zh-CN"/>
        </w:rPr>
      </w:pPr>
    </w:p>
    <w:p>
      <w:pPr>
        <w:widowControl/>
        <w:spacing w:line="400" w:lineRule="exact"/>
        <w:jc w:val="left"/>
        <w:rPr>
          <w:rFonts w:hint="eastAsia" w:eastAsia="黑体"/>
          <w:sz w:val="32"/>
          <w:szCs w:val="32"/>
          <w:lang w:val="en-US" w:eastAsia="zh-CN"/>
        </w:rPr>
      </w:pPr>
    </w:p>
    <w:p>
      <w:pPr>
        <w:widowControl/>
        <w:spacing w:line="400" w:lineRule="exact"/>
        <w:jc w:val="left"/>
        <w:rPr>
          <w:rFonts w:hint="default" w:eastAsia="黑体"/>
          <w:sz w:val="32"/>
          <w:szCs w:val="32"/>
          <w:lang w:val="en-US" w:eastAsia="zh-CN"/>
        </w:rPr>
      </w:pPr>
      <w:r>
        <w:rPr>
          <w:rFonts w:hint="eastAsia" w:eastAsia="黑体"/>
          <w:sz w:val="32"/>
          <w:szCs w:val="32"/>
          <w:lang w:val="en-US" w:eastAsia="zh-CN"/>
        </w:rPr>
        <w:t>附件4-2</w:t>
      </w:r>
    </w:p>
    <w:tbl>
      <w:tblPr>
        <w:tblStyle w:val="5"/>
        <w:tblpPr w:leftFromText="180" w:rightFromText="180" w:vertAnchor="text" w:horzAnchor="page" w:tblpX="1045" w:tblpY="1959"/>
        <w:tblOverlap w:val="never"/>
        <w:tblW w:w="9440" w:type="dxa"/>
        <w:tblInd w:w="0" w:type="dxa"/>
        <w:tblLayout w:type="fixed"/>
        <w:tblCellMar>
          <w:top w:w="0" w:type="dxa"/>
          <w:left w:w="108" w:type="dxa"/>
          <w:bottom w:w="0" w:type="dxa"/>
          <w:right w:w="108" w:type="dxa"/>
        </w:tblCellMar>
      </w:tblPr>
      <w:tblGrid>
        <w:gridCol w:w="1070"/>
        <w:gridCol w:w="935"/>
        <w:gridCol w:w="963"/>
        <w:gridCol w:w="1399"/>
        <w:gridCol w:w="1400"/>
        <w:gridCol w:w="1249"/>
        <w:gridCol w:w="433"/>
        <w:gridCol w:w="1106"/>
        <w:gridCol w:w="885"/>
      </w:tblGrid>
      <w:tr>
        <w:tblPrEx>
          <w:tblCellMar>
            <w:top w:w="0" w:type="dxa"/>
            <w:left w:w="108" w:type="dxa"/>
            <w:bottom w:w="0" w:type="dxa"/>
            <w:right w:w="108" w:type="dxa"/>
          </w:tblCellMar>
        </w:tblPrEx>
        <w:trPr>
          <w:trHeight w:val="728" w:hRule="atLeast"/>
        </w:trPr>
        <w:tc>
          <w:tcPr>
            <w:tcW w:w="9440" w:type="dxa"/>
            <w:gridSpan w:val="9"/>
            <w:tcBorders>
              <w:top w:val="nil"/>
              <w:left w:val="nil"/>
              <w:bottom w:val="nil"/>
              <w:right w:val="nil"/>
            </w:tcBorders>
            <w:shd w:val="clear" w:color="auto" w:fill="auto"/>
            <w:noWrap/>
            <w:vAlign w:val="center"/>
          </w:tcPr>
          <w:p>
            <w:pPr>
              <w:widowControl/>
              <w:spacing w:line="240" w:lineRule="auto"/>
              <w:ind w:firstLine="0" w:firstLineChars="0"/>
              <w:jc w:val="center"/>
              <w:rPr>
                <w:rFonts w:eastAsia="方正小标宋_GBK"/>
                <w:color w:val="000000"/>
                <w:kern w:val="0"/>
                <w:sz w:val="36"/>
                <w:szCs w:val="36"/>
              </w:rPr>
            </w:pPr>
            <w:r>
              <w:rPr>
                <w:rFonts w:eastAsia="方正小标宋_GBK"/>
                <w:color w:val="000000"/>
                <w:kern w:val="0"/>
                <w:sz w:val="32"/>
                <w:szCs w:val="32"/>
              </w:rPr>
              <w:t>预算支出绩效自评表</w:t>
            </w:r>
          </w:p>
        </w:tc>
      </w:tr>
      <w:tr>
        <w:tblPrEx>
          <w:tblCellMar>
            <w:top w:w="0" w:type="dxa"/>
            <w:left w:w="108" w:type="dxa"/>
            <w:bottom w:w="0" w:type="dxa"/>
            <w:right w:w="108" w:type="dxa"/>
          </w:tblCellMar>
        </w:tblPrEx>
        <w:trPr>
          <w:trHeight w:val="300" w:hRule="atLeast"/>
        </w:trPr>
        <w:tc>
          <w:tcPr>
            <w:tcW w:w="9440" w:type="dxa"/>
            <w:gridSpan w:val="9"/>
            <w:tcBorders>
              <w:top w:val="nil"/>
              <w:left w:val="nil"/>
              <w:bottom w:val="single" w:color="auto" w:sz="4" w:space="0"/>
              <w:right w:val="nil"/>
            </w:tcBorders>
            <w:shd w:val="clear" w:color="auto" w:fill="auto"/>
            <w:noWrap/>
            <w:vAlign w:val="center"/>
          </w:tcPr>
          <w:p>
            <w:pPr>
              <w:widowControl/>
              <w:spacing w:line="240" w:lineRule="auto"/>
              <w:ind w:firstLine="0" w:firstLineChars="0"/>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610" w:hRule="atLeast"/>
        </w:trPr>
        <w:tc>
          <w:tcPr>
            <w:tcW w:w="107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项目支</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出名称</w:t>
            </w:r>
          </w:p>
        </w:tc>
        <w:tc>
          <w:tcPr>
            <w:tcW w:w="8370"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hint="eastAsia" w:eastAsia="仿宋_GB2312"/>
                <w:color w:val="000000"/>
                <w:kern w:val="0"/>
                <w:sz w:val="21"/>
                <w:szCs w:val="21"/>
                <w:lang w:val="en-US" w:eastAsia="zh-CN"/>
              </w:rPr>
              <w:t>工商联事务招商引资</w:t>
            </w: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主管部门</w:t>
            </w:r>
          </w:p>
        </w:tc>
        <w:tc>
          <w:tcPr>
            <w:tcW w:w="469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鹤城区区委统战部</w:t>
            </w:r>
          </w:p>
        </w:tc>
        <w:tc>
          <w:tcPr>
            <w:tcW w:w="1249"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实施单位</w:t>
            </w:r>
          </w:p>
        </w:tc>
        <w:tc>
          <w:tcPr>
            <w:tcW w:w="242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区工商联</w:t>
            </w: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项目资金</w:t>
            </w:r>
            <w:r>
              <w:rPr>
                <w:rFonts w:eastAsia="仿宋_GB2312"/>
                <w:color w:val="000000"/>
                <w:kern w:val="0"/>
                <w:sz w:val="21"/>
                <w:szCs w:val="21"/>
              </w:rPr>
              <w:br w:type="textWrapping"/>
            </w:r>
            <w:r>
              <w:rPr>
                <w:rFonts w:eastAsia="仿宋_GB2312"/>
                <w:color w:val="000000"/>
                <w:kern w:val="0"/>
                <w:sz w:val="21"/>
                <w:szCs w:val="21"/>
              </w:rPr>
              <w:t>（万元）</w:t>
            </w: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年初预算数</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全年预算数</w:t>
            </w:r>
          </w:p>
        </w:tc>
        <w:tc>
          <w:tcPr>
            <w:tcW w:w="1249"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全年执行数</w:t>
            </w:r>
          </w:p>
        </w:tc>
        <w:tc>
          <w:tcPr>
            <w:tcW w:w="433"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分值</w:t>
            </w:r>
          </w:p>
        </w:tc>
        <w:tc>
          <w:tcPr>
            <w:tcW w:w="1106"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执行率</w:t>
            </w:r>
          </w:p>
        </w:tc>
        <w:tc>
          <w:tcPr>
            <w:tcW w:w="885"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得分</w:t>
            </w:r>
          </w:p>
        </w:tc>
      </w:tr>
      <w:tr>
        <w:tblPrEx>
          <w:tblCellMar>
            <w:top w:w="0" w:type="dxa"/>
            <w:left w:w="108" w:type="dxa"/>
            <w:bottom w:w="0" w:type="dxa"/>
            <w:right w:w="108" w:type="dxa"/>
          </w:tblCellMar>
        </w:tblPrEx>
        <w:trPr>
          <w:trHeight w:val="641"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年度资金总额　</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170000.00</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170000.00</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170000.00</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10</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100%</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10</w:t>
            </w:r>
          </w:p>
        </w:tc>
      </w:tr>
      <w:tr>
        <w:tblPrEx>
          <w:tblCellMar>
            <w:top w:w="0" w:type="dxa"/>
            <w:left w:w="108" w:type="dxa"/>
            <w:bottom w:w="0" w:type="dxa"/>
            <w:right w:w="108" w:type="dxa"/>
          </w:tblCellMar>
        </w:tblPrEx>
        <w:trPr>
          <w:trHeight w:val="503"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其中：当年财政拨款　</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 w:val="21"/>
                <w:szCs w:val="21"/>
              </w:rPr>
              <w:t>　</w:t>
            </w:r>
            <w:r>
              <w:rPr>
                <w:rFonts w:hint="eastAsia" w:eastAsia="仿宋_GB2312"/>
                <w:color w:val="000000"/>
                <w:kern w:val="0"/>
                <w:sz w:val="21"/>
                <w:szCs w:val="21"/>
                <w:lang w:val="en-US" w:eastAsia="zh-CN"/>
              </w:rPr>
              <w:t>170000.00</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 w:val="21"/>
                <w:szCs w:val="21"/>
                <w:lang w:val="en-US" w:eastAsia="zh-CN"/>
              </w:rPr>
              <w:t>170000.00</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 w:val="21"/>
                <w:szCs w:val="21"/>
                <w:lang w:val="en-US" w:eastAsia="zh-CN"/>
              </w:rPr>
              <w:t>170000.00</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上年结转资金　</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其他资金</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年度总</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体目标</w:t>
            </w:r>
          </w:p>
        </w:tc>
        <w:tc>
          <w:tcPr>
            <w:tcW w:w="469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预期目标</w:t>
            </w:r>
          </w:p>
        </w:tc>
        <w:tc>
          <w:tcPr>
            <w:tcW w:w="367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实际完成情况　</w:t>
            </w:r>
          </w:p>
        </w:tc>
      </w:tr>
      <w:tr>
        <w:tblPrEx>
          <w:tblCellMar>
            <w:top w:w="0" w:type="dxa"/>
            <w:left w:w="108" w:type="dxa"/>
            <w:bottom w:w="0" w:type="dxa"/>
            <w:right w:w="108" w:type="dxa"/>
          </w:tblCellMar>
        </w:tblPrEx>
        <w:trPr>
          <w:trHeight w:val="1209" w:hRule="atLeast"/>
        </w:trPr>
        <w:tc>
          <w:tcPr>
            <w:tcW w:w="107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469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全区非公企业提供管理、法律咨询、开展工商企业专业培训、协调关系、调解经济纠纷、对广大会员进行团引导、教育。为全区非公企业招商引资服务</w:t>
            </w:r>
            <w:r>
              <w:rPr>
                <w:rFonts w:eastAsia="仿宋_GB2312"/>
                <w:color w:val="000000"/>
                <w:kern w:val="0"/>
                <w:sz w:val="21"/>
                <w:szCs w:val="21"/>
              </w:rPr>
              <w:t>　　</w:t>
            </w:r>
          </w:p>
        </w:tc>
        <w:tc>
          <w:tcPr>
            <w:tcW w:w="367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全区非公企业提供管理、法律咨询、开展工商企业专业培训、协调关系、调解经济纠纷、对广大会员进行团引导、教育。为全区非公企业招商引资服务</w:t>
            </w:r>
          </w:p>
        </w:tc>
      </w:tr>
      <w:tr>
        <w:tblPrEx>
          <w:tblCellMar>
            <w:top w:w="0" w:type="dxa"/>
            <w:left w:w="108" w:type="dxa"/>
            <w:bottom w:w="0" w:type="dxa"/>
            <w:right w:w="108" w:type="dxa"/>
          </w:tblCellMar>
        </w:tblPrEx>
        <w:trPr>
          <w:trHeight w:val="987" w:hRule="atLeast"/>
        </w:trPr>
        <w:tc>
          <w:tcPr>
            <w:tcW w:w="1070"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绩</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标</w:t>
            </w:r>
          </w:p>
        </w:tc>
        <w:tc>
          <w:tcPr>
            <w:tcW w:w="93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一级指标</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二级指标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三级指标</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年度</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指标值</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实际</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完成值</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分值</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得分</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both"/>
              <w:rPr>
                <w:rFonts w:eastAsia="仿宋_GB2312"/>
                <w:color w:val="000000"/>
                <w:kern w:val="0"/>
                <w:sz w:val="21"/>
                <w:szCs w:val="21"/>
              </w:rPr>
            </w:pPr>
            <w:r>
              <w:rPr>
                <w:rFonts w:eastAsia="仿宋_GB2312"/>
                <w:color w:val="000000"/>
                <w:kern w:val="0"/>
                <w:sz w:val="21"/>
                <w:szCs w:val="21"/>
              </w:rPr>
              <w:t>偏差原因分析及改进措施</w:t>
            </w:r>
          </w:p>
        </w:tc>
      </w:tr>
      <w:tr>
        <w:tblPrEx>
          <w:tblCellMar>
            <w:top w:w="0" w:type="dxa"/>
            <w:left w:w="108" w:type="dxa"/>
            <w:bottom w:w="0" w:type="dxa"/>
            <w:right w:w="108" w:type="dxa"/>
          </w:tblCellMar>
        </w:tblPrEx>
        <w:trPr>
          <w:trHeight w:val="15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产出</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center"/>
              <w:rPr>
                <w:rFonts w:eastAsia="仿宋_GB2312"/>
                <w:color w:val="000000"/>
                <w:kern w:val="0"/>
                <w:sz w:val="21"/>
                <w:szCs w:val="21"/>
              </w:rPr>
            </w:pP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(50分)</w:t>
            </w: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数量指标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“四好”商会</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基层商协会现有会员数达</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1154</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人</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18"/>
                <w:szCs w:val="18"/>
              </w:rPr>
              <w:t>　</w:t>
            </w:r>
            <w:r>
              <w:rPr>
                <w:rFonts w:hint="eastAsia" w:ascii="仿宋" w:hAnsi="仿宋" w:eastAsia="仿宋"/>
                <w:sz w:val="18"/>
                <w:szCs w:val="18"/>
              </w:rPr>
              <w:t>牢固树立“四个意识”，坚定“四个自信”，坚决做到“两个维护”。</w:t>
            </w:r>
            <w:r>
              <w:rPr>
                <w:rFonts w:hint="eastAsia" w:ascii="仿宋" w:hAnsi="仿宋" w:eastAsia="仿宋" w:cs="仿宋_GB2312"/>
                <w:color w:val="000000"/>
                <w:kern w:val="0"/>
                <w:sz w:val="18"/>
                <w:szCs w:val="18"/>
              </w:rPr>
              <w:t>基层商协会现有会员</w:t>
            </w:r>
            <w:r>
              <w:rPr>
                <w:rFonts w:hint="eastAsia" w:ascii="仿宋" w:hAnsi="仿宋" w:eastAsia="仿宋" w:cs="仿宋_GB2312"/>
                <w:sz w:val="18"/>
                <w:szCs w:val="18"/>
              </w:rPr>
              <w:t>数达到</w:t>
            </w:r>
            <w:r>
              <w:rPr>
                <w:rFonts w:ascii="仿宋" w:hAnsi="仿宋" w:eastAsia="仿宋" w:cs="仿宋_GB2312"/>
                <w:sz w:val="18"/>
                <w:szCs w:val="18"/>
              </w:rPr>
              <w:t>1</w:t>
            </w:r>
            <w:r>
              <w:rPr>
                <w:rFonts w:hint="eastAsia" w:ascii="仿宋" w:hAnsi="仿宋" w:eastAsia="仿宋" w:cs="仿宋_GB2312"/>
                <w:sz w:val="18"/>
                <w:szCs w:val="18"/>
                <w:lang w:val="en-US" w:eastAsia="zh-CN"/>
              </w:rPr>
              <w:t>154</w:t>
            </w:r>
            <w:r>
              <w:rPr>
                <w:rFonts w:hint="eastAsia" w:ascii="仿宋" w:hAnsi="仿宋" w:eastAsia="仿宋" w:cs="仿宋_GB2312"/>
                <w:sz w:val="18"/>
                <w:szCs w:val="18"/>
              </w:rPr>
              <w:t>人，比上年增长</w:t>
            </w:r>
            <w:r>
              <w:rPr>
                <w:rFonts w:hint="eastAsia" w:ascii="仿宋" w:hAnsi="仿宋" w:eastAsia="仿宋" w:cs="仿宋_GB2312"/>
                <w:sz w:val="21"/>
                <w:szCs w:val="21"/>
                <w:lang w:val="en-US" w:eastAsia="zh-CN"/>
              </w:rPr>
              <w:t>3</w:t>
            </w:r>
            <w:r>
              <w:rPr>
                <w:rFonts w:ascii="仿宋" w:hAnsi="仿宋" w:eastAsia="仿宋" w:cs="仿宋_GB2312"/>
                <w:sz w:val="21"/>
                <w:szCs w:val="21"/>
              </w:rPr>
              <w:t>%</w:t>
            </w:r>
            <w:r>
              <w:rPr>
                <w:rFonts w:hint="eastAsia" w:ascii="仿宋" w:hAnsi="仿宋" w:eastAsia="仿宋" w:cs="仿宋_GB2312"/>
                <w:sz w:val="32"/>
                <w:szCs w:val="32"/>
              </w:rPr>
              <w:t>，</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5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_GB2312" w:hAnsi="仿宋" w:eastAsia="仿宋_GB2312"/>
                <w:b w:val="0"/>
                <w:bCs/>
                <w:sz w:val="21"/>
                <w:szCs w:val="21"/>
              </w:rPr>
              <w:t>加强</w:t>
            </w:r>
            <w:r>
              <w:rPr>
                <w:rFonts w:hint="eastAsia" w:ascii="仿宋_GB2312" w:hAnsi="仿宋" w:eastAsia="仿宋_GB2312"/>
                <w:b w:val="0"/>
                <w:bCs/>
                <w:sz w:val="21"/>
                <w:szCs w:val="21"/>
                <w:lang w:eastAsia="zh-CN"/>
              </w:rPr>
              <w:t>疫情防控工作</w:t>
            </w:r>
            <w:r>
              <w:rPr>
                <w:rFonts w:hint="eastAsia" w:ascii="仿宋_GB2312" w:hAnsi="仿宋" w:eastAsia="仿宋_GB2312"/>
                <w:b w:val="0"/>
                <w:bCs/>
                <w:sz w:val="21"/>
                <w:szCs w:val="21"/>
              </w:rPr>
              <w:t>，</w:t>
            </w:r>
            <w:r>
              <w:rPr>
                <w:rFonts w:hint="eastAsia" w:ascii="仿宋_GB2312" w:hAnsi="仿宋" w:eastAsia="仿宋_GB2312"/>
                <w:b w:val="0"/>
                <w:bCs/>
                <w:sz w:val="21"/>
                <w:szCs w:val="21"/>
                <w:lang w:eastAsia="zh-CN"/>
              </w:rPr>
              <w:t>落实“六稳六保”</w:t>
            </w:r>
          </w:p>
        </w:tc>
        <w:tc>
          <w:tcPr>
            <w:tcW w:w="14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580" w:lineRule="exact"/>
              <w:ind w:leftChars="0" w:firstLine="420" w:firstLineChars="200"/>
              <w:textAlignment w:val="auto"/>
              <w:rPr>
                <w:rFonts w:hint="eastAsia" w:ascii="仿宋_GB2312" w:hAnsi="仿宋_GB2312" w:eastAsia="仿宋_GB2312" w:cs="仿宋_GB2312"/>
                <w:sz w:val="15"/>
                <w:szCs w:val="15"/>
                <w:lang w:eastAsia="zh-CN"/>
              </w:rPr>
            </w:pPr>
            <w:r>
              <w:rPr>
                <w:rFonts w:eastAsia="仿宋_GB2312"/>
                <w:color w:val="000000"/>
                <w:kern w:val="0"/>
                <w:sz w:val="21"/>
                <w:szCs w:val="21"/>
              </w:rPr>
              <w:t>　</w:t>
            </w:r>
            <w:r>
              <w:rPr>
                <w:rFonts w:hint="eastAsia" w:ascii="仿宋_GB2312" w:hAnsi="仿宋_GB2312" w:eastAsia="仿宋_GB2312" w:cs="仿宋_GB2312"/>
                <w:sz w:val="15"/>
                <w:szCs w:val="15"/>
                <w:lang w:eastAsia="zh-CN"/>
              </w:rPr>
              <w:t>严格管控小区、村，及时劝阻村民聚集、串门，劝停办喜宴9家，关闭麻将馆23家，发放宣传资料上万份。疫情期间，河西街道、盈口乡井坪村、城中街道太平桥社区累计管控对象936人，累计解除居家隔离747人，剩余管控对象75人，累计登记返怀人员</w:t>
            </w:r>
            <w:r>
              <w:rPr>
                <w:rFonts w:hint="eastAsia" w:ascii="仿宋_GB2312" w:hAnsi="仿宋_GB2312" w:eastAsia="仿宋_GB2312" w:cs="仿宋_GB2312"/>
                <w:sz w:val="15"/>
                <w:szCs w:val="15"/>
                <w:lang w:val="en-US" w:eastAsia="zh-CN"/>
              </w:rPr>
              <w:t>5600</w:t>
            </w:r>
            <w:r>
              <w:rPr>
                <w:rFonts w:hint="eastAsia" w:ascii="仿宋_GB2312" w:hAnsi="仿宋_GB2312" w:eastAsia="仿宋_GB2312" w:cs="仿宋_GB2312"/>
                <w:sz w:val="15"/>
                <w:szCs w:val="15"/>
                <w:lang w:eastAsia="zh-CN"/>
              </w:rPr>
              <w:t>人，河西街道5名确诊病例均已治愈出院。</w:t>
            </w:r>
          </w:p>
          <w:p>
            <w:pPr>
              <w:widowControl/>
              <w:spacing w:line="240" w:lineRule="auto"/>
              <w:ind w:firstLine="0" w:firstLineChars="0"/>
              <w:jc w:val="left"/>
              <w:rPr>
                <w:rFonts w:eastAsia="仿宋_GB2312"/>
                <w:color w:val="000000"/>
                <w:kern w:val="0"/>
                <w:sz w:val="21"/>
                <w:szCs w:val="21"/>
              </w:rPr>
            </w:pP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b w:val="0"/>
                <w:bCs w:val="0"/>
                <w:color w:val="000000"/>
                <w:kern w:val="0"/>
                <w:sz w:val="18"/>
                <w:szCs w:val="18"/>
              </w:rPr>
              <w:t>　</w:t>
            </w:r>
            <w:r>
              <w:rPr>
                <w:rFonts w:hint="eastAsia" w:ascii="楷体" w:hAnsi="楷体" w:eastAsia="楷体" w:cs="楷体"/>
                <w:b w:val="0"/>
                <w:bCs w:val="0"/>
                <w:i w:val="0"/>
                <w:caps w:val="0"/>
                <w:color w:val="0C0C0C"/>
                <w:spacing w:val="0"/>
                <w:sz w:val="18"/>
                <w:szCs w:val="18"/>
                <w:shd w:val="clear" w:color="auto" w:fill="FFFFFF"/>
                <w:lang w:val="en-US" w:eastAsia="zh-CN"/>
              </w:rPr>
              <w:t>提高站位，倾情倾力助抗疫。</w:t>
            </w:r>
            <w:r>
              <w:rPr>
                <w:rFonts w:hint="eastAsia" w:ascii="仿宋_GB2312" w:hAnsi="仿宋_GB2312" w:eastAsia="仿宋_GB2312" w:cs="仿宋_GB2312"/>
                <w:b w:val="0"/>
                <w:bCs w:val="0"/>
                <w:sz w:val="18"/>
                <w:szCs w:val="18"/>
                <w:lang w:eastAsia="zh-CN"/>
              </w:rPr>
              <w:t>自抗疫阻击战打响以来，根据区委、区政府对抗疫工作的部署安排</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0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hint="eastAsia"/>
                <w:sz w:val="21"/>
                <w:szCs w:val="21"/>
              </w:rPr>
            </w:pPr>
            <w:r>
              <w:rPr>
                <w:rFonts w:hint="eastAsia" w:ascii="仿宋" w:hAnsi="仿宋" w:eastAsia="仿宋" w:cs="仿宋"/>
                <w:color w:val="000000" w:themeColor="text1"/>
                <w:sz w:val="21"/>
                <w:szCs w:val="21"/>
                <w:lang w:eastAsia="zh-CN"/>
                <w14:textFill>
                  <w14:solidFill>
                    <w14:schemeClr w14:val="tx1"/>
                  </w14:solidFill>
                </w14:textFill>
              </w:rPr>
              <w:t>万企帮万村</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lang w:val="en-US" w:eastAsia="zh-CN"/>
                <w14:textFill>
                  <w14:solidFill>
                    <w14:schemeClr w14:val="tx1"/>
                  </w14:solidFill>
                </w14:textFill>
              </w:rPr>
              <w:t>85</w:t>
            </w:r>
            <w:r>
              <w:rPr>
                <w:rFonts w:hint="eastAsia" w:ascii="仿宋" w:hAnsi="仿宋" w:eastAsia="仿宋"/>
                <w:color w:val="000000" w:themeColor="text1"/>
                <w:sz w:val="21"/>
                <w:szCs w:val="21"/>
                <w14:textFill>
                  <w14:solidFill>
                    <w14:schemeClr w14:val="tx1"/>
                  </w14:solidFill>
                </w14:textFill>
              </w:rPr>
              <w:t>家企业实施帮扶项目</w:t>
            </w:r>
            <w:r>
              <w:rPr>
                <w:rFonts w:hint="eastAsia" w:ascii="仿宋" w:hAnsi="仿宋" w:eastAsia="仿宋"/>
                <w:color w:val="000000" w:themeColor="text1"/>
                <w:sz w:val="21"/>
                <w:szCs w:val="21"/>
                <w:lang w:val="en-US" w:eastAsia="zh-CN"/>
                <w14:textFill>
                  <w14:solidFill>
                    <w14:schemeClr w14:val="tx1"/>
                  </w14:solidFill>
                </w14:textFill>
              </w:rPr>
              <w:t>100</w:t>
            </w:r>
            <w:r>
              <w:rPr>
                <w:rFonts w:hint="eastAsia" w:ascii="仿宋" w:hAnsi="仿宋" w:eastAsia="仿宋"/>
                <w:color w:val="000000" w:themeColor="text1"/>
                <w:sz w:val="21"/>
                <w:szCs w:val="21"/>
                <w14:textFill>
                  <w14:solidFill>
                    <w14:schemeClr w14:val="tx1"/>
                  </w14:solidFill>
                </w14:textFill>
              </w:rPr>
              <w:t>个，累计投入帮扶资金</w:t>
            </w:r>
            <w:r>
              <w:rPr>
                <w:rFonts w:hint="eastAsia" w:ascii="仿宋" w:hAnsi="仿宋" w:eastAsia="仿宋"/>
                <w:color w:val="000000" w:themeColor="text1"/>
                <w:sz w:val="21"/>
                <w:szCs w:val="21"/>
                <w:lang w:val="en-US" w:eastAsia="zh-CN"/>
                <w14:textFill>
                  <w14:solidFill>
                    <w14:schemeClr w14:val="tx1"/>
                  </w14:solidFill>
                </w14:textFill>
              </w:rPr>
              <w:t>16133.38</w:t>
            </w:r>
            <w:r>
              <w:rPr>
                <w:rFonts w:hint="eastAsia" w:ascii="仿宋" w:hAnsi="仿宋" w:eastAsia="仿宋"/>
                <w:color w:val="000000" w:themeColor="text1"/>
                <w:sz w:val="21"/>
                <w:szCs w:val="21"/>
                <w:lang w:eastAsia="zh-CN"/>
                <w14:textFill>
                  <w14:solidFill>
                    <w14:schemeClr w14:val="tx1"/>
                  </w14:solidFill>
                </w14:textFill>
              </w:rPr>
              <w:t>万</w:t>
            </w:r>
            <w:r>
              <w:rPr>
                <w:rFonts w:hint="eastAsia" w:ascii="仿宋" w:hAnsi="仿宋" w:eastAsia="仿宋"/>
                <w:color w:val="000000" w:themeColor="text1"/>
                <w:sz w:val="21"/>
                <w:szCs w:val="21"/>
                <w14:textFill>
                  <w14:solidFill>
                    <w14:schemeClr w14:val="tx1"/>
                  </w14:solidFill>
                </w14:textFill>
              </w:rPr>
              <w:t>元，精准帮扶贫困人口</w:t>
            </w:r>
            <w:r>
              <w:rPr>
                <w:rFonts w:hint="eastAsia" w:ascii="仿宋" w:hAnsi="仿宋" w:eastAsia="仿宋"/>
                <w:color w:val="000000" w:themeColor="text1"/>
                <w:sz w:val="21"/>
                <w:szCs w:val="21"/>
                <w:lang w:val="en-US" w:eastAsia="zh-CN"/>
                <w14:textFill>
                  <w14:solidFill>
                    <w14:schemeClr w14:val="tx1"/>
                  </w14:solidFill>
                </w14:textFill>
              </w:rPr>
              <w:t>53310</w:t>
            </w:r>
            <w:r>
              <w:rPr>
                <w:rFonts w:hint="eastAsia" w:ascii="仿宋" w:hAnsi="仿宋" w:eastAsia="仿宋"/>
                <w:color w:val="000000" w:themeColor="text1"/>
                <w:sz w:val="21"/>
                <w:szCs w:val="21"/>
                <w14:textFill>
                  <w14:solidFill>
                    <w14:schemeClr w14:val="tx1"/>
                  </w14:solidFill>
                </w14:textFill>
              </w:rPr>
              <w:t>人，</w:t>
            </w:r>
            <w:r>
              <w:rPr>
                <w:rFonts w:hint="eastAsia" w:ascii="仿宋" w:hAnsi="仿宋" w:eastAsia="仿宋"/>
                <w:color w:val="000000" w:themeColor="text1"/>
                <w:sz w:val="21"/>
                <w:szCs w:val="21"/>
                <w:lang w:eastAsia="zh-CN"/>
                <w14:textFill>
                  <w14:solidFill>
                    <w14:schemeClr w14:val="tx1"/>
                  </w14:solidFill>
                </w14:textFill>
              </w:rPr>
              <w:t>解决</w:t>
            </w:r>
            <w:r>
              <w:rPr>
                <w:rFonts w:hint="eastAsia" w:ascii="仿宋" w:hAnsi="仿宋" w:eastAsia="仿宋"/>
                <w:color w:val="000000" w:themeColor="text1"/>
                <w:sz w:val="21"/>
                <w:szCs w:val="21"/>
                <w14:textFill>
                  <w14:solidFill>
                    <w14:schemeClr w14:val="tx1"/>
                  </w14:solidFill>
                </w14:textFill>
              </w:rPr>
              <w:t>就业</w:t>
            </w:r>
            <w:r>
              <w:rPr>
                <w:rFonts w:hint="eastAsia" w:ascii="仿宋" w:hAnsi="仿宋" w:eastAsia="仿宋"/>
                <w:color w:val="000000" w:themeColor="text1"/>
                <w:sz w:val="21"/>
                <w:szCs w:val="21"/>
                <w:lang w:val="en-US" w:eastAsia="zh-CN"/>
                <w14:textFill>
                  <w14:solidFill>
                    <w14:schemeClr w14:val="tx1"/>
                  </w14:solidFill>
                </w14:textFill>
              </w:rPr>
              <w:t>669</w:t>
            </w:r>
            <w:r>
              <w:rPr>
                <w:rFonts w:hint="eastAsia" w:ascii="仿宋" w:hAnsi="仿宋" w:eastAsia="仿宋"/>
                <w:color w:val="000000" w:themeColor="text1"/>
                <w:sz w:val="21"/>
                <w:szCs w:val="21"/>
                <w14:textFill>
                  <w14:solidFill>
                    <w14:schemeClr w14:val="tx1"/>
                  </w14:solidFill>
                </w14:textFill>
              </w:rPr>
              <w:t>人</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18"/>
                <w:szCs w:val="18"/>
                <w:lang w:val="en-US" w:eastAsia="zh-CN"/>
                <w14:textFill>
                  <w14:solidFill>
                    <w14:schemeClr w14:val="tx1"/>
                  </w14:solidFill>
                </w14:textFill>
              </w:rPr>
              <w:t>85</w:t>
            </w:r>
            <w:r>
              <w:rPr>
                <w:rFonts w:hint="eastAsia" w:ascii="仿宋" w:hAnsi="仿宋" w:eastAsia="仿宋"/>
                <w:color w:val="000000" w:themeColor="text1"/>
                <w:sz w:val="18"/>
                <w:szCs w:val="18"/>
                <w14:textFill>
                  <w14:solidFill>
                    <w14:schemeClr w14:val="tx1"/>
                  </w14:solidFill>
                </w14:textFill>
              </w:rPr>
              <w:t>家企业实施帮扶项目</w:t>
            </w:r>
            <w:r>
              <w:rPr>
                <w:rFonts w:hint="eastAsia" w:ascii="仿宋" w:hAnsi="仿宋" w:eastAsia="仿宋"/>
                <w:color w:val="000000" w:themeColor="text1"/>
                <w:sz w:val="18"/>
                <w:szCs w:val="18"/>
                <w:lang w:val="en-US" w:eastAsia="zh-CN"/>
                <w14:textFill>
                  <w14:solidFill>
                    <w14:schemeClr w14:val="tx1"/>
                  </w14:solidFill>
                </w14:textFill>
              </w:rPr>
              <w:t>100</w:t>
            </w:r>
            <w:r>
              <w:rPr>
                <w:rFonts w:hint="eastAsia" w:ascii="仿宋" w:hAnsi="仿宋" w:eastAsia="仿宋"/>
                <w:color w:val="000000" w:themeColor="text1"/>
                <w:sz w:val="18"/>
                <w:szCs w:val="18"/>
                <w14:textFill>
                  <w14:solidFill>
                    <w14:schemeClr w14:val="tx1"/>
                  </w14:solidFill>
                </w14:textFill>
              </w:rPr>
              <w:t>个，累计投入帮扶资金</w:t>
            </w:r>
            <w:r>
              <w:rPr>
                <w:rFonts w:hint="eastAsia" w:ascii="仿宋" w:hAnsi="仿宋" w:eastAsia="仿宋"/>
                <w:color w:val="000000" w:themeColor="text1"/>
                <w:sz w:val="18"/>
                <w:szCs w:val="18"/>
                <w:lang w:val="en-US" w:eastAsia="zh-CN"/>
                <w14:textFill>
                  <w14:solidFill>
                    <w14:schemeClr w14:val="tx1"/>
                  </w14:solidFill>
                </w14:textFill>
              </w:rPr>
              <w:t>16133.38</w:t>
            </w:r>
            <w:r>
              <w:rPr>
                <w:rFonts w:hint="eastAsia" w:ascii="仿宋" w:hAnsi="仿宋" w:eastAsia="仿宋"/>
                <w:color w:val="000000" w:themeColor="text1"/>
                <w:sz w:val="18"/>
                <w:szCs w:val="18"/>
                <w:lang w:eastAsia="zh-CN"/>
                <w14:textFill>
                  <w14:solidFill>
                    <w14:schemeClr w14:val="tx1"/>
                  </w14:solidFill>
                </w14:textFill>
              </w:rPr>
              <w:t>万</w:t>
            </w:r>
            <w:r>
              <w:rPr>
                <w:rFonts w:hint="eastAsia" w:ascii="仿宋" w:hAnsi="仿宋" w:eastAsia="仿宋"/>
                <w:color w:val="000000" w:themeColor="text1"/>
                <w:sz w:val="18"/>
                <w:szCs w:val="18"/>
                <w14:textFill>
                  <w14:solidFill>
                    <w14:schemeClr w14:val="tx1"/>
                  </w14:solidFill>
                </w14:textFill>
              </w:rPr>
              <w:t>元，精准帮扶贫困人口</w:t>
            </w:r>
            <w:r>
              <w:rPr>
                <w:rFonts w:hint="eastAsia" w:ascii="仿宋" w:hAnsi="仿宋" w:eastAsia="仿宋"/>
                <w:color w:val="000000" w:themeColor="text1"/>
                <w:sz w:val="18"/>
                <w:szCs w:val="18"/>
                <w:lang w:val="en-US" w:eastAsia="zh-CN"/>
                <w14:textFill>
                  <w14:solidFill>
                    <w14:schemeClr w14:val="tx1"/>
                  </w14:solidFill>
                </w14:textFill>
              </w:rPr>
              <w:t>53310</w:t>
            </w:r>
            <w:r>
              <w:rPr>
                <w:rFonts w:hint="eastAsia" w:ascii="仿宋" w:hAnsi="仿宋" w:eastAsia="仿宋"/>
                <w:color w:val="000000" w:themeColor="text1"/>
                <w:sz w:val="18"/>
                <w:szCs w:val="18"/>
                <w14:textFill>
                  <w14:solidFill>
                    <w14:schemeClr w14:val="tx1"/>
                  </w14:solidFill>
                </w14:textFill>
              </w:rPr>
              <w:t>人，</w:t>
            </w:r>
            <w:r>
              <w:rPr>
                <w:rFonts w:hint="eastAsia" w:ascii="仿宋" w:hAnsi="仿宋" w:eastAsia="仿宋"/>
                <w:color w:val="000000" w:themeColor="text1"/>
                <w:sz w:val="18"/>
                <w:szCs w:val="18"/>
                <w:lang w:eastAsia="zh-CN"/>
                <w14:textFill>
                  <w14:solidFill>
                    <w14:schemeClr w14:val="tx1"/>
                  </w14:solidFill>
                </w14:textFill>
              </w:rPr>
              <w:t>解决</w:t>
            </w:r>
            <w:r>
              <w:rPr>
                <w:rFonts w:hint="eastAsia" w:ascii="仿宋" w:hAnsi="仿宋" w:eastAsia="仿宋"/>
                <w:color w:val="000000" w:themeColor="text1"/>
                <w:sz w:val="18"/>
                <w:szCs w:val="18"/>
                <w14:textFill>
                  <w14:solidFill>
                    <w14:schemeClr w14:val="tx1"/>
                  </w14:solidFill>
                </w14:textFill>
              </w:rPr>
              <w:t>就</w:t>
            </w:r>
            <w:r>
              <w:rPr>
                <w:rFonts w:hint="eastAsia" w:ascii="仿宋" w:hAnsi="仿宋" w:eastAsia="仿宋"/>
                <w:color w:val="000000" w:themeColor="text1"/>
                <w:sz w:val="21"/>
                <w:szCs w:val="21"/>
                <w14:textFill>
                  <w14:solidFill>
                    <w14:schemeClr w14:val="tx1"/>
                  </w14:solidFill>
                </w14:textFill>
              </w:rPr>
              <w:t>业</w:t>
            </w:r>
            <w:r>
              <w:rPr>
                <w:rFonts w:hint="eastAsia" w:ascii="仿宋" w:hAnsi="仿宋" w:eastAsia="仿宋"/>
                <w:color w:val="000000" w:themeColor="text1"/>
                <w:sz w:val="21"/>
                <w:szCs w:val="21"/>
                <w:lang w:val="en-US" w:eastAsia="zh-CN"/>
                <w14:textFill>
                  <w14:solidFill>
                    <w14:schemeClr w14:val="tx1"/>
                  </w14:solidFill>
                </w14:textFill>
              </w:rPr>
              <w:t>669</w:t>
            </w:r>
            <w:r>
              <w:rPr>
                <w:rFonts w:hint="eastAsia" w:ascii="仿宋" w:hAnsi="仿宋" w:eastAsia="仿宋"/>
                <w:color w:val="000000" w:themeColor="text1"/>
                <w:sz w:val="21"/>
                <w:szCs w:val="21"/>
                <w14:textFill>
                  <w14:solidFill>
                    <w14:schemeClr w14:val="tx1"/>
                  </w14:solidFill>
                </w14:textFill>
              </w:rPr>
              <w:t>人</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hint="eastAsia" w:eastAsia="仿宋_GB2312"/>
                <w:color w:val="000000"/>
                <w:kern w:val="0"/>
                <w:sz w:val="21"/>
                <w:szCs w:val="21"/>
                <w:lang w:val="en-US" w:eastAsia="zh-CN"/>
              </w:rPr>
              <w:t>7</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hint="eastAsia" w:eastAsia="仿宋_GB2312"/>
                <w:color w:val="000000"/>
                <w:kern w:val="0"/>
                <w:sz w:val="21"/>
                <w:szCs w:val="21"/>
                <w:lang w:val="en-US" w:eastAsia="zh-CN"/>
              </w:rPr>
              <w:t>7</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r>
      <w:tr>
        <w:tblPrEx>
          <w:tblCellMar>
            <w:top w:w="0" w:type="dxa"/>
            <w:left w:w="108" w:type="dxa"/>
            <w:bottom w:w="0" w:type="dxa"/>
            <w:right w:w="108" w:type="dxa"/>
          </w:tblCellMar>
        </w:tblPrEx>
        <w:trPr>
          <w:trHeight w:val="1714"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质量指标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增加税收</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提高地方经济发展及税收收入，扩大就业成功率</w:t>
            </w:r>
            <w:r>
              <w:rPr>
                <w:rFonts w:hint="default" w:eastAsia="仿宋_GB2312"/>
                <w:color w:val="000000"/>
                <w:kern w:val="0"/>
                <w:sz w:val="21"/>
                <w:szCs w:val="21"/>
              </w:rPr>
              <w:t>≥</w:t>
            </w:r>
            <w:r>
              <w:rPr>
                <w:rFonts w:hint="eastAsia" w:eastAsia="仿宋_GB2312"/>
                <w:color w:val="000000"/>
                <w:kern w:val="0"/>
                <w:sz w:val="21"/>
                <w:szCs w:val="21"/>
                <w:lang w:val="en-US" w:eastAsia="zh-CN"/>
              </w:rPr>
              <w:t>80%</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提高地方经济发展及税收收入，扩大就业成功率达</w:t>
            </w:r>
            <w:r>
              <w:rPr>
                <w:rFonts w:hint="eastAsia" w:eastAsia="仿宋_GB2312"/>
                <w:color w:val="000000"/>
                <w:kern w:val="0"/>
                <w:sz w:val="21"/>
                <w:szCs w:val="21"/>
                <w:lang w:val="en-US" w:eastAsia="zh-CN"/>
              </w:rPr>
              <w:t>8</w:t>
            </w:r>
            <w:r>
              <w:rPr>
                <w:rFonts w:hint="eastAsia" w:eastAsia="仿宋_GB2312"/>
                <w:color w:val="000000"/>
                <w:kern w:val="0"/>
                <w:sz w:val="21"/>
                <w:szCs w:val="21"/>
              </w:rPr>
              <w:t>0%以上</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87"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14:textFill>
                  <w14:solidFill>
                    <w14:schemeClr w14:val="tx1"/>
                  </w14:solidFill>
                </w14:textFill>
              </w:rPr>
              <w:t>精准扶贫</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14:textFill>
                  <w14:solidFill>
                    <w14:schemeClr w14:val="tx1"/>
                  </w14:solidFill>
                </w14:textFill>
              </w:rPr>
              <w:t>精准帮扶贫困人口</w:t>
            </w:r>
            <w:r>
              <w:rPr>
                <w:rFonts w:hint="eastAsia" w:eastAsia="仿宋_GB2312"/>
                <w:color w:val="000000"/>
                <w:kern w:val="0"/>
                <w:sz w:val="21"/>
                <w:szCs w:val="21"/>
                <w:lang w:eastAsia="zh-CN"/>
              </w:rPr>
              <w:t>率</w:t>
            </w:r>
            <w:r>
              <w:rPr>
                <w:rFonts w:hint="default" w:eastAsia="仿宋_GB2312"/>
                <w:color w:val="000000"/>
                <w:kern w:val="0"/>
                <w:sz w:val="21"/>
                <w:szCs w:val="21"/>
                <w:lang w:eastAsia="zh-CN"/>
              </w:rPr>
              <w:t>≥</w:t>
            </w:r>
            <w:r>
              <w:rPr>
                <w:rFonts w:hint="eastAsia" w:eastAsia="仿宋_GB2312"/>
                <w:color w:val="000000"/>
                <w:kern w:val="0"/>
                <w:sz w:val="21"/>
                <w:szCs w:val="21"/>
                <w:lang w:val="en-US" w:eastAsia="zh-CN"/>
              </w:rPr>
              <w:t>95%</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rPr>
            </w:pPr>
            <w:r>
              <w:rPr>
                <w:rFonts w:eastAsia="仿宋_GB2312"/>
                <w:color w:val="000000"/>
                <w:kern w:val="0"/>
                <w:sz w:val="21"/>
                <w:szCs w:val="21"/>
              </w:rPr>
              <w:t>　</w:t>
            </w:r>
            <w:r>
              <w:rPr>
                <w:rFonts w:hint="eastAsia" w:ascii="仿宋" w:hAnsi="仿宋" w:eastAsia="仿宋"/>
                <w:color w:val="000000" w:themeColor="text1"/>
                <w:sz w:val="21"/>
                <w:szCs w:val="21"/>
                <w14:textFill>
                  <w14:solidFill>
                    <w14:schemeClr w14:val="tx1"/>
                  </w14:solidFill>
                </w14:textFill>
              </w:rPr>
              <w:t>精准帮扶贫困人口</w:t>
            </w:r>
            <w:r>
              <w:rPr>
                <w:rFonts w:hint="eastAsia" w:eastAsia="仿宋_GB2312"/>
                <w:color w:val="000000"/>
                <w:kern w:val="0"/>
                <w:sz w:val="21"/>
                <w:szCs w:val="21"/>
                <w:lang w:eastAsia="zh-CN"/>
              </w:rPr>
              <w:t>率</w:t>
            </w:r>
            <w:r>
              <w:rPr>
                <w:rFonts w:hint="default" w:eastAsia="仿宋_GB2312"/>
                <w:color w:val="000000"/>
                <w:kern w:val="0"/>
                <w:sz w:val="21"/>
                <w:szCs w:val="21"/>
                <w:lang w:eastAsia="zh-CN"/>
              </w:rPr>
              <w:t>≥</w:t>
            </w:r>
            <w:r>
              <w:rPr>
                <w:rFonts w:hint="eastAsia" w:eastAsia="仿宋_GB2312"/>
                <w:color w:val="000000"/>
                <w:kern w:val="0"/>
                <w:sz w:val="21"/>
                <w:szCs w:val="21"/>
                <w:lang w:val="en-US" w:eastAsia="zh-CN"/>
              </w:rPr>
              <w:t>95%以上</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时效指标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四好商会</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2020年完成</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2020年基本完成</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00000" w:themeColor="text1"/>
                <w:sz w:val="21"/>
                <w:szCs w:val="21"/>
                <w:lang w:eastAsia="zh-CN"/>
                <w14:textFill>
                  <w14:solidFill>
                    <w14:schemeClr w14:val="tx1"/>
                  </w14:solidFill>
                </w14:textFill>
              </w:rPr>
              <w:t>万企帮万村</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2020年完成</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2020年全部完成</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7</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成本指标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运行成本</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17万元</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17万元</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23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restart"/>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效益</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left"/>
              <w:rPr>
                <w:rFonts w:eastAsia="仿宋_GB2312"/>
                <w:color w:val="000000"/>
                <w:kern w:val="0"/>
                <w:sz w:val="21"/>
                <w:szCs w:val="21"/>
              </w:rPr>
            </w:pPr>
          </w:p>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（30分）</w:t>
            </w:r>
          </w:p>
          <w:p>
            <w:pPr>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经济效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增加税收</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提高地方经济发展及税收收入，扩大就业</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提高地方经济发展及税收收入，扩大就业</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4</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87"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14:textFill>
                  <w14:solidFill>
                    <w14:schemeClr w14:val="tx1"/>
                  </w14:solidFill>
                </w14:textFill>
              </w:rPr>
              <w:t>精准扶贫</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14:textFill>
                  <w14:solidFill>
                    <w14:schemeClr w14:val="tx1"/>
                  </w14:solidFill>
                </w14:textFill>
              </w:rPr>
              <w:t>精准帮扶贫困人口</w:t>
            </w:r>
            <w:r>
              <w:rPr>
                <w:rFonts w:hint="eastAsia" w:ascii="仿宋" w:hAnsi="仿宋" w:eastAsia="仿宋"/>
                <w:color w:val="000000" w:themeColor="text1"/>
                <w:sz w:val="21"/>
                <w:szCs w:val="21"/>
                <w:lang w:val="en-US" w:eastAsia="zh-CN"/>
                <w14:textFill>
                  <w14:solidFill>
                    <w14:schemeClr w14:val="tx1"/>
                  </w14:solidFill>
                </w14:textFill>
              </w:rPr>
              <w:t>13708</w:t>
            </w:r>
            <w:r>
              <w:rPr>
                <w:rFonts w:hint="eastAsia" w:ascii="仿宋" w:hAnsi="仿宋" w:eastAsia="仿宋"/>
                <w:color w:val="000000" w:themeColor="text1"/>
                <w:sz w:val="21"/>
                <w:szCs w:val="21"/>
                <w14:textFill>
                  <w14:solidFill>
                    <w14:schemeClr w14:val="tx1"/>
                  </w14:solidFill>
                </w14:textFill>
              </w:rPr>
              <w:t>人</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14:textFill>
                  <w14:solidFill>
                    <w14:schemeClr w14:val="tx1"/>
                  </w14:solidFill>
                </w14:textFill>
              </w:rPr>
              <w:t>精准帮扶贫困人口</w:t>
            </w:r>
            <w:r>
              <w:rPr>
                <w:rFonts w:hint="eastAsia" w:ascii="仿宋" w:hAnsi="仿宋" w:eastAsia="仿宋"/>
                <w:color w:val="000000" w:themeColor="text1"/>
                <w:sz w:val="21"/>
                <w:szCs w:val="21"/>
                <w:lang w:val="en-US" w:eastAsia="zh-CN"/>
                <w14:textFill>
                  <w14:solidFill>
                    <w14:schemeClr w14:val="tx1"/>
                  </w14:solidFill>
                </w14:textFill>
              </w:rPr>
              <w:t>13708</w:t>
            </w:r>
            <w:r>
              <w:rPr>
                <w:rFonts w:hint="eastAsia" w:ascii="仿宋" w:hAnsi="仿宋" w:eastAsia="仿宋"/>
                <w:color w:val="000000" w:themeColor="text1"/>
                <w:sz w:val="21"/>
                <w:szCs w:val="21"/>
                <w14:textFill>
                  <w14:solidFill>
                    <w14:schemeClr w14:val="tx1"/>
                  </w14:solidFill>
                </w14:textFill>
              </w:rPr>
              <w:t>人</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745"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社会效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带动就业</w:t>
            </w: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解决民生问题</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解决就业6千多人次</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4</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生态效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3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优化营商环境</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优化非公企业环境及服务</w:t>
            </w:r>
            <w:r>
              <w:rPr>
                <w:rFonts w:eastAsia="仿宋_GB2312"/>
                <w:color w:val="000000"/>
                <w:kern w:val="0"/>
                <w:sz w:val="21"/>
                <w:szCs w:val="21"/>
              </w:rPr>
              <w:t>　</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优化非公企业环境及服务</w:t>
            </w:r>
            <w:r>
              <w:rPr>
                <w:rFonts w:eastAsia="仿宋_GB2312"/>
                <w:color w:val="000000"/>
                <w:kern w:val="0"/>
                <w:sz w:val="21"/>
                <w:szCs w:val="21"/>
              </w:rPr>
              <w:t>　</w:t>
            </w:r>
          </w:p>
        </w:tc>
        <w:tc>
          <w:tcPr>
            <w:tcW w:w="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745" w:hRule="atLeast"/>
        </w:trPr>
        <w:tc>
          <w:tcPr>
            <w:tcW w:w="1070"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935"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可持续影响指标</w:t>
            </w:r>
          </w:p>
        </w:tc>
        <w:tc>
          <w:tcPr>
            <w:tcW w:w="13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招商引资宣传</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给企业提供优质服务</w:t>
            </w:r>
          </w:p>
        </w:tc>
        <w:tc>
          <w:tcPr>
            <w:tcW w:w="12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给企业提供优质服务</w:t>
            </w:r>
          </w:p>
        </w:tc>
        <w:tc>
          <w:tcPr>
            <w:tcW w:w="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35"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工商联事务</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建立长效机制</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建立长效机制</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35"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满意度</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（10分）</w:t>
            </w:r>
          </w:p>
        </w:tc>
        <w:tc>
          <w:tcPr>
            <w:tcW w:w="963"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服务对象满意度指标</w:t>
            </w: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230" w:hRule="atLeast"/>
        </w:trPr>
        <w:tc>
          <w:tcPr>
            <w:tcW w:w="1070"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35" w:type="dxa"/>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39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非公企业</w:t>
            </w:r>
          </w:p>
        </w:tc>
        <w:tc>
          <w:tcPr>
            <w:tcW w:w="1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非公企业</w:t>
            </w:r>
            <w:r>
              <w:rPr>
                <w:rFonts w:hint="eastAsia" w:eastAsia="仿宋_GB2312"/>
                <w:color w:val="000000"/>
                <w:kern w:val="0"/>
                <w:sz w:val="21"/>
                <w:szCs w:val="21"/>
              </w:rPr>
              <w:t>服务满意度达9</w:t>
            </w:r>
            <w:r>
              <w:rPr>
                <w:rFonts w:hint="eastAsia" w:eastAsia="仿宋_GB2312"/>
                <w:color w:val="000000"/>
                <w:kern w:val="0"/>
                <w:sz w:val="21"/>
                <w:szCs w:val="21"/>
                <w:lang w:val="en-US" w:eastAsia="zh-CN"/>
              </w:rPr>
              <w:t>8</w:t>
            </w:r>
            <w:r>
              <w:rPr>
                <w:rFonts w:hint="eastAsia" w:eastAsia="仿宋_GB2312"/>
                <w:color w:val="000000"/>
                <w:kern w:val="0"/>
                <w:sz w:val="21"/>
                <w:szCs w:val="21"/>
              </w:rPr>
              <w:t>%以上。</w:t>
            </w:r>
          </w:p>
        </w:tc>
        <w:tc>
          <w:tcPr>
            <w:tcW w:w="124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非公企业</w:t>
            </w:r>
            <w:r>
              <w:rPr>
                <w:rFonts w:hint="eastAsia" w:eastAsia="仿宋_GB2312"/>
                <w:color w:val="000000"/>
                <w:kern w:val="0"/>
                <w:sz w:val="21"/>
                <w:szCs w:val="21"/>
              </w:rPr>
              <w:t>服务满意度达</w:t>
            </w:r>
            <w:r>
              <w:rPr>
                <w:rFonts w:hint="eastAsia" w:eastAsia="仿宋_GB2312"/>
                <w:color w:val="000000"/>
                <w:kern w:val="0"/>
                <w:sz w:val="21"/>
                <w:szCs w:val="21"/>
                <w:lang w:val="en-US" w:eastAsia="zh-CN"/>
              </w:rPr>
              <w:t>100</w:t>
            </w:r>
            <w:r>
              <w:rPr>
                <w:rFonts w:hint="eastAsia" w:eastAsia="仿宋_GB2312"/>
                <w:color w:val="000000"/>
                <w:kern w:val="0"/>
                <w:sz w:val="21"/>
                <w:szCs w:val="21"/>
              </w:rPr>
              <w:t>%以上。</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20" w:hRule="atLeast"/>
        </w:trPr>
        <w:tc>
          <w:tcPr>
            <w:tcW w:w="436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eastAsia="仿宋_GB2312"/>
                <w:color w:val="000000"/>
                <w:kern w:val="0"/>
                <w:sz w:val="21"/>
                <w:szCs w:val="21"/>
                <w:lang w:val="en-US" w:eastAsia="zh-CN"/>
              </w:rPr>
            </w:pPr>
            <w:bookmarkStart w:id="0" w:name="_GoBack"/>
            <w:bookmarkEnd w:id="0"/>
            <w:r>
              <w:rPr>
                <w:rFonts w:hint="eastAsia" w:eastAsia="仿宋_GB2312"/>
                <w:color w:val="000000"/>
                <w:kern w:val="0"/>
                <w:sz w:val="21"/>
                <w:szCs w:val="21"/>
                <w:lang w:val="en-US" w:eastAsia="zh-CN"/>
              </w:rPr>
              <w:t>总分93分</w:t>
            </w:r>
          </w:p>
        </w:tc>
        <w:tc>
          <w:tcPr>
            <w:tcW w:w="507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100</w:t>
            </w:r>
          </w:p>
        </w:tc>
      </w:tr>
    </w:tbl>
    <w:p>
      <w:pPr>
        <w:widowControl/>
        <w:spacing w:line="600" w:lineRule="exact"/>
        <w:jc w:val="left"/>
        <w:rPr>
          <w:rFonts w:hint="default" w:eastAsia="仿宋_GB2312"/>
          <w:sz w:val="24"/>
          <w:lang w:val="en-US" w:eastAsia="zh-CN"/>
        </w:rPr>
      </w:pPr>
      <w:r>
        <w:rPr>
          <w:rFonts w:eastAsia="仿宋_GB2312"/>
          <w:sz w:val="24"/>
        </w:rPr>
        <w:t>单位负责人签字：</w:t>
      </w:r>
      <w:r>
        <w:rPr>
          <w:rFonts w:hint="eastAsia" w:eastAsia="仿宋_GB2312"/>
          <w:sz w:val="24"/>
          <w:lang w:val="en-US" w:eastAsia="zh-CN"/>
        </w:rPr>
        <w:t>易裕胜</w:t>
      </w:r>
    </w:p>
    <w:p>
      <w:pPr>
        <w:spacing w:afterLines="100" w:line="600" w:lineRule="exact"/>
        <w:rPr>
          <w:rFonts w:eastAsia="黑体"/>
          <w:sz w:val="32"/>
          <w:szCs w:val="32"/>
        </w:rPr>
      </w:pPr>
    </w:p>
    <w:p>
      <w:pPr>
        <w:spacing w:afterLines="100" w:line="600" w:lineRule="exact"/>
        <w:rPr>
          <w:rFonts w:eastAsia="黑体"/>
          <w:sz w:val="32"/>
          <w:szCs w:val="32"/>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曾萍       </w:t>
      </w:r>
      <w:r>
        <w:rPr>
          <w:rFonts w:eastAsia="仿宋_GB2312"/>
          <w:sz w:val="24"/>
        </w:rPr>
        <w:t>填报日期</w:t>
      </w:r>
      <w:r>
        <w:rPr>
          <w:rFonts w:hint="eastAsia" w:eastAsia="仿宋_GB2312"/>
          <w:sz w:val="24"/>
          <w:lang w:eastAsia="zh-CN"/>
        </w:rPr>
        <w:t>：</w:t>
      </w:r>
      <w:r>
        <w:rPr>
          <w:rFonts w:hint="eastAsia" w:eastAsia="仿宋_GB2312"/>
          <w:sz w:val="24"/>
          <w:lang w:val="en-US" w:eastAsia="zh-CN"/>
        </w:rPr>
        <w:t xml:space="preserve">2021.6.24      </w:t>
      </w:r>
      <w:r>
        <w:rPr>
          <w:rFonts w:eastAsia="仿宋_GB2312"/>
          <w:sz w:val="24"/>
        </w:rPr>
        <w:t>联系电话：</w:t>
      </w:r>
      <w:r>
        <w:rPr>
          <w:rFonts w:hint="eastAsia" w:eastAsia="仿宋_GB2312"/>
          <w:sz w:val="24"/>
          <w:lang w:val="en-US" w:eastAsia="zh-CN"/>
        </w:rPr>
        <w:t>2255831</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“2020年工商联业务工作经费”</w:t>
      </w:r>
    </w:p>
    <w:p>
      <w:pPr>
        <w:spacing w:line="600" w:lineRule="exact"/>
        <w:jc w:val="center"/>
        <w:rPr>
          <w:rFonts w:hint="eastAsia" w:ascii="黑体" w:hAnsi="黑体" w:eastAsia="黑体" w:cs="黑体"/>
          <w:sz w:val="44"/>
          <w:szCs w:val="44"/>
        </w:rPr>
      </w:pPr>
      <w:r>
        <w:rPr>
          <w:rFonts w:hint="eastAsia" w:ascii="黑体" w:hAnsi="黑体" w:eastAsia="黑体" w:cs="黑体"/>
          <w:sz w:val="44"/>
          <w:szCs w:val="44"/>
          <w:lang w:eastAsia="zh-CN"/>
        </w:rPr>
        <w:t>专项资金</w:t>
      </w:r>
      <w:r>
        <w:rPr>
          <w:rFonts w:hint="eastAsia" w:ascii="黑体" w:hAnsi="黑体" w:eastAsia="黑体" w:cs="黑体"/>
          <w:sz w:val="44"/>
          <w:szCs w:val="44"/>
        </w:rPr>
        <w:t>支出绩效评价报告</w:t>
      </w:r>
    </w:p>
    <w:p>
      <w:pPr>
        <w:spacing w:line="600" w:lineRule="exact"/>
        <w:jc w:val="center"/>
        <w:rPr>
          <w:rFonts w:hint="eastAsia" w:ascii="黑体" w:hAnsi="黑体" w:eastAsia="黑体" w:cs="黑体"/>
          <w:sz w:val="44"/>
          <w:szCs w:val="44"/>
        </w:rPr>
      </w:pPr>
    </w:p>
    <w:p>
      <w:pPr>
        <w:spacing w:line="60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一、预算支出基本情况</w:t>
      </w:r>
    </w:p>
    <w:p>
      <w:pPr>
        <w:spacing w:line="600" w:lineRule="exact"/>
        <w:ind w:firstLine="964" w:firstLineChars="300"/>
        <w:jc w:val="both"/>
        <w:rPr>
          <w:rFonts w:hint="eastAsia" w:ascii="仿宋" w:hAnsi="仿宋" w:eastAsia="仿宋" w:cs="仿宋"/>
          <w:sz w:val="32"/>
          <w:szCs w:val="32"/>
        </w:rPr>
      </w:pPr>
      <w:r>
        <w:rPr>
          <w:rFonts w:hint="eastAsia" w:ascii="仿宋" w:hAnsi="仿宋" w:eastAsia="仿宋" w:cs="仿宋"/>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ascii="仿宋" w:hAnsi="仿宋" w:eastAsia="仿宋" w:cs="仿宋"/>
          <w:kern w:val="0"/>
          <w:sz w:val="32"/>
          <w:szCs w:val="32"/>
        </w:rPr>
      </w:pPr>
      <w:r>
        <w:rPr>
          <w:rFonts w:hint="eastAsia" w:ascii="仿宋" w:hAnsi="仿宋" w:eastAsia="仿宋" w:cs="仿宋"/>
          <w:kern w:val="2"/>
          <w:sz w:val="32"/>
          <w:szCs w:val="32"/>
          <w:lang w:val="en-US" w:eastAsia="zh-CN" w:bidi="ar-SA"/>
        </w:rPr>
        <w:t>2020年年初预算数为17万元，</w:t>
      </w:r>
      <w:r>
        <w:rPr>
          <w:rFonts w:hint="eastAsia" w:ascii="仿宋" w:hAnsi="仿宋" w:eastAsia="仿宋" w:cs="仿宋"/>
          <w:w w:val="99"/>
          <w:sz w:val="32"/>
          <w:szCs w:val="32"/>
          <w:lang w:val="en-US" w:eastAsia="zh-CN"/>
        </w:rPr>
        <w:t>实际支出17万元，</w:t>
      </w:r>
      <w:r>
        <w:rPr>
          <w:rFonts w:hint="eastAsia" w:ascii="仿宋" w:hAnsi="仿宋" w:eastAsia="仿宋" w:cs="仿宋"/>
          <w:kern w:val="2"/>
          <w:sz w:val="32"/>
          <w:szCs w:val="32"/>
          <w:lang w:val="en-US" w:eastAsia="zh-CN" w:bidi="ar-SA"/>
        </w:rPr>
        <w:t>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640" w:firstLineChars="0"/>
        <w:textAlignment w:val="auto"/>
        <w:rPr>
          <w:rFonts w:hint="eastAsia" w:ascii="仿宋" w:hAnsi="仿宋" w:eastAsia="仿宋" w:cs="仿宋"/>
          <w:b/>
          <w:sz w:val="32"/>
          <w:szCs w:val="32"/>
        </w:rPr>
      </w:pPr>
      <w:r>
        <w:rPr>
          <w:rFonts w:hint="eastAsia" w:ascii="仿宋" w:hAnsi="仿宋" w:eastAsia="仿宋" w:cs="仿宋"/>
          <w:b/>
          <w:sz w:val="32"/>
          <w:szCs w:val="32"/>
        </w:rPr>
        <w:t>预算资金使用管理情况。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640" w:leftChars="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1、</w:t>
      </w:r>
      <w:r>
        <w:rPr>
          <w:rFonts w:hint="eastAsia" w:ascii="仿宋" w:hAnsi="仿宋" w:eastAsia="仿宋" w:cs="仿宋"/>
          <w:w w:val="100"/>
          <w:sz w:val="32"/>
          <w:szCs w:val="32"/>
        </w:rPr>
        <w:t>预算支出组织管理机构</w:t>
      </w:r>
      <w:r>
        <w:rPr>
          <w:rFonts w:hint="eastAsia" w:ascii="仿宋" w:hAnsi="仿宋" w:eastAsia="仿宋" w:cs="仿宋"/>
          <w:w w:val="100"/>
          <w:sz w:val="32"/>
          <w:szCs w:val="32"/>
          <w:lang w:eastAsia="zh-CN"/>
        </w:rPr>
        <w:t>：由鹤城区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负责实施。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2、</w:t>
      </w:r>
      <w:r>
        <w:rPr>
          <w:rFonts w:hint="eastAsia" w:ascii="仿宋" w:hAnsi="仿宋" w:eastAsia="仿宋" w:cs="仿宋"/>
          <w:w w:val="100"/>
          <w:sz w:val="32"/>
          <w:szCs w:val="32"/>
        </w:rPr>
        <w:t>预算资金和项目管理制度建设</w:t>
      </w:r>
      <w:r>
        <w:rPr>
          <w:rFonts w:hint="eastAsia" w:ascii="仿宋" w:hAnsi="仿宋" w:eastAsia="仿宋" w:cs="仿宋"/>
          <w:w w:val="100"/>
          <w:sz w:val="32"/>
          <w:szCs w:val="32"/>
          <w:lang w:eastAsia="zh-CN"/>
        </w:rPr>
        <w:t>：《鹤城区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财务管理制度》、《鹤城区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专项资金管理办法》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3、</w:t>
      </w:r>
      <w:r>
        <w:rPr>
          <w:rFonts w:hint="eastAsia" w:ascii="仿宋" w:hAnsi="仿宋" w:eastAsia="仿宋" w:cs="仿宋"/>
          <w:w w:val="100"/>
          <w:sz w:val="32"/>
          <w:szCs w:val="32"/>
        </w:rPr>
        <w:t>预算资金投向结构合理性</w:t>
      </w:r>
      <w:r>
        <w:rPr>
          <w:rFonts w:hint="eastAsia" w:ascii="仿宋" w:hAnsi="仿宋" w:eastAsia="仿宋" w:cs="仿宋"/>
          <w:w w:val="100"/>
          <w:sz w:val="32"/>
          <w:szCs w:val="32"/>
          <w:lang w:eastAsia="zh-CN"/>
        </w:rPr>
        <w:t>、</w:t>
      </w:r>
      <w:r>
        <w:rPr>
          <w:rFonts w:hint="eastAsia" w:ascii="仿宋" w:hAnsi="仿宋" w:eastAsia="仿宋" w:cs="仿宋"/>
          <w:w w:val="100"/>
          <w:sz w:val="32"/>
          <w:szCs w:val="32"/>
        </w:rPr>
        <w:t>资金拨付及时性</w:t>
      </w:r>
      <w:r>
        <w:rPr>
          <w:rFonts w:hint="eastAsia" w:ascii="仿宋" w:hAnsi="仿宋" w:eastAsia="仿宋" w:cs="仿宋"/>
          <w:w w:val="100"/>
          <w:sz w:val="32"/>
          <w:szCs w:val="32"/>
          <w:lang w:eastAsia="zh-CN"/>
        </w:rPr>
        <w:t>：根据预算资金用途，从厉节约出发，严格项目资金支出审批程序。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w w:val="100"/>
          <w:sz w:val="32"/>
          <w:szCs w:val="32"/>
          <w:lang w:val="en-US" w:eastAsia="zh-CN"/>
        </w:rPr>
        <w:t>4、</w:t>
      </w:r>
      <w:r>
        <w:rPr>
          <w:rFonts w:hint="eastAsia" w:ascii="仿宋" w:hAnsi="仿宋" w:eastAsia="仿宋" w:cs="仿宋"/>
          <w:w w:val="100"/>
          <w:sz w:val="32"/>
          <w:szCs w:val="32"/>
        </w:rPr>
        <w:t>项目组织实施的合规性</w:t>
      </w:r>
      <w:r>
        <w:rPr>
          <w:rFonts w:hint="eastAsia" w:ascii="仿宋" w:hAnsi="仿宋" w:eastAsia="仿宋" w:cs="仿宋"/>
          <w:w w:val="100"/>
          <w:sz w:val="32"/>
          <w:szCs w:val="32"/>
          <w:lang w:eastAsia="zh-CN"/>
        </w:rPr>
        <w:t>：</w:t>
      </w:r>
      <w:r>
        <w:rPr>
          <w:rFonts w:hint="eastAsia" w:ascii="仿宋" w:hAnsi="仿宋" w:eastAsia="仿宋" w:cs="仿宋"/>
          <w:w w:val="100"/>
          <w:sz w:val="32"/>
          <w:szCs w:val="32"/>
        </w:rPr>
        <w:t>申报内容与实际相符，申报目标合理可行。</w:t>
      </w:r>
    </w:p>
    <w:p>
      <w:pPr>
        <w:keepNext w:val="0"/>
        <w:keepLines w:val="0"/>
        <w:pageBreakBefore w:val="0"/>
        <w:kinsoku/>
        <w:wordWrap/>
        <w:overflowPunct/>
        <w:topLinePunct w:val="0"/>
        <w:autoSpaceDE/>
        <w:autoSpaceDN/>
        <w:bidi w:val="0"/>
        <w:spacing w:line="580" w:lineRule="exact"/>
        <w:ind w:left="0" w:firstLine="321" w:firstLineChars="100"/>
        <w:textAlignment w:val="auto"/>
        <w:rPr>
          <w:rFonts w:hint="eastAsia" w:ascii="仿宋" w:hAnsi="仿宋" w:eastAsia="仿宋" w:cs="仿宋"/>
          <w:b/>
          <w:sz w:val="32"/>
          <w:szCs w:val="32"/>
        </w:rPr>
      </w:pPr>
      <w:r>
        <w:rPr>
          <w:rFonts w:hint="eastAsia" w:ascii="仿宋" w:hAnsi="仿宋" w:eastAsia="仿宋" w:cs="仿宋"/>
          <w:b/>
          <w:sz w:val="32"/>
          <w:szCs w:val="32"/>
        </w:rPr>
        <w:t>（三）预算支出绩效目标完成程度。</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w:t>
      </w:r>
    </w:p>
    <w:p>
      <w:pPr>
        <w:keepNext w:val="0"/>
        <w:keepLines w:val="0"/>
        <w:pageBreakBefore w:val="0"/>
        <w:widowControl/>
        <w:kinsoku/>
        <w:wordWrap/>
        <w:overflowPunct/>
        <w:topLinePunct w:val="0"/>
        <w:autoSpaceDE/>
        <w:autoSpaceDN/>
        <w:bidi w:val="0"/>
        <w:adjustRightInd w:val="0"/>
        <w:snapToGrid w:val="0"/>
        <w:spacing w:after="0" w:line="580" w:lineRule="exact"/>
        <w:ind w:left="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kern w:val="2"/>
          <w:sz w:val="32"/>
          <w:szCs w:val="32"/>
          <w:lang w:val="en-US" w:eastAsia="zh-CN" w:bidi="ar-SA"/>
        </w:rPr>
        <w:t>2、</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深入贯彻实施“创新引领、开放崛起”战略，加快推进“对接湘商会，建设新家乡”“迎老乡、回故乡、建家乡”等专项行动</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今年我联领导班子亲赴青岛商会、深圳商会等多地挖掘湘商资源，邀请了</w:t>
      </w:r>
      <w:r>
        <w:rPr>
          <w:rFonts w:hint="eastAsia" w:ascii="仿宋" w:hAnsi="仿宋" w:eastAsia="仿宋" w:cs="仿宋"/>
          <w:color w:val="000000" w:themeColor="text1"/>
          <w:sz w:val="32"/>
          <w:szCs w:val="32"/>
          <w:lang w:val="en-US" w:eastAsia="zh-CN"/>
          <w14:textFill>
            <w14:solidFill>
              <w14:schemeClr w14:val="tx1"/>
            </w14:solidFill>
          </w14:textFill>
        </w:rPr>
        <w:t>8名有实力、有号召力的企业来怀参加首届怀商大会。并邀请来怀客商代表们参观了解鹤城文旅产业发展优势，支持鹤城经济社会发展，促进我区“承接产业转移示范区”建设。</w:t>
      </w:r>
    </w:p>
    <w:p>
      <w:pPr>
        <w:keepNext w:val="0"/>
        <w:keepLines w:val="0"/>
        <w:pageBreakBefore w:val="0"/>
        <w:widowControl/>
        <w:kinsoku/>
        <w:wordWrap/>
        <w:overflowPunct/>
        <w:topLinePunct w:val="0"/>
        <w:autoSpaceDE/>
        <w:autoSpaceDN/>
        <w:bidi w:val="0"/>
        <w:adjustRightInd w:val="0"/>
        <w:snapToGrid w:val="0"/>
        <w:spacing w:after="0" w:line="580" w:lineRule="exact"/>
        <w:ind w:left="0" w:firstLine="640" w:firstLineChars="200"/>
        <w:textAlignment w:val="auto"/>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b w:val="0"/>
          <w:bCs/>
          <w:color w:val="0D0D0D" w:themeColor="text1" w:themeTint="F2"/>
          <w:sz w:val="32"/>
          <w:szCs w:val="32"/>
          <w14:textFill>
            <w14:solidFill>
              <w14:schemeClr w14:val="tx1">
                <w14:lumMod w14:val="95000"/>
                <w14:lumOff w14:val="5000"/>
              </w14:schemeClr>
            </w14:solidFill>
          </w14:textFill>
        </w:rPr>
        <w:t>深入开展非公企业意识形态工作。</w:t>
      </w:r>
      <w:r>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t xml:space="preserve">继续推进非公企业意识形态工作，加强新媒体对非公有制经济领域意识形态影响的研究和应对，积极主动宣传中央和国家的方针、政策，加大对错误思潮的批判，引导非公有制经济领域人士认清一些网络误导甚至主动驳斥错误言论。坚持“团结、服务、引导、教育”的方针，一手抓鼓励支持，一手抓教育引导，关注他们的思想，关注他们的困难，有针对性地进行帮助引导，引导非公有制经济人士特别是年轻一代致富思源、富而思进，做到爱国、敬业、创新、守法、诚信、贡献。 </w:t>
      </w:r>
    </w:p>
    <w:p>
      <w:pPr>
        <w:keepNext w:val="0"/>
        <w:keepLines w:val="0"/>
        <w:pageBreakBefore w:val="0"/>
        <w:kinsoku/>
        <w:wordWrap/>
        <w:overflowPunct/>
        <w:topLinePunct w:val="0"/>
        <w:autoSpaceDE/>
        <w:autoSpaceDN/>
        <w:bidi w:val="0"/>
        <w:spacing w:line="580" w:lineRule="exact"/>
        <w:ind w:left="0"/>
        <w:textAlignment w:val="auto"/>
        <w:rPr>
          <w:rFonts w:hint="eastAsia" w:ascii="仿宋" w:hAnsi="仿宋" w:eastAsia="仿宋" w:cs="仿宋"/>
          <w:sz w:val="32"/>
          <w:szCs w:val="32"/>
        </w:rPr>
      </w:pPr>
      <w:r>
        <w:rPr>
          <w:rFonts w:hint="eastAsia" w:ascii="仿宋" w:hAnsi="仿宋" w:eastAsia="仿宋" w:cs="仿宋"/>
          <w:sz w:val="32"/>
          <w:szCs w:val="32"/>
        </w:rPr>
        <w:t>二、绩效评价工作情况</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（一）前期准备</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我联对2020年专项资金绩效评价管理工作高度重视，由办公室牵头，认真制定绩效自评工作报告，其他股室相互配合协调，共同完成2020年专项资金绩效评价管理工作。</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（二）组织实施</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办公室根据《专项资金支出绩效评价指标表》、《专项资金支出绩效目标自评表》要求开展专项资金自评工作，对31万元项目经费进行了自评打分，并逐项对照，认真撰写专项资金支出绩效评价报告，同时认真收集相关资料，确保自评工作真实客观。</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（三）分析评价</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2020年我联严格按照有关规定使用“工商联事务及招商引资业务工作经费”项目经费，资金使用效益良好。</w:t>
      </w:r>
    </w:p>
    <w:p>
      <w:pPr>
        <w:keepNext w:val="0"/>
        <w:keepLines w:val="0"/>
        <w:pageBreakBefore w:val="0"/>
        <w:numPr>
          <w:ilvl w:val="0"/>
          <w:numId w:val="8"/>
        </w:numPr>
        <w:kinsoku/>
        <w:wordWrap/>
        <w:overflowPunct/>
        <w:topLinePunct w:val="0"/>
        <w:autoSpaceDE/>
        <w:autoSpaceDN/>
        <w:bidi w:val="0"/>
        <w:spacing w:line="580" w:lineRule="exact"/>
        <w:ind w:left="0"/>
        <w:textAlignment w:val="auto"/>
        <w:rPr>
          <w:rFonts w:hint="eastAsia" w:ascii="仿宋" w:hAnsi="仿宋" w:eastAsia="仿宋" w:cs="仿宋"/>
          <w:sz w:val="32"/>
          <w:szCs w:val="32"/>
        </w:rPr>
      </w:pPr>
      <w:r>
        <w:rPr>
          <w:rFonts w:hint="eastAsia" w:ascii="仿宋" w:hAnsi="仿宋" w:eastAsia="仿宋" w:cs="仿宋"/>
          <w:sz w:val="32"/>
          <w:szCs w:val="32"/>
        </w:rPr>
        <w:t>预算支出主要绩效及评价结论</w:t>
      </w:r>
    </w:p>
    <w:p>
      <w:pPr>
        <w:keepNext w:val="0"/>
        <w:keepLines w:val="0"/>
        <w:pageBreakBefore w:val="0"/>
        <w:widowControl/>
        <w:numPr>
          <w:ilvl w:val="0"/>
          <w:numId w:val="9"/>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切实提高利用服务，扎实推进工商联事务及招商引资利用服务方式改进和服务效率提升。</w:t>
      </w:r>
    </w:p>
    <w:p>
      <w:pPr>
        <w:keepNext w:val="0"/>
        <w:keepLines w:val="0"/>
        <w:pageBreakBefore w:val="0"/>
        <w:widowControl/>
        <w:numPr>
          <w:ilvl w:val="0"/>
          <w:numId w:val="9"/>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auto"/>
          <w:kern w:val="2"/>
          <w:sz w:val="32"/>
          <w:szCs w:val="32"/>
          <w:lang w:val="en-US" w:eastAsia="zh-CN" w:bidi="ar-SA"/>
        </w:rPr>
        <w:t>全年累计非公企业</w:t>
      </w:r>
      <w:r>
        <w:rPr>
          <w:rFonts w:hint="eastAsia" w:ascii="仿宋" w:hAnsi="仿宋" w:eastAsia="仿宋" w:cs="仿宋"/>
          <w:color w:val="000000" w:themeColor="text1"/>
          <w:sz w:val="32"/>
          <w:szCs w:val="32"/>
          <w14:textFill>
            <w14:solidFill>
              <w14:schemeClr w14:val="tx1"/>
            </w14:solidFill>
          </w14:textFill>
        </w:rPr>
        <w:t>投入帮扶资金</w:t>
      </w:r>
      <w:r>
        <w:rPr>
          <w:rFonts w:hint="eastAsia" w:ascii="仿宋" w:hAnsi="仿宋" w:eastAsia="仿宋" w:cs="仿宋"/>
          <w:color w:val="000000" w:themeColor="text1"/>
          <w:sz w:val="32"/>
          <w:szCs w:val="32"/>
          <w:lang w:val="en-US" w:eastAsia="zh-CN"/>
          <w14:textFill>
            <w14:solidFill>
              <w14:schemeClr w14:val="tx1"/>
            </w14:solidFill>
          </w14:textFill>
        </w:rPr>
        <w:t>5650.6</w:t>
      </w:r>
      <w:r>
        <w:rPr>
          <w:rFonts w:hint="eastAsia" w:ascii="仿宋" w:hAnsi="仿宋" w:eastAsia="仿宋" w:cs="仿宋"/>
          <w:color w:val="000000" w:themeColor="text1"/>
          <w:sz w:val="32"/>
          <w:szCs w:val="32"/>
          <w:lang w:eastAsia="zh-CN"/>
          <w14:textFill>
            <w14:solidFill>
              <w14:schemeClr w14:val="tx1"/>
            </w14:solidFill>
          </w14:textFill>
        </w:rPr>
        <w:t>万</w:t>
      </w:r>
      <w:r>
        <w:rPr>
          <w:rFonts w:hint="eastAsia" w:ascii="仿宋" w:hAnsi="仿宋" w:eastAsia="仿宋" w:cs="仿宋"/>
          <w:color w:val="000000" w:themeColor="text1"/>
          <w:sz w:val="32"/>
          <w:szCs w:val="32"/>
          <w14:textFill>
            <w14:solidFill>
              <w14:schemeClr w14:val="tx1"/>
            </w14:solidFill>
          </w14:textFill>
        </w:rPr>
        <w:t>元，精准帮扶贫困人口</w:t>
      </w:r>
      <w:r>
        <w:rPr>
          <w:rFonts w:hint="eastAsia" w:ascii="仿宋" w:hAnsi="仿宋" w:eastAsia="仿宋" w:cs="仿宋"/>
          <w:color w:val="000000" w:themeColor="text1"/>
          <w:sz w:val="32"/>
          <w:szCs w:val="32"/>
          <w:lang w:val="en-US" w:eastAsia="zh-CN"/>
          <w14:textFill>
            <w14:solidFill>
              <w14:schemeClr w14:val="tx1"/>
            </w14:solidFill>
          </w14:textFill>
        </w:rPr>
        <w:t>13708</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lang w:eastAsia="zh-CN"/>
          <w14:textFill>
            <w14:solidFill>
              <w14:schemeClr w14:val="tx1"/>
            </w14:solidFill>
          </w14:textFill>
        </w:rPr>
        <w:t>解决</w:t>
      </w:r>
      <w:r>
        <w:rPr>
          <w:rFonts w:hint="eastAsia" w:ascii="仿宋" w:hAnsi="仿宋" w:eastAsia="仿宋" w:cs="仿宋"/>
          <w:color w:val="000000" w:themeColor="text1"/>
          <w:sz w:val="32"/>
          <w:szCs w:val="32"/>
          <w14:textFill>
            <w14:solidFill>
              <w14:schemeClr w14:val="tx1"/>
            </w14:solidFill>
          </w14:textFill>
        </w:rPr>
        <w:t>就业</w:t>
      </w:r>
      <w:r>
        <w:rPr>
          <w:rFonts w:hint="eastAsia" w:ascii="仿宋" w:hAnsi="仿宋" w:eastAsia="仿宋" w:cs="仿宋"/>
          <w:color w:val="000000" w:themeColor="text1"/>
          <w:sz w:val="32"/>
          <w:szCs w:val="32"/>
          <w:lang w:val="en-US" w:eastAsia="zh-CN"/>
          <w14:textFill>
            <w14:solidFill>
              <w14:schemeClr w14:val="tx1"/>
            </w14:solidFill>
          </w14:textFill>
        </w:rPr>
        <w:t>669</w:t>
      </w:r>
      <w:r>
        <w:rPr>
          <w:rFonts w:hint="eastAsia" w:ascii="仿宋" w:hAnsi="仿宋" w:eastAsia="仿宋" w:cs="仿宋"/>
          <w:color w:val="000000" w:themeColor="text1"/>
          <w:sz w:val="32"/>
          <w:szCs w:val="32"/>
          <w14:textFill>
            <w14:solidFill>
              <w14:schemeClr w14:val="tx1"/>
            </w14:solidFill>
          </w14:textFill>
        </w:rPr>
        <w:t>人。湖南永通预计投资6亿元，现已投资4亿元修建怀化郡永实验学校，免除贫困生学费30万元，扶持特困家庭60户，向社会弱势群体爱心捐款32万元。投资350余万元，在鹤城区江垅湾村建设肉牛养殖基地，带动贫困户145户，572人实现脱贫</w:t>
      </w:r>
      <w:r>
        <w:rPr>
          <w:rFonts w:hint="eastAsia" w:ascii="仿宋" w:hAnsi="仿宋" w:eastAsia="仿宋" w:cs="仿宋"/>
          <w:color w:val="000000" w:themeColor="text1"/>
          <w:sz w:val="32"/>
          <w:szCs w:val="32"/>
          <w:lang w:eastAsia="zh-CN"/>
          <w14:textFill>
            <w14:solidFill>
              <w14:schemeClr w14:val="tx1"/>
            </w14:solidFill>
          </w14:textFill>
        </w:rPr>
        <w:t>；怀仁集团公司</w:t>
      </w:r>
      <w:r>
        <w:rPr>
          <w:rFonts w:hint="eastAsia" w:ascii="仿宋" w:hAnsi="仿宋" w:eastAsia="仿宋" w:cs="仿宋"/>
          <w:color w:val="000000" w:themeColor="text1"/>
          <w:sz w:val="32"/>
          <w:szCs w:val="32"/>
          <w14:textFill>
            <w14:solidFill>
              <w14:schemeClr w14:val="tx1"/>
            </w14:solidFill>
          </w14:textFill>
        </w:rPr>
        <w:t>在湖南医药学院等高校创办怀仁才子班，共资助贫困大学生1000余人，扶持特困家庭660户，向社会弱势群体爱心捐款12万多元</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auto"/>
          <w:kern w:val="2"/>
          <w:sz w:val="32"/>
          <w:szCs w:val="32"/>
          <w:lang w:val="en-US" w:eastAsia="zh-CN" w:bidi="ar-SA"/>
        </w:rPr>
        <w:t>合格率达100%。</w:t>
      </w:r>
    </w:p>
    <w:p>
      <w:pPr>
        <w:keepNext w:val="0"/>
        <w:keepLines w:val="0"/>
        <w:pageBreakBefore w:val="0"/>
        <w:widowControl/>
        <w:numPr>
          <w:ilvl w:val="0"/>
          <w:numId w:val="9"/>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深入贯彻实施“创新引领、开放崛起”战略，加快推进“对接湘商会，建设新家乡”“迎老乡、回故乡、建家乡”等专项行动</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今年我联领导班子亲赴青岛商会、深圳商会等多地挖掘湘商资源，邀请了</w:t>
      </w:r>
      <w:r>
        <w:rPr>
          <w:rFonts w:hint="eastAsia" w:ascii="仿宋" w:hAnsi="仿宋" w:eastAsia="仿宋" w:cs="仿宋"/>
          <w:color w:val="000000" w:themeColor="text1"/>
          <w:sz w:val="32"/>
          <w:szCs w:val="32"/>
          <w:lang w:val="en-US" w:eastAsia="zh-CN"/>
          <w14:textFill>
            <w14:solidFill>
              <w14:schemeClr w14:val="tx1"/>
            </w14:solidFill>
          </w14:textFill>
        </w:rPr>
        <w:t>8名有实力、有号召力的企业来怀参加首届怀商大会。并邀请来怀客商代表们参观了解鹤城文旅产业发展优势，支持鹤城经济社会发展，促进我区“承接产业转移示范区”建设，</w:t>
      </w:r>
      <w:r>
        <w:rPr>
          <w:rFonts w:hint="eastAsia" w:ascii="仿宋" w:hAnsi="仿宋" w:eastAsia="仿宋" w:cs="仿宋"/>
          <w:color w:val="auto"/>
          <w:kern w:val="2"/>
          <w:sz w:val="32"/>
          <w:szCs w:val="32"/>
          <w:lang w:val="en-US" w:eastAsia="zh-CN" w:bidi="ar-SA"/>
        </w:rPr>
        <w:t>年度评价率达85%</w:t>
      </w:r>
    </w:p>
    <w:p>
      <w:pPr>
        <w:keepNext w:val="0"/>
        <w:keepLines w:val="0"/>
        <w:pageBreakBefore w:val="0"/>
        <w:widowControl/>
        <w:numPr>
          <w:ilvl w:val="0"/>
          <w:numId w:val="9"/>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t>20</w:t>
      </w:r>
      <w:r>
        <w:rPr>
          <w:rFonts w:hint="eastAsia" w:ascii="仿宋" w:hAnsi="仿宋" w:eastAsia="仿宋" w:cs="仿宋"/>
          <w:color w:val="0D0D0D" w:themeColor="text1" w:themeTint="F2"/>
          <w:sz w:val="32"/>
          <w:szCs w:val="32"/>
          <w:lang w:val="en-US" w:eastAsia="zh-CN"/>
          <w14:textFill>
            <w14:solidFill>
              <w14:schemeClr w14:val="tx1">
                <w14:lumMod w14:val="95000"/>
                <w14:lumOff w14:val="5000"/>
              </w14:schemeClr>
            </w14:solidFill>
          </w14:textFill>
        </w:rPr>
        <w:t>20</w:t>
      </w:r>
      <w:r>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t>年，鹤城区工商联（总商会）在习近平新时代中国特色社会主义思想指引下,在区委、区政府的正确领导下，在市工商联、区政协及区委统战部的具体指导下，</w:t>
      </w:r>
      <w:r>
        <w:rPr>
          <w:rFonts w:hint="eastAsia" w:ascii="仿宋" w:hAnsi="仿宋" w:eastAsia="仿宋" w:cs="仿宋"/>
          <w:color w:val="0D0D0D" w:themeColor="text1" w:themeTint="F2"/>
          <w:sz w:val="32"/>
          <w:szCs w:val="32"/>
          <w:lang w:eastAsia="zh-CN"/>
          <w14:textFill>
            <w14:solidFill>
              <w14:schemeClr w14:val="tx1">
                <w14:lumMod w14:val="95000"/>
                <w14:lumOff w14:val="5000"/>
              </w14:schemeClr>
            </w14:solidFill>
          </w14:textFill>
        </w:rPr>
        <w:t>荣获“</w:t>
      </w:r>
      <w:r>
        <w:rPr>
          <w:rFonts w:hint="eastAsia" w:ascii="仿宋" w:hAnsi="仿宋" w:eastAsia="仿宋" w:cs="仿宋"/>
          <w:color w:val="0D0D0D" w:themeColor="text1" w:themeTint="F2"/>
          <w:sz w:val="32"/>
          <w:szCs w:val="32"/>
          <w:lang w:val="en-US" w:eastAsia="zh-CN"/>
          <w14:textFill>
            <w14:solidFill>
              <w14:schemeClr w14:val="tx1">
                <w14:lumMod w14:val="95000"/>
                <w14:lumOff w14:val="5000"/>
              </w14:schemeClr>
            </w14:solidFill>
          </w14:textFill>
        </w:rPr>
        <w:t>2020年度全国民营企业调查点工作示范单位</w:t>
      </w:r>
      <w:r>
        <w:rPr>
          <w:rFonts w:hint="eastAsia" w:ascii="仿宋" w:hAnsi="仿宋" w:eastAsia="仿宋" w:cs="仿宋"/>
          <w:color w:val="0D0D0D" w:themeColor="text1" w:themeTint="F2"/>
          <w:sz w:val="32"/>
          <w:szCs w:val="32"/>
          <w:lang w:eastAsia="zh-CN"/>
          <w14:textFill>
            <w14:solidFill>
              <w14:schemeClr w14:val="tx1">
                <w14:lumMod w14:val="95000"/>
                <w14:lumOff w14:val="5000"/>
              </w14:schemeClr>
            </w14:solidFill>
          </w14:textFill>
        </w:rPr>
        <w:t>”荣誉称号</w:t>
      </w:r>
      <w:r>
        <w:rPr>
          <w:rFonts w:hint="eastAsia" w:ascii="仿宋" w:hAnsi="仿宋" w:eastAsia="仿宋" w:cs="仿宋"/>
          <w:color w:val="0D0D0D" w:themeColor="text1" w:themeTint="F2"/>
          <w:sz w:val="32"/>
          <w:szCs w:val="32"/>
          <w:lang w:val="en-US" w:eastAsia="zh-CN"/>
          <w14:textFill>
            <w14:solidFill>
              <w14:schemeClr w14:val="tx1">
                <w14:lumMod w14:val="95000"/>
                <w14:lumOff w14:val="5000"/>
              </w14:schemeClr>
            </w14:solidFill>
          </w14:textFill>
        </w:rPr>
        <w:t>。</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四、绩效评价指标分析</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43"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（一）预算支出决策情况</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40" w:firstLineChars="200"/>
        <w:jc w:val="both"/>
        <w:textAlignment w:val="auto"/>
        <w:rPr>
          <w:rFonts w:hint="eastAsia" w:ascii="仿宋" w:hAnsi="仿宋" w:eastAsia="仿宋" w:cs="仿宋"/>
          <w:b/>
          <w:sz w:val="32"/>
          <w:szCs w:val="32"/>
        </w:rPr>
      </w:pPr>
      <w:r>
        <w:rPr>
          <w:rFonts w:hint="eastAsia" w:ascii="仿宋" w:hAnsi="仿宋" w:eastAsia="仿宋" w:cs="仿宋"/>
          <w:w w:val="100"/>
          <w:kern w:val="2"/>
          <w:sz w:val="32"/>
          <w:szCs w:val="32"/>
          <w:lang w:val="en-US" w:eastAsia="zh-CN" w:bidi="ar-SA"/>
        </w:rPr>
        <w:t>项目的申请、设立过程符合相关要求，绩效目标合理，绩效指标明确。</w:t>
      </w:r>
    </w:p>
    <w:p>
      <w:pPr>
        <w:pStyle w:val="11"/>
        <w:keepNext w:val="0"/>
        <w:keepLines w:val="0"/>
        <w:pageBreakBefore w:val="0"/>
        <w:numPr>
          <w:ilvl w:val="0"/>
          <w:numId w:val="0"/>
        </w:numPr>
        <w:kinsoku/>
        <w:wordWrap/>
        <w:overflowPunct/>
        <w:topLinePunct w:val="0"/>
        <w:autoSpaceDE/>
        <w:autoSpaceDN/>
        <w:bidi w:val="0"/>
        <w:spacing w:line="580" w:lineRule="exact"/>
        <w:ind w:left="0" w:leftChars="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二</w:t>
      </w:r>
      <w:r>
        <w:rPr>
          <w:rFonts w:hint="eastAsia" w:ascii="仿宋" w:hAnsi="仿宋" w:eastAsia="仿宋" w:cs="仿宋"/>
          <w:b/>
          <w:sz w:val="32"/>
          <w:szCs w:val="32"/>
          <w:lang w:eastAsia="zh-CN"/>
        </w:rPr>
        <w:t>）</w:t>
      </w:r>
      <w:r>
        <w:rPr>
          <w:rFonts w:hint="eastAsia" w:ascii="仿宋" w:hAnsi="仿宋" w:eastAsia="仿宋" w:cs="仿宋"/>
          <w:b/>
          <w:sz w:val="32"/>
          <w:szCs w:val="32"/>
        </w:rPr>
        <w:t>预算执行过程情况</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2020年项目资金年初预算17万元，全年执行数17万元，执行率100%，我联项目资金的管理严格遵守《专项资金使用管理办法》，实行监督管理，每一笔开支都按照《专项资金管理办法》要求填写经费开支申请报告，大额专项资金支付实行“三重一大”集体决策制度，所有支付报账凭证经财务分管领导同意、主管领导审核签字。</w:t>
      </w:r>
    </w:p>
    <w:p>
      <w:pPr>
        <w:keepNext w:val="0"/>
        <w:keepLines w:val="0"/>
        <w:pageBreakBefore w:val="0"/>
        <w:numPr>
          <w:ilvl w:val="0"/>
          <w:numId w:val="1"/>
        </w:numPr>
        <w:kinsoku/>
        <w:wordWrap/>
        <w:overflowPunct/>
        <w:topLinePunct w:val="0"/>
        <w:autoSpaceDE/>
        <w:autoSpaceDN/>
        <w:bidi w:val="0"/>
        <w:spacing w:line="580" w:lineRule="exact"/>
        <w:ind w:left="0" w:leftChars="0" w:firstLine="640" w:firstLineChars="0"/>
        <w:textAlignment w:val="auto"/>
        <w:rPr>
          <w:rFonts w:hint="eastAsia" w:ascii="仿宋" w:hAnsi="仿宋" w:eastAsia="仿宋" w:cs="仿宋"/>
          <w:b/>
          <w:sz w:val="32"/>
          <w:szCs w:val="32"/>
        </w:rPr>
      </w:pPr>
      <w:r>
        <w:rPr>
          <w:rFonts w:hint="eastAsia" w:ascii="仿宋" w:hAnsi="仿宋" w:eastAsia="仿宋" w:cs="仿宋"/>
          <w:b/>
          <w:sz w:val="32"/>
          <w:szCs w:val="32"/>
        </w:rPr>
        <w:t>预算支出产出情况</w:t>
      </w:r>
    </w:p>
    <w:p>
      <w:pPr>
        <w:keepNext w:val="0"/>
        <w:keepLines w:val="0"/>
        <w:pageBreakBefore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1、数量指标：2020年对全区非公企业基层商会创建</w:t>
      </w:r>
      <w:r>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t>“四好”商会</w:t>
      </w:r>
      <w:r>
        <w:rPr>
          <w:rFonts w:hint="eastAsia" w:ascii="仿宋" w:hAnsi="仿宋" w:eastAsia="仿宋" w:cs="仿宋"/>
          <w:color w:val="0D0D0D" w:themeColor="text1" w:themeTint="F2"/>
          <w:sz w:val="32"/>
          <w:szCs w:val="32"/>
          <w:lang w:eastAsia="zh-CN"/>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32"/>
          <w:szCs w:val="32"/>
          <w14:textFill>
            <w14:solidFill>
              <w14:schemeClr w14:val="tx1">
                <w14:lumMod w14:val="95000"/>
                <w14:lumOff w14:val="5000"/>
              </w14:schemeClr>
            </w14:solidFill>
          </w14:textFill>
        </w:rPr>
        <w:t>基层商协会现有会员数达655人，比上年增长2.6%，在服务全区经济社会发展中发挥了积极作用</w:t>
      </w:r>
      <w:r>
        <w:rPr>
          <w:rFonts w:hint="eastAsia" w:ascii="仿宋" w:hAnsi="仿宋" w:eastAsia="仿宋" w:cs="仿宋"/>
          <w:color w:val="0D0D0D" w:themeColor="text1" w:themeTint="F2"/>
          <w:sz w:val="32"/>
          <w:szCs w:val="32"/>
          <w:lang w:eastAsia="zh-CN"/>
          <w14:textFill>
            <w14:solidFill>
              <w14:schemeClr w14:val="tx1">
                <w14:lumMod w14:val="95000"/>
                <w14:lumOff w14:val="5000"/>
              </w14:schemeClr>
            </w14:solidFill>
          </w14:textFill>
        </w:rPr>
        <w:t>，</w:t>
      </w:r>
      <w:r>
        <w:rPr>
          <w:rFonts w:hint="eastAsia" w:ascii="仿宋" w:hAnsi="仿宋" w:eastAsia="仿宋" w:cs="仿宋"/>
          <w:w w:val="100"/>
          <w:kern w:val="2"/>
          <w:sz w:val="32"/>
          <w:szCs w:val="32"/>
          <w:lang w:val="en-US" w:eastAsia="zh-CN" w:bidi="ar-SA"/>
        </w:rPr>
        <w:t>成功率达70%以上，</w:t>
      </w:r>
      <w:r>
        <w:rPr>
          <w:rFonts w:hint="eastAsia" w:ascii="仿宋" w:hAnsi="仿宋" w:eastAsia="仿宋" w:cs="仿宋"/>
          <w:color w:val="000000" w:themeColor="text1"/>
          <w:sz w:val="32"/>
          <w:szCs w:val="32"/>
          <w:lang w:eastAsia="zh-CN"/>
          <w14:textFill>
            <w14:solidFill>
              <w14:schemeClr w14:val="tx1"/>
            </w14:solidFill>
          </w14:textFill>
        </w:rPr>
        <w:t>开展“万企帮万村”</w:t>
      </w:r>
      <w:r>
        <w:rPr>
          <w:rFonts w:hint="eastAsia" w:ascii="仿宋" w:hAnsi="仿宋" w:eastAsia="仿宋" w:cs="仿宋"/>
          <w:color w:val="000000" w:themeColor="text1"/>
          <w:sz w:val="32"/>
          <w:szCs w:val="32"/>
          <w14:textFill>
            <w14:solidFill>
              <w14:schemeClr w14:val="tx1"/>
            </w14:solidFill>
          </w14:textFill>
        </w:rPr>
        <w:t>精准扶贫行动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77</w:t>
      </w:r>
      <w:r>
        <w:rPr>
          <w:rFonts w:hint="eastAsia" w:ascii="仿宋" w:hAnsi="仿宋" w:eastAsia="仿宋" w:cs="仿宋"/>
          <w:color w:val="000000" w:themeColor="text1"/>
          <w:sz w:val="32"/>
          <w:szCs w:val="32"/>
          <w14:textFill>
            <w14:solidFill>
              <w14:schemeClr w14:val="tx1"/>
            </w14:solidFill>
          </w14:textFill>
        </w:rPr>
        <w:t>家企业实施帮扶项目</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个，累计投入帮扶资金</w:t>
      </w:r>
      <w:r>
        <w:rPr>
          <w:rFonts w:hint="eastAsia" w:ascii="仿宋" w:hAnsi="仿宋" w:eastAsia="仿宋" w:cs="仿宋"/>
          <w:color w:val="000000" w:themeColor="text1"/>
          <w:sz w:val="32"/>
          <w:szCs w:val="32"/>
          <w:lang w:val="en-US" w:eastAsia="zh-CN"/>
          <w14:textFill>
            <w14:solidFill>
              <w14:schemeClr w14:val="tx1"/>
            </w14:solidFill>
          </w14:textFill>
        </w:rPr>
        <w:t>5650.6</w:t>
      </w:r>
      <w:r>
        <w:rPr>
          <w:rFonts w:hint="eastAsia" w:ascii="仿宋" w:hAnsi="仿宋" w:eastAsia="仿宋" w:cs="仿宋"/>
          <w:color w:val="000000" w:themeColor="text1"/>
          <w:sz w:val="32"/>
          <w:szCs w:val="32"/>
          <w:lang w:eastAsia="zh-CN"/>
          <w14:textFill>
            <w14:solidFill>
              <w14:schemeClr w14:val="tx1"/>
            </w14:solidFill>
          </w14:textFill>
        </w:rPr>
        <w:t>万</w:t>
      </w:r>
      <w:r>
        <w:rPr>
          <w:rFonts w:hint="eastAsia" w:ascii="仿宋" w:hAnsi="仿宋" w:eastAsia="仿宋" w:cs="仿宋"/>
          <w:color w:val="000000" w:themeColor="text1"/>
          <w:sz w:val="32"/>
          <w:szCs w:val="32"/>
          <w14:textFill>
            <w14:solidFill>
              <w14:schemeClr w14:val="tx1"/>
            </w14:solidFill>
          </w14:textFill>
        </w:rPr>
        <w:t>元，精准帮扶贫困人口</w:t>
      </w:r>
      <w:r>
        <w:rPr>
          <w:rFonts w:hint="eastAsia" w:ascii="仿宋" w:hAnsi="仿宋" w:eastAsia="仿宋" w:cs="仿宋"/>
          <w:color w:val="000000" w:themeColor="text1"/>
          <w:sz w:val="32"/>
          <w:szCs w:val="32"/>
          <w:lang w:val="en-US" w:eastAsia="zh-CN"/>
          <w14:textFill>
            <w14:solidFill>
              <w14:schemeClr w14:val="tx1"/>
            </w14:solidFill>
          </w14:textFill>
        </w:rPr>
        <w:t>13708</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lang w:eastAsia="zh-CN"/>
          <w14:textFill>
            <w14:solidFill>
              <w14:schemeClr w14:val="tx1"/>
            </w14:solidFill>
          </w14:textFill>
        </w:rPr>
        <w:t>解决</w:t>
      </w:r>
      <w:r>
        <w:rPr>
          <w:rFonts w:hint="eastAsia" w:ascii="仿宋" w:hAnsi="仿宋" w:eastAsia="仿宋" w:cs="仿宋"/>
          <w:color w:val="000000" w:themeColor="text1"/>
          <w:sz w:val="32"/>
          <w:szCs w:val="32"/>
          <w14:textFill>
            <w14:solidFill>
              <w14:schemeClr w14:val="tx1"/>
            </w14:solidFill>
          </w14:textFill>
        </w:rPr>
        <w:t>就业</w:t>
      </w:r>
      <w:r>
        <w:rPr>
          <w:rFonts w:hint="eastAsia" w:ascii="仿宋" w:hAnsi="仿宋" w:eastAsia="仿宋" w:cs="仿宋"/>
          <w:color w:val="000000" w:themeColor="text1"/>
          <w:sz w:val="32"/>
          <w:szCs w:val="32"/>
          <w:lang w:val="en-US" w:eastAsia="zh-CN"/>
          <w14:textFill>
            <w14:solidFill>
              <w14:schemeClr w14:val="tx1"/>
            </w14:solidFill>
          </w14:textFill>
        </w:rPr>
        <w:t>669</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w w:val="100"/>
          <w:kern w:val="2"/>
          <w:sz w:val="32"/>
          <w:szCs w:val="32"/>
          <w:lang w:val="en-US" w:eastAsia="zh-CN" w:bidi="ar-SA"/>
        </w:rPr>
        <w:t>完成率100%。</w:t>
      </w:r>
    </w:p>
    <w:p>
      <w:pPr>
        <w:pStyle w:val="4"/>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80" w:lineRule="exact"/>
        <w:ind w:leftChars="0" w:right="0" w:rightChars="0"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w w:val="100"/>
          <w:kern w:val="2"/>
          <w:sz w:val="32"/>
          <w:szCs w:val="32"/>
          <w:lang w:val="en-US" w:eastAsia="zh-CN" w:bidi="ar-SA"/>
        </w:rPr>
        <w:t>2、质量指标：</w:t>
      </w:r>
      <w:r>
        <w:rPr>
          <w:rFonts w:hint="eastAsia" w:ascii="仿宋" w:hAnsi="仿宋" w:eastAsia="仿宋" w:cs="仿宋"/>
          <w:color w:val="000000"/>
          <w:kern w:val="0"/>
          <w:sz w:val="32"/>
          <w:szCs w:val="32"/>
        </w:rPr>
        <w:t>增加税收提高地方经济发展及税收收入，扩大就业成功率达</w:t>
      </w: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0%以上</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　</w:t>
      </w:r>
      <w:r>
        <w:rPr>
          <w:rFonts w:hint="eastAsia" w:ascii="仿宋" w:hAnsi="仿宋" w:eastAsia="仿宋" w:cs="仿宋"/>
          <w:color w:val="000000" w:themeColor="text1"/>
          <w:sz w:val="32"/>
          <w:szCs w:val="32"/>
          <w14:textFill>
            <w14:solidFill>
              <w14:schemeClr w14:val="tx1"/>
            </w14:solidFill>
          </w14:textFill>
        </w:rPr>
        <w:t>精准</w:t>
      </w:r>
      <w:r>
        <w:rPr>
          <w:rFonts w:hint="eastAsia" w:ascii="仿宋" w:hAnsi="仿宋" w:eastAsia="仿宋" w:cs="仿宋"/>
          <w:color w:val="000000" w:themeColor="text1"/>
          <w:sz w:val="32"/>
          <w:szCs w:val="32"/>
          <w:lang w:val="en-US" w:eastAsia="zh-CN"/>
          <w14:textFill>
            <w14:solidFill>
              <w14:schemeClr w14:val="tx1"/>
            </w14:solidFill>
          </w14:textFill>
        </w:rPr>
        <w:t>扶贫</w:t>
      </w:r>
      <w:r>
        <w:rPr>
          <w:rFonts w:hint="eastAsia" w:ascii="仿宋" w:hAnsi="仿宋" w:eastAsia="仿宋" w:cs="仿宋"/>
          <w:color w:val="000000" w:themeColor="text1"/>
          <w:sz w:val="32"/>
          <w:szCs w:val="32"/>
          <w14:textFill>
            <w14:solidFill>
              <w14:schemeClr w14:val="tx1"/>
            </w14:solidFill>
          </w14:textFill>
        </w:rPr>
        <w:t>帮扶贫困人口</w:t>
      </w:r>
      <w:r>
        <w:rPr>
          <w:rFonts w:hint="eastAsia" w:ascii="仿宋" w:hAnsi="仿宋" w:eastAsia="仿宋" w:cs="仿宋"/>
          <w:color w:val="000000" w:themeColor="text1"/>
          <w:sz w:val="32"/>
          <w:szCs w:val="32"/>
          <w:lang w:val="en-US" w:eastAsia="zh-CN"/>
          <w14:textFill>
            <w14:solidFill>
              <w14:schemeClr w14:val="tx1"/>
            </w14:solidFill>
          </w14:textFill>
        </w:rPr>
        <w:t>13708</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w w:val="100"/>
          <w:kern w:val="2"/>
          <w:sz w:val="32"/>
          <w:szCs w:val="32"/>
          <w:lang w:val="en-US" w:eastAsia="zh-CN" w:bidi="ar-SA"/>
        </w:rPr>
        <w:t>完成率100%</w:t>
      </w:r>
      <w:r>
        <w:rPr>
          <w:rFonts w:hint="eastAsia" w:ascii="仿宋" w:hAnsi="仿宋" w:eastAsia="仿宋" w:cs="仿宋"/>
          <w:color w:val="000000" w:themeColor="text1"/>
          <w:sz w:val="32"/>
          <w:szCs w:val="32"/>
          <w:lang w:eastAsia="zh-CN"/>
          <w14:textFill>
            <w14:solidFill>
              <w14:schemeClr w14:val="tx1"/>
            </w14:solidFill>
          </w14:textFill>
        </w:rPr>
        <w:t>。</w:t>
      </w:r>
    </w:p>
    <w:p>
      <w:pPr>
        <w:pStyle w:val="4"/>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80" w:lineRule="exact"/>
        <w:ind w:left="0" w:right="0" w:rightChars="0" w:firstLine="640" w:firstLineChars="200"/>
        <w:jc w:val="both"/>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3、时效指标：2020年度按计划及时完成任务。</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32" w:firstLineChars="200"/>
        <w:jc w:val="both"/>
        <w:textAlignment w:val="auto"/>
        <w:rPr>
          <w:rFonts w:hint="eastAsia" w:ascii="仿宋" w:hAnsi="仿宋" w:eastAsia="仿宋" w:cs="仿宋"/>
          <w:w w:val="99"/>
          <w:kern w:val="2"/>
          <w:sz w:val="32"/>
          <w:szCs w:val="32"/>
          <w:lang w:val="en-US" w:eastAsia="zh-CN" w:bidi="ar-SA"/>
        </w:rPr>
      </w:pPr>
      <w:r>
        <w:rPr>
          <w:rFonts w:hint="eastAsia" w:ascii="仿宋" w:hAnsi="仿宋" w:eastAsia="仿宋" w:cs="仿宋"/>
          <w:w w:val="99"/>
          <w:kern w:val="2"/>
          <w:sz w:val="32"/>
          <w:szCs w:val="32"/>
          <w:lang w:val="en-US" w:eastAsia="zh-CN" w:bidi="ar-SA"/>
        </w:rPr>
        <w:t>4、成本指标：投入资金17万元，实际支出17万元。</w:t>
      </w:r>
    </w:p>
    <w:p>
      <w:pPr>
        <w:keepNext w:val="0"/>
        <w:keepLines w:val="0"/>
        <w:pageBreakBefore w:val="0"/>
        <w:kinsoku/>
        <w:wordWrap/>
        <w:overflowPunct/>
        <w:topLinePunct w:val="0"/>
        <w:autoSpaceDE/>
        <w:autoSpaceDN/>
        <w:bidi w:val="0"/>
        <w:spacing w:line="580" w:lineRule="exact"/>
        <w:ind w:left="0" w:firstLine="321" w:firstLineChars="100"/>
        <w:textAlignment w:val="auto"/>
        <w:rPr>
          <w:rFonts w:hint="eastAsia" w:ascii="仿宋" w:hAnsi="仿宋" w:eastAsia="仿宋" w:cs="仿宋"/>
          <w:b/>
          <w:sz w:val="32"/>
          <w:szCs w:val="32"/>
        </w:rPr>
      </w:pPr>
      <w:r>
        <w:rPr>
          <w:rFonts w:hint="eastAsia" w:ascii="仿宋" w:hAnsi="仿宋" w:eastAsia="仿宋" w:cs="仿宋"/>
          <w:b/>
          <w:sz w:val="32"/>
          <w:szCs w:val="32"/>
        </w:rPr>
        <w:t>（四）预算支出效益情况</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w w:val="100"/>
          <w:kern w:val="2"/>
          <w:sz w:val="32"/>
          <w:szCs w:val="32"/>
          <w:lang w:val="en-US" w:eastAsia="zh-CN" w:bidi="ar-SA"/>
        </w:rPr>
        <w:t>1、经济效益情况：健康引导非公企业</w:t>
      </w:r>
      <w:r>
        <w:rPr>
          <w:rFonts w:hint="eastAsia" w:ascii="仿宋" w:hAnsi="仿宋" w:eastAsia="仿宋" w:cs="仿宋"/>
          <w:color w:val="000000"/>
          <w:kern w:val="0"/>
          <w:sz w:val="32"/>
          <w:szCs w:val="32"/>
        </w:rPr>
        <w:t>提高地方经济发展及税收收入，扩大</w:t>
      </w:r>
      <w:r>
        <w:rPr>
          <w:rFonts w:hint="eastAsia" w:ascii="仿宋" w:hAnsi="仿宋" w:eastAsia="仿宋" w:cs="仿宋"/>
          <w:color w:val="000000"/>
          <w:kern w:val="0"/>
          <w:sz w:val="32"/>
          <w:szCs w:val="32"/>
          <w:lang w:val="en-US" w:eastAsia="zh-CN"/>
        </w:rPr>
        <w:t>民生</w:t>
      </w:r>
      <w:r>
        <w:rPr>
          <w:rFonts w:hint="eastAsia" w:ascii="仿宋" w:hAnsi="仿宋" w:eastAsia="仿宋" w:cs="仿宋"/>
          <w:color w:val="000000"/>
          <w:kern w:val="0"/>
          <w:sz w:val="32"/>
          <w:szCs w:val="32"/>
        </w:rPr>
        <w:t>就业</w:t>
      </w:r>
      <w:r>
        <w:rPr>
          <w:rFonts w:hint="eastAsia" w:ascii="仿宋" w:hAnsi="仿宋" w:eastAsia="仿宋" w:cs="仿宋"/>
          <w:color w:val="000000"/>
          <w:kern w:val="0"/>
          <w:sz w:val="32"/>
          <w:szCs w:val="32"/>
          <w:lang w:val="en-US" w:eastAsia="zh-CN"/>
        </w:rPr>
        <w:t>问题</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让非公企业精准帮扶贫困人口13708人次。</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2、社会效益情况：带动就业6千多人次。</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i w:val="0"/>
          <w:caps w:val="0"/>
          <w:color w:val="0D0D0D" w:themeColor="text1" w:themeTint="F2"/>
          <w:spacing w:val="0"/>
          <w:sz w:val="32"/>
          <w:szCs w:val="32"/>
          <w:shd w:val="clear" w:fill="FFFFFF"/>
          <w14:textFill>
            <w14:solidFill>
              <w14:schemeClr w14:val="tx1">
                <w14:lumMod w14:val="95000"/>
                <w14:lumOff w14:val="5000"/>
              </w14:schemeClr>
            </w14:solidFill>
          </w14:textFill>
        </w:rPr>
      </w:pPr>
      <w:r>
        <w:rPr>
          <w:rFonts w:hint="eastAsia" w:ascii="仿宋" w:hAnsi="仿宋" w:eastAsia="仿宋" w:cs="仿宋"/>
          <w:w w:val="100"/>
          <w:kern w:val="2"/>
          <w:sz w:val="32"/>
          <w:szCs w:val="32"/>
          <w:lang w:val="en-US" w:eastAsia="zh-CN" w:bidi="ar-SA"/>
        </w:rPr>
        <w:t>3、生态效益情况：</w:t>
      </w:r>
      <w:r>
        <w:rPr>
          <w:rFonts w:hint="eastAsia" w:ascii="仿宋" w:hAnsi="仿宋" w:eastAsia="仿宋" w:cs="仿宋"/>
          <w:color w:val="0D0D0D" w:themeColor="text1" w:themeTint="F2"/>
          <w:sz w:val="32"/>
          <w:szCs w:val="32"/>
          <w:lang w:val="en-US" w:eastAsia="zh-CN"/>
          <w14:textFill>
            <w14:solidFill>
              <w14:schemeClr w14:val="tx1">
                <w14:lumMod w14:val="95000"/>
                <w14:lumOff w14:val="5000"/>
              </w14:schemeClr>
            </w14:solidFill>
          </w14:textFill>
        </w:rPr>
        <w:t>优化营商环境，</w:t>
      </w:r>
      <w:r>
        <w:rPr>
          <w:rFonts w:hint="eastAsia" w:ascii="仿宋" w:hAnsi="仿宋" w:eastAsia="仿宋" w:cs="仿宋"/>
          <w:i w:val="0"/>
          <w:caps w:val="0"/>
          <w:color w:val="0D0D0D" w:themeColor="text1" w:themeTint="F2"/>
          <w:spacing w:val="0"/>
          <w:sz w:val="32"/>
          <w:szCs w:val="32"/>
          <w:shd w:val="clear" w:fill="FFFFFF"/>
          <w:lang w:eastAsia="zh-CN"/>
          <w14:textFill>
            <w14:solidFill>
              <w14:schemeClr w14:val="tx1">
                <w14:lumMod w14:val="95000"/>
                <w14:lumOff w14:val="5000"/>
              </w14:schemeClr>
            </w14:solidFill>
          </w14:textFill>
        </w:rPr>
        <w:t>我</w:t>
      </w:r>
      <w:r>
        <w:rPr>
          <w:rFonts w:hint="eastAsia" w:ascii="仿宋" w:hAnsi="仿宋" w:eastAsia="仿宋" w:cs="仿宋"/>
          <w:i w:val="0"/>
          <w:caps w:val="0"/>
          <w:color w:val="0D0D0D" w:themeColor="text1" w:themeTint="F2"/>
          <w:spacing w:val="0"/>
          <w:sz w:val="32"/>
          <w:szCs w:val="32"/>
          <w:shd w:val="clear" w:fill="FFFFFF"/>
          <w14:textFill>
            <w14:solidFill>
              <w14:schemeClr w14:val="tx1">
                <w14:lumMod w14:val="95000"/>
                <w14:lumOff w14:val="5000"/>
              </w14:schemeClr>
            </w14:solidFill>
          </w14:textFill>
        </w:rPr>
        <w:t>联积极发挥职能作用，各方面都取得了较好的成绩。</w:t>
      </w:r>
    </w:p>
    <w:p>
      <w:pPr>
        <w:keepNext w:val="0"/>
        <w:keepLines w:val="0"/>
        <w:pageBreakBefore w:val="0"/>
        <w:kinsoku/>
        <w:wordWrap/>
        <w:overflowPunct/>
        <w:topLinePunct w:val="0"/>
        <w:autoSpaceDE/>
        <w:autoSpaceDN/>
        <w:bidi w:val="0"/>
        <w:spacing w:line="580" w:lineRule="exact"/>
        <w:ind w:left="0" w:firstLine="600" w:firstLineChars="200"/>
        <w:textAlignment w:val="auto"/>
        <w:rPr>
          <w:rFonts w:hint="eastAsia" w:ascii="仿宋" w:hAnsi="仿宋" w:eastAsia="仿宋" w:cs="仿宋"/>
          <w:w w:val="94"/>
          <w:kern w:val="2"/>
          <w:sz w:val="32"/>
          <w:szCs w:val="32"/>
          <w:lang w:val="en-US" w:eastAsia="zh-CN" w:bidi="ar-SA"/>
        </w:rPr>
      </w:pPr>
      <w:r>
        <w:rPr>
          <w:rFonts w:hint="eastAsia" w:ascii="仿宋" w:hAnsi="仿宋" w:eastAsia="仿宋" w:cs="仿宋"/>
          <w:w w:val="94"/>
          <w:kern w:val="2"/>
          <w:sz w:val="32"/>
          <w:szCs w:val="32"/>
          <w:lang w:val="en-US" w:eastAsia="zh-CN" w:bidi="ar-SA"/>
        </w:rPr>
        <w:t>4、可持续影响情况：给非公企业提供优质服务，建立长效机制。</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b/>
          <w:sz w:val="32"/>
          <w:szCs w:val="32"/>
          <w:lang w:val="en-US" w:eastAsia="zh-CN"/>
        </w:rPr>
      </w:pPr>
      <w:r>
        <w:rPr>
          <w:rFonts w:hint="eastAsia" w:ascii="仿宋" w:hAnsi="仿宋" w:eastAsia="仿宋" w:cs="仿宋"/>
          <w:w w:val="100"/>
          <w:kern w:val="2"/>
          <w:sz w:val="32"/>
          <w:szCs w:val="32"/>
          <w:lang w:val="en-US" w:eastAsia="zh-CN" w:bidi="ar-SA"/>
        </w:rPr>
        <w:t>5、服务对象满意情况：工商联事务及非公企业招商引资服务满意度100%。</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五、主要经验及做法、存在的问题及原因分析</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（一）主要经验</w:t>
      </w:r>
    </w:p>
    <w:p>
      <w:pPr>
        <w:keepNext w:val="0"/>
        <w:keepLines w:val="0"/>
        <w:pageBreakBefore w:val="0"/>
        <w:kinsoku/>
        <w:wordWrap/>
        <w:overflowPunct/>
        <w:topLinePunct w:val="0"/>
        <w:autoSpaceDE/>
        <w:autoSpaceDN/>
        <w:bidi w:val="0"/>
        <w:spacing w:line="580" w:lineRule="exact"/>
        <w:ind w:left="0" w:firstLine="626" w:firstLineChars="200"/>
        <w:textAlignment w:val="auto"/>
        <w:rPr>
          <w:rFonts w:hint="eastAsia" w:ascii="仿宋" w:hAnsi="仿宋" w:eastAsia="仿宋" w:cs="仿宋"/>
          <w:w w:val="98"/>
          <w:kern w:val="2"/>
          <w:sz w:val="32"/>
          <w:szCs w:val="32"/>
          <w:lang w:val="en-US" w:eastAsia="zh-CN" w:bidi="ar-SA"/>
        </w:rPr>
      </w:pPr>
      <w:r>
        <w:rPr>
          <w:rFonts w:hint="eastAsia" w:ascii="仿宋" w:hAnsi="仿宋" w:eastAsia="仿宋" w:cs="仿宋"/>
          <w:w w:val="98"/>
          <w:kern w:val="2"/>
          <w:sz w:val="32"/>
          <w:szCs w:val="32"/>
          <w:lang w:val="en-US" w:eastAsia="zh-CN" w:bidi="ar-SA"/>
        </w:rPr>
        <w:t>重要事项和大额资金严格执行“三重一大”集体决策制度。</w:t>
      </w:r>
    </w:p>
    <w:p>
      <w:pPr>
        <w:keepNext w:val="0"/>
        <w:keepLines w:val="0"/>
        <w:pageBreakBefore w:val="0"/>
        <w:numPr>
          <w:ilvl w:val="0"/>
          <w:numId w:val="10"/>
        </w:numPr>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存在的问题和建议</w:t>
      </w:r>
    </w:p>
    <w:p>
      <w:pPr>
        <w:keepNext w:val="0"/>
        <w:keepLines w:val="0"/>
        <w:pageBreakBefore w:val="0"/>
        <w:numPr>
          <w:ilvl w:val="0"/>
          <w:numId w:val="0"/>
        </w:numPr>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color w:val="auto"/>
          <w:kern w:val="2"/>
          <w:sz w:val="32"/>
          <w:szCs w:val="32"/>
          <w:lang w:val="en-US" w:eastAsia="zh-CN" w:bidi="ar-SA"/>
        </w:rPr>
        <w:t>2020年我联工作还存在一些问题和不足需要进一步完善。在资金安排和使用上仍有不可预见性，在科学设置预算绩效指标上还需进一步加强。</w:t>
      </w:r>
    </w:p>
    <w:p>
      <w:pPr>
        <w:pStyle w:val="4"/>
        <w:keepNext w:val="0"/>
        <w:keepLines w:val="0"/>
        <w:pageBreakBefore w:val="0"/>
        <w:widowControl/>
        <w:numPr>
          <w:ilvl w:val="0"/>
          <w:numId w:val="11"/>
        </w:numPr>
        <w:suppressLineNumbers w:val="0"/>
        <w:kinsoku/>
        <w:wordWrap/>
        <w:overflowPunct/>
        <w:topLinePunct w:val="0"/>
        <w:autoSpaceDE/>
        <w:autoSpaceDN/>
        <w:bidi w:val="0"/>
        <w:spacing w:before="0" w:beforeAutospacing="0" w:after="0" w:afterAutospacing="0" w:line="58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有关建议</w:t>
      </w:r>
    </w:p>
    <w:p>
      <w:pPr>
        <w:pStyle w:val="4"/>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80" w:lineRule="exact"/>
        <w:ind w:left="0" w:right="0" w:righ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专项资金绩效评价结果和全过程，作为以后年度本专项资金预算安排的参考依据。</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七、其他需要说明的问题</w:t>
      </w:r>
    </w:p>
    <w:p>
      <w:pPr>
        <w:keepNext w:val="0"/>
        <w:keepLines w:val="0"/>
        <w:pageBreakBefore w:val="0"/>
        <w:widowControl/>
        <w:kinsoku/>
        <w:wordWrap/>
        <w:overflowPunct/>
        <w:topLinePunct w:val="0"/>
        <w:autoSpaceDE/>
        <w:autoSpaceDN/>
        <w:bidi w:val="0"/>
        <w:spacing w:line="580" w:lineRule="exact"/>
        <w:ind w:left="0" w:firstLine="645"/>
        <w:jc w:val="left"/>
        <w:textAlignment w:val="auto"/>
        <w:rPr>
          <w:rFonts w:hint="eastAsia" w:ascii="仿宋" w:hAnsi="仿宋" w:eastAsia="仿宋" w:cs="仿宋"/>
          <w:sz w:val="32"/>
          <w:szCs w:val="32"/>
        </w:rPr>
      </w:pPr>
      <w:r>
        <w:rPr>
          <w:rFonts w:hint="eastAsia" w:ascii="仿宋" w:hAnsi="仿宋" w:eastAsia="仿宋" w:cs="仿宋"/>
          <w:sz w:val="32"/>
          <w:szCs w:val="32"/>
        </w:rPr>
        <w:t>报告应包括以下附件：</w:t>
      </w:r>
    </w:p>
    <w:p>
      <w:pPr>
        <w:keepNext w:val="0"/>
        <w:keepLines w:val="0"/>
        <w:pageBreakBefore w:val="0"/>
        <w:widowControl/>
        <w:kinsoku/>
        <w:wordWrap/>
        <w:overflowPunct/>
        <w:topLinePunct w:val="0"/>
        <w:autoSpaceDE/>
        <w:autoSpaceDN/>
        <w:bidi w:val="0"/>
        <w:spacing w:line="580" w:lineRule="exact"/>
        <w:ind w:left="0" w:firstLine="645"/>
        <w:jc w:val="left"/>
        <w:textAlignment w:val="auto"/>
        <w:rPr>
          <w:rFonts w:hint="eastAsia" w:ascii="仿宋" w:hAnsi="仿宋" w:eastAsia="仿宋" w:cs="仿宋"/>
          <w:sz w:val="32"/>
          <w:szCs w:val="32"/>
        </w:rPr>
      </w:pPr>
      <w:r>
        <w:rPr>
          <w:rFonts w:hint="eastAsia" w:ascii="仿宋" w:hAnsi="仿宋" w:eastAsia="仿宋" w:cs="仿宋"/>
          <w:sz w:val="32"/>
          <w:szCs w:val="32"/>
        </w:rPr>
        <w:t>1、绩效评价基础数据汇总表</w:t>
      </w:r>
    </w:p>
    <w:p>
      <w:pPr>
        <w:keepNext w:val="0"/>
        <w:keepLines w:val="0"/>
        <w:pageBreakBefore w:val="0"/>
        <w:widowControl/>
        <w:kinsoku/>
        <w:wordWrap/>
        <w:overflowPunct/>
        <w:topLinePunct w:val="0"/>
        <w:autoSpaceDE/>
        <w:autoSpaceDN/>
        <w:bidi w:val="0"/>
        <w:spacing w:line="580" w:lineRule="exact"/>
        <w:ind w:left="0" w:firstLine="645"/>
        <w:jc w:val="left"/>
        <w:textAlignment w:val="auto"/>
      </w:pPr>
      <w:r>
        <w:rPr>
          <w:rFonts w:hint="eastAsia" w:ascii="仿宋" w:hAnsi="仿宋" w:eastAsia="仿宋" w:cs="仿宋"/>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_4eff_5b8b_GB2312">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B315C"/>
    <w:multiLevelType w:val="singleLevel"/>
    <w:tmpl w:val="9A1B315C"/>
    <w:lvl w:ilvl="0" w:tentative="0">
      <w:start w:val="3"/>
      <w:numFmt w:val="chineseCounting"/>
      <w:suff w:val="nothing"/>
      <w:lvlText w:val="%1、"/>
      <w:lvlJc w:val="left"/>
      <w:rPr>
        <w:rFonts w:hint="eastAsia"/>
      </w:rPr>
    </w:lvl>
  </w:abstractNum>
  <w:abstractNum w:abstractNumId="1">
    <w:nsid w:val="D641CE89"/>
    <w:multiLevelType w:val="singleLevel"/>
    <w:tmpl w:val="D641CE89"/>
    <w:lvl w:ilvl="0" w:tentative="0">
      <w:start w:val="6"/>
      <w:numFmt w:val="chineseCounting"/>
      <w:suff w:val="nothing"/>
      <w:lvlText w:val="%1、"/>
      <w:lvlJc w:val="left"/>
      <w:rPr>
        <w:rFonts w:hint="eastAsia"/>
      </w:rPr>
    </w:lvl>
  </w:abstractNum>
  <w:abstractNum w:abstractNumId="2">
    <w:nsid w:val="EE736F32"/>
    <w:multiLevelType w:val="singleLevel"/>
    <w:tmpl w:val="EE736F32"/>
    <w:lvl w:ilvl="0" w:tentative="0">
      <w:start w:val="2"/>
      <w:numFmt w:val="chineseCounting"/>
      <w:suff w:val="nothing"/>
      <w:lvlText w:val="（%1）"/>
      <w:lvlJc w:val="left"/>
      <w:rPr>
        <w:rFonts w:hint="eastAsia"/>
      </w:rPr>
    </w:lvl>
  </w:abstractNum>
  <w:abstractNum w:abstractNumId="3">
    <w:nsid w:val="151D602B"/>
    <w:multiLevelType w:val="singleLevel"/>
    <w:tmpl w:val="151D602B"/>
    <w:lvl w:ilvl="0" w:tentative="0">
      <w:start w:val="1"/>
      <w:numFmt w:val="chineseCounting"/>
      <w:suff w:val="nothing"/>
      <w:lvlText w:val="（%1）"/>
      <w:lvlJc w:val="left"/>
      <w:rPr>
        <w:rFonts w:hint="eastAsia"/>
      </w:rPr>
    </w:lvl>
  </w:abstractNum>
  <w:abstractNum w:abstractNumId="4">
    <w:nsid w:val="18598C28"/>
    <w:multiLevelType w:val="singleLevel"/>
    <w:tmpl w:val="18598C28"/>
    <w:lvl w:ilvl="0" w:tentative="0">
      <w:start w:val="5"/>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603A9A0C"/>
    <w:multiLevelType w:val="singleLevel"/>
    <w:tmpl w:val="603A9A0C"/>
    <w:lvl w:ilvl="0" w:tentative="0">
      <w:start w:val="8"/>
      <w:numFmt w:val="decimal"/>
      <w:suff w:val="nothing"/>
      <w:lvlText w:val="%1、"/>
      <w:lvlJc w:val="left"/>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0">
    <w:nsid w:val="7B1E6973"/>
    <w:multiLevelType w:val="singleLevel"/>
    <w:tmpl w:val="7B1E6973"/>
    <w:lvl w:ilvl="0" w:tentative="0">
      <w:start w:val="1"/>
      <w:numFmt w:val="chineseCounting"/>
      <w:suff w:val="nothing"/>
      <w:lvlText w:val="（%1）"/>
      <w:lvlJc w:val="left"/>
      <w:rPr>
        <w:rFonts w:hint="eastAsia"/>
      </w:rPr>
    </w:lvl>
  </w:abstractNum>
  <w:num w:numId="1">
    <w:abstractNumId w:val="3"/>
  </w:num>
  <w:num w:numId="2">
    <w:abstractNumId w:val="4"/>
  </w:num>
  <w:num w:numId="3">
    <w:abstractNumId w:val="8"/>
  </w:num>
  <w:num w:numId="4">
    <w:abstractNumId w:val="6"/>
  </w:num>
  <w:num w:numId="5">
    <w:abstractNumId w:val="5"/>
  </w:num>
  <w:num w:numId="6">
    <w:abstractNumId w:val="9"/>
  </w:num>
  <w:num w:numId="7">
    <w:abstractNumId w:val="7"/>
  </w:num>
  <w:num w:numId="8">
    <w:abstractNumId w:val="0"/>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1BF0A68"/>
    <w:rsid w:val="025D2971"/>
    <w:rsid w:val="028D3D9B"/>
    <w:rsid w:val="03707C72"/>
    <w:rsid w:val="04C2652A"/>
    <w:rsid w:val="05A87F00"/>
    <w:rsid w:val="07387C3F"/>
    <w:rsid w:val="081B1E9D"/>
    <w:rsid w:val="09D27AB9"/>
    <w:rsid w:val="0A9C36C3"/>
    <w:rsid w:val="0B93386A"/>
    <w:rsid w:val="0C3900B5"/>
    <w:rsid w:val="12277EDC"/>
    <w:rsid w:val="133A79F9"/>
    <w:rsid w:val="167604BC"/>
    <w:rsid w:val="17996A04"/>
    <w:rsid w:val="20BE3784"/>
    <w:rsid w:val="21477D0C"/>
    <w:rsid w:val="221B1222"/>
    <w:rsid w:val="22501B7E"/>
    <w:rsid w:val="22F87609"/>
    <w:rsid w:val="2393330F"/>
    <w:rsid w:val="23B837FE"/>
    <w:rsid w:val="25CF652B"/>
    <w:rsid w:val="269328FE"/>
    <w:rsid w:val="2A153DCA"/>
    <w:rsid w:val="2C234C54"/>
    <w:rsid w:val="2CCD6DFC"/>
    <w:rsid w:val="2E0870CE"/>
    <w:rsid w:val="2EB02ABC"/>
    <w:rsid w:val="308215D5"/>
    <w:rsid w:val="30C532DB"/>
    <w:rsid w:val="3398687B"/>
    <w:rsid w:val="339D3BD8"/>
    <w:rsid w:val="35DB4936"/>
    <w:rsid w:val="36BA6C2A"/>
    <w:rsid w:val="36C67CD3"/>
    <w:rsid w:val="37B859FB"/>
    <w:rsid w:val="3B9711CA"/>
    <w:rsid w:val="3C7B0287"/>
    <w:rsid w:val="3D586799"/>
    <w:rsid w:val="41313958"/>
    <w:rsid w:val="47C75C1B"/>
    <w:rsid w:val="4A2E6DBB"/>
    <w:rsid w:val="501E41A2"/>
    <w:rsid w:val="509518B3"/>
    <w:rsid w:val="52505C5F"/>
    <w:rsid w:val="52866C99"/>
    <w:rsid w:val="574B7025"/>
    <w:rsid w:val="59A03387"/>
    <w:rsid w:val="5A067D1C"/>
    <w:rsid w:val="5AC84511"/>
    <w:rsid w:val="626E2511"/>
    <w:rsid w:val="62F321A0"/>
    <w:rsid w:val="66EA6E0E"/>
    <w:rsid w:val="676A45B8"/>
    <w:rsid w:val="679A707D"/>
    <w:rsid w:val="69DE15DE"/>
    <w:rsid w:val="6A08406A"/>
    <w:rsid w:val="6A274DC2"/>
    <w:rsid w:val="6B314D6A"/>
    <w:rsid w:val="6E7554FD"/>
    <w:rsid w:val="71677525"/>
    <w:rsid w:val="724574C8"/>
    <w:rsid w:val="73383407"/>
    <w:rsid w:val="73B42BB1"/>
    <w:rsid w:val="74913B20"/>
    <w:rsid w:val="7D286859"/>
    <w:rsid w:val="7F044AE9"/>
    <w:rsid w:val="7FBD7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qFormat/>
    <w:uiPriority w:val="0"/>
    <w:pPr>
      <w:jc w:val="left"/>
    </w:pPr>
    <w:rPr>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10</TotalTime>
  <ScaleCrop>false</ScaleCrop>
  <LinksUpToDate>false</LinksUpToDate>
  <CharactersWithSpaces>8635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2021-06-25T08:40:49Z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9CF59B47C34C4863BF95325133CAABF5</vt:lpwstr>
  </property>
</Properties>
</file>