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jc w:val="left"/>
        <w:rPr>
          <w:rFonts w:eastAsia="仿宋_GB2312"/>
          <w:sz w:val="32"/>
          <w:szCs w:val="32"/>
        </w:rPr>
      </w:pPr>
      <w:r>
        <w:rPr>
          <w:rFonts w:eastAsia="黑体"/>
          <w:sz w:val="32"/>
          <w:szCs w:val="32"/>
        </w:rPr>
        <w:t>附件1</w:t>
      </w:r>
    </w:p>
    <w:p>
      <w:pPr>
        <w:pStyle w:val="4"/>
        <w:spacing w:before="120" w:after="120"/>
        <w:jc w:val="center"/>
        <w:rPr>
          <w:rFonts w:eastAsia="方正小标宋_GBK"/>
          <w:bCs/>
          <w:sz w:val="36"/>
          <w:szCs w:val="36"/>
        </w:rPr>
      </w:pPr>
      <w:r>
        <w:rPr>
          <w:rFonts w:eastAsia="方正小标宋_GBK"/>
          <w:bCs/>
          <w:sz w:val="36"/>
          <w:szCs w:val="36"/>
        </w:rPr>
        <w:t>部门整体支出绩效评价共性指标框架</w:t>
      </w:r>
    </w:p>
    <w:tbl>
      <w:tblPr>
        <w:tblStyle w:val="2"/>
        <w:tblW w:w="10581" w:type="dxa"/>
        <w:jc w:val="center"/>
        <w:tblLayout w:type="fixed"/>
        <w:tblCellMar>
          <w:top w:w="10" w:type="dxa"/>
          <w:left w:w="10" w:type="dxa"/>
          <w:bottom w:w="0" w:type="dxa"/>
          <w:right w:w="10" w:type="dxa"/>
        </w:tblCellMar>
      </w:tblPr>
      <w:tblGrid>
        <w:gridCol w:w="665"/>
        <w:gridCol w:w="867"/>
        <w:gridCol w:w="951"/>
        <w:gridCol w:w="2908"/>
        <w:gridCol w:w="4252"/>
        <w:gridCol w:w="937"/>
      </w:tblGrid>
      <w:tr>
        <w:tblPrEx>
          <w:tblCellMar>
            <w:top w:w="10" w:type="dxa"/>
            <w:left w:w="10" w:type="dxa"/>
            <w:bottom w:w="0" w:type="dxa"/>
            <w:right w:w="10" w:type="dxa"/>
          </w:tblCellMar>
        </w:tblPrEx>
        <w:trPr>
          <w:trHeight w:val="861" w:hRule="atLeast"/>
          <w:tblHeader/>
          <w:jc w:val="center"/>
        </w:trPr>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一级</w:t>
            </w:r>
            <w:r>
              <w:rPr>
                <w:rFonts w:ascii="仿宋_GB2312" w:hAnsi="仿宋_GB2312" w:eastAsia="仿宋_GB2312"/>
                <w:b/>
                <w:bCs/>
                <w:szCs w:val="21"/>
              </w:rPr>
              <w:br w:type="textWrapping"/>
            </w:r>
            <w:r>
              <w:rPr>
                <w:rFonts w:ascii="仿宋_GB2312" w:hAnsi="仿宋_GB2312" w:eastAsia="仿宋_GB2312"/>
                <w:b/>
                <w:bCs/>
                <w:szCs w:val="21"/>
              </w:rPr>
              <w:t>指标</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ind w:right="-174" w:firstLine="0"/>
              <w:jc w:val="center"/>
              <w:rPr>
                <w:rFonts w:ascii="仿宋_GB2312" w:hAnsi="仿宋_GB2312" w:eastAsia="仿宋_GB2312"/>
                <w:b/>
                <w:bCs/>
                <w:szCs w:val="21"/>
              </w:rPr>
            </w:pPr>
            <w:r>
              <w:rPr>
                <w:rFonts w:ascii="仿宋_GB2312" w:hAnsi="仿宋_GB2312" w:eastAsia="仿宋_GB2312"/>
                <w:b/>
                <w:bCs/>
                <w:szCs w:val="21"/>
              </w:rPr>
              <w:t>二级</w:t>
            </w:r>
          </w:p>
          <w:p>
            <w:pPr>
              <w:pStyle w:val="4"/>
              <w:widowControl w:val="0"/>
              <w:spacing w:before="0" w:after="0"/>
              <w:ind w:right="-174" w:firstLine="0"/>
              <w:jc w:val="center"/>
              <w:rPr>
                <w:rFonts w:ascii="仿宋_GB2312" w:hAnsi="仿宋_GB2312" w:eastAsia="仿宋_GB2312"/>
                <w:b/>
                <w:bCs/>
                <w:szCs w:val="21"/>
              </w:rPr>
            </w:pPr>
            <w:r>
              <w:rPr>
                <w:rFonts w:ascii="仿宋_GB2312" w:hAnsi="仿宋_GB2312" w:eastAsia="仿宋_GB2312"/>
                <w:b/>
                <w:bCs/>
                <w:szCs w:val="21"/>
              </w:rPr>
              <w:t>指标</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三级</w:t>
            </w:r>
          </w:p>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指标</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ind w:left="105" w:right="105" w:firstLine="0"/>
              <w:jc w:val="center"/>
              <w:rPr>
                <w:rFonts w:ascii="仿宋_GB2312" w:hAnsi="仿宋_GB2312" w:eastAsia="仿宋_GB2312"/>
                <w:b/>
                <w:bCs/>
                <w:szCs w:val="21"/>
              </w:rPr>
            </w:pPr>
            <w:r>
              <w:rPr>
                <w:rFonts w:ascii="仿宋_GB2312" w:hAnsi="仿宋_GB2312" w:eastAsia="仿宋_GB2312"/>
                <w:b/>
                <w:bCs/>
                <w:szCs w:val="21"/>
              </w:rPr>
              <w:t>评分及标准</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ind w:left="105" w:right="105" w:firstLine="0"/>
              <w:jc w:val="center"/>
              <w:rPr>
                <w:rFonts w:ascii="仿宋_GB2312" w:hAnsi="仿宋_GB2312" w:eastAsia="仿宋_GB2312"/>
                <w:b/>
                <w:bCs/>
                <w:szCs w:val="21"/>
              </w:rPr>
            </w:pPr>
            <w:r>
              <w:rPr>
                <w:rFonts w:ascii="仿宋_GB2312" w:hAnsi="仿宋_GB2312" w:eastAsia="仿宋_GB2312"/>
                <w:b/>
                <w:bCs/>
                <w:szCs w:val="21"/>
              </w:rPr>
              <w:t>指标说明</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ind w:left="105" w:right="105" w:firstLine="0"/>
              <w:jc w:val="center"/>
              <w:rPr>
                <w:rFonts w:ascii="仿宋_GB2312" w:hAnsi="仿宋_GB2312" w:eastAsia="仿宋_GB2312"/>
                <w:b/>
                <w:bCs/>
                <w:szCs w:val="21"/>
              </w:rPr>
            </w:pPr>
            <w:r>
              <w:rPr>
                <w:rFonts w:ascii="仿宋_GB2312" w:hAnsi="仿宋_GB2312" w:eastAsia="仿宋_GB2312"/>
                <w:b/>
                <w:bCs/>
                <w:szCs w:val="21"/>
              </w:rPr>
              <w:t>自评分</w:t>
            </w:r>
          </w:p>
        </w:tc>
      </w:tr>
      <w:tr>
        <w:tblPrEx>
          <w:tblCellMar>
            <w:top w:w="10" w:type="dxa"/>
            <w:left w:w="10" w:type="dxa"/>
            <w:bottom w:w="0" w:type="dxa"/>
            <w:right w:w="10" w:type="dxa"/>
          </w:tblCellMar>
        </w:tblPrEx>
        <w:trPr>
          <w:trHeight w:val="1667" w:hRule="atLeast"/>
          <w:jc w:val="center"/>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投   入 （20分）</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目标</w:t>
            </w:r>
            <w:r>
              <w:rPr>
                <w:rFonts w:ascii="仿宋_GB2312" w:hAnsi="仿宋_GB2312" w:eastAsia="仿宋_GB2312"/>
                <w:szCs w:val="21"/>
              </w:rPr>
              <w:br w:type="textWrapping"/>
            </w:r>
            <w:r>
              <w:rPr>
                <w:rFonts w:ascii="仿宋_GB2312" w:hAnsi="仿宋_GB2312" w:eastAsia="仿宋_GB2312"/>
                <w:szCs w:val="21"/>
              </w:rPr>
              <w:t>设定  （14分）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绩效目标</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合理性 （6分）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每项指标评价要点加2分。</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是否符合国家法律法规、国民经济和社会发展总体规划2分</w:t>
            </w:r>
            <w:r>
              <w:rPr>
                <w:rFonts w:ascii="仿宋_GB2312" w:hAnsi="仿宋_GB2312" w:eastAsia="仿宋_GB2312" w:cs="宋体"/>
                <w:szCs w:val="21"/>
              </w:rPr>
              <w:t>②</w:t>
            </w:r>
            <w:r>
              <w:rPr>
                <w:rFonts w:ascii="仿宋_GB2312" w:hAnsi="仿宋_GB2312" w:eastAsia="仿宋_GB2312"/>
                <w:szCs w:val="21"/>
              </w:rPr>
              <w:t>是否符合部门“三定”方案确定的职责2分</w:t>
            </w:r>
            <w:r>
              <w:rPr>
                <w:rFonts w:ascii="仿宋_GB2312" w:hAnsi="仿宋_GB2312" w:eastAsia="仿宋_GB2312" w:cs="宋体"/>
                <w:szCs w:val="21"/>
              </w:rPr>
              <w:t>③</w:t>
            </w:r>
            <w:r>
              <w:rPr>
                <w:rFonts w:ascii="仿宋_GB2312" w:hAnsi="仿宋_GB2312" w:eastAsia="仿宋_GB2312"/>
                <w:szCs w:val="21"/>
              </w:rPr>
              <w:t>是否符合部门制定的中长期实施规划2分</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6</w:t>
            </w:r>
          </w:p>
        </w:tc>
      </w:tr>
      <w:tr>
        <w:tblPrEx>
          <w:tblCellMar>
            <w:top w:w="10" w:type="dxa"/>
            <w:left w:w="10" w:type="dxa"/>
            <w:bottom w:w="0" w:type="dxa"/>
            <w:right w:w="10" w:type="dxa"/>
          </w:tblCellMar>
        </w:tblPrEx>
        <w:trPr>
          <w:trHeight w:val="2387"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绩效指标</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明确性 （8分）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每项指标评价要点加2分。</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是否将部门整体的绩效目标细化分解为具体的工作任务2分；</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 xml:space="preserve">是否通过清晰、可衡量的指标值予以体现。    </w:t>
            </w:r>
            <w:r>
              <w:rPr>
                <w:rFonts w:ascii="仿宋_GB2312" w:hAnsi="仿宋_GB2312" w:eastAsia="仿宋_GB2312" w:cs="宋体"/>
                <w:szCs w:val="21"/>
              </w:rPr>
              <w:t>③</w:t>
            </w:r>
            <w:r>
              <w:rPr>
                <w:rFonts w:ascii="仿宋_GB2312" w:hAnsi="仿宋_GB2312" w:eastAsia="仿宋_GB2312"/>
                <w:szCs w:val="21"/>
              </w:rPr>
              <w:t>是否与部门年度的任务数或计划数相对应2分；</w:t>
            </w:r>
            <w:r>
              <w:rPr>
                <w:rFonts w:ascii="仿宋_GB2312" w:hAnsi="仿宋_GB2312" w:eastAsia="仿宋_GB2312"/>
                <w:szCs w:val="21"/>
              </w:rPr>
              <w:br w:type="textWrapping"/>
            </w:r>
            <w:r>
              <w:rPr>
                <w:rFonts w:ascii="仿宋_GB2312" w:hAnsi="仿宋_GB2312" w:eastAsia="仿宋_GB2312" w:cs="宋体"/>
                <w:szCs w:val="21"/>
              </w:rPr>
              <w:t>④</w:t>
            </w:r>
            <w:r>
              <w:rPr>
                <w:rFonts w:ascii="仿宋_GB2312" w:hAnsi="仿宋_GB2312" w:eastAsia="仿宋_GB2312"/>
                <w:szCs w:val="21"/>
              </w:rPr>
              <w:t>是否与本年度部门预算资金相匹配2分。</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6</w:t>
            </w:r>
          </w:p>
        </w:tc>
      </w:tr>
      <w:tr>
        <w:tblPrEx>
          <w:tblCellMar>
            <w:top w:w="10" w:type="dxa"/>
            <w:left w:w="10" w:type="dxa"/>
            <w:bottom w:w="0" w:type="dxa"/>
            <w:right w:w="10" w:type="dxa"/>
          </w:tblCellMar>
        </w:tblPrEx>
        <w:trPr>
          <w:trHeight w:val="2110"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r>
              <w:rPr>
                <w:rFonts w:ascii="仿宋_GB2312" w:hAnsi="仿宋_GB2312" w:eastAsia="仿宋_GB2312"/>
                <w:szCs w:val="21"/>
              </w:rPr>
              <w:br w:type="textWrapping"/>
            </w:r>
            <w:r>
              <w:rPr>
                <w:rFonts w:ascii="仿宋_GB2312" w:hAnsi="仿宋_GB2312" w:eastAsia="仿宋_GB2312"/>
                <w:szCs w:val="21"/>
              </w:rPr>
              <w:t>配置</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（6分）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在职人员</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控制率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以100%为标准，在职人员控制率≤100%，计2分；每超过一个百分点扣0.5分，扣完为止。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在职人员控制率=（在职人员数/编制数）×100%。</w:t>
            </w:r>
            <w:r>
              <w:rPr>
                <w:rFonts w:ascii="仿宋_GB2312" w:hAnsi="仿宋_GB2312" w:eastAsia="仿宋_GB2312"/>
                <w:szCs w:val="21"/>
              </w:rPr>
              <w:br w:type="textWrapping"/>
            </w:r>
            <w:r>
              <w:rPr>
                <w:rFonts w:ascii="仿宋_GB2312" w:hAnsi="仿宋_GB2312" w:eastAsia="仿宋_GB2312"/>
                <w:szCs w:val="21"/>
              </w:rPr>
              <w:t>在职人员数：部门实际在职人数，以财政部确定的部门决算编制口径为准。</w:t>
            </w:r>
            <w:r>
              <w:rPr>
                <w:rFonts w:ascii="仿宋_GB2312" w:hAnsi="仿宋_GB2312" w:eastAsia="仿宋_GB2312"/>
                <w:szCs w:val="21"/>
              </w:rPr>
              <w:br w:type="textWrapping"/>
            </w:r>
            <w:r>
              <w:rPr>
                <w:rFonts w:ascii="仿宋_GB2312" w:hAnsi="仿宋_GB2312" w:eastAsia="仿宋_GB2312"/>
                <w:szCs w:val="21"/>
              </w:rPr>
              <w:t>编制数：机构编制部门核定批复的部门的人员编制数。</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1829"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“三公经费”</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变动率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“三公经费”变动率为0，计5分；“三公经费”＞0，每超过一个百分点扣1分，扣完为止。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“三公经费”变动率=[（本年度“三公经费”总额-上年度“三公经费”总额）/上年度“三公经费”总额]×100%。</w:t>
            </w:r>
            <w:r>
              <w:rPr>
                <w:rFonts w:ascii="仿宋_GB2312" w:hAnsi="仿宋_GB2312" w:eastAsia="仿宋_GB2312"/>
                <w:szCs w:val="21"/>
              </w:rPr>
              <w:br w:type="textWrapping"/>
            </w:r>
            <w:r>
              <w:rPr>
                <w:rFonts w:ascii="仿宋_GB2312" w:hAnsi="仿宋_GB2312" w:eastAsia="仿宋_GB2312"/>
                <w:szCs w:val="21"/>
              </w:rPr>
              <w:t>“三公经费”：年度预算安排的因公出国（境）费、公务车辆购置及运行费和公务招待费。</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1861"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重点支出</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安排率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“重点支出安排率” ＞50%，计2分，每下降一个百分点扣0.5分，扣完为止。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重点支出安排率=（重点预算支出/预算总支出）×100%。</w:t>
            </w:r>
            <w:r>
              <w:rPr>
                <w:rFonts w:ascii="仿宋_GB2312" w:hAnsi="仿宋_GB2312" w:eastAsia="仿宋_GB2312"/>
                <w:szCs w:val="21"/>
              </w:rPr>
              <w:br w:type="textWrapping"/>
            </w:r>
            <w:r>
              <w:rPr>
                <w:rFonts w:ascii="仿宋_GB2312" w:hAnsi="仿宋_GB2312" w:eastAsia="仿宋_GB2312"/>
                <w:szCs w:val="21"/>
              </w:rPr>
              <w:t>重点预算支出：部门年度预算安排的，与本部门履职和发展密切相关、具有明显社会和经济影响、党委政府关心或社会比较关注的预算支出支出总额。</w:t>
            </w:r>
            <w:r>
              <w:rPr>
                <w:rFonts w:ascii="仿宋_GB2312" w:hAnsi="仿宋_GB2312" w:eastAsia="仿宋_GB2312"/>
                <w:szCs w:val="21"/>
              </w:rPr>
              <w:br w:type="textWrapping"/>
            </w:r>
            <w:r>
              <w:rPr>
                <w:rFonts w:ascii="仿宋_GB2312" w:hAnsi="仿宋_GB2312" w:eastAsia="仿宋_GB2312"/>
                <w:szCs w:val="21"/>
              </w:rPr>
              <w:t>预算总支出：部门年度预算安排的预算支出支出总额。</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1660" w:hRule="atLeast"/>
          <w:jc w:val="center"/>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过</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程</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（40分）</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r>
              <w:rPr>
                <w:rFonts w:ascii="仿宋_GB2312" w:hAnsi="仿宋_GB2312" w:eastAsia="仿宋_GB2312"/>
                <w:szCs w:val="21"/>
              </w:rPr>
              <w:br w:type="textWrapping"/>
            </w:r>
            <w:r>
              <w:rPr>
                <w:rFonts w:ascii="仿宋_GB2312" w:hAnsi="仿宋_GB2312" w:eastAsia="仿宋_GB2312"/>
                <w:szCs w:val="21"/>
              </w:rPr>
              <w:t>执行 （26分）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执行率 （5分）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100%计满分，每低于1%扣1分，扣完为止。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预算执行率=（预算执行数/预算数）×100%。</w:t>
            </w:r>
            <w:r>
              <w:rPr>
                <w:rFonts w:ascii="仿宋_GB2312" w:hAnsi="仿宋_GB2312" w:eastAsia="仿宋_GB2312"/>
                <w:szCs w:val="21"/>
              </w:rPr>
              <w:br w:type="textWrapping"/>
            </w:r>
            <w:r>
              <w:rPr>
                <w:rFonts w:ascii="仿宋_GB2312" w:hAnsi="仿宋_GB2312" w:eastAsia="仿宋_GB2312"/>
                <w:szCs w:val="21"/>
              </w:rPr>
              <w:t>预算执行数：部门本年度实际完成的预算数。</w:t>
            </w:r>
            <w:r>
              <w:rPr>
                <w:rFonts w:ascii="仿宋_GB2312" w:hAnsi="仿宋_GB2312" w:eastAsia="仿宋_GB2312"/>
                <w:szCs w:val="21"/>
              </w:rPr>
              <w:br w:type="textWrapping"/>
            </w:r>
            <w:r>
              <w:rPr>
                <w:rFonts w:ascii="仿宋_GB2312" w:hAnsi="仿宋_GB2312" w:eastAsia="仿宋_GB2312"/>
                <w:szCs w:val="21"/>
              </w:rPr>
              <w:t>预算数：财政部门批复的本年度部门预算数。</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5</w:t>
            </w:r>
          </w:p>
        </w:tc>
      </w:tr>
      <w:tr>
        <w:tblPrEx>
          <w:tblCellMar>
            <w:top w:w="10" w:type="dxa"/>
            <w:left w:w="10" w:type="dxa"/>
            <w:bottom w:w="0" w:type="dxa"/>
            <w:right w:w="10" w:type="dxa"/>
          </w:tblCellMar>
        </w:tblPrEx>
        <w:trPr>
          <w:trHeight w:val="2378"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调整率 （3分）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100%计满分，每下降5%扣1分，扣完为止。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预算调整率=（预算调整数/预算数）×100%。</w:t>
            </w:r>
            <w:r>
              <w:rPr>
                <w:rFonts w:ascii="仿宋_GB2312" w:hAnsi="仿宋_GB2312" w:eastAsia="仿宋_GB2312"/>
                <w:szCs w:val="21"/>
              </w:rPr>
              <w:br w:type="textWrapping"/>
            </w:r>
            <w:r>
              <w:rPr>
                <w:rFonts w:ascii="仿宋_GB2312" w:hAns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2819"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支付</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进度率 （3分）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100%计满分，每低于5%扣1分，扣完为止。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支付进度率=（实际支付进度/既定支付进度）×100%。</w:t>
            </w:r>
            <w:r>
              <w:rPr>
                <w:rFonts w:ascii="仿宋_GB2312" w:hAnsi="仿宋_GB2312" w:eastAsia="仿宋_GB2312"/>
                <w:szCs w:val="21"/>
              </w:rPr>
              <w:br w:type="textWrapping"/>
            </w:r>
            <w:r>
              <w:rPr>
                <w:rFonts w:ascii="仿宋_GB2312" w:hAnsi="仿宋_GB2312" w:eastAsia="仿宋_GB2312"/>
                <w:szCs w:val="21"/>
              </w:rPr>
              <w:t>实际支付进度：部门在某一时点的支出预算执行总数与年度支出预算数的比率。</w:t>
            </w:r>
            <w:r>
              <w:rPr>
                <w:rFonts w:ascii="仿宋_GB2312" w:hAnsi="仿宋_GB2312" w:eastAsia="仿宋_GB2312"/>
                <w:szCs w:val="21"/>
              </w:rPr>
              <w:br w:type="textWrapping"/>
            </w:r>
            <w:r>
              <w:rPr>
                <w:rFonts w:ascii="仿宋_GB2312" w:hAns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1399"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结转</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结余率 （3分）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0%计满分，每超过5%扣1分，扣完为止。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结转结余率=结转结余总额/支出预算数×100%。</w:t>
            </w:r>
            <w:r>
              <w:rPr>
                <w:rFonts w:ascii="仿宋_GB2312" w:hAnsi="仿宋_GB2312" w:eastAsia="仿宋_GB2312"/>
                <w:szCs w:val="21"/>
              </w:rPr>
              <w:br w:type="textWrapping"/>
            </w:r>
            <w:r>
              <w:rPr>
                <w:rFonts w:ascii="仿宋_GB2312" w:hAnsi="仿宋_GB2312" w:eastAsia="仿宋_GB2312"/>
                <w:szCs w:val="21"/>
              </w:rPr>
              <w:t>结转结余总额：部门本年度的结转资金与结余资金之和（以决算数为准）。</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1817"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结转结余</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变动率 （3分）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0%计满分，每超过5%扣1分，扣完为止。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结转结余变动率=[（本年度累计结转结余资金总额-上年度累计结转结余资金总额）/上年度累计结转结余资金总额]×100%。</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1829"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公用经费</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控制率 （3分）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100%以下（含）计满分，每超出1%扣1分，扣完为止。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公用经费控制率=（实际支出公用经费总额/预算安排公用经费总额）×100%。</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1944" w:hRule="atLeast"/>
          <w:jc w:val="center"/>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过</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程  （40分）</w:t>
            </w:r>
          </w:p>
        </w:tc>
        <w:tc>
          <w:tcPr>
            <w:tcW w:w="867" w:type="dxa"/>
            <w:vMerge w:val="restart"/>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r>
              <w:rPr>
                <w:rFonts w:ascii="仿宋_GB2312" w:hAnsi="仿宋_GB2312" w:eastAsia="仿宋_GB2312"/>
                <w:szCs w:val="21"/>
              </w:rPr>
              <w:br w:type="textWrapping"/>
            </w:r>
            <w:r>
              <w:rPr>
                <w:rFonts w:ascii="仿宋_GB2312" w:hAnsi="仿宋_GB2312" w:eastAsia="仿宋_GB2312"/>
                <w:szCs w:val="21"/>
              </w:rPr>
              <w:t>执行 （26分）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“三公经费”控制率（3分）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100%以下（含）计满分，每超出1%扣1分，扣完为止。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“三公经费”控制率=（“三公经费”实际支出数/“三公经费”预算安排数）×100%。</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2098"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政府采购</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执行率 （3分）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100%计满分，每超过（降低）5%扣1分，扣完为止。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政府采购执行率=（实际政府采购金额/政府采购预算数）×100%；</w:t>
            </w:r>
            <w:r>
              <w:rPr>
                <w:rFonts w:ascii="仿宋_GB2312" w:hAnsi="仿宋_GB2312" w:eastAsia="仿宋_GB2312"/>
                <w:szCs w:val="21"/>
              </w:rPr>
              <w:br w:type="textWrapping"/>
            </w:r>
            <w:r>
              <w:rPr>
                <w:rFonts w:ascii="仿宋_GB2312" w:hAnsi="仿宋_GB2312" w:eastAsia="仿宋_GB2312"/>
                <w:szCs w:val="21"/>
              </w:rPr>
              <w:t>政府采购预算：采购机关根据事业发展计划和行政任务编制的、并经过规定程序批准的年度政府采购计划。</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3</w:t>
            </w:r>
          </w:p>
        </w:tc>
      </w:tr>
      <w:tr>
        <w:tblPrEx>
          <w:tblCellMar>
            <w:top w:w="10" w:type="dxa"/>
            <w:left w:w="10" w:type="dxa"/>
            <w:bottom w:w="0" w:type="dxa"/>
            <w:right w:w="10" w:type="dxa"/>
          </w:tblCellMar>
        </w:tblPrEx>
        <w:trPr>
          <w:trHeight w:val="2398"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管理  （8分）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管理制度</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健全性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是否已制定或具有预算资金管理办法、内部财务管理制度、会计核算制度等管理制度；</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相关管理制度是否合法、合规、完整；</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相关管理制度是否得到有效执行。</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1.5</w:t>
            </w:r>
          </w:p>
        </w:tc>
      </w:tr>
      <w:tr>
        <w:tblPrEx>
          <w:tblCellMar>
            <w:top w:w="10" w:type="dxa"/>
            <w:left w:w="10" w:type="dxa"/>
            <w:bottom w:w="0" w:type="dxa"/>
            <w:right w:w="10" w:type="dxa"/>
          </w:tblCellMar>
        </w:tblPrEx>
        <w:trPr>
          <w:trHeight w:val="3509"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资金使用</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合规性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00" w:lineRule="exact"/>
              <w:rPr>
                <w:rFonts w:ascii="仿宋_GB2312" w:hAnsi="仿宋_GB2312" w:eastAsia="仿宋_GB2312"/>
                <w:szCs w:val="21"/>
              </w:rPr>
            </w:pPr>
            <w:r>
              <w:rPr>
                <w:rFonts w:ascii="仿宋_GB2312" w:hAns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以上情况每出现一例不符合要求的扣0.5分，扣完为止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是否符合国家财经法规和财务管理制度规定以及有关预算支出管理办法的规定；</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资金的拨付是否有完整的审批程序和手续；</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预算支出的重大开支是否经过评估论证；</w:t>
            </w:r>
            <w:r>
              <w:rPr>
                <w:rFonts w:ascii="仿宋_GB2312" w:hAnsi="仿宋_GB2312" w:eastAsia="仿宋_GB2312"/>
                <w:szCs w:val="21"/>
              </w:rPr>
              <w:br w:type="textWrapping"/>
            </w:r>
            <w:r>
              <w:rPr>
                <w:rFonts w:ascii="仿宋_GB2312" w:hAnsi="仿宋_GB2312" w:eastAsia="仿宋_GB2312" w:cs="宋体"/>
                <w:szCs w:val="21"/>
              </w:rPr>
              <w:t>④</w:t>
            </w:r>
            <w:r>
              <w:rPr>
                <w:rFonts w:ascii="仿宋_GB2312" w:hAnsi="仿宋_GB2312" w:eastAsia="仿宋_GB2312"/>
                <w:szCs w:val="21"/>
              </w:rPr>
              <w:t>是否符合部门预算批复的用途；</w:t>
            </w:r>
            <w:r>
              <w:rPr>
                <w:rFonts w:ascii="仿宋_GB2312" w:hAnsi="仿宋_GB2312" w:eastAsia="仿宋_GB2312"/>
                <w:szCs w:val="21"/>
              </w:rPr>
              <w:br w:type="textWrapping"/>
            </w:r>
            <w:r>
              <w:rPr>
                <w:rFonts w:ascii="仿宋_GB2312" w:hAnsi="仿宋_GB2312" w:eastAsia="仿宋_GB2312" w:cs="宋体"/>
                <w:szCs w:val="21"/>
              </w:rPr>
              <w:t>⑤</w:t>
            </w:r>
            <w:r>
              <w:rPr>
                <w:rFonts w:ascii="仿宋_GB2312" w:hAnsi="仿宋_GB2312" w:eastAsia="仿宋_GB2312"/>
                <w:szCs w:val="21"/>
              </w:rPr>
              <w:t>是否存在截留、挤占、挪用、虚列支出等情况。</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1813"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预决算信</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息公开性（2分）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部门预算、执行、决算、监督、绩效等管理相关的信息未公开，每一项扣0.5分，扣完为止。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是否按规定内容公开预决算信息；</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是否按规定时限公开预决算信息。</w:t>
            </w:r>
            <w:r>
              <w:rPr>
                <w:rFonts w:ascii="仿宋_GB2312" w:hAnsi="仿宋_GB2312" w:eastAsia="仿宋_GB2312"/>
                <w:szCs w:val="21"/>
              </w:rPr>
              <w:br w:type="textWrapping"/>
            </w:r>
            <w:r>
              <w:rPr>
                <w:rFonts w:ascii="仿宋_GB2312" w:hAnsi="仿宋_GB2312" w:eastAsia="仿宋_GB2312"/>
                <w:szCs w:val="21"/>
              </w:rPr>
              <w:t>预决算信息是指与部门预算、执行、决算、监督、绩效等管理相关的信息。</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1802" w:hRule="atLeast"/>
          <w:jc w:val="center"/>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过</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程  （40分）</w:t>
            </w:r>
          </w:p>
        </w:tc>
        <w:tc>
          <w:tcPr>
            <w:tcW w:w="867" w:type="dxa"/>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预算</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管理   （8分）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基础信息</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完善性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部门基础信息是否完善，缺一项扣0.5分，扣完为止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基础数据信息和会计信息资料是否真实；</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基础数据信息和会计信息资料是否完整；</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基础数据信息和会计信息资料是否准确。</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2219"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资产</w:t>
            </w:r>
            <w:r>
              <w:rPr>
                <w:rFonts w:ascii="仿宋_GB2312" w:hAnsi="仿宋_GB2312" w:eastAsia="仿宋_GB2312"/>
                <w:szCs w:val="21"/>
              </w:rPr>
              <w:br w:type="textWrapping"/>
            </w:r>
            <w:r>
              <w:rPr>
                <w:rFonts w:ascii="仿宋_GB2312" w:hAnsi="仿宋_GB2312" w:eastAsia="仿宋_GB2312"/>
                <w:szCs w:val="21"/>
              </w:rPr>
              <w:t>管理  （6分）</w:t>
            </w:r>
          </w:p>
          <w:p>
            <w:pPr>
              <w:pStyle w:val="4"/>
              <w:widowControl w:val="0"/>
              <w:spacing w:before="0" w:after="0" w:line="320" w:lineRule="exact"/>
              <w:jc w:val="center"/>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管理制度</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健全性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部门有加强资产管理、规范资产管理行为而制定的管理制度的计1分；有效执行相关文件的计1分。反之不计分。</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 xml:space="preserve">是否已制定或具有资产管理制度；           </w:t>
            </w:r>
            <w:r>
              <w:rPr>
                <w:rFonts w:ascii="仿宋_GB2312" w:hAnsi="仿宋_GB2312" w:eastAsia="仿宋_GB2312" w:cs="宋体"/>
                <w:szCs w:val="21"/>
              </w:rPr>
              <w:t>②</w:t>
            </w:r>
            <w:r>
              <w:rPr>
                <w:rFonts w:ascii="仿宋_GB2312" w:hAnsi="仿宋_GB2312" w:eastAsia="仿宋_GB2312"/>
                <w:szCs w:val="21"/>
              </w:rPr>
              <w:t>相关资金管理制度是否合法、合规、完整；</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相关资产管理制度是否得到有效执行。</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1</w:t>
            </w:r>
          </w:p>
        </w:tc>
      </w:tr>
      <w:tr>
        <w:tblPrEx>
          <w:tblCellMar>
            <w:top w:w="10" w:type="dxa"/>
            <w:left w:w="10" w:type="dxa"/>
            <w:bottom w:w="0" w:type="dxa"/>
            <w:right w:w="10" w:type="dxa"/>
          </w:tblCellMar>
        </w:tblPrEx>
        <w:trPr>
          <w:trHeight w:val="2837"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资产管理</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安全性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761"/>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部门的资产是否保存完整、使用合规、配置合理、处置规范、收入及时足额上缴计满分，每一项不达标扣0.5分，扣完为止。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资产保存是否完整；</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资产配置是否合理；</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资产处置是否规范；</w:t>
            </w:r>
            <w:r>
              <w:rPr>
                <w:rFonts w:ascii="仿宋_GB2312" w:hAnsi="仿宋_GB2312" w:eastAsia="仿宋_GB2312"/>
                <w:szCs w:val="21"/>
              </w:rPr>
              <w:br w:type="textWrapping"/>
            </w:r>
            <w:r>
              <w:rPr>
                <w:rFonts w:ascii="仿宋_GB2312" w:hAnsi="仿宋_GB2312" w:eastAsia="仿宋_GB2312" w:cs="宋体"/>
                <w:szCs w:val="21"/>
              </w:rPr>
              <w:t>④</w:t>
            </w:r>
            <w:r>
              <w:rPr>
                <w:rFonts w:ascii="仿宋_GB2312" w:hAnsi="仿宋_GB2312" w:eastAsia="仿宋_GB2312"/>
                <w:szCs w:val="21"/>
              </w:rPr>
              <w:t>资产账务管理是否合规，是否帐实相符；</w:t>
            </w:r>
            <w:r>
              <w:rPr>
                <w:rFonts w:ascii="仿宋_GB2312" w:hAnsi="仿宋_GB2312" w:eastAsia="仿宋_GB2312"/>
                <w:szCs w:val="21"/>
              </w:rPr>
              <w:br w:type="textWrapping"/>
            </w:r>
            <w:r>
              <w:rPr>
                <w:rFonts w:ascii="仿宋_GB2312" w:hAnsi="仿宋_GB2312" w:eastAsia="仿宋_GB2312" w:cs="宋体"/>
                <w:szCs w:val="21"/>
              </w:rPr>
              <w:t>⑤</w:t>
            </w:r>
            <w:r>
              <w:rPr>
                <w:rFonts w:ascii="仿宋_GB2312" w:hAnsi="仿宋_GB2312" w:eastAsia="仿宋_GB2312"/>
                <w:szCs w:val="21"/>
              </w:rPr>
              <w:t>资产是否有偿使用及处置收入及时足额上缴。</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1.5</w:t>
            </w:r>
          </w:p>
        </w:tc>
      </w:tr>
      <w:tr>
        <w:tblPrEx>
          <w:tblCellMar>
            <w:top w:w="10" w:type="dxa"/>
            <w:left w:w="10" w:type="dxa"/>
            <w:bottom w:w="0" w:type="dxa"/>
            <w:right w:w="10" w:type="dxa"/>
          </w:tblCellMar>
        </w:tblPrEx>
        <w:trPr>
          <w:trHeight w:val="1995"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固定资产</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利用率 （2分）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100%计满分，每降低5%扣1分，扣完为止。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固定资产利用率=（实际在用固定资产总额/所有固定资产总额）×100%。</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2</w:t>
            </w:r>
          </w:p>
        </w:tc>
      </w:tr>
      <w:tr>
        <w:tblPrEx>
          <w:tblCellMar>
            <w:top w:w="10" w:type="dxa"/>
            <w:left w:w="10" w:type="dxa"/>
            <w:bottom w:w="0" w:type="dxa"/>
            <w:right w:w="10" w:type="dxa"/>
          </w:tblCellMar>
        </w:tblPrEx>
        <w:trPr>
          <w:trHeight w:val="2799" w:hRule="atLeast"/>
          <w:jc w:val="center"/>
        </w:trPr>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产出（20分）</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职责</w:t>
            </w:r>
            <w:r>
              <w:rPr>
                <w:rFonts w:ascii="仿宋_GB2312" w:hAnsi="仿宋_GB2312" w:eastAsia="仿宋_GB2312"/>
                <w:szCs w:val="21"/>
              </w:rPr>
              <w:br w:type="textWrapping"/>
            </w:r>
            <w:r>
              <w:rPr>
                <w:rFonts w:ascii="仿宋_GB2312" w:hAnsi="仿宋_GB2312" w:eastAsia="仿宋_GB2312"/>
                <w:szCs w:val="21"/>
              </w:rPr>
              <w:t>履行 （20分）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实际</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完成率 （5分）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100%计满分，每超过1%扣1分，扣完为止。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实际完成率=（实际完成工作数/计划工作数）×100%。</w:t>
            </w:r>
            <w:r>
              <w:rPr>
                <w:rFonts w:ascii="仿宋_GB2312" w:hAnsi="仿宋_GB2312" w:eastAsia="仿宋_GB2312"/>
                <w:szCs w:val="21"/>
              </w:rPr>
              <w:br w:type="textWrapping"/>
            </w:r>
            <w:r>
              <w:rPr>
                <w:rFonts w:ascii="仿宋_GB2312" w:hAnsi="仿宋_GB2312" w:eastAsia="仿宋_GB2312"/>
                <w:szCs w:val="21"/>
              </w:rPr>
              <w:t>实际完成工作数：一定时期（年度或规划期）内部门实际完成工作任务的数量。</w:t>
            </w:r>
            <w:r>
              <w:rPr>
                <w:rFonts w:ascii="仿宋_GB2312" w:hAnsi="仿宋_GB2312" w:eastAsia="仿宋_GB2312"/>
                <w:szCs w:val="21"/>
              </w:rPr>
              <w:br w:type="textWrapping"/>
            </w:r>
            <w:r>
              <w:rPr>
                <w:rFonts w:ascii="仿宋_GB2312" w:hAnsi="仿宋_GB2312" w:eastAsia="仿宋_GB2312"/>
                <w:szCs w:val="21"/>
              </w:rPr>
              <w:t>计划工作数：部门整体绩效目标确定的一定时期（年度或规划期）内预计完成工作任务的数量。</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5</w:t>
            </w:r>
          </w:p>
        </w:tc>
      </w:tr>
      <w:tr>
        <w:tblPrEx>
          <w:tblCellMar>
            <w:top w:w="10" w:type="dxa"/>
            <w:left w:w="10" w:type="dxa"/>
            <w:bottom w:w="0" w:type="dxa"/>
            <w:right w:w="10" w:type="dxa"/>
          </w:tblCellMar>
        </w:tblPrEx>
        <w:trPr>
          <w:trHeight w:val="1635" w:hRule="atLeast"/>
          <w:jc w:val="center"/>
        </w:trPr>
        <w:tc>
          <w:tcPr>
            <w:tcW w:w="665" w:type="dxa"/>
            <w:vMerge w:val="restart"/>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产</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出</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（20分）</w:t>
            </w:r>
          </w:p>
        </w:tc>
        <w:tc>
          <w:tcPr>
            <w:tcW w:w="867" w:type="dxa"/>
            <w:vMerge w:val="restart"/>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职责</w:t>
            </w:r>
            <w:r>
              <w:rPr>
                <w:rFonts w:ascii="仿宋_GB2312" w:hAnsi="仿宋_GB2312" w:eastAsia="仿宋_GB2312"/>
                <w:szCs w:val="21"/>
              </w:rPr>
              <w:br w:type="textWrapping"/>
            </w:r>
            <w:r>
              <w:rPr>
                <w:rFonts w:ascii="仿宋_GB2312" w:hAnsi="仿宋_GB2312" w:eastAsia="仿宋_GB2312"/>
                <w:szCs w:val="21"/>
              </w:rPr>
              <w:t>履行 （20分）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完成</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及时率 （5分）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100%以下（含）计满分，每超出1%扣1分，扣完为止。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完成及时率=（及时完成实际工作数/计划工作数）×100%。</w:t>
            </w:r>
            <w:r>
              <w:rPr>
                <w:rFonts w:ascii="仿宋_GB2312" w:hAnsi="仿宋_GB2312" w:eastAsia="仿宋_GB2312"/>
                <w:szCs w:val="21"/>
              </w:rPr>
              <w:br w:type="textWrapping"/>
            </w:r>
            <w:r>
              <w:rPr>
                <w:rFonts w:ascii="仿宋_GB2312" w:hAnsi="仿宋_GB2312" w:eastAsia="仿宋_GB2312"/>
                <w:szCs w:val="21"/>
              </w:rPr>
              <w:t>及时完成实际工作数：部门按照整体绩效目标确定的时限实际完成的工作任务数量。</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4</w:t>
            </w:r>
          </w:p>
        </w:tc>
      </w:tr>
      <w:tr>
        <w:tblPrEx>
          <w:tblCellMar>
            <w:top w:w="10" w:type="dxa"/>
            <w:left w:w="10" w:type="dxa"/>
            <w:bottom w:w="0" w:type="dxa"/>
            <w:right w:w="10" w:type="dxa"/>
          </w:tblCellMar>
        </w:tblPrEx>
        <w:trPr>
          <w:trHeight w:val="1737"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质量</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达标率 （5分）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100%计满分，每超过1%扣1分，扣完为止。</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质量达标率=（质量达标实际工作数/计划工作数）×100%。</w:t>
            </w:r>
            <w:r>
              <w:rPr>
                <w:rFonts w:ascii="仿宋_GB2312" w:hAnsi="仿宋_GB2312" w:eastAsia="仿宋_GB2312"/>
                <w:szCs w:val="21"/>
              </w:rPr>
              <w:br w:type="textWrapping"/>
            </w:r>
            <w:r>
              <w:rPr>
                <w:rFonts w:ascii="仿宋_GB2312" w:hAnsi="仿宋_GB2312" w:eastAsia="仿宋_GB2312"/>
                <w:szCs w:val="21"/>
              </w:rPr>
              <w:t>质量达标实际工作数：一定时期（年度或规划期）内部门实际完成工作数中达到部门绩效目标要求（绩效标准值）的工作任务数量。</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4</w:t>
            </w:r>
          </w:p>
        </w:tc>
      </w:tr>
      <w:tr>
        <w:tblPrEx>
          <w:tblCellMar>
            <w:top w:w="10" w:type="dxa"/>
            <w:left w:w="10" w:type="dxa"/>
            <w:bottom w:w="0" w:type="dxa"/>
            <w:right w:w="10" w:type="dxa"/>
          </w:tblCellMar>
        </w:tblPrEx>
        <w:trPr>
          <w:trHeight w:val="1470"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重点工作</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办结率 （5分）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根据绩效办2019年对各部门为民办实事和部门重点工程与重点工作考核分数折算。该项得分=（绩效办对应部分考核得分）</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重点工作办结率=（重点工作实际完成数/交办或下达数）×100%。</w:t>
            </w:r>
            <w:r>
              <w:rPr>
                <w:rFonts w:ascii="仿宋_GB2312" w:hAnsi="仿宋_GB2312" w:eastAsia="仿宋_GB2312"/>
                <w:szCs w:val="21"/>
              </w:rPr>
              <w:br w:type="textWrapping"/>
            </w:r>
            <w:r>
              <w:rPr>
                <w:rFonts w:ascii="仿宋_GB2312" w:hAnsi="仿宋_GB2312" w:eastAsia="仿宋_GB2312"/>
                <w:szCs w:val="21"/>
              </w:rPr>
              <w:t>重点工作是指党委、政府、人大、相关部门交办或下达的工作任务。</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4</w:t>
            </w:r>
          </w:p>
        </w:tc>
      </w:tr>
      <w:tr>
        <w:tblPrEx>
          <w:tblCellMar>
            <w:top w:w="10" w:type="dxa"/>
            <w:left w:w="10" w:type="dxa"/>
            <w:bottom w:w="0" w:type="dxa"/>
            <w:right w:w="10" w:type="dxa"/>
          </w:tblCellMar>
        </w:tblPrEx>
        <w:trPr>
          <w:trHeight w:val="735" w:hRule="atLeast"/>
          <w:jc w:val="center"/>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效</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果</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（20分）</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履职</w:t>
            </w:r>
            <w:r>
              <w:rPr>
                <w:rFonts w:ascii="仿宋_GB2312" w:hAnsi="仿宋_GB2312" w:eastAsia="仿宋_GB2312"/>
                <w:szCs w:val="21"/>
              </w:rPr>
              <w:br w:type="textWrapping"/>
            </w:r>
            <w:r>
              <w:rPr>
                <w:rFonts w:ascii="仿宋_GB2312" w:hAnsi="仿宋_GB2312" w:eastAsia="仿宋_GB2312"/>
                <w:szCs w:val="21"/>
              </w:rPr>
              <w:t>效益 （20分）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经济效益（5分）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部门履行职责对经济发展所带来的直接或间接影响。</w:t>
            </w:r>
          </w:p>
        </w:tc>
        <w:tc>
          <w:tcPr>
            <w:tcW w:w="4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5</w:t>
            </w:r>
          </w:p>
        </w:tc>
      </w:tr>
      <w:tr>
        <w:tblPrEx>
          <w:tblCellMar>
            <w:top w:w="10" w:type="dxa"/>
            <w:left w:w="10" w:type="dxa"/>
            <w:bottom w:w="0" w:type="dxa"/>
            <w:right w:w="10" w:type="dxa"/>
          </w:tblCellMar>
        </w:tblPrEx>
        <w:trPr>
          <w:trHeight w:val="735"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社会效益（5分）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部门履行职责对社会发展所带来的直接或间接影响。</w:t>
            </w:r>
          </w:p>
        </w:tc>
        <w:tc>
          <w:tcPr>
            <w:tcW w:w="4252"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rPr>
                <w:rFonts w:ascii="仿宋_GB2312" w:hAnsi="仿宋_GB2312" w:eastAsia="仿宋_GB2312"/>
                <w:szCs w:val="21"/>
              </w:rPr>
            </w:pP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5</w:t>
            </w:r>
          </w:p>
        </w:tc>
      </w:tr>
      <w:tr>
        <w:tblPrEx>
          <w:tblCellMar>
            <w:top w:w="10" w:type="dxa"/>
            <w:left w:w="10" w:type="dxa"/>
            <w:bottom w:w="0" w:type="dxa"/>
            <w:right w:w="10" w:type="dxa"/>
          </w:tblCellMar>
        </w:tblPrEx>
        <w:trPr>
          <w:trHeight w:val="735"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生态效益（5分）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部门履行职责对生态环境所带来的直接或间接影响。</w:t>
            </w:r>
          </w:p>
        </w:tc>
        <w:tc>
          <w:tcPr>
            <w:tcW w:w="4252"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rPr>
                <w:rFonts w:ascii="仿宋_GB2312" w:hAnsi="仿宋_GB2312" w:eastAsia="仿宋_GB2312"/>
                <w:szCs w:val="21"/>
              </w:rPr>
            </w:pP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5</w:t>
            </w:r>
          </w:p>
        </w:tc>
      </w:tr>
      <w:tr>
        <w:tblPrEx>
          <w:tblCellMar>
            <w:top w:w="10" w:type="dxa"/>
            <w:left w:w="10" w:type="dxa"/>
            <w:bottom w:w="0" w:type="dxa"/>
            <w:right w:w="10" w:type="dxa"/>
          </w:tblCellMar>
        </w:tblPrEx>
        <w:trPr>
          <w:trHeight w:val="1312" w:hRule="atLeast"/>
          <w:jc w:val="center"/>
        </w:trPr>
        <w:tc>
          <w:tcPr>
            <w:tcW w:w="665"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867" w:type="dxa"/>
            <w:vMerge w:val="continue"/>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rPr>
                <w:rFonts w:ascii="仿宋_GB2312" w:hAnsi="仿宋_GB2312" w:eastAsia="仿宋_GB2312"/>
                <w:szCs w:val="21"/>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社会公众</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或服务对</w:t>
            </w:r>
          </w:p>
          <w:p>
            <w:pPr>
              <w:pStyle w:val="4"/>
              <w:widowControl w:val="0"/>
              <w:spacing w:before="0" w:after="0" w:line="320" w:lineRule="exact"/>
              <w:jc w:val="center"/>
              <w:rPr>
                <w:rFonts w:ascii="仿宋_GB2312" w:hAnsi="仿宋_GB2312" w:eastAsia="仿宋_GB2312"/>
                <w:szCs w:val="21"/>
              </w:rPr>
            </w:pPr>
            <w:r>
              <w:rPr>
                <w:rFonts w:ascii="仿宋_GB2312" w:hAnsi="仿宋_GB2312" w:eastAsia="仿宋_GB2312"/>
                <w:szCs w:val="21"/>
              </w:rPr>
              <w:t>象满意度（5分）</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社会公众或部门的服务对象对部门履职效果的满意程度。</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ind w:left="105" w:right="105" w:firstLine="0"/>
              <w:rPr>
                <w:rFonts w:ascii="仿宋_GB2312" w:hAnsi="仿宋_GB2312" w:eastAsia="仿宋_GB2312"/>
                <w:szCs w:val="21"/>
              </w:rPr>
            </w:pPr>
            <w:r>
              <w:rPr>
                <w:rFonts w:ascii="仿宋_GB2312" w:hAnsi="仿宋_GB2312" w:eastAsia="仿宋_GB2312"/>
                <w:szCs w:val="21"/>
              </w:rPr>
              <w:t>社会公众或服务对象是指部门履行职责而影响到的部门、群体或个人。一般采取社会调查的方式。</w:t>
            </w: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r>
              <w:rPr>
                <w:rFonts w:ascii="仿宋_GB2312" w:hAnsi="仿宋_GB2312" w:eastAsia="仿宋_GB2312"/>
                <w:szCs w:val="21"/>
              </w:rPr>
              <w:t>5</w:t>
            </w:r>
          </w:p>
        </w:tc>
      </w:tr>
      <w:tr>
        <w:tblPrEx>
          <w:tblCellMar>
            <w:top w:w="10" w:type="dxa"/>
            <w:left w:w="10" w:type="dxa"/>
            <w:bottom w:w="0" w:type="dxa"/>
            <w:right w:w="10" w:type="dxa"/>
          </w:tblCellMar>
        </w:tblPrEx>
        <w:trPr>
          <w:trHeight w:val="1312" w:hRule="atLeast"/>
          <w:jc w:val="center"/>
        </w:trPr>
        <w:tc>
          <w:tcPr>
            <w:tcW w:w="9643" w:type="dxa"/>
            <w:gridSpan w:val="5"/>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ascii="仿宋_GB2312" w:hAnsi="仿宋_GB2312" w:eastAsia="仿宋_GB2312"/>
                <w:szCs w:val="21"/>
              </w:rPr>
            </w:pPr>
          </w:p>
        </w:tc>
        <w:tc>
          <w:tcPr>
            <w:tcW w:w="937"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32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93</w:t>
            </w:r>
          </w:p>
        </w:tc>
      </w:tr>
    </w:tbl>
    <w:p>
      <w:pPr>
        <w:pStyle w:val="4"/>
      </w:pPr>
    </w:p>
    <w:p>
      <w:pPr>
        <w:pStyle w:val="4"/>
        <w:widowControl/>
        <w:jc w:val="left"/>
      </w:pPr>
      <w:r>
        <w:br w:type="page"/>
      </w:r>
    </w:p>
    <w:p>
      <w:pPr>
        <w:pStyle w:val="4"/>
        <w:widowControl/>
        <w:jc w:val="left"/>
        <w:rPr>
          <w:rFonts w:eastAsia="仿宋_GB2312"/>
          <w:sz w:val="32"/>
          <w:szCs w:val="32"/>
        </w:rPr>
      </w:pPr>
      <w:r>
        <w:rPr>
          <w:rFonts w:eastAsia="黑体"/>
          <w:sz w:val="32"/>
          <w:szCs w:val="32"/>
        </w:rPr>
        <w:t>附件2</w:t>
      </w:r>
    </w:p>
    <w:p>
      <w:pPr>
        <w:pStyle w:val="4"/>
        <w:jc w:val="center"/>
        <w:rPr>
          <w:rFonts w:ascii="仿宋" w:hAnsi="仿宋" w:eastAsia="仿宋"/>
          <w:b/>
          <w:bCs/>
          <w:sz w:val="44"/>
          <w:szCs w:val="44"/>
        </w:rPr>
      </w:pPr>
      <w:r>
        <w:rPr>
          <w:rFonts w:ascii="仿宋" w:hAnsi="仿宋" w:eastAsia="仿宋"/>
          <w:b/>
          <w:bCs/>
          <w:sz w:val="44"/>
          <w:szCs w:val="44"/>
        </w:rPr>
        <w:t>部门整体支出绩效评价基础数据表</w:t>
      </w:r>
    </w:p>
    <w:p>
      <w:pPr>
        <w:pStyle w:val="4"/>
        <w:rPr>
          <w:rFonts w:ascii="仿宋" w:hAnsi="仿宋" w:eastAsia="仿宋"/>
        </w:rPr>
      </w:pPr>
      <w:r>
        <w:rPr>
          <w:rFonts w:ascii="仿宋" w:hAnsi="仿宋" w:eastAsia="仿宋"/>
        </w:rPr>
        <w:t>填报单位：</w:t>
      </w:r>
    </w:p>
    <w:tbl>
      <w:tblPr>
        <w:tblStyle w:val="2"/>
        <w:tblW w:w="10314" w:type="dxa"/>
        <w:jc w:val="center"/>
        <w:tblLayout w:type="fixed"/>
        <w:tblCellMar>
          <w:top w:w="0" w:type="dxa"/>
          <w:left w:w="108" w:type="dxa"/>
          <w:bottom w:w="0" w:type="dxa"/>
          <w:right w:w="108" w:type="dxa"/>
        </w:tblCellMar>
      </w:tblPr>
      <w:tblGrid>
        <w:gridCol w:w="3596"/>
        <w:gridCol w:w="2181"/>
        <w:gridCol w:w="2292"/>
        <w:gridCol w:w="2244"/>
      </w:tblGrid>
      <w:tr>
        <w:tblPrEx>
          <w:tblCellMar>
            <w:top w:w="0" w:type="dxa"/>
            <w:left w:w="108" w:type="dxa"/>
            <w:bottom w:w="0" w:type="dxa"/>
            <w:right w:w="108" w:type="dxa"/>
          </w:tblCellMar>
        </w:tblPrEx>
        <w:trPr>
          <w:trHeight w:val="452" w:hRule="atLeast"/>
          <w:jc w:val="center"/>
        </w:trPr>
        <w:tc>
          <w:tcPr>
            <w:tcW w:w="3596" w:type="dxa"/>
            <w:vMerge w:val="restart"/>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财政供养人员情况</w:t>
            </w:r>
          </w:p>
        </w:tc>
        <w:tc>
          <w:tcPr>
            <w:tcW w:w="2181"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编制数</w:t>
            </w:r>
          </w:p>
        </w:tc>
        <w:tc>
          <w:tcPr>
            <w:tcW w:w="2292"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lang w:val="en-US" w:eastAsia="zh-CN"/>
              </w:rPr>
              <w:t>2020</w:t>
            </w:r>
            <w:r>
              <w:rPr>
                <w:rFonts w:ascii="仿宋" w:hAnsi="仿宋" w:eastAsia="仿宋"/>
              </w:rPr>
              <w:t>年实际在职人数</w:t>
            </w:r>
          </w:p>
        </w:tc>
        <w:tc>
          <w:tcPr>
            <w:tcW w:w="2244"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控制率</w:t>
            </w:r>
          </w:p>
        </w:tc>
      </w:tr>
      <w:tr>
        <w:tblPrEx>
          <w:tblCellMar>
            <w:top w:w="0" w:type="dxa"/>
            <w:left w:w="108" w:type="dxa"/>
            <w:bottom w:w="0" w:type="dxa"/>
            <w:right w:w="108" w:type="dxa"/>
          </w:tblCellMar>
        </w:tblPrEx>
        <w:trPr>
          <w:trHeight w:val="459" w:hRule="atLeast"/>
          <w:jc w:val="center"/>
        </w:trPr>
        <w:tc>
          <w:tcPr>
            <w:tcW w:w="3596" w:type="dxa"/>
            <w:vMerge w:val="continue"/>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left"/>
              <w:rPr>
                <w:rFonts w:ascii="仿宋" w:hAnsi="仿宋" w:eastAsia="仿宋"/>
              </w:rPr>
            </w:pPr>
          </w:p>
        </w:tc>
        <w:tc>
          <w:tcPr>
            <w:tcW w:w="2181"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42</w:t>
            </w:r>
          </w:p>
        </w:tc>
        <w:tc>
          <w:tcPr>
            <w:tcW w:w="2292"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30</w:t>
            </w:r>
          </w:p>
        </w:tc>
        <w:tc>
          <w:tcPr>
            <w:tcW w:w="2244"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71.43%</w:t>
            </w: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经费控制情况</w:t>
            </w:r>
          </w:p>
        </w:tc>
        <w:tc>
          <w:tcPr>
            <w:tcW w:w="2181"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201</w:t>
            </w:r>
            <w:r>
              <w:rPr>
                <w:rFonts w:ascii="仿宋" w:hAnsi="仿宋" w:eastAsia="仿宋"/>
                <w:lang w:val="en-US" w:eastAsia="zh-CN"/>
              </w:rPr>
              <w:t>9</w:t>
            </w:r>
            <w:r>
              <w:rPr>
                <w:rFonts w:ascii="仿宋" w:hAnsi="仿宋" w:eastAsia="仿宋"/>
              </w:rPr>
              <w:t>年决算数</w:t>
            </w:r>
          </w:p>
        </w:tc>
        <w:tc>
          <w:tcPr>
            <w:tcW w:w="2292"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lang w:val="en-US" w:eastAsia="zh-CN"/>
              </w:rPr>
              <w:t>2020</w:t>
            </w:r>
            <w:r>
              <w:rPr>
                <w:rFonts w:ascii="仿宋" w:hAnsi="仿宋" w:eastAsia="仿宋"/>
              </w:rPr>
              <w:t>年预算数</w:t>
            </w:r>
          </w:p>
        </w:tc>
        <w:tc>
          <w:tcPr>
            <w:tcW w:w="2244"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20</w:t>
            </w:r>
            <w:r>
              <w:rPr>
                <w:rFonts w:ascii="仿宋" w:hAnsi="仿宋" w:eastAsia="仿宋"/>
                <w:lang w:val="en-US" w:eastAsia="zh-CN"/>
              </w:rPr>
              <w:t>20</w:t>
            </w:r>
            <w:r>
              <w:rPr>
                <w:rFonts w:ascii="仿宋" w:hAnsi="仿宋" w:eastAsia="仿宋"/>
              </w:rPr>
              <w:t>年决算数</w:t>
            </w:r>
          </w:p>
        </w:tc>
      </w:tr>
      <w:tr>
        <w:tblPrEx>
          <w:tblCellMar>
            <w:top w:w="0" w:type="dxa"/>
            <w:left w:w="108" w:type="dxa"/>
            <w:bottom w:w="0" w:type="dxa"/>
            <w:right w:w="108" w:type="dxa"/>
          </w:tblCellMar>
        </w:tblPrEx>
        <w:trPr>
          <w:trHeight w:val="429"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三公经费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6.53</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5.87</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hint="default" w:ascii="仿宋" w:hAnsi="仿宋" w:eastAsia="仿宋"/>
                <w:lang w:val="en-US" w:eastAsia="zh-CN"/>
              </w:rPr>
            </w:pPr>
            <w:r>
              <w:rPr>
                <w:rFonts w:hint="eastAsia" w:ascii="仿宋" w:hAnsi="仿宋" w:eastAsia="仿宋"/>
                <w:lang w:val="en-US" w:eastAsia="zh-CN"/>
              </w:rPr>
              <w:t>0.2</w:t>
            </w:r>
          </w:p>
        </w:tc>
      </w:tr>
      <w:tr>
        <w:tblPrEx>
          <w:tblCellMar>
            <w:top w:w="0" w:type="dxa"/>
            <w:left w:w="108" w:type="dxa"/>
            <w:bottom w:w="0" w:type="dxa"/>
            <w:right w:w="108" w:type="dxa"/>
          </w:tblCellMar>
        </w:tblPrEx>
        <w:trPr>
          <w:trHeight w:val="449"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1、公务用车购置和维护经费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3.16</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0.2</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40"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其中：公车购置</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公车运行维护</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3.16</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0.2</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hint="default" w:ascii="仿宋" w:hAnsi="仿宋" w:eastAsia="仿宋"/>
                <w:lang w:val="en-US" w:eastAsia="zh-CN"/>
              </w:rPr>
            </w:pPr>
            <w:r>
              <w:rPr>
                <w:rFonts w:hint="eastAsia" w:ascii="仿宋" w:hAnsi="仿宋" w:eastAsia="仿宋"/>
                <w:lang w:val="en-US" w:eastAsia="zh-CN"/>
              </w:rPr>
              <w:t>0.2</w:t>
            </w: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2、出国经费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3、公务接待</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3.37</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5.67</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76"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项目支出：</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1、业务工作专项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2、运行维护专项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w:t>
            </w:r>
            <w:r>
              <w:rPr>
                <w:rFonts w:ascii="宋体" w:hAnsi="宋体" w:cs="宋体"/>
              </w:rPr>
              <w:t> </w:t>
            </w:r>
            <w:r>
              <w:rPr>
                <w:rFonts w:ascii="仿宋" w:hAnsi="仿宋" w:eastAsia="仿宋"/>
              </w:rPr>
              <w:t>…</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公用经费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17.84</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4.9</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hint="default" w:ascii="仿宋" w:hAnsi="仿宋" w:eastAsia="仿宋"/>
                <w:lang w:val="en-US" w:eastAsia="zh-CN"/>
              </w:rPr>
            </w:pPr>
            <w:r>
              <w:rPr>
                <w:rFonts w:hint="eastAsia" w:ascii="仿宋" w:hAnsi="仿宋" w:eastAsia="仿宋"/>
                <w:lang w:val="en-US" w:eastAsia="zh-CN"/>
              </w:rPr>
              <w:t>9.81</w:t>
            </w: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其中：办公经费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0.46</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1.2</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hint="default" w:ascii="仿宋" w:hAnsi="仿宋" w:eastAsia="仿宋"/>
                <w:lang w:val="en-US" w:eastAsia="zh-CN"/>
              </w:rPr>
            </w:pPr>
            <w:r>
              <w:rPr>
                <w:rFonts w:hint="eastAsia" w:ascii="仿宋" w:hAnsi="仿宋" w:eastAsia="仿宋"/>
                <w:lang w:val="en-US" w:eastAsia="zh-CN"/>
              </w:rPr>
              <w:t>1.18</w:t>
            </w:r>
          </w:p>
        </w:tc>
      </w:tr>
      <w:tr>
        <w:tblPrEx>
          <w:tblCellMar>
            <w:top w:w="0" w:type="dxa"/>
            <w:left w:w="108" w:type="dxa"/>
            <w:bottom w:w="0" w:type="dxa"/>
            <w:right w:w="108" w:type="dxa"/>
          </w:tblCellMar>
        </w:tblPrEx>
        <w:trPr>
          <w:trHeight w:val="476"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水费、电费、差旅费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cs="Times New Roman"/>
                <w:kern w:val="2"/>
                <w:sz w:val="21"/>
                <w:szCs w:val="24"/>
                <w:lang w:val="en-US" w:eastAsia="zh-CN" w:bidi="ar-SA"/>
              </w:rPr>
            </w:pPr>
            <w:r>
              <w:rPr>
                <w:rFonts w:ascii="仿宋" w:hAnsi="仿宋" w:eastAsia="仿宋" w:cs="Times New Roman"/>
                <w:kern w:val="2"/>
                <w:sz w:val="21"/>
                <w:szCs w:val="24"/>
                <w:lang w:val="en-US" w:eastAsia="zh-CN" w:bidi="ar-SA"/>
              </w:rPr>
              <w:t>17.38</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r>
              <w:rPr>
                <w:rFonts w:ascii="仿宋" w:hAnsi="仿宋" w:eastAsia="仿宋"/>
              </w:rPr>
              <w:t>3.7</w:t>
            </w: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hint="default" w:ascii="仿宋" w:hAnsi="仿宋" w:eastAsia="仿宋"/>
                <w:lang w:val="en-US" w:eastAsia="zh-CN"/>
              </w:rPr>
            </w:pPr>
            <w:r>
              <w:rPr>
                <w:rFonts w:hint="eastAsia" w:ascii="仿宋" w:hAnsi="仿宋" w:eastAsia="仿宋"/>
                <w:lang w:val="en-US" w:eastAsia="zh-CN"/>
              </w:rPr>
              <w:t>8.23</w:t>
            </w:r>
          </w:p>
        </w:tc>
      </w:tr>
      <w:tr>
        <w:tblPrEx>
          <w:tblCellMar>
            <w:top w:w="0" w:type="dxa"/>
            <w:left w:w="108" w:type="dxa"/>
            <w:bottom w:w="0" w:type="dxa"/>
            <w:right w:w="108" w:type="dxa"/>
          </w:tblCellMar>
        </w:tblPrEx>
        <w:trPr>
          <w:trHeight w:val="494"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会议费、培训费</w:t>
            </w:r>
          </w:p>
        </w:tc>
        <w:tc>
          <w:tcPr>
            <w:tcW w:w="2181"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hint="default" w:ascii="仿宋" w:hAnsi="仿宋" w:eastAsia="仿宋"/>
                <w:lang w:val="en-US" w:eastAsia="zh-CN"/>
              </w:rPr>
            </w:pPr>
            <w:r>
              <w:rPr>
                <w:rFonts w:hint="eastAsia" w:ascii="仿宋" w:hAnsi="仿宋" w:eastAsia="仿宋"/>
                <w:lang w:val="en-US" w:eastAsia="zh-CN"/>
              </w:rPr>
              <w:t>0.4</w:t>
            </w:r>
          </w:p>
        </w:tc>
      </w:tr>
      <w:tr>
        <w:tblPrEx>
          <w:tblCellMar>
            <w:top w:w="0" w:type="dxa"/>
            <w:left w:w="108" w:type="dxa"/>
            <w:bottom w:w="0" w:type="dxa"/>
            <w:right w:w="108" w:type="dxa"/>
          </w:tblCellMar>
        </w:tblPrEx>
        <w:trPr>
          <w:trHeight w:val="405"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政府采购金额</w:t>
            </w:r>
          </w:p>
        </w:tc>
        <w:tc>
          <w:tcPr>
            <w:tcW w:w="2181"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 —</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r>
        <w:tblPrEx>
          <w:tblCellMar>
            <w:top w:w="0" w:type="dxa"/>
            <w:left w:w="108" w:type="dxa"/>
            <w:bottom w:w="0" w:type="dxa"/>
            <w:right w:w="108" w:type="dxa"/>
          </w:tblCellMar>
        </w:tblPrEx>
        <w:trPr>
          <w:trHeight w:val="369" w:hRule="atLeast"/>
          <w:jc w:val="center"/>
        </w:trPr>
        <w:tc>
          <w:tcPr>
            <w:tcW w:w="3596" w:type="dxa"/>
            <w:tcBorders>
              <w:top w:val="single" w:color="000000" w:sz="4" w:space="0"/>
              <w:left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部门整体支出预算调整</w:t>
            </w:r>
          </w:p>
        </w:tc>
        <w:tc>
          <w:tcPr>
            <w:tcW w:w="2181" w:type="dxa"/>
            <w:tcBorders>
              <w:top w:val="single" w:color="000000" w:sz="4" w:space="0"/>
              <w:bottom w:val="single" w:color="000000" w:sz="4" w:space="0"/>
              <w:right w:val="single" w:color="000000" w:sz="4" w:space="0"/>
            </w:tcBorders>
            <w:vAlign w:val="center"/>
          </w:tcPr>
          <w:p>
            <w:pPr>
              <w:pStyle w:val="4"/>
              <w:widowControl w:val="0"/>
              <w:spacing w:before="0" w:after="0" w:line="440" w:lineRule="exact"/>
              <w:jc w:val="center"/>
              <w:rPr>
                <w:rFonts w:ascii="仿宋" w:hAnsi="仿宋" w:eastAsia="仿宋"/>
              </w:rPr>
            </w:pPr>
            <w:r>
              <w:rPr>
                <w:rFonts w:ascii="仿宋" w:hAnsi="仿宋" w:eastAsia="仿宋"/>
              </w:rPr>
              <w:t>— —</w:t>
            </w:r>
          </w:p>
        </w:tc>
        <w:tc>
          <w:tcPr>
            <w:tcW w:w="2292"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c>
          <w:tcPr>
            <w:tcW w:w="2244" w:type="dxa"/>
            <w:tcBorders>
              <w:top w:val="single" w:color="000000" w:sz="4" w:space="0"/>
              <w:bottom w:val="single" w:color="000000" w:sz="4" w:space="0"/>
              <w:right w:val="single" w:color="000000" w:sz="4" w:space="0"/>
            </w:tcBorders>
          </w:tcPr>
          <w:p>
            <w:pPr>
              <w:pStyle w:val="4"/>
              <w:widowControl w:val="0"/>
              <w:spacing w:before="0" w:after="0" w:line="440" w:lineRule="exact"/>
              <w:jc w:val="center"/>
              <w:rPr>
                <w:rFonts w:ascii="仿宋" w:hAnsi="仿宋" w:eastAsia="仿宋"/>
              </w:rPr>
            </w:pPr>
          </w:p>
        </w:tc>
      </w:tr>
    </w:tbl>
    <w:p>
      <w:pPr>
        <w:pStyle w:val="4"/>
        <w:spacing w:line="400" w:lineRule="exact"/>
        <w:rPr>
          <w:rFonts w:ascii="仿宋" w:hAnsi="仿宋" w:eastAsia="仿宋"/>
        </w:rPr>
      </w:pPr>
      <w:r>
        <w:rPr>
          <w:rFonts w:ascii="仿宋" w:hAnsi="仿宋" w:eastAsia="仿宋"/>
        </w:rPr>
        <w:t>说明：“项目支出”需要填报除专项资金和基本支出以外的所有项目情况，包括业务工作项目、运行维护项目等；“公用经费”填报基本支出中的一般商品和服务支出。</w:t>
      </w:r>
    </w:p>
    <w:p>
      <w:pPr>
        <w:pStyle w:val="4"/>
      </w:pPr>
    </w:p>
    <w:p>
      <w:pPr>
        <w:pStyle w:val="4"/>
      </w:pPr>
    </w:p>
    <w:p>
      <w:pPr>
        <w:pStyle w:val="4"/>
      </w:pPr>
    </w:p>
    <w:p>
      <w:pPr>
        <w:pStyle w:val="4"/>
      </w:pPr>
    </w:p>
    <w:p>
      <w:pPr>
        <w:pStyle w:val="4"/>
      </w:pPr>
    </w:p>
    <w:p>
      <w:pPr>
        <w:pStyle w:val="4"/>
      </w:pPr>
    </w:p>
    <w:p>
      <w:pPr>
        <w:pStyle w:val="4"/>
      </w:pPr>
    </w:p>
    <w:p>
      <w:pPr>
        <w:pStyle w:val="4"/>
        <w:widowControl/>
        <w:spacing w:line="600" w:lineRule="exact"/>
        <w:jc w:val="left"/>
        <w:rPr>
          <w:rFonts w:eastAsia="黑体"/>
          <w:kern w:val="0"/>
          <w:sz w:val="32"/>
          <w:szCs w:val="32"/>
        </w:rPr>
      </w:pPr>
      <w:r>
        <w:rPr>
          <w:rFonts w:eastAsia="黑体"/>
          <w:kern w:val="0"/>
          <w:sz w:val="32"/>
          <w:szCs w:val="32"/>
        </w:rPr>
        <w:t>附件3</w:t>
      </w:r>
    </w:p>
    <w:p>
      <w:pPr>
        <w:pStyle w:val="4"/>
        <w:widowControl/>
        <w:spacing w:line="600" w:lineRule="exact"/>
        <w:jc w:val="left"/>
        <w:rPr>
          <w:rFonts w:eastAsia="黑体"/>
          <w:kern w:val="0"/>
          <w:sz w:val="32"/>
          <w:szCs w:val="32"/>
        </w:rPr>
      </w:pPr>
    </w:p>
    <w:p>
      <w:pPr>
        <w:pStyle w:val="4"/>
        <w:spacing w:line="600" w:lineRule="exact"/>
        <w:jc w:val="center"/>
        <w:rPr>
          <w:rFonts w:eastAsia="方正小标宋_GBK"/>
          <w:sz w:val="32"/>
          <w:szCs w:val="32"/>
        </w:rPr>
      </w:pPr>
      <w:r>
        <w:rPr>
          <w:rFonts w:eastAsia="方正小标宋_GBK"/>
          <w:sz w:val="36"/>
          <w:szCs w:val="36"/>
        </w:rPr>
        <w:t>部门整体支出绩效评价报告</w:t>
      </w:r>
    </w:p>
    <w:p>
      <w:pPr>
        <w:pStyle w:val="4"/>
        <w:spacing w:line="600" w:lineRule="exact"/>
        <w:jc w:val="center"/>
        <w:rPr>
          <w:rFonts w:eastAsia="方正小标宋_GBK"/>
          <w:sz w:val="32"/>
          <w:szCs w:val="32"/>
        </w:rPr>
      </w:pPr>
    </w:p>
    <w:p>
      <w:pPr>
        <w:pStyle w:val="5"/>
        <w:widowControl/>
        <w:numPr>
          <w:ilvl w:val="0"/>
          <w:numId w:val="1"/>
        </w:numPr>
        <w:spacing w:line="600" w:lineRule="exact"/>
        <w:ind w:firstLine="0"/>
        <w:rPr>
          <w:rFonts w:ascii="Times New Roman" w:hAnsi="Times New Roman" w:eastAsia="黑体"/>
          <w:sz w:val="32"/>
          <w:szCs w:val="32"/>
        </w:rPr>
      </w:pPr>
      <w:r>
        <w:rPr>
          <w:rFonts w:ascii="Times New Roman" w:hAnsi="Times New Roman" w:eastAsia="黑体"/>
          <w:sz w:val="32"/>
          <w:szCs w:val="32"/>
        </w:rPr>
        <w:t>部门、单位基本情况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湖南省怀化市鹤城区阳戏保护传承中心，前身最早成立于1958年11月，名为湖南省黔阳专区东风剧团，1997年，怀化撤地改市，原县级怀化市改为鹤城区，剧团更名鹤城区阳戏剧团。2009年12月，由鹤城区阳戏剧团更名挂牌为怀化市阳戏剧团、怀化市歌舞团，2012年经全国文化体制改革后，成立怀化市鹤城区阳戏保护传承中心和怀化市楚丰演艺有限责任公司，两套人马两块牌子。院团管理模式为事业单位管理模式。单位共有编制42人，副高级演员2人，中级职称15人，其中全额编14人，差额编16人，全额编制空1人，差额编制空编11人，外聘人员8人。</w:t>
      </w:r>
    </w:p>
    <w:p>
      <w:pPr>
        <w:pStyle w:val="5"/>
        <w:widowControl/>
        <w:spacing w:line="600" w:lineRule="exact"/>
        <w:ind w:firstLine="0"/>
        <w:rPr>
          <w:rFonts w:ascii="Times New Roman" w:hAnsi="Times New Roman" w:eastAsia="黑体"/>
          <w:sz w:val="32"/>
          <w:szCs w:val="32"/>
        </w:rPr>
      </w:pPr>
      <w:r>
        <w:rPr>
          <w:rFonts w:ascii="Times New Roman" w:hAnsi="Times New Roman" w:eastAsia="黑体"/>
          <w:sz w:val="32"/>
          <w:szCs w:val="32"/>
        </w:rPr>
        <w:t>二、一般公共预算支出情况</w:t>
      </w:r>
    </w:p>
    <w:p>
      <w:pPr>
        <w:pStyle w:val="5"/>
        <w:widowControl/>
        <w:spacing w:line="600" w:lineRule="exact"/>
        <w:ind w:firstLine="0"/>
        <w:rPr>
          <w:rFonts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lang w:val="en-US" w:eastAsia="zh-CN"/>
        </w:rPr>
        <w:t xml:space="preserve">    </w:t>
      </w:r>
      <w:r>
        <w:rPr>
          <w:rFonts w:ascii="Times New Roman" w:hAnsi="Times New Roman" w:eastAsia="黑体"/>
          <w:sz w:val="32"/>
          <w:szCs w:val="32"/>
        </w:rPr>
        <w:t>（一）基本支出情况</w:t>
      </w:r>
    </w:p>
    <w:p>
      <w:pPr>
        <w:pStyle w:val="4"/>
        <w:widowControl/>
        <w:spacing w:line="600" w:lineRule="exact"/>
        <w:ind w:firstLine="0"/>
        <w:rPr>
          <w:rFonts w:ascii="Times New Roman" w:hAnsi="Times New Roman" w:eastAsia="黑体"/>
          <w:sz w:val="32"/>
          <w:szCs w:val="32"/>
        </w:rPr>
      </w:pPr>
      <w:r>
        <w:rPr>
          <w:rFonts w:ascii="仿宋_GB2312" w:hAnsi="仿宋_GB2312" w:eastAsia="仿宋_GB2312" w:cs="Times New Roman"/>
          <w:sz w:val="32"/>
          <w:szCs w:val="32"/>
        </w:rPr>
        <w:t xml:space="preserve">     </w:t>
      </w:r>
      <w:r>
        <w:rPr>
          <w:rFonts w:ascii="仿宋" w:hAnsi="仿宋" w:eastAsia="仿宋" w:cs="Times New Roman"/>
          <w:sz w:val="32"/>
          <w:szCs w:val="32"/>
        </w:rPr>
        <w:t xml:space="preserve"> </w:t>
      </w:r>
      <w:r>
        <w:rPr>
          <w:rFonts w:ascii="仿宋" w:hAnsi="仿宋" w:eastAsia="仿宋" w:cs="Times New Roman"/>
          <w:sz w:val="32"/>
        </w:rPr>
        <w:t>基本支出：2020年年初预算数为240.78万元，是指为保障单位机构正常运转、完成日常工作任务而发生的各项支出，包括用于基本工资、津贴补贴等人员经费以及办公费、印刷费、水电费、物业管理费等日常公用经费。</w:t>
      </w:r>
    </w:p>
    <w:p>
      <w:pPr>
        <w:pStyle w:val="4"/>
        <w:widowControl/>
        <w:spacing w:line="600" w:lineRule="exact"/>
        <w:ind w:left="640" w:firstLine="0"/>
        <w:rPr>
          <w:rFonts w:ascii="Times New Roman" w:hAnsi="Times New Roman" w:eastAsia="黑体"/>
          <w:sz w:val="32"/>
          <w:szCs w:val="32"/>
        </w:rPr>
      </w:pPr>
      <w:r>
        <w:rPr>
          <w:rFonts w:ascii="仿宋_GB2312" w:hAnsi="仿宋_GB2312" w:eastAsia="仿宋_GB2312" w:cs="Times New Roman"/>
          <w:sz w:val="32"/>
          <w:szCs w:val="32"/>
        </w:rPr>
        <w:t xml:space="preserve"> （</w:t>
      </w:r>
      <w:r>
        <w:rPr>
          <w:rFonts w:ascii="Times New Roman" w:hAnsi="Times New Roman" w:eastAsia="黑体"/>
          <w:sz w:val="32"/>
          <w:szCs w:val="32"/>
        </w:rPr>
        <w:t>二）项目支出情况</w:t>
      </w:r>
    </w:p>
    <w:p>
      <w:pPr>
        <w:pStyle w:val="4"/>
        <w:widowControl/>
        <w:spacing w:line="600" w:lineRule="exact"/>
        <w:ind w:firstLine="0"/>
        <w:rPr>
          <w:rFonts w:ascii="Times New Roman" w:hAnsi="Times New Roman" w:eastAsia="黑体"/>
          <w:sz w:val="32"/>
          <w:szCs w:val="32"/>
        </w:rPr>
      </w:pPr>
      <w:r>
        <w:rPr>
          <w:rFonts w:ascii="仿宋_GB2312" w:hAnsi="仿宋_GB2312" w:eastAsia="仿宋_GB2312" w:cs="Times New Roman"/>
          <w:sz w:val="32"/>
          <w:szCs w:val="32"/>
        </w:rPr>
        <w:t xml:space="preserve">      </w:t>
      </w:r>
      <w:r>
        <w:rPr>
          <w:rFonts w:ascii="仿宋" w:hAnsi="仿宋" w:eastAsia="仿宋" w:cs="Times New Roman"/>
          <w:sz w:val="32"/>
          <w:szCs w:val="32"/>
        </w:rPr>
        <w:t xml:space="preserve"> </w:t>
      </w:r>
      <w:r>
        <w:rPr>
          <w:rFonts w:ascii="仿宋" w:hAnsi="仿宋" w:eastAsia="仿宋" w:cs="Times New Roman"/>
          <w:b w:val="0"/>
          <w:bCs w:val="0"/>
          <w:sz w:val="32"/>
          <w:szCs w:val="32"/>
        </w:rPr>
        <w:t>项目支出：2020年年初预算数为</w:t>
      </w:r>
      <w:r>
        <w:rPr>
          <w:rFonts w:hint="eastAsia" w:ascii="仿宋" w:hAnsi="仿宋" w:eastAsia="仿宋" w:cs="Times New Roman"/>
          <w:b w:val="0"/>
          <w:bCs w:val="0"/>
          <w:sz w:val="32"/>
          <w:szCs w:val="32"/>
          <w:lang w:val="en-US" w:eastAsia="zh-CN"/>
        </w:rPr>
        <w:t>7.5</w:t>
      </w:r>
      <w:r>
        <w:rPr>
          <w:rFonts w:ascii="仿宋" w:hAnsi="仿宋" w:eastAsia="仿宋" w:cs="Times New Roman"/>
          <w:b w:val="0"/>
          <w:bCs w:val="0"/>
          <w:sz w:val="32"/>
          <w:szCs w:val="32"/>
        </w:rPr>
        <w:t>万元，是指单位为完成特定行政工作任务或事业发展目标而发生的支出，包括有产业发展引导类0万元、专项业务费用类</w:t>
      </w:r>
      <w:r>
        <w:rPr>
          <w:rFonts w:hint="eastAsia" w:ascii="仿宋" w:hAnsi="仿宋" w:eastAsia="仿宋" w:cs="Times New Roman"/>
          <w:b w:val="0"/>
          <w:bCs w:val="0"/>
          <w:sz w:val="32"/>
          <w:szCs w:val="32"/>
          <w:lang w:val="en-US" w:eastAsia="zh-CN"/>
        </w:rPr>
        <w:t>7.5</w:t>
      </w:r>
      <w:r>
        <w:rPr>
          <w:rFonts w:ascii="仿宋" w:hAnsi="仿宋" w:eastAsia="仿宋" w:cs="Times New Roman"/>
          <w:b w:val="0"/>
          <w:bCs w:val="0"/>
          <w:sz w:val="32"/>
          <w:szCs w:val="32"/>
        </w:rPr>
        <w:t>万元、基本建设类0万元、对个人和家庭补助类0万元。</w:t>
      </w:r>
    </w:p>
    <w:p>
      <w:pPr>
        <w:pStyle w:val="5"/>
        <w:widowControl/>
        <w:spacing w:line="600" w:lineRule="exact"/>
        <w:ind w:firstLine="0"/>
        <w:jc w:val="left"/>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5"/>
        <w:widowControl/>
        <w:bidi w:val="0"/>
        <w:spacing w:line="600" w:lineRule="exact"/>
        <w:ind w:firstLine="0"/>
        <w:jc w:val="left"/>
      </w:pPr>
      <w:r>
        <w:t xml:space="preserve">        </w:t>
      </w:r>
      <w:r>
        <w:rPr>
          <w:rFonts w:eastAsia="仿宋"/>
          <w:sz w:val="32"/>
          <w:szCs w:val="32"/>
        </w:rPr>
        <w:t>无</w:t>
      </w:r>
    </w:p>
    <w:p>
      <w:pPr>
        <w:pStyle w:val="5"/>
        <w:widowControl/>
        <w:numPr>
          <w:ilvl w:val="0"/>
          <w:numId w:val="2"/>
        </w:numPr>
        <w:spacing w:line="600" w:lineRule="exact"/>
        <w:ind w:firstLine="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widowControl/>
        <w:spacing w:line="500" w:lineRule="auto"/>
        <w:ind w:firstLine="640" w:firstLineChars="200"/>
        <w:jc w:val="left"/>
        <w:rPr>
          <w:rFonts w:eastAsia="仿宋_GB2312"/>
          <w:kern w:val="0"/>
          <w:sz w:val="32"/>
          <w:szCs w:val="32"/>
        </w:rPr>
      </w:pPr>
      <w:r>
        <w:rPr>
          <w:rFonts w:hint="eastAsia" w:ascii="仿宋" w:hAnsi="仿宋" w:eastAsia="仿宋" w:cs="仿宋"/>
          <w:sz w:val="32"/>
          <w:szCs w:val="32"/>
        </w:rPr>
        <w:t>1.截至2019年12月31日，本部门共有车辆3辆，其中，一般公务用车0辆、一般执法执勤用车0辆、</w:t>
      </w:r>
      <w:r>
        <w:rPr>
          <w:rFonts w:hint="eastAsia" w:ascii="仿宋" w:hAnsi="仿宋" w:eastAsia="仿宋" w:cs="仿宋"/>
          <w:kern w:val="0"/>
          <w:sz w:val="32"/>
          <w:szCs w:val="32"/>
        </w:rPr>
        <w:t>特种专业技术用车</w:t>
      </w:r>
      <w:r>
        <w:rPr>
          <w:rFonts w:hint="eastAsia" w:ascii="仿宋" w:hAnsi="仿宋" w:eastAsia="仿宋" w:cs="仿宋"/>
          <w:sz w:val="32"/>
          <w:szCs w:val="32"/>
        </w:rPr>
        <w:t>0</w:t>
      </w:r>
      <w:r>
        <w:rPr>
          <w:rFonts w:hint="eastAsia" w:ascii="仿宋" w:hAnsi="仿宋" w:eastAsia="仿宋" w:cs="仿宋"/>
          <w:kern w:val="0"/>
          <w:sz w:val="32"/>
          <w:szCs w:val="32"/>
        </w:rPr>
        <w:t>辆、其他用车</w:t>
      </w:r>
      <w:r>
        <w:rPr>
          <w:rFonts w:hint="eastAsia" w:ascii="仿宋" w:hAnsi="仿宋" w:eastAsia="仿宋" w:cs="仿宋"/>
          <w:sz w:val="32"/>
          <w:szCs w:val="32"/>
        </w:rPr>
        <w:t>3</w:t>
      </w:r>
      <w:r>
        <w:rPr>
          <w:rFonts w:hint="eastAsia" w:ascii="仿宋" w:hAnsi="仿宋" w:eastAsia="仿宋" w:cs="仿宋"/>
          <w:kern w:val="0"/>
          <w:sz w:val="32"/>
          <w:szCs w:val="32"/>
        </w:rPr>
        <w:t>辆</w:t>
      </w:r>
      <w:r>
        <w:rPr>
          <w:rFonts w:hint="eastAsia" w:ascii="仿宋" w:hAnsi="仿宋" w:eastAsia="仿宋" w:cs="仿宋"/>
          <w:sz w:val="32"/>
          <w:szCs w:val="32"/>
        </w:rPr>
        <w:t>。无</w:t>
      </w:r>
      <w:r>
        <w:rPr>
          <w:rFonts w:hint="eastAsia" w:ascii="仿宋" w:hAnsi="仿宋" w:eastAsia="仿宋" w:cs="仿宋"/>
          <w:kern w:val="0"/>
          <w:sz w:val="32"/>
          <w:szCs w:val="32"/>
        </w:rPr>
        <w:t>单价价值50 万元以上的通用设备，无单价100 万元以上的专用设备。</w:t>
      </w:r>
    </w:p>
    <w:p>
      <w:pPr>
        <w:pStyle w:val="5"/>
        <w:widowControl/>
        <w:spacing w:line="600" w:lineRule="exact"/>
        <w:ind w:firstLine="0"/>
        <w:jc w:val="left"/>
        <w:rPr>
          <w:rFonts w:ascii="Times New Roman" w:hAnsi="Times New Roman" w:eastAsia="黑体"/>
          <w:sz w:val="32"/>
          <w:szCs w:val="32"/>
        </w:rPr>
      </w:pPr>
      <w:r>
        <w:rPr>
          <w:rFonts w:ascii="Times New Roman" w:hAnsi="Times New Roman" w:eastAsia="黑体"/>
          <w:sz w:val="32"/>
          <w:szCs w:val="32"/>
        </w:rPr>
        <w:t>五、社会保险基金预算支出情况</w:t>
      </w:r>
    </w:p>
    <w:p>
      <w:pPr>
        <w:pStyle w:val="6"/>
        <w:widowControl/>
        <w:spacing w:line="600" w:lineRule="exact"/>
        <w:ind w:firstLine="840" w:firstLineChars="300"/>
        <w:jc w:val="left"/>
        <w:rPr>
          <w:rFonts w:ascii="宋体" w:hAnsi="宋体" w:cs="宋体"/>
          <w:sz w:val="28"/>
          <w:szCs w:val="28"/>
        </w:rPr>
      </w:pPr>
      <w:r>
        <w:rPr>
          <w:rFonts w:hint="eastAsia" w:ascii="宋体" w:hAnsi="宋体" w:cs="宋体"/>
          <w:sz w:val="28"/>
          <w:szCs w:val="28"/>
        </w:rPr>
        <w:t>按财政预算下达指标数支出。</w:t>
      </w:r>
    </w:p>
    <w:p>
      <w:pPr>
        <w:pStyle w:val="4"/>
        <w:widowControl/>
        <w:spacing w:line="600" w:lineRule="exact"/>
        <w:jc w:val="left"/>
        <w:rPr>
          <w:rFonts w:eastAsia="黑体"/>
          <w:sz w:val="32"/>
          <w:szCs w:val="32"/>
        </w:rPr>
      </w:pPr>
      <w:r>
        <w:rPr>
          <w:rFonts w:eastAsia="黑体"/>
          <w:sz w:val="32"/>
          <w:szCs w:val="32"/>
        </w:rPr>
        <w:t>六、部门整体支出绩效情况</w:t>
      </w:r>
    </w:p>
    <w:p>
      <w:pPr>
        <w:pStyle w:val="6"/>
        <w:widowControl/>
        <w:spacing w:line="600" w:lineRule="exact"/>
        <w:ind w:firstLine="960" w:firstLineChars="300"/>
        <w:jc w:val="left"/>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年度，我中心结合工作实际，认真贯彻落实党的十九大精神，在区文体新局的正确领导下，大力弘扬优秀传统文化，加快发展文化产业，繁荣群众文艺精品创作，加强文化人才队伍建设，极大丰富群众文化</w:t>
      </w:r>
      <w:r>
        <w:fldChar w:fldCharType="begin"/>
      </w:r>
      <w:r>
        <w:instrText xml:space="preserve"> HYPERLINK "http://www.sanwen.net/suibi/shenghuo/" \t "_blank" </w:instrText>
      </w:r>
      <w:r>
        <w:fldChar w:fldCharType="separate"/>
      </w:r>
      <w:r>
        <w:rPr>
          <w:rFonts w:hint="eastAsia" w:ascii="仿宋" w:hAnsi="仿宋" w:eastAsia="仿宋" w:cs="仿宋"/>
          <w:sz w:val="32"/>
          <w:szCs w:val="32"/>
        </w:rPr>
        <w:t>生活</w:t>
      </w:r>
      <w:r>
        <w:rPr>
          <w:rFonts w:hint="eastAsia" w:ascii="仿宋" w:hAnsi="仿宋" w:eastAsia="仿宋" w:cs="仿宋"/>
          <w:sz w:val="32"/>
          <w:szCs w:val="32"/>
        </w:rPr>
        <w:fldChar w:fldCharType="end"/>
      </w:r>
      <w:r>
        <w:rPr>
          <w:rFonts w:hint="eastAsia" w:ascii="仿宋" w:hAnsi="仿宋" w:eastAsia="仿宋" w:cs="仿宋"/>
          <w:sz w:val="32"/>
          <w:szCs w:val="32"/>
        </w:rPr>
        <w:t>，努力推进文化事业和文化产业发展。各项工作开展得有声有色，并取得了一定的成绩。经单位自评分分9</w:t>
      </w:r>
      <w:r>
        <w:rPr>
          <w:rFonts w:hint="eastAsia" w:ascii="仿宋" w:hAnsi="仿宋" w:eastAsia="仿宋" w:cs="仿宋"/>
          <w:sz w:val="32"/>
          <w:szCs w:val="32"/>
          <w:lang w:val="en-US" w:eastAsia="zh-CN"/>
        </w:rPr>
        <w:t>3</w:t>
      </w:r>
      <w:r>
        <w:rPr>
          <w:rFonts w:hint="eastAsia" w:ascii="仿宋" w:hAnsi="仿宋" w:eastAsia="仿宋" w:cs="仿宋"/>
          <w:sz w:val="32"/>
          <w:szCs w:val="32"/>
        </w:rPr>
        <w:t>分。</w:t>
      </w:r>
    </w:p>
    <w:p>
      <w:pPr>
        <w:pStyle w:val="5"/>
        <w:widowControl/>
        <w:numPr>
          <w:ilvl w:val="0"/>
          <w:numId w:val="3"/>
        </w:numPr>
        <w:spacing w:line="600" w:lineRule="exact"/>
        <w:ind w:firstLine="0"/>
        <w:jc w:val="left"/>
        <w:rPr>
          <w:rFonts w:ascii="Times New Roman" w:hAnsi="Times New Roman" w:eastAsia="黑体"/>
          <w:sz w:val="32"/>
          <w:szCs w:val="32"/>
        </w:rPr>
      </w:pPr>
      <w:r>
        <w:rPr>
          <w:rFonts w:ascii="Times New Roman" w:hAnsi="Times New Roman" w:eastAsia="黑体"/>
          <w:sz w:val="32"/>
          <w:szCs w:val="32"/>
        </w:rPr>
        <w:t>存在的问题及原因分析</w:t>
      </w:r>
    </w:p>
    <w:p>
      <w:pPr>
        <w:snapToGrid w:val="0"/>
        <w:spacing w:line="360" w:lineRule="auto"/>
        <w:ind w:firstLine="560" w:firstLineChars="200"/>
        <w:rPr>
          <w:rFonts w:ascii="宋体" w:hAnsi="宋体" w:cs="宋体"/>
          <w:bCs/>
          <w:color w:val="000000"/>
          <w:sz w:val="28"/>
          <w:szCs w:val="28"/>
        </w:rPr>
      </w:pPr>
      <w:r>
        <w:rPr>
          <w:rFonts w:hint="eastAsia" w:ascii="宋体" w:hAnsi="宋体" w:cs="宋体"/>
          <w:bCs/>
          <w:color w:val="000000"/>
          <w:sz w:val="28"/>
          <w:szCs w:val="28"/>
        </w:rPr>
        <w:t>1.存在的不足：财务人员专业知识不足。</w:t>
      </w:r>
    </w:p>
    <w:p>
      <w:pPr>
        <w:snapToGrid w:val="0"/>
        <w:spacing w:line="360" w:lineRule="auto"/>
        <w:ind w:firstLine="560" w:firstLineChars="200"/>
        <w:rPr>
          <w:rFonts w:ascii="宋体" w:hAnsi="宋体" w:cs="宋体"/>
          <w:bCs/>
          <w:color w:val="000000"/>
          <w:sz w:val="28"/>
          <w:szCs w:val="28"/>
        </w:rPr>
      </w:pPr>
      <w:r>
        <w:rPr>
          <w:rFonts w:hint="eastAsia" w:ascii="宋体" w:hAnsi="宋体" w:cs="宋体"/>
          <w:bCs/>
          <w:color w:val="000000"/>
          <w:sz w:val="28"/>
          <w:szCs w:val="28"/>
        </w:rPr>
        <w:t>2.建议：不断提高自身业务水平，确保绩效评价结果公正、客观、准确。</w:t>
      </w:r>
    </w:p>
    <w:p>
      <w:pPr>
        <w:pStyle w:val="4"/>
        <w:widowControl/>
        <w:spacing w:line="600" w:lineRule="exact"/>
        <w:jc w:val="left"/>
        <w:rPr>
          <w:rFonts w:eastAsia="黑体"/>
          <w:sz w:val="32"/>
          <w:szCs w:val="32"/>
        </w:rPr>
      </w:pPr>
      <w:r>
        <w:rPr>
          <w:rFonts w:hint="eastAsia" w:ascii="仿宋" w:hAnsi="仿宋" w:eastAsia="仿宋" w:cs="仿宋"/>
          <w:b/>
          <w:bCs/>
          <w:sz w:val="32"/>
          <w:szCs w:val="32"/>
        </w:rPr>
        <w:t>八、</w:t>
      </w:r>
      <w:r>
        <w:rPr>
          <w:rFonts w:eastAsia="黑体"/>
          <w:sz w:val="32"/>
          <w:szCs w:val="32"/>
        </w:rPr>
        <w:t>下一步改进措施</w:t>
      </w:r>
    </w:p>
    <w:p>
      <w:pPr>
        <w:pStyle w:val="4"/>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努力强化学习，不断提高思想境界，全面提升</w:t>
      </w:r>
    </w:p>
    <w:p>
      <w:pPr>
        <w:pStyle w:val="4"/>
        <w:widowControl/>
        <w:spacing w:line="600" w:lineRule="exact"/>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专业知识，提升</w:t>
      </w:r>
      <w:r>
        <w:rPr>
          <w:rFonts w:hint="eastAsia" w:ascii="仿宋" w:hAnsi="仿宋" w:eastAsia="仿宋" w:cs="仿宋"/>
          <w:bCs/>
          <w:color w:val="000000"/>
          <w:sz w:val="32"/>
          <w:szCs w:val="32"/>
        </w:rPr>
        <w:t>自身业务水平</w:t>
      </w:r>
      <w:r>
        <w:rPr>
          <w:rFonts w:hint="eastAsia" w:ascii="仿宋" w:hAnsi="仿宋" w:eastAsia="仿宋" w:cs="仿宋"/>
          <w:bCs/>
          <w:color w:val="000000"/>
          <w:sz w:val="32"/>
          <w:szCs w:val="32"/>
          <w:lang w:eastAsia="zh-CN"/>
        </w:rPr>
        <w:t>。</w:t>
      </w:r>
    </w:p>
    <w:p>
      <w:pPr>
        <w:pStyle w:val="4"/>
        <w:widowControl/>
        <w:numPr>
          <w:ilvl w:val="0"/>
          <w:numId w:val="0"/>
        </w:numPr>
        <w:spacing w:line="600" w:lineRule="exact"/>
        <w:ind w:leftChars="0"/>
        <w:jc w:val="left"/>
        <w:rPr>
          <w:rFonts w:eastAsia="黑体"/>
          <w:sz w:val="32"/>
          <w:szCs w:val="32"/>
        </w:rPr>
      </w:pPr>
      <w:r>
        <w:rPr>
          <w:rFonts w:hint="eastAsia" w:eastAsia="黑体"/>
          <w:sz w:val="32"/>
          <w:szCs w:val="32"/>
          <w:lang w:val="en-US" w:eastAsia="zh-CN"/>
        </w:rPr>
        <w:t>九、</w:t>
      </w:r>
      <w:r>
        <w:rPr>
          <w:rFonts w:eastAsia="黑体"/>
          <w:sz w:val="32"/>
          <w:szCs w:val="32"/>
        </w:rPr>
        <w:t>其他需要说明的情况</w:t>
      </w:r>
    </w:p>
    <w:p>
      <w:pPr>
        <w:pStyle w:val="4"/>
        <w:widowControl/>
        <w:numPr>
          <w:ilvl w:val="0"/>
          <w:numId w:val="0"/>
        </w:numPr>
        <w:spacing w:line="600" w:lineRule="exact"/>
        <w:ind w:leftChars="0"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无</w:t>
      </w:r>
    </w:p>
    <w:p>
      <w:pPr>
        <w:pStyle w:val="4"/>
        <w:widowControl/>
        <w:spacing w:line="600" w:lineRule="exact"/>
        <w:ind w:firstLine="645"/>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widowControl/>
        <w:spacing w:line="600" w:lineRule="exact"/>
        <w:ind w:firstLine="640"/>
        <w:jc w:val="left"/>
        <w:rPr>
          <w:rFonts w:eastAsia="仿宋_GB2312"/>
          <w:sz w:val="32"/>
          <w:szCs w:val="32"/>
        </w:rPr>
      </w:pPr>
    </w:p>
    <w:p>
      <w:pPr>
        <w:pStyle w:val="4"/>
        <w:spacing w:line="600" w:lineRule="exact"/>
        <w:rPr>
          <w:rFonts w:eastAsia="黑体"/>
          <w:sz w:val="32"/>
          <w:szCs w:val="32"/>
        </w:rPr>
      </w:pPr>
    </w:p>
    <w:p>
      <w:pPr>
        <w:pStyle w:val="4"/>
        <w:spacing w:line="600" w:lineRule="exact"/>
        <w:rPr>
          <w:rFonts w:eastAsia="黑体"/>
          <w:sz w:val="32"/>
          <w:szCs w:val="32"/>
        </w:rPr>
      </w:pPr>
    </w:p>
    <w:p>
      <w:pPr>
        <w:pStyle w:val="4"/>
        <w:spacing w:line="600" w:lineRule="exact"/>
        <w:rPr>
          <w:rFonts w:eastAsia="黑体"/>
          <w:sz w:val="32"/>
          <w:szCs w:val="32"/>
        </w:rPr>
      </w:pPr>
    </w:p>
    <w:p>
      <w:pPr>
        <w:pStyle w:val="4"/>
        <w:spacing w:line="600" w:lineRule="exact"/>
        <w:rPr>
          <w:rFonts w:eastAsia="黑体"/>
          <w:sz w:val="32"/>
          <w:szCs w:val="32"/>
        </w:rPr>
      </w:pPr>
    </w:p>
    <w:p>
      <w:pPr>
        <w:pStyle w:val="4"/>
        <w:spacing w:line="600" w:lineRule="exact"/>
        <w:rPr>
          <w:rFonts w:eastAsia="黑体"/>
          <w:sz w:val="32"/>
          <w:szCs w:val="32"/>
        </w:rPr>
      </w:pPr>
    </w:p>
    <w:p>
      <w:pPr>
        <w:pStyle w:val="4"/>
        <w:spacing w:line="600" w:lineRule="exact"/>
        <w:rPr>
          <w:rFonts w:eastAsia="黑体"/>
          <w:sz w:val="32"/>
          <w:szCs w:val="32"/>
        </w:rPr>
      </w:pPr>
      <w:bookmarkStart w:id="0" w:name="_GoBack"/>
      <w:bookmarkEnd w:id="0"/>
      <w:r>
        <w:rPr>
          <w:rFonts w:eastAsia="黑体"/>
          <w:sz w:val="32"/>
          <w:szCs w:val="32"/>
        </w:rPr>
        <w:t>附件4-1</w:t>
      </w:r>
    </w:p>
    <w:p>
      <w:pPr>
        <w:pStyle w:val="4"/>
        <w:spacing w:line="400" w:lineRule="exact"/>
        <w:rPr>
          <w:rFonts w:eastAsia="黑体"/>
          <w:sz w:val="32"/>
          <w:szCs w:val="32"/>
        </w:rPr>
      </w:pPr>
    </w:p>
    <w:p>
      <w:pPr>
        <w:pStyle w:val="4"/>
        <w:spacing w:before="0" w:after="12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2"/>
        <w:tblW w:w="9933" w:type="dxa"/>
        <w:jc w:val="center"/>
        <w:tblLayout w:type="fixed"/>
        <w:tblCellMar>
          <w:top w:w="10" w:type="dxa"/>
          <w:left w:w="10" w:type="dxa"/>
          <w:bottom w:w="0" w:type="dxa"/>
          <w:right w:w="10" w:type="dxa"/>
        </w:tblCellMar>
      </w:tblPr>
      <w:tblGrid>
        <w:gridCol w:w="776"/>
        <w:gridCol w:w="675"/>
        <w:gridCol w:w="1070"/>
        <w:gridCol w:w="1975"/>
        <w:gridCol w:w="4483"/>
        <w:gridCol w:w="953"/>
      </w:tblGrid>
      <w:tr>
        <w:tblPrEx>
          <w:tblCellMar>
            <w:top w:w="10" w:type="dxa"/>
            <w:left w:w="10" w:type="dxa"/>
            <w:bottom w:w="0" w:type="dxa"/>
            <w:right w:w="10" w:type="dxa"/>
          </w:tblCellMar>
        </w:tblPrEx>
        <w:trPr>
          <w:trHeight w:val="454" w:hRule="atLeast"/>
          <w:tblHeader/>
          <w:jc w:val="center"/>
        </w:trPr>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一级</w:t>
            </w:r>
            <w:r>
              <w:rPr>
                <w:rFonts w:ascii="仿宋_GB2312" w:hAnsi="仿宋_GB2312" w:eastAsia="仿宋_GB2312"/>
                <w:b/>
                <w:bCs/>
                <w:szCs w:val="21"/>
              </w:rPr>
              <w:br w:type="textWrapping"/>
            </w:r>
            <w:r>
              <w:rPr>
                <w:rFonts w:ascii="仿宋_GB2312" w:hAnsi="仿宋_GB2312" w:eastAsia="仿宋_GB2312"/>
                <w:b/>
                <w:bCs/>
                <w:szCs w:val="21"/>
              </w:rPr>
              <w:t>指标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二级</w:t>
            </w:r>
            <w:r>
              <w:rPr>
                <w:rFonts w:ascii="仿宋_GB2312" w:hAnsi="仿宋_GB2312" w:eastAsia="仿宋_GB2312"/>
                <w:b/>
                <w:bCs/>
                <w:szCs w:val="21"/>
              </w:rPr>
              <w:br w:type="textWrapping"/>
            </w:r>
            <w:r>
              <w:rPr>
                <w:rFonts w:ascii="仿宋_GB2312" w:hAnsi="仿宋_GB2312" w:eastAsia="仿宋_GB2312"/>
                <w:b/>
                <w:bCs/>
                <w:szCs w:val="21"/>
              </w:rPr>
              <w:t>指标</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三级指标</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评分及标准</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指标说明</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jc w:val="center"/>
              <w:rPr>
                <w:rFonts w:ascii="仿宋_GB2312" w:hAnsi="仿宋_GB2312" w:eastAsia="仿宋_GB2312"/>
                <w:b/>
                <w:bCs/>
                <w:szCs w:val="21"/>
              </w:rPr>
            </w:pPr>
            <w:r>
              <w:rPr>
                <w:rFonts w:ascii="仿宋_GB2312" w:hAnsi="仿宋_GB2312" w:eastAsia="仿宋_GB2312"/>
                <w:b/>
                <w:bCs/>
                <w:szCs w:val="21"/>
              </w:rPr>
              <w:t>自评分</w:t>
            </w:r>
          </w:p>
        </w:tc>
      </w:tr>
      <w:tr>
        <w:tblPrEx>
          <w:tblCellMar>
            <w:top w:w="10" w:type="dxa"/>
            <w:left w:w="10" w:type="dxa"/>
            <w:bottom w:w="0" w:type="dxa"/>
            <w:right w:w="10" w:type="dxa"/>
          </w:tblCellMar>
        </w:tblPrEx>
        <w:trPr>
          <w:trHeight w:val="454" w:hRule="atLeast"/>
          <w:jc w:val="center"/>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决</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策 （10）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预算支出决策</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（项目立项）（4）</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预算支出决策（项目立项）依据</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充分性 （2分）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决策（立项）是否符合国家相关法律法规、国民经济发展规划和相关政策；</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决策（立项）是否符合行业发展规划和政策要求；</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决策（立项）是否与部门职责范围相符，属于部门履职所需；</w:t>
            </w:r>
            <w:r>
              <w:rPr>
                <w:rFonts w:ascii="仿宋_GB2312" w:hAnsi="仿宋_GB2312" w:eastAsia="仿宋_GB2312"/>
                <w:szCs w:val="21"/>
              </w:rPr>
              <w:br w:type="textWrapping"/>
            </w:r>
            <w:r>
              <w:rPr>
                <w:rFonts w:ascii="仿宋_GB2312" w:hAnsi="仿宋_GB2312" w:eastAsia="仿宋_GB2312" w:cs="宋体"/>
                <w:szCs w:val="21"/>
              </w:rPr>
              <w:t>④</w:t>
            </w:r>
            <w:r>
              <w:rPr>
                <w:rFonts w:ascii="仿宋_GB2312" w:hAnsi="仿宋_GB2312" w:eastAsia="仿宋_GB2312"/>
                <w:szCs w:val="21"/>
              </w:rPr>
              <w:t>预算支出是否属于公共财政支持范围，是否符合中央、地方事权支出责任划分原则；</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⑤</w:t>
            </w:r>
            <w:r>
              <w:rPr>
                <w:rFonts w:ascii="仿宋_GB2312" w:hAnsi="仿宋_GB2312" w:eastAsia="仿宋_GB2312"/>
                <w:szCs w:val="21"/>
              </w:rPr>
              <w:t>预算支出是否与相关部门同类预算支出或部门内部相关预算支出重复。</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2</w:t>
            </w:r>
          </w:p>
        </w:tc>
      </w:tr>
      <w:tr>
        <w:tblPrEx>
          <w:tblCellMar>
            <w:top w:w="10" w:type="dxa"/>
            <w:left w:w="10" w:type="dxa"/>
            <w:bottom w:w="0" w:type="dxa"/>
            <w:right w:w="10" w:type="dxa"/>
          </w:tblCellMar>
        </w:tblPrEx>
        <w:trPr>
          <w:trHeight w:val="1365"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
            <w:vAlign w:val="center"/>
          </w:tcPr>
          <w:p>
            <w:pPr>
              <w:pStyle w:val="4"/>
              <w:widowControl w:val="0"/>
              <w:spacing w:before="0" w:after="0"/>
              <w:jc w:val="center"/>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决策（立项）程序规范性</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（2分）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p>
          <w:p>
            <w:pPr>
              <w:pStyle w:val="5"/>
              <w:widowControl w:val="0"/>
              <w:numPr>
                <w:ilvl w:val="0"/>
                <w:numId w:val="4"/>
              </w:numPr>
              <w:spacing w:before="0" w:after="0" w:line="260" w:lineRule="exact"/>
              <w:ind w:firstLine="420"/>
              <w:rPr>
                <w:rFonts w:ascii="仿宋_GB2312" w:hAnsi="仿宋_GB2312" w:eastAsia="仿宋_GB2312"/>
                <w:szCs w:val="21"/>
              </w:rPr>
            </w:pPr>
            <w:r>
              <w:rPr>
                <w:rFonts w:ascii="仿宋_GB2312" w:hAnsi="仿宋_GB2312" w:eastAsia="仿宋_GB2312"/>
                <w:szCs w:val="21"/>
              </w:rPr>
              <w:t>预算支出是否按照规定的程序申请设立；</w:t>
            </w:r>
          </w:p>
          <w:p>
            <w:pPr>
              <w:pStyle w:val="5"/>
              <w:widowControl w:val="0"/>
              <w:numPr>
                <w:ilvl w:val="0"/>
                <w:numId w:val="4"/>
              </w:numPr>
              <w:spacing w:before="0" w:after="0" w:line="260" w:lineRule="exact"/>
              <w:ind w:firstLine="420"/>
              <w:rPr>
                <w:rFonts w:ascii="仿宋_GB2312" w:hAnsi="仿宋_GB2312" w:eastAsia="仿宋_GB2312"/>
                <w:szCs w:val="21"/>
              </w:rPr>
            </w:pPr>
            <w:r>
              <w:rPr>
                <w:rFonts w:ascii="仿宋_GB2312" w:hAnsi="仿宋_GB2312" w:eastAsia="仿宋_GB2312"/>
                <w:szCs w:val="21"/>
              </w:rPr>
              <w:t>审批文件、材料是否符合相关要求；</w:t>
            </w:r>
          </w:p>
          <w:p>
            <w:pPr>
              <w:pStyle w:val="4"/>
              <w:widowControl w:val="0"/>
              <w:spacing w:before="0" w:after="0" w:line="260" w:lineRule="exact"/>
              <w:ind w:left="105" w:firstLine="0"/>
              <w:rPr>
                <w:rFonts w:ascii="仿宋_GB2312" w:hAnsi="仿宋_GB2312" w:eastAsia="仿宋_GB2312"/>
                <w:szCs w:val="21"/>
              </w:rPr>
            </w:pPr>
            <w:r>
              <w:rPr>
                <w:rFonts w:ascii="仿宋_GB2312" w:hAnsi="仿宋_GB2312" w:eastAsia="仿宋_GB2312" w:cs="宋体"/>
                <w:szCs w:val="21"/>
              </w:rPr>
              <w:t>③</w:t>
            </w:r>
            <w:r>
              <w:rPr>
                <w:rFonts w:ascii="仿宋_GB2312" w:hAnsi="仿宋_GB2312" w:eastAsia="仿宋_GB2312"/>
                <w:szCs w:val="21"/>
              </w:rPr>
              <w:t>事前是否已经过必要的可行性研究、专家论证、风险评估、绩效评估、集体决策。</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2</w:t>
            </w:r>
          </w:p>
        </w:tc>
      </w:tr>
      <w:tr>
        <w:tblPrEx>
          <w:tblCellMar>
            <w:top w:w="10" w:type="dxa"/>
            <w:left w:w="10" w:type="dxa"/>
            <w:bottom w:w="0" w:type="dxa"/>
            <w:right w:w="10" w:type="dxa"/>
          </w:tblCellMar>
        </w:tblPrEx>
        <w:trPr>
          <w:trHeight w:val="2473"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绩效</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目标（3）</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绩效目标</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合理性 （2分）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（如未设定预算绩效目标，也可考核其他工作任务目标）</w:t>
            </w:r>
          </w:p>
          <w:p>
            <w:pPr>
              <w:pStyle w:val="5"/>
              <w:widowControl w:val="0"/>
              <w:numPr>
                <w:ilvl w:val="0"/>
                <w:numId w:val="5"/>
              </w:numPr>
              <w:spacing w:before="0" w:after="0" w:line="260" w:lineRule="exact"/>
              <w:ind w:left="465" w:right="105" w:hanging="360"/>
              <w:rPr>
                <w:rFonts w:ascii="仿宋_GB2312" w:hAnsi="仿宋_GB2312" w:eastAsia="仿宋_GB2312"/>
                <w:szCs w:val="21"/>
              </w:rPr>
            </w:pPr>
            <w:r>
              <w:rPr>
                <w:rFonts w:ascii="仿宋_GB2312" w:hAnsi="仿宋_GB2312" w:eastAsia="仿宋_GB2312"/>
                <w:szCs w:val="21"/>
              </w:rPr>
              <w:t>预算支出是否有绩效目标；</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②</w:t>
            </w:r>
            <w:r>
              <w:rPr>
                <w:rFonts w:ascii="仿宋_GB2312" w:hAnsi="仿宋_GB2312" w:eastAsia="仿宋_GB2312"/>
                <w:szCs w:val="21"/>
              </w:rPr>
              <w:t>预算支出绩效目标与实际工作内容是否具有相关性；</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③</w:t>
            </w:r>
            <w:r>
              <w:rPr>
                <w:rFonts w:ascii="仿宋_GB2312" w:hAnsi="仿宋_GB2312" w:eastAsia="仿宋_GB2312"/>
                <w:szCs w:val="21"/>
              </w:rPr>
              <w:t>预算支出预期产出效益和效果是否符合正常的业绩水平；是否与预算确定的预算支出投资额或资金量相匹配。</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2</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绩效指标</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明确性 （1分）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是否将预算支出绩效目标细化分解为具体的绩效指标；</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是否通过清晰、可衡量的指标值体现。</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③</w:t>
            </w:r>
            <w:r>
              <w:rPr>
                <w:rFonts w:ascii="仿宋_GB2312" w:hAnsi="仿宋_GB2312" w:eastAsia="仿宋_GB2312"/>
                <w:szCs w:val="21"/>
              </w:rPr>
              <w:t>是否与预算支出目标任务数相对应。</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资金</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投入（3）</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预算编制</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科学性 （2分）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p>
          <w:p>
            <w:pPr>
              <w:pStyle w:val="5"/>
              <w:widowControl w:val="0"/>
              <w:numPr>
                <w:ilvl w:val="0"/>
                <w:numId w:val="6"/>
              </w:numPr>
              <w:spacing w:before="0" w:after="0" w:line="260" w:lineRule="exact"/>
              <w:ind w:left="465" w:right="105" w:hanging="360"/>
              <w:rPr>
                <w:rFonts w:ascii="仿宋_GB2312" w:hAnsi="仿宋_GB2312" w:eastAsia="仿宋_GB2312"/>
                <w:szCs w:val="21"/>
              </w:rPr>
            </w:pPr>
            <w:r>
              <w:rPr>
                <w:rFonts w:ascii="仿宋_GB2312" w:hAnsi="仿宋_GB2312" w:eastAsia="仿宋_GB2312"/>
                <w:szCs w:val="21"/>
              </w:rPr>
              <w:t>预算编制是否经过科学论证；</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②</w:t>
            </w:r>
            <w:r>
              <w:rPr>
                <w:rFonts w:ascii="仿宋_GB2312" w:hAnsi="仿宋_GB2312" w:eastAsia="仿宋_GB2312"/>
                <w:szCs w:val="21"/>
              </w:rPr>
              <w:t>预算内容与支出内容是否匹配；</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③</w:t>
            </w:r>
            <w:r>
              <w:rPr>
                <w:rFonts w:ascii="仿宋_GB2312" w:hAnsi="仿宋_GB2312" w:eastAsia="仿宋_GB2312"/>
                <w:szCs w:val="21"/>
              </w:rPr>
              <w:t>预算额度测算依据是否充分，是否按照标准编制；</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④</w:t>
            </w:r>
            <w:r>
              <w:rPr>
                <w:rFonts w:ascii="仿宋_GB2312" w:hAnsi="仿宋_GB2312" w:eastAsia="仿宋_GB2312"/>
                <w:szCs w:val="21"/>
              </w:rPr>
              <w:t>预算确定的预算支出投资额或资金量是否与工作任务相匹配1分。</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2</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资金分配</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合理性 （1分）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p>
          <w:p>
            <w:pPr>
              <w:pStyle w:val="5"/>
              <w:widowControl w:val="0"/>
              <w:numPr>
                <w:ilvl w:val="0"/>
                <w:numId w:val="7"/>
              </w:numPr>
              <w:spacing w:before="0" w:after="0" w:line="260" w:lineRule="exact"/>
              <w:ind w:left="465" w:right="105" w:hanging="360"/>
              <w:rPr>
                <w:rFonts w:ascii="仿宋_GB2312" w:hAnsi="仿宋_GB2312" w:eastAsia="仿宋_GB2312"/>
                <w:szCs w:val="21"/>
              </w:rPr>
            </w:pPr>
            <w:r>
              <w:rPr>
                <w:rFonts w:ascii="仿宋_GB2312" w:hAnsi="仿宋_GB2312" w:eastAsia="仿宋_GB2312"/>
                <w:szCs w:val="21"/>
              </w:rPr>
              <w:t>预算资金分配依据是否充分；</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②</w:t>
            </w:r>
            <w:r>
              <w:rPr>
                <w:rFonts w:ascii="仿宋_GB2312" w:hAnsi="仿宋_GB2312" w:eastAsia="仿宋_GB2312"/>
                <w:szCs w:val="21"/>
              </w:rPr>
              <w:t>资金分配额度是否合理，与项目实施单位或地方实际是否相适应。</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p>
        </w:tc>
      </w:tr>
      <w:tr>
        <w:tblPrEx>
          <w:tblCellMar>
            <w:top w:w="10" w:type="dxa"/>
            <w:left w:w="10" w:type="dxa"/>
            <w:bottom w:w="0" w:type="dxa"/>
            <w:right w:w="10" w:type="dxa"/>
          </w:tblCellMar>
        </w:tblPrEx>
        <w:trPr>
          <w:trHeight w:val="1542" w:hRule="atLeast"/>
          <w:jc w:val="center"/>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过</w:t>
            </w:r>
          </w:p>
          <w:p>
            <w:pPr>
              <w:pStyle w:val="4"/>
              <w:widowControl w:val="0"/>
              <w:spacing w:before="0" w:after="0"/>
              <w:jc w:val="center"/>
              <w:rPr>
                <w:rFonts w:ascii="仿宋_GB2312" w:hAnsi="仿宋_GB2312" w:eastAsia="仿宋_GB2312"/>
                <w:szCs w:val="21"/>
              </w:rPr>
            </w:pPr>
          </w:p>
          <w:p>
            <w:pPr>
              <w:pStyle w:val="4"/>
              <w:widowControl w:val="0"/>
              <w:spacing w:before="0" w:after="0"/>
              <w:jc w:val="center"/>
              <w:rPr>
                <w:rFonts w:ascii="仿宋_GB2312" w:hAnsi="仿宋_GB2312" w:eastAsia="仿宋_GB2312"/>
                <w:szCs w:val="21"/>
              </w:rPr>
            </w:pP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程  （20）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资金</w:t>
            </w:r>
            <w:r>
              <w:rPr>
                <w:rFonts w:ascii="仿宋_GB2312" w:hAnsi="仿宋_GB2312" w:eastAsia="仿宋_GB2312"/>
                <w:szCs w:val="21"/>
              </w:rPr>
              <w:br w:type="textWrapping"/>
            </w:r>
            <w:r>
              <w:rPr>
                <w:rFonts w:ascii="仿宋_GB2312" w:hAnsi="仿宋_GB2312" w:eastAsia="仿宋_GB2312"/>
                <w:szCs w:val="21"/>
              </w:rPr>
              <w:t>管理（10）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资金</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到位率</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（3分）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资金到位率100%计满分，每下降5个百分点扣1分，扣完为止。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资金到位率=（实际到位资金/预算资金）×100%。</w:t>
            </w:r>
            <w:r>
              <w:rPr>
                <w:rFonts w:ascii="仿宋_GB2312" w:hAnsi="仿宋_GB2312" w:eastAsia="仿宋_GB2312"/>
                <w:szCs w:val="21"/>
              </w:rPr>
              <w:br w:type="textWrapping"/>
            </w:r>
            <w:r>
              <w:rPr>
                <w:rFonts w:ascii="仿宋_GB2312" w:hAnsi="仿宋_GB2312" w:eastAsia="仿宋_GB2312"/>
                <w:szCs w:val="21"/>
              </w:rPr>
              <w:t>实际到位资金：一定时期（本年度或预算支出期）内落实到具体预算支出的资金。</w:t>
            </w:r>
            <w:r>
              <w:rPr>
                <w:rFonts w:ascii="仿宋_GB2312" w:hAnsi="仿宋_GB2312" w:eastAsia="仿宋_GB2312"/>
                <w:szCs w:val="21"/>
              </w:rPr>
              <w:br w:type="textWrapping"/>
            </w:r>
            <w:r>
              <w:rPr>
                <w:rFonts w:ascii="仿宋_GB2312" w:hAnsi="仿宋_GB2312" w:eastAsia="仿宋_GB2312"/>
                <w:szCs w:val="21"/>
              </w:rPr>
              <w:t>预算资金：一定时期（本年度或预算支出期）内预算安排到具体预算支出的资金。</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3</w:t>
            </w:r>
          </w:p>
        </w:tc>
      </w:tr>
      <w:tr>
        <w:tblPrEx>
          <w:tblCellMar>
            <w:top w:w="10" w:type="dxa"/>
            <w:left w:w="10" w:type="dxa"/>
            <w:bottom w:w="0" w:type="dxa"/>
            <w:right w:w="10" w:type="dxa"/>
          </w:tblCellMar>
        </w:tblPrEx>
        <w:trPr>
          <w:trHeight w:val="1265"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预算</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执行率 （3分）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100%计满分，每下降5个百分点扣1分，扣完为止。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预算执行率=（实际支出资金/实际到位资金）×100%。</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实际支出资金：一定时期（本年度或预算支出期）内预算支出实际拨付的资金。</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3</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资金使用</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合规性 （1分）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①</w:t>
            </w:r>
            <w:r>
              <w:rPr>
                <w:rFonts w:ascii="仿宋_GB2312" w:hAnsi="仿宋_GB2312" w:eastAsia="仿宋_GB2312"/>
                <w:szCs w:val="21"/>
              </w:rPr>
              <w:t>是否符合国家财经法规和财务管理制度以及有关专项资金管理办法的规定；</w:t>
            </w:r>
          </w:p>
          <w:p>
            <w:pPr>
              <w:pStyle w:val="4"/>
              <w:widowControl w:val="0"/>
              <w:spacing w:before="0" w:after="0" w:line="260" w:lineRule="exact"/>
              <w:ind w:right="105" w:firstLine="105"/>
              <w:rPr>
                <w:rFonts w:ascii="仿宋_GB2312" w:hAnsi="仿宋_GB2312" w:eastAsia="仿宋_GB2312"/>
                <w:szCs w:val="21"/>
              </w:rPr>
            </w:pPr>
            <w:r>
              <w:rPr>
                <w:rFonts w:ascii="仿宋_GB2312" w:hAnsi="仿宋_GB2312" w:eastAsia="仿宋_GB2312" w:cs="宋体"/>
                <w:szCs w:val="21"/>
              </w:rPr>
              <w:t>②</w:t>
            </w:r>
            <w:r>
              <w:rPr>
                <w:rFonts w:ascii="仿宋_GB2312" w:hAnsi="仿宋_GB2312" w:eastAsia="仿宋_GB2312"/>
                <w:szCs w:val="21"/>
              </w:rPr>
              <w:t>资金的拨付是否有完整的审批程序和手续；</w:t>
            </w:r>
          </w:p>
          <w:p>
            <w:pPr>
              <w:pStyle w:val="4"/>
              <w:widowControl w:val="0"/>
              <w:spacing w:before="0" w:after="0" w:line="260" w:lineRule="exact"/>
              <w:ind w:right="105" w:firstLine="105"/>
              <w:rPr>
                <w:rFonts w:ascii="仿宋_GB2312" w:hAnsi="仿宋_GB2312" w:eastAsia="仿宋_GB2312"/>
                <w:szCs w:val="21"/>
              </w:rPr>
            </w:pPr>
            <w:r>
              <w:rPr>
                <w:rFonts w:ascii="仿宋_GB2312" w:hAnsi="仿宋_GB2312" w:eastAsia="仿宋_GB2312" w:cs="宋体"/>
                <w:szCs w:val="21"/>
              </w:rPr>
              <w:t>③</w:t>
            </w:r>
            <w:r>
              <w:rPr>
                <w:rFonts w:ascii="仿宋_GB2312" w:hAnsi="仿宋_GB2312" w:eastAsia="仿宋_GB2312"/>
                <w:szCs w:val="21"/>
              </w:rPr>
              <w:t>是否符合预算支出预算批复或合同规定的用途；</w:t>
            </w:r>
          </w:p>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cs="宋体"/>
                <w:szCs w:val="21"/>
              </w:rPr>
              <w:t>④</w:t>
            </w:r>
            <w:r>
              <w:rPr>
                <w:rFonts w:ascii="仿宋_GB2312" w:hAnsi="仿宋_GB2312" w:eastAsia="仿宋_GB2312"/>
                <w:szCs w:val="21"/>
              </w:rPr>
              <w:t>是否存在截留、挤占、挪用、虐列支出等情况。</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
            <w:vAlign w:val="center"/>
          </w:tcPr>
          <w:p>
            <w:pPr>
              <w:pStyle w:val="4"/>
              <w:widowControl w:val="0"/>
              <w:spacing w:before="0" w:after="0"/>
              <w:jc w:val="center"/>
              <w:rPr>
                <w:rFonts w:ascii="仿宋_GB2312" w:hAnsi="仿宋_GB2312" w:eastAsia="仿宋_GB2312"/>
                <w:szCs w:val="21"/>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组织</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实施（10）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管理制度</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健全性 （5分）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按指标说明评价要点，每缺一项扣3分，扣完为止。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是否已制定或具有相应的业务管理制度；</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财务和业务管理制度是否合法、合规、完整。</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4</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制度执行</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有效性 （5分）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按指标说明评价要点，每缺一项扣3分，扣完为止。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评价要点：</w:t>
            </w:r>
            <w:r>
              <w:rPr>
                <w:rFonts w:ascii="仿宋_GB2312" w:hAnsi="仿宋_GB2312" w:eastAsia="仿宋_GB2312"/>
                <w:szCs w:val="21"/>
              </w:rPr>
              <w:br w:type="textWrapping"/>
            </w:r>
            <w:r>
              <w:rPr>
                <w:rFonts w:ascii="仿宋_GB2312" w:hAnsi="仿宋_GB2312" w:eastAsia="仿宋_GB2312" w:cs="宋体"/>
                <w:szCs w:val="21"/>
              </w:rPr>
              <w:t>①</w:t>
            </w:r>
            <w:r>
              <w:rPr>
                <w:rFonts w:ascii="仿宋_GB2312" w:hAnsi="仿宋_GB2312" w:eastAsia="仿宋_GB2312"/>
                <w:szCs w:val="21"/>
              </w:rPr>
              <w:t>是否遵守相关法律法规和相关管理规定；</w:t>
            </w:r>
            <w:r>
              <w:rPr>
                <w:rFonts w:ascii="仿宋_GB2312" w:hAnsi="仿宋_GB2312" w:eastAsia="仿宋_GB2312"/>
                <w:szCs w:val="21"/>
              </w:rPr>
              <w:br w:type="textWrapping"/>
            </w:r>
            <w:r>
              <w:rPr>
                <w:rFonts w:ascii="仿宋_GB2312" w:hAnsi="仿宋_GB2312" w:eastAsia="仿宋_GB2312" w:cs="宋体"/>
                <w:szCs w:val="21"/>
              </w:rPr>
              <w:t>②</w:t>
            </w:r>
            <w:r>
              <w:rPr>
                <w:rFonts w:ascii="仿宋_GB2312" w:hAnsi="仿宋_GB2312" w:eastAsia="仿宋_GB2312"/>
                <w:szCs w:val="21"/>
              </w:rPr>
              <w:t>预算支出调整及支出调整手续是否完备；</w:t>
            </w:r>
            <w:r>
              <w:rPr>
                <w:rFonts w:ascii="仿宋_GB2312" w:hAnsi="仿宋_GB2312" w:eastAsia="仿宋_GB2312"/>
                <w:szCs w:val="21"/>
              </w:rPr>
              <w:br w:type="textWrapping"/>
            </w:r>
            <w:r>
              <w:rPr>
                <w:rFonts w:ascii="仿宋_GB2312" w:hAnsi="仿宋_GB2312" w:eastAsia="仿宋_GB2312" w:cs="宋体"/>
                <w:szCs w:val="21"/>
              </w:rPr>
              <w:t>③</w:t>
            </w:r>
            <w:r>
              <w:rPr>
                <w:rFonts w:ascii="仿宋_GB2312" w:hAnsi="仿宋_GB2312" w:eastAsia="仿宋_GB2312"/>
                <w:szCs w:val="21"/>
              </w:rPr>
              <w:t>预算支出合同书、验收报告、技术鉴定等资料是否齐全并及时归档；</w:t>
            </w:r>
            <w:r>
              <w:rPr>
                <w:rFonts w:ascii="仿宋_GB2312" w:hAnsi="仿宋_GB2312" w:eastAsia="仿宋_GB2312"/>
                <w:szCs w:val="21"/>
              </w:rPr>
              <w:br w:type="textWrapping"/>
            </w:r>
            <w:r>
              <w:rPr>
                <w:rFonts w:ascii="仿宋_GB2312" w:hAnsi="仿宋_GB2312" w:eastAsia="仿宋_GB2312" w:cs="宋体"/>
                <w:szCs w:val="21"/>
              </w:rPr>
              <w:t>④</w:t>
            </w:r>
            <w:r>
              <w:rPr>
                <w:rFonts w:ascii="仿宋_GB2312" w:hAnsi="仿宋_GB2312" w:eastAsia="仿宋_GB2312"/>
                <w:szCs w:val="21"/>
              </w:rPr>
              <w:t>预算支出实施的人员条件、场地设备、信息支撑等是否落实到位。</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4</w:t>
            </w:r>
          </w:p>
        </w:tc>
      </w:tr>
      <w:tr>
        <w:tblPrEx>
          <w:tblCellMar>
            <w:top w:w="10" w:type="dxa"/>
            <w:left w:w="10" w:type="dxa"/>
            <w:bottom w:w="0" w:type="dxa"/>
            <w:right w:w="10" w:type="dxa"/>
          </w:tblCellMar>
        </w:tblPrEx>
        <w:trPr>
          <w:trHeight w:val="1781" w:hRule="atLeast"/>
          <w:jc w:val="center"/>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产</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出 （40）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产出</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数量（10）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实际</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完成率 （10分）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100%计满分，每下降1%扣1分，扣完为止。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实际完成率=（实际产出数/计划产出数）×100%。</w:t>
            </w:r>
            <w:r>
              <w:rPr>
                <w:rFonts w:ascii="仿宋_GB2312" w:hAnsi="仿宋_GB2312" w:eastAsia="仿宋_GB2312"/>
                <w:szCs w:val="21"/>
              </w:rPr>
              <w:br w:type="textWrapping"/>
            </w:r>
            <w:r>
              <w:rPr>
                <w:rFonts w:ascii="仿宋_GB2312" w:hAnsi="仿宋_GB2312" w:eastAsia="仿宋_GB2312"/>
                <w:szCs w:val="21"/>
              </w:rPr>
              <w:t>实际产出数：一定时期（本年度或预算支出期）内预算支出实际产出的产品或提供的服务数量。</w:t>
            </w:r>
            <w:r>
              <w:rPr>
                <w:rFonts w:ascii="仿宋_GB2312" w:hAnsi="仿宋_GB2312" w:eastAsia="仿宋_GB2312"/>
                <w:szCs w:val="21"/>
              </w:rPr>
              <w:br w:type="textWrapping"/>
            </w:r>
            <w:r>
              <w:rPr>
                <w:rFonts w:ascii="仿宋_GB2312" w:hAnsi="仿宋_GB2312" w:eastAsia="仿宋_GB2312"/>
                <w:szCs w:val="21"/>
              </w:rPr>
              <w:t>计划产出数：预算支出绩效目标确定的在一定时期（本年度或预算支出期）内计划产出的产品或提供的服务数量。</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10</w:t>
            </w:r>
          </w:p>
        </w:tc>
      </w:tr>
      <w:tr>
        <w:tblPrEx>
          <w:tblCellMar>
            <w:top w:w="10" w:type="dxa"/>
            <w:left w:w="10" w:type="dxa"/>
            <w:bottom w:w="0" w:type="dxa"/>
            <w:right w:w="10" w:type="dxa"/>
          </w:tblCellMar>
        </w:tblPrEx>
        <w:trPr>
          <w:trHeight w:val="210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
            <w:vAlign w:val="center"/>
          </w:tcPr>
          <w:p>
            <w:pPr>
              <w:pStyle w:val="4"/>
              <w:widowControl w:val="0"/>
              <w:spacing w:before="0" w:after="0"/>
              <w:jc w:val="center"/>
              <w:rPr>
                <w:rFonts w:ascii="仿宋_GB2312" w:hAnsi="仿宋_GB2312" w:eastAsia="仿宋_GB2312"/>
                <w:szCs w:val="21"/>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产出</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质量（10）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质量</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达标率 （10分）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100%计满分，每下降1%扣1分，扣完为止。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质量达标率=（质量达标产出数/实际产出数）×100%。</w:t>
            </w:r>
            <w:r>
              <w:rPr>
                <w:rFonts w:ascii="仿宋_GB2312" w:hAnsi="仿宋_GB2312" w:eastAsia="仿宋_GB2312"/>
                <w:szCs w:val="21"/>
              </w:rPr>
              <w:br w:type="textWrapping"/>
            </w:r>
            <w:r>
              <w:rPr>
                <w:rFonts w:ascii="仿宋_GB2312" w:hAns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10</w:t>
            </w:r>
          </w:p>
        </w:tc>
      </w:tr>
      <w:tr>
        <w:tblPrEx>
          <w:tblCellMar>
            <w:top w:w="10" w:type="dxa"/>
            <w:left w:w="10" w:type="dxa"/>
            <w:bottom w:w="0" w:type="dxa"/>
            <w:right w:w="10" w:type="dxa"/>
          </w:tblCellMar>
        </w:tblPrEx>
        <w:trPr>
          <w:trHeight w:val="1255"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产出</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时效（10）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完成</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及时性 （10分）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达到绩效目标完成时间计5分，超过30%的不计分。</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实际完成时间：预算支出实施单位完成该预算支出实际所耗用的时间。</w:t>
            </w:r>
            <w:r>
              <w:rPr>
                <w:rFonts w:ascii="仿宋_GB2312" w:hAnsi="仿宋_GB2312" w:eastAsia="仿宋_GB2312"/>
                <w:szCs w:val="21"/>
              </w:rPr>
              <w:br w:type="textWrapping"/>
            </w:r>
            <w:r>
              <w:rPr>
                <w:rFonts w:ascii="仿宋_GB2312" w:hAnsi="仿宋_GB2312" w:eastAsia="仿宋_GB2312"/>
                <w:szCs w:val="21"/>
              </w:rPr>
              <w:t>计划完成时间：按照预算支出实施计划或相关规定完成该预算支出所需的时间。</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10</w:t>
            </w:r>
          </w:p>
        </w:tc>
      </w:tr>
      <w:tr>
        <w:tblPrEx>
          <w:tblCellMar>
            <w:top w:w="10" w:type="dxa"/>
            <w:left w:w="10" w:type="dxa"/>
            <w:bottom w:w="0" w:type="dxa"/>
            <w:right w:w="10" w:type="dxa"/>
          </w:tblCellMar>
        </w:tblPrEx>
        <w:trPr>
          <w:trHeight w:val="454" w:hRule="atLeast"/>
          <w:jc w:val="center"/>
        </w:trPr>
        <w:tc>
          <w:tcPr>
            <w:tcW w:w="776" w:type="dxa"/>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ind w:left="113" w:firstLine="0"/>
              <w:jc w:val="center"/>
              <w:rPr>
                <w:rFonts w:ascii="仿宋_GB2312" w:hAnsi="仿宋_GB2312" w:eastAsia="仿宋_GB2312"/>
                <w:szCs w:val="21"/>
              </w:rPr>
            </w:pPr>
            <w:r>
              <w:rPr>
                <w:rFonts w:ascii="仿宋_GB2312" w:hAnsi="仿宋_GB2312" w:eastAsia="仿宋_GB2312"/>
                <w:szCs w:val="21"/>
              </w:rPr>
              <w:t>产   出 （40）</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产出</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成本（10）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成本</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节约率 （10分）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tabs>
                <w:tab w:val="left" w:pos="2604"/>
              </w:tabs>
              <w:spacing w:before="0" w:after="0" w:line="320" w:lineRule="exact"/>
              <w:ind w:left="105" w:right="105" w:firstLine="96"/>
              <w:rPr>
                <w:rFonts w:ascii="仿宋_GB2312" w:hAnsi="仿宋_GB2312" w:eastAsia="仿宋_GB2312"/>
                <w:szCs w:val="21"/>
              </w:rPr>
            </w:pPr>
            <w:r>
              <w:rPr>
                <w:rFonts w:ascii="仿宋_GB2312" w:hAnsi="仿宋_GB2312" w:eastAsia="仿宋_GB2312"/>
                <w:szCs w:val="21"/>
              </w:rPr>
              <w:t>100%计满分，每下降5个百分点扣2分，扣完为止。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成本节约率=[（计划成本-实际成本）/计划成本]×100%。</w:t>
            </w:r>
            <w:r>
              <w:rPr>
                <w:rFonts w:ascii="仿宋_GB2312" w:hAnsi="仿宋_GB2312" w:eastAsia="仿宋_GB2312"/>
                <w:szCs w:val="21"/>
              </w:rPr>
              <w:br w:type="textWrapping"/>
            </w:r>
            <w:r>
              <w:rPr>
                <w:rFonts w:ascii="仿宋_GB2312" w:hAnsi="仿宋_GB2312" w:eastAsia="仿宋_GB2312"/>
                <w:szCs w:val="21"/>
              </w:rPr>
              <w:t>实际成本：预算支出实施单位如期、保质、保量完成既定工作目标实际所耗费的支出。</w:t>
            </w:r>
            <w:r>
              <w:rPr>
                <w:rFonts w:ascii="仿宋_GB2312" w:hAnsi="仿宋_GB2312" w:eastAsia="仿宋_GB2312"/>
                <w:szCs w:val="21"/>
              </w:rPr>
              <w:br w:type="textWrapping"/>
            </w:r>
            <w:r>
              <w:rPr>
                <w:rFonts w:ascii="仿宋_GB2312" w:hAnsi="仿宋_GB2312" w:eastAsia="仿宋_GB2312"/>
                <w:szCs w:val="21"/>
              </w:rPr>
              <w:t>计划成本：预算支出实施单位为完成工作目标计划安排的支出，一般以预算支出预算为参考。</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10</w:t>
            </w:r>
          </w:p>
        </w:tc>
      </w:tr>
      <w:tr>
        <w:tblPrEx>
          <w:tblCellMar>
            <w:top w:w="10" w:type="dxa"/>
            <w:left w:w="10" w:type="dxa"/>
            <w:bottom w:w="0" w:type="dxa"/>
            <w:right w:w="10" w:type="dxa"/>
          </w:tblCellMar>
        </w:tblPrEx>
        <w:trPr>
          <w:trHeight w:val="454" w:hRule="atLeast"/>
          <w:jc w:val="center"/>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效</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益</w:t>
            </w:r>
          </w:p>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（30）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jc w:val="center"/>
              <w:rPr>
                <w:rFonts w:ascii="仿宋_GB2312" w:hAnsi="仿宋_GB2312" w:eastAsia="仿宋_GB2312"/>
                <w:szCs w:val="21"/>
              </w:rPr>
            </w:pPr>
            <w:r>
              <w:rPr>
                <w:rFonts w:ascii="仿宋_GB2312" w:hAnsi="仿宋_GB2312" w:eastAsia="仿宋_GB2312"/>
                <w:szCs w:val="21"/>
              </w:rPr>
              <w:t>预算支出</w:t>
            </w:r>
            <w:r>
              <w:rPr>
                <w:rFonts w:ascii="仿宋_GB2312" w:hAnsi="仿宋_GB2312" w:eastAsia="仿宋_GB2312"/>
                <w:szCs w:val="21"/>
              </w:rPr>
              <w:br w:type="textWrapping"/>
            </w:r>
            <w:r>
              <w:rPr>
                <w:rFonts w:ascii="仿宋_GB2312" w:hAnsi="仿宋_GB2312" w:eastAsia="仿宋_GB2312"/>
                <w:szCs w:val="21"/>
              </w:rPr>
              <w:t>效益（10）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实施效益（20分）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达到绩效目标完成时间计5分，少于60%的不计分。</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预算支出实施所产生的社会效益、经济效益、生态效益、可持续影响等。可根据预算支出实际情况有选择地设置和细化。</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20</w:t>
            </w:r>
          </w:p>
        </w:tc>
      </w:tr>
      <w:tr>
        <w:tblPrEx>
          <w:tblCellMar>
            <w:top w:w="10" w:type="dxa"/>
            <w:left w:w="10" w:type="dxa"/>
            <w:bottom w:w="0" w:type="dxa"/>
            <w:right w:w="10" w:type="dxa"/>
          </w:tblCellMar>
        </w:tblPrEx>
        <w:trPr>
          <w:trHeight w:val="454" w:hRule="atLeast"/>
          <w:jc w:val="center"/>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 w:type="dxa"/>
              <w:right w:w="5" w:type="dxa"/>
            </w:tcMar>
            <w:vAlign w:val="center"/>
          </w:tcPr>
          <w:p>
            <w:pPr>
              <w:pStyle w:val="4"/>
              <w:widowControl w:val="0"/>
              <w:spacing w:before="0" w:after="0"/>
              <w:rPr>
                <w:rFonts w:ascii="仿宋_GB2312" w:hAnsi="仿宋_GB2312" w:eastAsia="仿宋_GB2312"/>
                <w:szCs w:val="21"/>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社会公众</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或服务对</w:t>
            </w:r>
          </w:p>
          <w:p>
            <w:pPr>
              <w:pStyle w:val="4"/>
              <w:widowControl w:val="0"/>
              <w:spacing w:before="0" w:after="0" w:line="260" w:lineRule="exact"/>
              <w:ind w:left="105" w:right="105" w:firstLine="0"/>
              <w:jc w:val="center"/>
              <w:rPr>
                <w:rFonts w:ascii="仿宋_GB2312" w:hAnsi="仿宋_GB2312" w:eastAsia="仿宋_GB2312"/>
                <w:szCs w:val="21"/>
              </w:rPr>
            </w:pPr>
            <w:r>
              <w:rPr>
                <w:rFonts w:ascii="仿宋_GB2312" w:hAnsi="仿宋_GB2312" w:eastAsia="仿宋_GB2312"/>
                <w:szCs w:val="21"/>
              </w:rPr>
              <w:t>象满意度（10分）</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100%计满分，每下降五个百分点扣2分，扣完为止。</w:t>
            </w:r>
          </w:p>
        </w:tc>
        <w:tc>
          <w:tcPr>
            <w:tcW w:w="44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260" w:lineRule="exact"/>
              <w:ind w:left="105" w:right="105" w:firstLine="0"/>
              <w:rPr>
                <w:rFonts w:ascii="仿宋_GB2312" w:hAnsi="仿宋_GB2312" w:eastAsia="仿宋_GB2312"/>
                <w:szCs w:val="21"/>
              </w:rPr>
            </w:pPr>
            <w:r>
              <w:rPr>
                <w:rFonts w:ascii="仿宋_GB2312" w:hAnsi="仿宋_GB2312" w:eastAsia="仿宋_GB2312"/>
                <w:szCs w:val="21"/>
              </w:rPr>
              <w:t>社会公众或服务对象是指因该预算支出实施而受到影响的部门、群体或个人。一般采取社会调查的方式。</w:t>
            </w:r>
          </w:p>
        </w:tc>
        <w:tc>
          <w:tcPr>
            <w:tcW w:w="953" w:type="dxa"/>
            <w:tcBorders>
              <w:top w:val="single" w:color="000000" w:sz="4" w:space="0"/>
              <w:left w:val="single" w:color="000000" w:sz="4" w:space="0"/>
              <w:bottom w:val="single" w:color="000000" w:sz="4" w:space="0"/>
              <w:right w:val="single" w:color="000000" w:sz="4" w:space="0"/>
            </w:tcBorders>
            <w:tcMar>
              <w:top w:w="0" w:type="dxa"/>
              <w:left w:w="5" w:type="dxa"/>
              <w:right w:w="5" w:type="dxa"/>
            </w:tcMar>
            <w:vAlign w:val="center"/>
          </w:tcPr>
          <w:p>
            <w:pPr>
              <w:pStyle w:val="4"/>
              <w:widowControl w:val="0"/>
              <w:spacing w:before="0" w:after="0" w:line="260" w:lineRule="exact"/>
              <w:ind w:left="105" w:right="105" w:firstLine="0"/>
              <w:jc w:val="center"/>
              <w:rPr>
                <w:rFonts w:hint="default" w:ascii="仿宋_GB2312" w:hAnsi="仿宋_GB2312" w:eastAsia="仿宋_GB2312"/>
                <w:szCs w:val="21"/>
                <w:lang w:val="en-US" w:eastAsia="zh-CN"/>
              </w:rPr>
            </w:pPr>
            <w:r>
              <w:rPr>
                <w:rFonts w:hint="eastAsia" w:ascii="仿宋_GB2312" w:hAnsi="仿宋_GB2312" w:eastAsia="仿宋_GB2312"/>
                <w:szCs w:val="21"/>
                <w:lang w:val="en-US" w:eastAsia="zh-CN"/>
              </w:rPr>
              <w:t>10</w:t>
            </w:r>
          </w:p>
        </w:tc>
      </w:tr>
    </w:tbl>
    <w:p>
      <w:pPr>
        <w:pStyle w:val="4"/>
        <w:widowControl/>
        <w:spacing w:line="600" w:lineRule="exact"/>
        <w:ind w:firstLine="420"/>
        <w:jc w:val="left"/>
        <w:rPr>
          <w:rFonts w:eastAsia="仿宋_GB2312"/>
          <w:sz w:val="32"/>
          <w:szCs w:val="32"/>
        </w:rPr>
      </w:pPr>
      <w:r>
        <w:br w:type="page"/>
      </w:r>
    </w:p>
    <w:p>
      <w:pPr>
        <w:pStyle w:val="4"/>
        <w:widowControl/>
        <w:spacing w:line="400" w:lineRule="exact"/>
        <w:jc w:val="left"/>
        <w:rPr>
          <w:rFonts w:eastAsia="黑体"/>
          <w:sz w:val="32"/>
          <w:szCs w:val="32"/>
        </w:rPr>
      </w:pPr>
      <w:r>
        <w:rPr>
          <w:rFonts w:eastAsia="黑体"/>
          <w:sz w:val="32"/>
          <w:szCs w:val="32"/>
        </w:rPr>
        <w:t>附件4-2</w:t>
      </w:r>
    </w:p>
    <w:tbl>
      <w:tblPr>
        <w:tblStyle w:val="2"/>
        <w:tblW w:w="9998" w:type="dxa"/>
        <w:jc w:val="center"/>
        <w:tblLayout w:type="fixed"/>
        <w:tblCellMar>
          <w:top w:w="0" w:type="dxa"/>
          <w:left w:w="108" w:type="dxa"/>
          <w:bottom w:w="0" w:type="dxa"/>
          <w:right w:w="108" w:type="dxa"/>
        </w:tblCellMar>
      </w:tblPr>
      <w:tblGrid>
        <w:gridCol w:w="1134"/>
        <w:gridCol w:w="992"/>
        <w:gridCol w:w="1261"/>
        <w:gridCol w:w="1224"/>
        <w:gridCol w:w="1135"/>
        <w:gridCol w:w="1134"/>
        <w:gridCol w:w="828"/>
        <w:gridCol w:w="873"/>
        <w:gridCol w:w="1417"/>
      </w:tblGrid>
      <w:tr>
        <w:tblPrEx>
          <w:tblCellMar>
            <w:top w:w="0" w:type="dxa"/>
            <w:left w:w="108" w:type="dxa"/>
            <w:bottom w:w="0" w:type="dxa"/>
            <w:right w:w="108" w:type="dxa"/>
          </w:tblCellMar>
        </w:tblPrEx>
        <w:trPr>
          <w:trHeight w:val="690" w:hRule="atLeast"/>
          <w:jc w:val="center"/>
        </w:trPr>
        <w:tc>
          <w:tcPr>
            <w:tcW w:w="9998" w:type="dxa"/>
            <w:gridSpan w:val="9"/>
            <w:shd w:val="clear" w:color="auto" w:fill="auto"/>
            <w:vAlign w:val="center"/>
          </w:tcPr>
          <w:p>
            <w:pPr>
              <w:pStyle w:val="4"/>
              <w:widowControl w:val="0"/>
              <w:spacing w:before="0" w:after="0"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8" w:type="dxa"/>
            <w:gridSpan w:val="9"/>
            <w:tcBorders>
              <w:bottom w:val="single" w:color="000000" w:sz="4" w:space="0"/>
            </w:tcBorders>
            <w:shd w:val="clear" w:color="auto" w:fill="auto"/>
            <w:vAlign w:val="center"/>
          </w:tcPr>
          <w:p>
            <w:pPr>
              <w:pStyle w:val="4"/>
              <w:widowControl w:val="0"/>
              <w:spacing w:before="0" w:after="0"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4" w:type="dxa"/>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项目支</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hint="eastAsia" w:eastAsia="仿宋_GB2312"/>
                <w:color w:val="000000"/>
                <w:kern w:val="0"/>
                <w:szCs w:val="21"/>
              </w:rPr>
              <w:t>情系三农送戏下乡</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主管部门</w:t>
            </w:r>
          </w:p>
        </w:tc>
        <w:tc>
          <w:tcPr>
            <w:tcW w:w="4612" w:type="dxa"/>
            <w:gridSpan w:val="4"/>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实施单位</w:t>
            </w:r>
          </w:p>
        </w:tc>
        <w:tc>
          <w:tcPr>
            <w:tcW w:w="3118" w:type="dxa"/>
            <w:gridSpan w:val="3"/>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restart"/>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年初预算数</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bottom w:val="single" w:color="000000" w:sz="4" w:space="0"/>
              <w:right w:val="single" w:color="000000" w:sz="4" w:space="0"/>
            </w:tcBorders>
            <w:shd w:val="clear" w:color="auto" w:fill="auto"/>
          </w:tcPr>
          <w:p>
            <w:pPr>
              <w:pStyle w:val="4"/>
              <w:widowControl w:val="0"/>
              <w:spacing w:before="0" w:after="0" w:line="320" w:lineRule="exact"/>
              <w:rPr>
                <w:rFonts w:eastAsia="仿宋_GB2312"/>
                <w:szCs w:val="21"/>
              </w:rPr>
            </w:pPr>
            <w:r>
              <w:rPr>
                <w:rFonts w:eastAsia="仿宋_GB2312"/>
                <w:szCs w:val="21"/>
              </w:rPr>
              <w:t>全年执行数</w:t>
            </w:r>
          </w:p>
        </w:tc>
        <w:tc>
          <w:tcPr>
            <w:tcW w:w="828" w:type="dxa"/>
            <w:tcBorders>
              <w:bottom w:val="single" w:color="000000" w:sz="4" w:space="0"/>
              <w:right w:val="single" w:color="000000" w:sz="4" w:space="0"/>
            </w:tcBorders>
            <w:shd w:val="clear" w:color="auto" w:fill="auto"/>
          </w:tcPr>
          <w:p>
            <w:pPr>
              <w:pStyle w:val="4"/>
              <w:widowControl w:val="0"/>
              <w:spacing w:before="0" w:after="0" w:line="320" w:lineRule="exact"/>
              <w:rPr>
                <w:rFonts w:eastAsia="仿宋_GB2312"/>
                <w:szCs w:val="21"/>
              </w:rPr>
            </w:pPr>
            <w:r>
              <w:rPr>
                <w:rFonts w:eastAsia="仿宋_GB2312"/>
                <w:szCs w:val="21"/>
              </w:rPr>
              <w:t>分值</w:t>
            </w:r>
          </w:p>
        </w:tc>
        <w:tc>
          <w:tcPr>
            <w:tcW w:w="873" w:type="dxa"/>
            <w:tcBorders>
              <w:bottom w:val="single" w:color="000000" w:sz="4" w:space="0"/>
              <w:right w:val="single" w:color="000000" w:sz="4" w:space="0"/>
            </w:tcBorders>
            <w:shd w:val="clear" w:color="auto" w:fill="auto"/>
          </w:tcPr>
          <w:p>
            <w:pPr>
              <w:pStyle w:val="4"/>
              <w:widowControl w:val="0"/>
              <w:spacing w:before="0" w:after="0" w:line="320" w:lineRule="exact"/>
              <w:rPr>
                <w:rFonts w:eastAsia="仿宋_GB2312"/>
                <w:szCs w:val="21"/>
              </w:rPr>
            </w:pPr>
            <w:r>
              <w:rPr>
                <w:rFonts w:eastAsia="仿宋_GB2312"/>
                <w:szCs w:val="21"/>
              </w:rPr>
              <w:t>执行率</w:t>
            </w:r>
          </w:p>
        </w:tc>
        <w:tc>
          <w:tcPr>
            <w:tcW w:w="1417" w:type="dxa"/>
            <w:tcBorders>
              <w:bottom w:val="single" w:color="000000" w:sz="4" w:space="0"/>
              <w:right w:val="single" w:color="000000" w:sz="4" w:space="0"/>
            </w:tcBorders>
            <w:shd w:val="clear" w:color="auto" w:fill="auto"/>
          </w:tcPr>
          <w:p>
            <w:pPr>
              <w:pStyle w:val="4"/>
              <w:widowControl w:val="0"/>
              <w:spacing w:before="0" w:after="0"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bottom w:val="single" w:color="000000" w:sz="4" w:space="0"/>
              <w:right w:val="single" w:color="000000" w:sz="4" w:space="0"/>
            </w:tcBorders>
            <w:vAlign w:val="center"/>
          </w:tcPr>
          <w:p>
            <w:pPr>
              <w:pStyle w:val="4"/>
              <w:widowControl w:val="0"/>
              <w:spacing w:before="0" w:after="0" w:line="320" w:lineRule="exact"/>
              <w:jc w:val="left"/>
              <w:rPr>
                <w:rFonts w:eastAsia="仿宋_GB2312"/>
                <w:color w:val="000000"/>
                <w:kern w:val="0"/>
                <w:szCs w:val="21"/>
              </w:rPr>
            </w:pPr>
          </w:p>
        </w:tc>
        <w:tc>
          <w:tcPr>
            <w:tcW w:w="2253" w:type="dxa"/>
            <w:gridSpan w:val="2"/>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10</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bottom w:val="single" w:color="000000" w:sz="4" w:space="0"/>
              <w:right w:val="single" w:color="000000" w:sz="4" w:space="0"/>
            </w:tcBorders>
            <w:vAlign w:val="center"/>
          </w:tcPr>
          <w:p>
            <w:pPr>
              <w:pStyle w:val="4"/>
              <w:widowControl w:val="0"/>
              <w:spacing w:before="0" w:after="0" w:line="320" w:lineRule="exact"/>
              <w:jc w:val="left"/>
              <w:rPr>
                <w:rFonts w:eastAsia="仿宋_GB2312"/>
                <w:color w:val="000000"/>
                <w:kern w:val="0"/>
                <w:szCs w:val="21"/>
              </w:rPr>
            </w:pPr>
          </w:p>
        </w:tc>
        <w:tc>
          <w:tcPr>
            <w:tcW w:w="2253" w:type="dxa"/>
            <w:gridSpan w:val="2"/>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bottom w:val="single" w:color="000000" w:sz="4" w:space="0"/>
              <w:right w:val="single" w:color="000000" w:sz="4" w:space="0"/>
            </w:tcBorders>
            <w:vAlign w:val="center"/>
          </w:tcPr>
          <w:p>
            <w:pPr>
              <w:pStyle w:val="4"/>
              <w:widowControl w:val="0"/>
              <w:spacing w:before="0" w:after="0" w:line="320" w:lineRule="exact"/>
              <w:jc w:val="left"/>
              <w:rPr>
                <w:rFonts w:eastAsia="仿宋_GB2312"/>
                <w:color w:val="000000"/>
                <w:kern w:val="0"/>
                <w:szCs w:val="21"/>
              </w:rPr>
            </w:pPr>
          </w:p>
        </w:tc>
        <w:tc>
          <w:tcPr>
            <w:tcW w:w="2253" w:type="dxa"/>
            <w:gridSpan w:val="2"/>
            <w:tcBorders>
              <w:bottom w:val="single" w:color="000000" w:sz="4" w:space="0"/>
              <w:right w:val="single" w:color="000000" w:sz="4" w:space="0"/>
            </w:tcBorders>
            <w:shd w:val="clear" w:color="auto" w:fill="auto"/>
            <w:vAlign w:val="center"/>
          </w:tcPr>
          <w:p>
            <w:pPr>
              <w:pStyle w:val="4"/>
              <w:widowControl w:val="0"/>
              <w:spacing w:before="0" w:after="0" w:line="320" w:lineRule="exact"/>
              <w:ind w:firstLine="630"/>
              <w:jc w:val="left"/>
              <w:rPr>
                <w:rFonts w:eastAsia="仿宋_GB2312"/>
                <w:color w:val="000000"/>
                <w:kern w:val="0"/>
                <w:szCs w:val="21"/>
              </w:rPr>
            </w:pPr>
            <w:r>
              <w:rPr>
                <w:rFonts w:eastAsia="仿宋_GB2312"/>
                <w:color w:val="000000"/>
                <w:kern w:val="0"/>
                <w:szCs w:val="21"/>
              </w:rPr>
              <w:t>上年结转资金　</w:t>
            </w: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bottom w:val="single" w:color="000000" w:sz="4" w:space="0"/>
              <w:right w:val="single" w:color="000000" w:sz="4" w:space="0"/>
            </w:tcBorders>
            <w:vAlign w:val="center"/>
          </w:tcPr>
          <w:p>
            <w:pPr>
              <w:pStyle w:val="4"/>
              <w:widowControl w:val="0"/>
              <w:spacing w:before="0" w:after="0" w:line="320" w:lineRule="exact"/>
              <w:jc w:val="left"/>
              <w:rPr>
                <w:rFonts w:eastAsia="仿宋_GB2312"/>
                <w:color w:val="000000"/>
                <w:kern w:val="0"/>
                <w:szCs w:val="21"/>
              </w:rPr>
            </w:pPr>
          </w:p>
        </w:tc>
        <w:tc>
          <w:tcPr>
            <w:tcW w:w="2253" w:type="dxa"/>
            <w:gridSpan w:val="2"/>
            <w:tcBorders>
              <w:bottom w:val="single" w:color="000000" w:sz="4" w:space="0"/>
              <w:right w:val="single" w:color="000000" w:sz="4" w:space="0"/>
            </w:tcBorders>
            <w:shd w:val="clear" w:color="auto" w:fill="auto"/>
            <w:vAlign w:val="center"/>
          </w:tcPr>
          <w:p>
            <w:pPr>
              <w:pStyle w:val="4"/>
              <w:widowControl w:val="0"/>
              <w:spacing w:before="0" w:after="0" w:line="320" w:lineRule="exact"/>
              <w:ind w:firstLine="630"/>
              <w:jc w:val="left"/>
              <w:rPr>
                <w:rFonts w:eastAsia="仿宋_GB2312"/>
                <w:color w:val="000000"/>
                <w:kern w:val="0"/>
                <w:szCs w:val="21"/>
              </w:rPr>
            </w:pPr>
            <w:r>
              <w:rPr>
                <w:rFonts w:eastAsia="仿宋_GB2312"/>
                <w:color w:val="000000"/>
                <w:kern w:val="0"/>
                <w:szCs w:val="21"/>
              </w:rPr>
              <w:t>其他资金</w:t>
            </w: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restart"/>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年度总</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体目标</w:t>
            </w:r>
          </w:p>
        </w:tc>
        <w:tc>
          <w:tcPr>
            <w:tcW w:w="4612" w:type="dxa"/>
            <w:gridSpan w:val="4"/>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预期目标</w:t>
            </w:r>
          </w:p>
        </w:tc>
        <w:tc>
          <w:tcPr>
            <w:tcW w:w="4252" w:type="dxa"/>
            <w:gridSpan w:val="4"/>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4" w:type="dxa"/>
            <w:vMerge w:val="continue"/>
            <w:tcBorders>
              <w:left w:val="single" w:color="000000" w:sz="4" w:space="0"/>
              <w:bottom w:val="single" w:color="000000" w:sz="4" w:space="0"/>
              <w:right w:val="single" w:color="000000" w:sz="4" w:space="0"/>
            </w:tcBorders>
            <w:vAlign w:val="center"/>
          </w:tcPr>
          <w:p>
            <w:pPr>
              <w:pStyle w:val="4"/>
              <w:widowControl w:val="0"/>
              <w:spacing w:before="0" w:after="0" w:line="320" w:lineRule="exact"/>
              <w:jc w:val="left"/>
              <w:rPr>
                <w:rFonts w:eastAsia="仿宋_GB2312"/>
                <w:color w:val="000000"/>
                <w:kern w:val="0"/>
                <w:szCs w:val="21"/>
              </w:rPr>
            </w:pPr>
          </w:p>
        </w:tc>
        <w:tc>
          <w:tcPr>
            <w:tcW w:w="4612" w:type="dxa"/>
            <w:gridSpan w:val="4"/>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　　</w:t>
            </w:r>
          </w:p>
        </w:tc>
        <w:tc>
          <w:tcPr>
            <w:tcW w:w="4252" w:type="dxa"/>
            <w:gridSpan w:val="4"/>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绩</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效</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指</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三级指标</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年度</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实际</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得分</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偏差原因</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分析及</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产出</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指标</w:t>
            </w:r>
          </w:p>
          <w:p>
            <w:pPr>
              <w:pStyle w:val="4"/>
              <w:widowControl w:val="0"/>
              <w:spacing w:before="0" w:after="0" w:line="320" w:lineRule="exact"/>
              <w:jc w:val="center"/>
              <w:rPr>
                <w:rFonts w:eastAsia="仿宋_GB2312"/>
                <w:color w:val="000000"/>
                <w:kern w:val="0"/>
                <w:szCs w:val="21"/>
              </w:rPr>
            </w:pP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下乡演出场次</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20场</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20场</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下乡演出质量</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演出质量不断提升</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完成时间</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2020年12月底</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在预算范围内完成演出</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演出资金</w:t>
            </w:r>
            <w:r>
              <w:rPr>
                <w:rFonts w:hint="eastAsia" w:eastAsia="仿宋_GB2312"/>
                <w:color w:val="000000"/>
                <w:kern w:val="0"/>
                <w:szCs w:val="21"/>
                <w:lang w:val="en-US" w:eastAsia="zh-CN"/>
              </w:rPr>
              <w:t>7.5</w:t>
            </w:r>
            <w:r>
              <w:rPr>
                <w:rFonts w:hint="eastAsia" w:eastAsia="仿宋_GB2312"/>
                <w:color w:val="000000"/>
                <w:kern w:val="0"/>
                <w:szCs w:val="21"/>
              </w:rPr>
              <w:t>万元</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restart"/>
            <w:tcBorders>
              <w:top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效益</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指标</w:t>
            </w:r>
          </w:p>
          <w:p>
            <w:pPr>
              <w:pStyle w:val="4"/>
              <w:widowControl w:val="0"/>
              <w:spacing w:before="0" w:after="0" w:line="320" w:lineRule="exact"/>
              <w:jc w:val="left"/>
              <w:rPr>
                <w:rFonts w:eastAsia="仿宋_GB2312"/>
                <w:color w:val="000000"/>
                <w:kern w:val="0"/>
                <w:szCs w:val="21"/>
              </w:rPr>
            </w:pPr>
          </w:p>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（30分）</w:t>
            </w:r>
          </w:p>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经济效</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restart"/>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社会效</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送戏进万村</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持续增加节目</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生态效</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2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p>
        </w:tc>
        <w:tc>
          <w:tcPr>
            <w:tcW w:w="992"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restart"/>
            <w:tcBorders>
              <w:top w:val="single" w:color="000000" w:sz="4" w:space="0"/>
              <w:left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eastAsia" w:eastAsia="仿宋_GB2312"/>
                <w:color w:val="000000"/>
                <w:kern w:val="0"/>
                <w:szCs w:val="21"/>
                <w:lang w:val="en-US" w:eastAsia="zh-CN"/>
              </w:rPr>
            </w:pPr>
            <w:r>
              <w:rPr>
                <w:rFonts w:hint="eastAsia" w:eastAsia="仿宋_GB2312"/>
                <w:color w:val="000000"/>
                <w:kern w:val="0"/>
                <w:szCs w:val="21"/>
              </w:rPr>
              <w:t>提升演出公共</w:t>
            </w:r>
            <w:r>
              <w:rPr>
                <w:rFonts w:hint="eastAsia" w:eastAsia="仿宋_GB2312"/>
                <w:color w:val="000000"/>
                <w:kern w:val="0"/>
                <w:szCs w:val="21"/>
                <w:lang w:val="en-US" w:eastAsia="zh-CN"/>
              </w:rPr>
              <w:t>服务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持续增强</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eastAsia="仿宋_GB2312"/>
                <w:color w:val="000000"/>
                <w:kern w:val="0"/>
                <w:szCs w:val="21"/>
              </w:rPr>
              <w:t>　</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992" w:type="dxa"/>
            <w:vMerge w:val="continue"/>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992" w:type="dxa"/>
            <w:vMerge w:val="restart"/>
            <w:tcBorders>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满意度</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指标</w:t>
            </w:r>
          </w:p>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rPr>
              <w:t>村民满意度</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95%以上</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4" w:type="dxa"/>
            <w:vMerge w:val="continue"/>
            <w:tcBorders>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992" w:type="dxa"/>
            <w:vMerge w:val="continue"/>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61" w:type="dxa"/>
            <w:vMerge w:val="continue"/>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p>
        </w:tc>
        <w:tc>
          <w:tcPr>
            <w:tcW w:w="122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w:t>
            </w:r>
          </w:p>
        </w:tc>
        <w:tc>
          <w:tcPr>
            <w:tcW w:w="1135"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134"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总分</w:t>
            </w:r>
          </w:p>
        </w:tc>
        <w:tc>
          <w:tcPr>
            <w:tcW w:w="828"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center"/>
              <w:rPr>
                <w:rFonts w:eastAsia="仿宋_GB2312"/>
                <w:color w:val="000000"/>
                <w:kern w:val="0"/>
                <w:szCs w:val="21"/>
              </w:rPr>
            </w:pPr>
            <w:r>
              <w:rPr>
                <w:rFonts w:eastAsia="仿宋_GB2312"/>
                <w:color w:val="000000"/>
                <w:kern w:val="0"/>
                <w:szCs w:val="21"/>
              </w:rPr>
              <w:t>100</w:t>
            </w:r>
          </w:p>
        </w:tc>
        <w:tc>
          <w:tcPr>
            <w:tcW w:w="873"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7" w:type="dxa"/>
            <w:tcBorders>
              <w:bottom w:val="single" w:color="000000" w:sz="4" w:space="0"/>
              <w:right w:val="single" w:color="000000" w:sz="4" w:space="0"/>
            </w:tcBorders>
            <w:shd w:val="clear" w:color="auto" w:fill="auto"/>
            <w:vAlign w:val="center"/>
          </w:tcPr>
          <w:p>
            <w:pPr>
              <w:pStyle w:val="4"/>
              <w:widowControl w:val="0"/>
              <w:spacing w:before="0" w:after="0" w:line="320" w:lineRule="exact"/>
              <w:jc w:val="left"/>
              <w:rPr>
                <w:rFonts w:eastAsia="仿宋_GB2312"/>
                <w:color w:val="000000"/>
                <w:kern w:val="0"/>
                <w:szCs w:val="21"/>
              </w:rPr>
            </w:pPr>
            <w:r>
              <w:rPr>
                <w:rFonts w:eastAsia="仿宋_GB2312"/>
                <w:color w:val="000000"/>
                <w:kern w:val="0"/>
                <w:szCs w:val="21"/>
              </w:rPr>
              <w:t>　</w:t>
            </w:r>
          </w:p>
        </w:tc>
      </w:tr>
    </w:tbl>
    <w:p>
      <w:pPr>
        <w:pStyle w:val="4"/>
        <w:spacing w:before="120" w:after="0" w:line="320" w:lineRule="exact"/>
        <w:rPr>
          <w:rFonts w:hint="default" w:eastAsia="仿宋_GB2312"/>
          <w:sz w:val="24"/>
          <w:lang w:val="en-US" w:eastAsia="zh-CN"/>
        </w:rPr>
      </w:pPr>
      <w:r>
        <w:rPr>
          <w:rFonts w:eastAsia="仿宋_GB2312"/>
          <w:sz w:val="24"/>
        </w:rPr>
        <w:t>填表人：</w:t>
      </w:r>
      <w:r>
        <w:rPr>
          <w:rFonts w:hint="eastAsia" w:eastAsia="仿宋_GB2312"/>
          <w:sz w:val="24"/>
          <w:lang w:val="en-US" w:eastAsia="zh-CN"/>
        </w:rPr>
        <w:t>李雪菲</w:t>
      </w:r>
      <w:r>
        <w:rPr>
          <w:rFonts w:eastAsia="仿宋_GB2312"/>
          <w:sz w:val="24"/>
        </w:rPr>
        <w:t xml:space="preserve">    填报日期：</w:t>
      </w:r>
      <w:r>
        <w:rPr>
          <w:rFonts w:hint="eastAsia" w:eastAsia="仿宋_GB2312"/>
          <w:sz w:val="24"/>
          <w:lang w:val="en-US" w:eastAsia="zh-CN"/>
        </w:rPr>
        <w:t>2020年6月20日</w:t>
      </w:r>
      <w:r>
        <w:rPr>
          <w:rFonts w:eastAsia="仿宋_GB2312"/>
          <w:sz w:val="24"/>
        </w:rPr>
        <w:t xml:space="preserve">      联系电话：</w:t>
      </w:r>
      <w:r>
        <w:rPr>
          <w:rFonts w:hint="eastAsia" w:eastAsia="仿宋_GB2312"/>
          <w:sz w:val="24"/>
          <w:lang w:val="en-US" w:eastAsia="zh-CN"/>
        </w:rPr>
        <w:t>15580659153</w:t>
      </w:r>
      <w:r>
        <w:rPr>
          <w:rFonts w:eastAsia="仿宋_GB2312"/>
          <w:sz w:val="24"/>
        </w:rPr>
        <w:t xml:space="preserve">       单位负责人签字：</w:t>
      </w:r>
      <w:r>
        <w:rPr>
          <w:rFonts w:hint="eastAsia" w:eastAsia="仿宋_GB2312"/>
          <w:sz w:val="24"/>
          <w:lang w:val="en-US" w:eastAsia="zh-CN"/>
        </w:rPr>
        <w:t>王琼</w:t>
      </w: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p>
    <w:p>
      <w:pPr>
        <w:pStyle w:val="4"/>
        <w:spacing w:before="0" w:after="240" w:line="600" w:lineRule="exact"/>
        <w:rPr>
          <w:rFonts w:eastAsia="黑体"/>
          <w:sz w:val="32"/>
          <w:szCs w:val="32"/>
        </w:rPr>
      </w:pPr>
      <w:r>
        <w:rPr>
          <w:rFonts w:eastAsia="黑体"/>
          <w:sz w:val="32"/>
          <w:szCs w:val="32"/>
        </w:rPr>
        <w:t>附件5-1</w:t>
      </w:r>
    </w:p>
    <w:p>
      <w:pPr>
        <w:pStyle w:val="4"/>
        <w:spacing w:line="600" w:lineRule="exact"/>
        <w:jc w:val="center"/>
        <w:rPr>
          <w:rFonts w:hint="eastAsia" w:ascii="仿宋" w:hAnsi="仿宋" w:eastAsia="仿宋" w:cs="仿宋"/>
          <w:b/>
          <w:bCs/>
          <w:sz w:val="44"/>
          <w:szCs w:val="44"/>
        </w:rPr>
      </w:pPr>
      <w:r>
        <w:rPr>
          <w:rFonts w:hint="eastAsia" w:ascii="仿宋" w:hAnsi="仿宋" w:eastAsia="仿宋" w:cs="仿宋"/>
          <w:b/>
          <w:bCs/>
          <w:sz w:val="44"/>
          <w:szCs w:val="44"/>
        </w:rPr>
        <w:t>预算支出绩效评价报告</w:t>
      </w:r>
    </w:p>
    <w:p>
      <w:pPr>
        <w:pStyle w:val="4"/>
        <w:spacing w:line="360" w:lineRule="exact"/>
        <w:rPr>
          <w:rFonts w:hint="eastAsia" w:ascii="仿宋" w:hAnsi="仿宋" w:eastAsia="仿宋" w:cs="仿宋"/>
          <w:b/>
          <w:bCs/>
          <w:kern w:val="0"/>
          <w:sz w:val="44"/>
          <w:szCs w:val="44"/>
        </w:rPr>
      </w:pPr>
    </w:p>
    <w:p>
      <w:pPr>
        <w:pStyle w:val="4"/>
        <w:spacing w:line="600" w:lineRule="exact"/>
        <w:ind w:firstLine="640"/>
        <w:rPr>
          <w:rFonts w:hint="eastAsia" w:ascii="仿宋" w:hAnsi="仿宋" w:eastAsia="仿宋" w:cs="仿宋"/>
          <w:b/>
          <w:bCs/>
          <w:sz w:val="32"/>
          <w:szCs w:val="32"/>
        </w:rPr>
      </w:pPr>
      <w:r>
        <w:rPr>
          <w:rFonts w:hint="eastAsia" w:ascii="仿宋" w:hAnsi="仿宋" w:eastAsia="仿宋" w:cs="仿宋"/>
          <w:b/>
          <w:bCs/>
          <w:sz w:val="32"/>
          <w:szCs w:val="32"/>
        </w:rPr>
        <w:t>一、预算支出基本情况</w:t>
      </w:r>
    </w:p>
    <w:p>
      <w:pPr>
        <w:pStyle w:val="4"/>
        <w:spacing w:line="600" w:lineRule="exact"/>
        <w:ind w:firstLine="643"/>
        <w:rPr>
          <w:rFonts w:hint="eastAsia" w:ascii="仿宋" w:hAnsi="仿宋" w:eastAsia="仿宋" w:cs="仿宋"/>
          <w:b/>
          <w:sz w:val="32"/>
          <w:szCs w:val="32"/>
          <w:lang w:eastAsia="zh-CN"/>
        </w:rPr>
      </w:pPr>
      <w:r>
        <w:rPr>
          <w:rFonts w:hint="eastAsia" w:ascii="仿宋" w:hAnsi="仿宋" w:eastAsia="仿宋" w:cs="仿宋"/>
          <w:b/>
          <w:sz w:val="32"/>
          <w:szCs w:val="32"/>
        </w:rPr>
        <w:t>（一）预算支出概况</w:t>
      </w:r>
      <w:r>
        <w:rPr>
          <w:rFonts w:hint="eastAsia" w:ascii="仿宋" w:hAnsi="仿宋" w:eastAsia="仿宋" w:cs="仿宋"/>
          <w:b/>
          <w:sz w:val="32"/>
          <w:szCs w:val="32"/>
          <w:lang w:eastAsia="zh-CN"/>
        </w:rPr>
        <w:t>。</w:t>
      </w:r>
    </w:p>
    <w:p>
      <w:pPr>
        <w:pStyle w:val="4"/>
        <w:spacing w:line="600" w:lineRule="exact"/>
        <w:ind w:firstLine="643"/>
        <w:rPr>
          <w:rFonts w:hint="eastAsia" w:ascii="仿宋" w:hAnsi="仿宋" w:eastAsia="仿宋" w:cs="仿宋"/>
          <w:b/>
          <w:bCs/>
          <w:sz w:val="32"/>
          <w:szCs w:val="32"/>
        </w:rPr>
      </w:pPr>
      <w:r>
        <w:rPr>
          <w:rFonts w:hint="eastAsia" w:ascii="仿宋" w:hAnsi="仿宋" w:eastAsia="仿宋" w:cs="仿宋"/>
          <w:b/>
          <w:bCs/>
          <w:kern w:val="2"/>
          <w:sz w:val="32"/>
          <w:szCs w:val="32"/>
          <w:lang w:val="en-US" w:eastAsia="zh-CN" w:bidi="ar-SA"/>
        </w:rPr>
        <w:t>1、项目单位基本情况</w:t>
      </w:r>
    </w:p>
    <w:p>
      <w:pPr>
        <w:ind w:firstLine="640" w:firstLineChars="200"/>
        <w:rPr>
          <w:rFonts w:hint="eastAsia" w:ascii="仿宋" w:hAnsi="仿宋" w:eastAsia="仿宋" w:cs="仿宋"/>
          <w:sz w:val="32"/>
          <w:szCs w:val="32"/>
        </w:rPr>
      </w:pP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rPr>
        <w:t>20</w:t>
      </w:r>
      <w:r>
        <w:rPr>
          <w:rFonts w:hint="eastAsia" w:ascii="仿宋" w:hAnsi="仿宋" w:eastAsia="仿宋" w:cs="仿宋"/>
          <w:bCs/>
          <w:color w:val="000000"/>
          <w:sz w:val="32"/>
          <w:szCs w:val="32"/>
          <w:lang w:val="en-US" w:eastAsia="zh-CN"/>
        </w:rPr>
        <w:t>20</w:t>
      </w:r>
      <w:r>
        <w:rPr>
          <w:rFonts w:hint="eastAsia" w:ascii="仿宋" w:hAnsi="仿宋" w:eastAsia="仿宋" w:cs="仿宋"/>
          <w:bCs/>
          <w:color w:val="000000"/>
          <w:sz w:val="32"/>
          <w:szCs w:val="32"/>
        </w:rPr>
        <w:t>年度</w:t>
      </w:r>
      <w:r>
        <w:rPr>
          <w:rFonts w:hint="eastAsia" w:ascii="仿宋" w:hAnsi="仿宋" w:eastAsia="仿宋" w:cs="仿宋"/>
          <w:color w:val="000000"/>
          <w:kern w:val="0"/>
          <w:sz w:val="32"/>
          <w:szCs w:val="32"/>
        </w:rPr>
        <w:t>情系三农送戏下乡</w:t>
      </w:r>
      <w:r>
        <w:rPr>
          <w:rFonts w:hint="eastAsia" w:ascii="仿宋" w:hAnsi="仿宋" w:eastAsia="仿宋" w:cs="仿宋"/>
          <w:color w:val="000000"/>
          <w:kern w:val="0"/>
          <w:sz w:val="32"/>
          <w:szCs w:val="32"/>
          <w:lang w:val="en-US" w:eastAsia="zh-CN"/>
        </w:rPr>
        <w:t>经费”，</w:t>
      </w:r>
      <w:r>
        <w:rPr>
          <w:rFonts w:hint="eastAsia" w:ascii="仿宋" w:hAnsi="仿宋" w:eastAsia="仿宋" w:cs="仿宋"/>
          <w:kern w:val="2"/>
          <w:sz w:val="32"/>
          <w:szCs w:val="32"/>
          <w:lang w:val="en-US" w:eastAsia="zh-CN" w:bidi="ar-SA"/>
        </w:rPr>
        <w:t>项目是</w:t>
      </w:r>
      <w:r>
        <w:rPr>
          <w:rFonts w:hint="eastAsia" w:ascii="仿宋" w:hAnsi="仿宋" w:eastAsia="仿宋" w:cs="仿宋"/>
          <w:kern w:val="2"/>
          <w:sz w:val="32"/>
          <w:szCs w:val="32"/>
          <w:highlight w:val="none"/>
          <w:lang w:val="en-US" w:eastAsia="zh-CN" w:bidi="ar-SA"/>
        </w:rPr>
        <w:t>区财政拨款</w:t>
      </w:r>
      <w:r>
        <w:rPr>
          <w:rFonts w:hint="eastAsia" w:ascii="仿宋" w:hAnsi="仿宋" w:eastAsia="仿宋" w:cs="仿宋"/>
          <w:kern w:val="2"/>
          <w:sz w:val="32"/>
          <w:szCs w:val="32"/>
          <w:lang w:val="en-US" w:eastAsia="zh-CN" w:bidi="ar-SA"/>
        </w:rPr>
        <w:t>的专项工作业务经费项目，主要</w:t>
      </w:r>
      <w:r>
        <w:rPr>
          <w:rFonts w:hint="eastAsia" w:ascii="仿宋" w:hAnsi="仿宋" w:eastAsia="仿宋" w:cs="仿宋"/>
          <w:sz w:val="32"/>
          <w:szCs w:val="32"/>
        </w:rPr>
        <w:t>坚持以习近平新时代中国特色社会主义思想为指导，认真贯彻落实中央、省、市文化和旅游部门决策部署，紧紧围绕区委区政府工作中心，并在鹤城区文化旅游广电体育局的正确领导下，大力弘扬优秀传统文化，加快发展文化产业，繁荣群</w:t>
      </w:r>
      <w:r>
        <w:rPr>
          <w:rFonts w:hint="eastAsia" w:ascii="仿宋" w:hAnsi="仿宋" w:eastAsia="仿宋" w:cs="仿宋"/>
          <w:sz w:val="32"/>
          <w:szCs w:val="32"/>
          <w:lang w:eastAsia="zh-CN"/>
        </w:rPr>
        <w:t>众</w:t>
      </w:r>
      <w:r>
        <w:rPr>
          <w:rFonts w:hint="eastAsia" w:ascii="仿宋" w:hAnsi="仿宋" w:eastAsia="仿宋" w:cs="仿宋"/>
          <w:sz w:val="32"/>
          <w:szCs w:val="32"/>
        </w:rPr>
        <w:t>文艺精品创作，加强文化人才队伍建设，极大丰富群众文化生活，努力推进文化事业和文化产业发展。各项工作开展得有声有色，并取得了一定的成绩。</w:t>
      </w:r>
    </w:p>
    <w:p>
      <w:pPr>
        <w:pStyle w:val="7"/>
        <w:spacing w:line="360" w:lineRule="auto"/>
        <w:ind w:firstLine="643" w:firstLineChars="200"/>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2、项目的实施依据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①、中心始终坚持把非遗扶贫当做重要工作之</w:t>
      </w:r>
      <w:r>
        <w:rPr>
          <w:rFonts w:hint="eastAsia" w:ascii="仿宋" w:hAnsi="仿宋" w:eastAsia="仿宋" w:cs="仿宋"/>
          <w:sz w:val="32"/>
          <w:szCs w:val="32"/>
          <w:lang w:eastAsia="zh-CN"/>
        </w:rPr>
        <w:t>一，</w:t>
      </w:r>
      <w:r>
        <w:rPr>
          <w:rFonts w:hint="eastAsia" w:ascii="仿宋" w:hAnsi="仿宋" w:eastAsia="仿宋" w:cs="仿宋"/>
          <w:sz w:val="32"/>
          <w:szCs w:val="32"/>
        </w:rPr>
        <w:t>把最好</w:t>
      </w:r>
      <w:r>
        <w:rPr>
          <w:rFonts w:hint="eastAsia" w:ascii="仿宋" w:hAnsi="仿宋" w:eastAsia="仿宋" w:cs="仿宋"/>
          <w:sz w:val="32"/>
          <w:szCs w:val="32"/>
          <w:lang w:eastAsia="zh-CN"/>
        </w:rPr>
        <w:t>的</w:t>
      </w:r>
      <w:r>
        <w:rPr>
          <w:rFonts w:hint="eastAsia" w:ascii="仿宋" w:hAnsi="仿宋" w:eastAsia="仿宋" w:cs="仿宋"/>
          <w:sz w:val="32"/>
          <w:szCs w:val="32"/>
        </w:rPr>
        <w:t>精神粮食送给广大农民朋友，把党的温暖送进农民的心田，筑起党和人民的心灵之桥。2020年5月1日-4日在鹤区黄岩白马村进行宣传脱贫攻坚及乡村振兴政策，勤劳致</w:t>
      </w:r>
      <w:r>
        <w:rPr>
          <w:rFonts w:hint="eastAsia" w:ascii="仿宋" w:hAnsi="仿宋" w:eastAsia="仿宋" w:cs="仿宋"/>
          <w:sz w:val="32"/>
          <w:szCs w:val="32"/>
          <w:lang w:eastAsia="zh-CN"/>
        </w:rPr>
        <w:t>富</w:t>
      </w:r>
      <w:r>
        <w:rPr>
          <w:rFonts w:hint="eastAsia" w:ascii="仿宋" w:hAnsi="仿宋" w:eastAsia="仿宋" w:cs="仿宋"/>
          <w:sz w:val="32"/>
          <w:szCs w:val="32"/>
        </w:rPr>
        <w:t>活动的文艺演出。</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②、2020年7月-11月，为推动文旅融合高质量的发展，中心在市区各景区开展了13场国家非遗“上河阳戏”文旅融合进景区文艺汇演。让广大群众了解上河阳戏，深爱上河阳戏</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③、2020年11月-12月，中心为加快少数民族文化建设步伐，提高人民群众对少数民族艺术的认知，建设和谐民族文化。特创排并展演了12场少数民族专题文艺演出</w:t>
      </w:r>
      <w:r>
        <w:rPr>
          <w:rFonts w:hint="eastAsia" w:ascii="仿宋" w:hAnsi="仿宋" w:eastAsia="仿宋" w:cs="仿宋"/>
          <w:sz w:val="32"/>
          <w:szCs w:val="32"/>
          <w:lang w:eastAsia="zh-CN"/>
        </w:rPr>
        <w:t>—</w:t>
      </w:r>
      <w:r>
        <w:rPr>
          <w:rFonts w:hint="eastAsia" w:ascii="仿宋" w:hAnsi="仿宋" w:eastAsia="仿宋" w:cs="仿宋"/>
          <w:sz w:val="32"/>
          <w:szCs w:val="32"/>
        </w:rPr>
        <w:t>《云梦五溪》，深受广大群众的喜爱。</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④、2020年10月-12月，中心贯彻落实国家的决策</w:t>
      </w:r>
      <w:r>
        <w:rPr>
          <w:rFonts w:hint="eastAsia" w:ascii="仿宋" w:hAnsi="仿宋" w:eastAsia="仿宋" w:cs="仿宋"/>
          <w:sz w:val="32"/>
          <w:szCs w:val="32"/>
          <w:lang w:eastAsia="zh-CN"/>
        </w:rPr>
        <w:t>部署</w:t>
      </w:r>
      <w:r>
        <w:rPr>
          <w:rFonts w:hint="eastAsia" w:ascii="仿宋" w:hAnsi="仿宋" w:eastAsia="仿宋" w:cs="仿宋"/>
          <w:sz w:val="32"/>
          <w:szCs w:val="32"/>
        </w:rPr>
        <w:t>，认真解决农民看戏难问题，实现戏曲进乡村制度化、常</w:t>
      </w:r>
      <w:r>
        <w:rPr>
          <w:rFonts w:hint="eastAsia" w:ascii="仿宋" w:hAnsi="仿宋" w:eastAsia="仿宋" w:cs="仿宋"/>
          <w:sz w:val="32"/>
          <w:szCs w:val="32"/>
          <w:lang w:eastAsia="zh-CN"/>
        </w:rPr>
        <w:t>态</w:t>
      </w:r>
      <w:r>
        <w:rPr>
          <w:rFonts w:hint="eastAsia" w:ascii="仿宋" w:hAnsi="仿宋" w:eastAsia="仿宋" w:cs="仿宋"/>
          <w:sz w:val="32"/>
          <w:szCs w:val="32"/>
        </w:rPr>
        <w:t>化、普及化，推动农村文化建设的良好局面。特举办了12场“湖南公共文化进村入户·戏曲进乡村”文化惠民专场演</w:t>
      </w:r>
      <w:r>
        <w:rPr>
          <w:rFonts w:hint="eastAsia" w:ascii="仿宋" w:hAnsi="仿宋" w:eastAsia="仿宋" w:cs="仿宋"/>
          <w:sz w:val="32"/>
          <w:szCs w:val="32"/>
          <w:lang w:eastAsia="zh-CN"/>
        </w:rPr>
        <w:t>出</w:t>
      </w:r>
      <w:r>
        <w:rPr>
          <w:rFonts w:hint="eastAsia" w:ascii="仿宋" w:hAnsi="仿宋" w:eastAsia="仿宋" w:cs="仿宋"/>
          <w:sz w:val="32"/>
          <w:szCs w:val="32"/>
        </w:rPr>
        <w:t>活动</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⑤、为充分发挥司法行政机关服务民生、服务群众只能，进一步拓展法律服务平台，扎实推进“拥抱民法典，走进法治新时代”主题活动，助力法治怀化建设,10月10日、10月11日、12月4日分别于香洲广场、德天广场、地委佳惠</w:t>
      </w:r>
      <w:r>
        <w:rPr>
          <w:rFonts w:hint="eastAsia" w:ascii="仿宋" w:hAnsi="仿宋" w:eastAsia="仿宋" w:cs="仿宋"/>
          <w:sz w:val="32"/>
          <w:szCs w:val="32"/>
          <w:lang w:eastAsia="zh-CN"/>
        </w:rPr>
        <w:t>广</w:t>
      </w:r>
      <w:r>
        <w:rPr>
          <w:rFonts w:hint="eastAsia" w:ascii="仿宋" w:hAnsi="仿宋" w:eastAsia="仿宋" w:cs="仿宋"/>
          <w:sz w:val="32"/>
          <w:szCs w:val="32"/>
        </w:rPr>
        <w:t>场进行演出活动。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⑥、全年积极开展“送戏曲进万村、送书画进万家”活动达60余场。深得广大群众的认可与称赞。</w:t>
      </w:r>
    </w:p>
    <w:p>
      <w:pPr>
        <w:pStyle w:val="4"/>
        <w:spacing w:line="600" w:lineRule="exact"/>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二）</w:t>
      </w:r>
      <w:r>
        <w:rPr>
          <w:rFonts w:hint="eastAsia" w:ascii="仿宋" w:hAnsi="仿宋" w:eastAsia="仿宋" w:cs="仿宋"/>
          <w:b/>
          <w:sz w:val="32"/>
          <w:szCs w:val="32"/>
        </w:rPr>
        <w:t>预算资金使用管理情况。</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一、财务管理</w:t>
      </w:r>
    </w:p>
    <w:p>
      <w:pPr>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1.实行内部牵制制度。强化会计人员相互制约、相互核对，提高会计工作的质量，防止会计事务处理中发生的失误和差错以及舞弊等行为。银行存款的支付，应由分管财务领导批准同意，会计审核，经办人签字，出纳人员付款，记账人员记账，而不能由一人兼办。 出纳人员不得兼任稽核和审计、会计档案保管和收入、支出、费用、债权、债务账目的登记工作。</w:t>
      </w:r>
    </w:p>
    <w:p>
      <w:pPr>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2.完善财务收支审批制度和程序。为加强财务管理，严控各项收支的审批权限，一切财务收支，实行审批制度，由主任授权分管财务领导审批签字。 对于有专项业务经费的专项开支应由相关部门按用款计划及依据，相关部门负责人和分管财务领导审签的审批单报分管财务领导审批。各部门费用报销单据须确保真实合法有效，并按支出用途分类整理、粘贴整齐，报销票据须由经办人签字，经各部门负责人及分管财务领导审签后交财务会计审核报分管财务领导审批。出纳执行支付，确保准确无误。经办人、审核人、批准人、实物验收人都应在原始凭证上签字，并按职责权限依法承担相应的责任。</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二、内部控制建设</w:t>
      </w:r>
    </w:p>
    <w:p>
      <w:pPr>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1．梳理并完善经济业务流程。全面梳理并完善预算管理、收支业务管理、政府基金业务管理、专项资金业务管理、政府采购业务管理、资产管理、合同管理等7大类经济业务流程，同时明确各经济业务流程中涉及到的部门、岗位、职责、权限等，在此基础上完善相关管理制度。</w:t>
      </w:r>
    </w:p>
    <w:p>
      <w:pPr>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2．调整和明确职能分工。</w:t>
      </w:r>
    </w:p>
    <w:p>
      <w:pPr>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 xml:space="preserve">3．明确经济业务的权限分配。 </w:t>
      </w:r>
    </w:p>
    <w:p>
      <w:pPr>
        <w:snapToGrid w:val="0"/>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（三）预算支出绩效目标完成程度。</w:t>
      </w:r>
    </w:p>
    <w:p>
      <w:pPr>
        <w:snapToGrid w:val="0"/>
        <w:spacing w:line="360" w:lineRule="auto"/>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由我单位创作的革命历史题材阳戏剧《侗山红》一剧荣获多项奖项，在2019年，送戏进万村为广大村民献上国家非遗上河阳戏，广泛发掘、搜集、整理阳戏传统剧本和音乐，对现存老艺人和唱腔，进行录相和录音，建立怀化上河阳戏资料库；收集传统阳戏曲谱整理成册七本，</w:t>
      </w:r>
      <w:r>
        <w:rPr>
          <w:rFonts w:hint="eastAsia" w:ascii="仿宋" w:hAnsi="仿宋" w:eastAsia="仿宋" w:cs="仿宋"/>
          <w:sz w:val="32"/>
          <w:szCs w:val="32"/>
        </w:rPr>
        <w:t>中心始终坚持把非遗扶贫当做重要工作之</w:t>
      </w:r>
      <w:r>
        <w:rPr>
          <w:rFonts w:hint="eastAsia" w:ascii="仿宋" w:hAnsi="仿宋" w:eastAsia="仿宋" w:cs="仿宋"/>
          <w:sz w:val="32"/>
          <w:szCs w:val="32"/>
          <w:lang w:eastAsia="zh-CN"/>
        </w:rPr>
        <w:t>一，</w:t>
      </w:r>
      <w:r>
        <w:rPr>
          <w:rFonts w:hint="eastAsia" w:ascii="仿宋" w:hAnsi="仿宋" w:eastAsia="仿宋" w:cs="仿宋"/>
          <w:sz w:val="32"/>
          <w:szCs w:val="32"/>
        </w:rPr>
        <w:t>把最好</w:t>
      </w:r>
      <w:r>
        <w:rPr>
          <w:rFonts w:hint="eastAsia" w:ascii="仿宋" w:hAnsi="仿宋" w:eastAsia="仿宋" w:cs="仿宋"/>
          <w:sz w:val="32"/>
          <w:szCs w:val="32"/>
          <w:lang w:eastAsia="zh-CN"/>
        </w:rPr>
        <w:t>的</w:t>
      </w:r>
      <w:r>
        <w:rPr>
          <w:rFonts w:hint="eastAsia" w:ascii="仿宋" w:hAnsi="仿宋" w:eastAsia="仿宋" w:cs="仿宋"/>
          <w:sz w:val="32"/>
          <w:szCs w:val="32"/>
        </w:rPr>
        <w:t>精神粮食送给广大农民朋友，把党的温暖送进农民的心田，筑起党和人民的心灵之桥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在不受到疫情的影响情况下完成的</w:t>
      </w:r>
      <w:r>
        <w:rPr>
          <w:rFonts w:hint="eastAsia" w:ascii="仿宋" w:hAnsi="仿宋" w:eastAsia="仿宋" w:cs="仿宋"/>
          <w:bCs/>
          <w:color w:val="000000"/>
          <w:sz w:val="32"/>
          <w:szCs w:val="32"/>
        </w:rPr>
        <w:t>很</w:t>
      </w:r>
      <w:r>
        <w:rPr>
          <w:rFonts w:hint="eastAsia" w:ascii="仿宋" w:hAnsi="仿宋" w:eastAsia="仿宋" w:cs="仿宋"/>
          <w:bCs/>
          <w:color w:val="000000"/>
          <w:sz w:val="32"/>
          <w:szCs w:val="32"/>
          <w:lang w:val="en-US" w:eastAsia="zh-CN"/>
        </w:rPr>
        <w:t>好，</w:t>
      </w:r>
      <w:r>
        <w:rPr>
          <w:rFonts w:hint="eastAsia" w:ascii="仿宋" w:hAnsi="仿宋" w:eastAsia="仿宋" w:cs="仿宋"/>
          <w:bCs/>
          <w:color w:val="000000"/>
          <w:sz w:val="32"/>
          <w:szCs w:val="32"/>
        </w:rPr>
        <w:t>受广大村民满意。</w:t>
      </w:r>
    </w:p>
    <w:p>
      <w:pPr>
        <w:pStyle w:val="4"/>
        <w:spacing w:line="600" w:lineRule="exact"/>
        <w:rPr>
          <w:rFonts w:hint="eastAsia" w:ascii="仿宋" w:hAnsi="仿宋" w:eastAsia="仿宋" w:cs="仿宋"/>
          <w:b/>
          <w:bCs/>
          <w:sz w:val="32"/>
          <w:szCs w:val="32"/>
        </w:rPr>
      </w:pPr>
      <w:r>
        <w:rPr>
          <w:rFonts w:hint="eastAsia" w:ascii="仿宋" w:hAnsi="仿宋" w:eastAsia="仿宋" w:cs="仿宋"/>
          <w:b/>
          <w:bCs/>
          <w:sz w:val="32"/>
          <w:szCs w:val="32"/>
        </w:rPr>
        <w:t>二、绩效评价工作情况</w:t>
      </w:r>
    </w:p>
    <w:p>
      <w:pPr>
        <w:ind w:firstLine="640" w:firstLineChars="200"/>
        <w:rPr>
          <w:rFonts w:hint="eastAsia" w:ascii="仿宋" w:hAnsi="仿宋" w:eastAsia="仿宋" w:cs="仿宋"/>
          <w:sz w:val="32"/>
          <w:szCs w:val="32"/>
        </w:rPr>
      </w:pPr>
      <w:r>
        <w:rPr>
          <w:rFonts w:hint="eastAsia" w:ascii="仿宋" w:hAnsi="仿宋" w:eastAsia="仿宋" w:cs="仿宋"/>
          <w:bCs/>
          <w:color w:val="000000"/>
          <w:sz w:val="32"/>
          <w:szCs w:val="32"/>
        </w:rPr>
        <w:t>在20</w:t>
      </w:r>
      <w:r>
        <w:rPr>
          <w:rFonts w:hint="eastAsia" w:ascii="仿宋" w:hAnsi="仿宋" w:eastAsia="仿宋" w:cs="仿宋"/>
          <w:bCs/>
          <w:color w:val="000000"/>
          <w:sz w:val="32"/>
          <w:szCs w:val="32"/>
          <w:lang w:val="en-US" w:eastAsia="zh-CN"/>
        </w:rPr>
        <w:t>20</w:t>
      </w:r>
      <w:r>
        <w:rPr>
          <w:rFonts w:hint="eastAsia" w:ascii="仿宋" w:hAnsi="仿宋" w:eastAsia="仿宋" w:cs="仿宋"/>
          <w:bCs/>
          <w:color w:val="000000"/>
          <w:sz w:val="32"/>
          <w:szCs w:val="32"/>
        </w:rPr>
        <w:t>年，送戏进万村为广大村民献上国家非遗上河阳戏，广泛发掘、搜集、整理阳戏传统剧本和音乐，对现存老艺人和唱腔，进行录相和录音，建立怀化上河阳戏资料库；收集传统阳戏曲谱整理成册七本，</w:t>
      </w:r>
      <w:r>
        <w:rPr>
          <w:rFonts w:hint="eastAsia" w:ascii="仿宋" w:hAnsi="仿宋" w:eastAsia="仿宋" w:cs="仿宋"/>
          <w:sz w:val="32"/>
          <w:szCs w:val="32"/>
        </w:rPr>
        <w:t>全年积极开展“送戏曲进万村、送书画进万家”活动达60余场。深得广大群众的认可与称赞。</w:t>
      </w:r>
    </w:p>
    <w:p>
      <w:pPr>
        <w:pStyle w:val="4"/>
        <w:numPr>
          <w:ilvl w:val="0"/>
          <w:numId w:val="0"/>
        </w:numPr>
        <w:spacing w:line="600" w:lineRule="exact"/>
        <w:ind w:leftChars="0"/>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预算支出主要绩效及评价结论</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经单位自评预算支出绩效得分为9</w:t>
      </w:r>
      <w:r>
        <w:rPr>
          <w:rFonts w:hint="eastAsia" w:ascii="仿宋" w:hAnsi="仿宋" w:eastAsia="仿宋" w:cs="仿宋"/>
          <w:sz w:val="32"/>
          <w:szCs w:val="32"/>
          <w:lang w:val="en-US" w:eastAsia="zh-CN"/>
        </w:rPr>
        <w:t>3</w:t>
      </w:r>
      <w:r>
        <w:rPr>
          <w:rFonts w:hint="eastAsia" w:ascii="仿宋" w:hAnsi="仿宋" w:eastAsia="仿宋" w:cs="仿宋"/>
          <w:sz w:val="32"/>
          <w:szCs w:val="32"/>
        </w:rPr>
        <w:t>分。</w:t>
      </w:r>
    </w:p>
    <w:p>
      <w:pPr>
        <w:pStyle w:val="4"/>
        <w:spacing w:line="600" w:lineRule="exact"/>
        <w:rPr>
          <w:rFonts w:hint="eastAsia" w:ascii="仿宋" w:hAnsi="仿宋" w:eastAsia="仿宋" w:cs="仿宋"/>
          <w:b/>
          <w:bCs/>
          <w:sz w:val="32"/>
          <w:szCs w:val="32"/>
        </w:rPr>
      </w:pPr>
      <w:r>
        <w:rPr>
          <w:rFonts w:hint="eastAsia" w:ascii="仿宋" w:hAnsi="仿宋" w:eastAsia="仿宋" w:cs="仿宋"/>
          <w:b/>
          <w:bCs/>
          <w:sz w:val="32"/>
          <w:szCs w:val="32"/>
        </w:rPr>
        <w:t>四、绩效评价指标分析</w:t>
      </w:r>
    </w:p>
    <w:p>
      <w:pPr>
        <w:pStyle w:val="4"/>
        <w:spacing w:line="600" w:lineRule="exact"/>
        <w:ind w:firstLine="643"/>
        <w:rPr>
          <w:rFonts w:hint="eastAsia" w:ascii="仿宋" w:hAnsi="仿宋" w:eastAsia="仿宋" w:cs="仿宋"/>
          <w:b/>
          <w:sz w:val="32"/>
          <w:szCs w:val="32"/>
        </w:rPr>
      </w:pPr>
      <w:r>
        <w:rPr>
          <w:rFonts w:hint="eastAsia" w:ascii="仿宋" w:hAnsi="仿宋" w:eastAsia="仿宋" w:cs="仿宋"/>
          <w:b/>
          <w:sz w:val="32"/>
          <w:szCs w:val="32"/>
        </w:rPr>
        <w:t>（一）预算支出决策情况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仿宋" w:hAnsi="仿宋" w:eastAsia="仿宋" w:cs="仿宋"/>
          <w:b/>
          <w:sz w:val="32"/>
          <w:szCs w:val="32"/>
        </w:rPr>
      </w:pPr>
      <w:r>
        <w:rPr>
          <w:rFonts w:hint="eastAsia" w:ascii="仿宋" w:hAnsi="仿宋" w:eastAsia="仿宋" w:cs="仿宋"/>
          <w:bCs/>
          <w:color w:val="000000"/>
          <w:sz w:val="32"/>
          <w:szCs w:val="32"/>
        </w:rPr>
        <w:t>20</w:t>
      </w:r>
      <w:r>
        <w:rPr>
          <w:rFonts w:hint="eastAsia" w:ascii="仿宋" w:hAnsi="仿宋" w:eastAsia="仿宋" w:cs="仿宋"/>
          <w:bCs/>
          <w:color w:val="000000"/>
          <w:sz w:val="32"/>
          <w:szCs w:val="32"/>
          <w:lang w:val="en-US" w:eastAsia="zh-CN"/>
        </w:rPr>
        <w:t>20</w:t>
      </w:r>
      <w:r>
        <w:rPr>
          <w:rFonts w:hint="eastAsia" w:ascii="仿宋" w:hAnsi="仿宋" w:eastAsia="仿宋" w:cs="仿宋"/>
          <w:bCs/>
          <w:color w:val="000000"/>
          <w:sz w:val="32"/>
          <w:szCs w:val="32"/>
        </w:rPr>
        <w:t>年度</w:t>
      </w:r>
      <w:r>
        <w:rPr>
          <w:rFonts w:hint="eastAsia" w:ascii="仿宋" w:hAnsi="仿宋" w:eastAsia="仿宋" w:cs="仿宋"/>
          <w:bCs/>
          <w:color w:val="000000"/>
          <w:sz w:val="32"/>
          <w:szCs w:val="32"/>
          <w:lang w:eastAsia="zh-CN"/>
        </w:rPr>
        <w:t>“</w:t>
      </w:r>
      <w:r>
        <w:rPr>
          <w:rFonts w:hint="eastAsia" w:ascii="仿宋" w:hAnsi="仿宋" w:eastAsia="仿宋" w:cs="仿宋"/>
          <w:color w:val="000000"/>
          <w:kern w:val="0"/>
          <w:sz w:val="32"/>
          <w:szCs w:val="32"/>
        </w:rPr>
        <w:t>情系三农送戏下乡</w:t>
      </w:r>
      <w:r>
        <w:rPr>
          <w:rFonts w:hint="eastAsia" w:ascii="仿宋" w:hAnsi="仿宋" w:eastAsia="仿宋" w:cs="仿宋"/>
          <w:color w:val="000000"/>
          <w:kern w:val="0"/>
          <w:sz w:val="32"/>
          <w:szCs w:val="32"/>
          <w:lang w:val="en-US" w:eastAsia="zh-CN"/>
        </w:rPr>
        <w:t>经费”，</w:t>
      </w:r>
      <w:r>
        <w:rPr>
          <w:rFonts w:hint="eastAsia" w:ascii="仿宋" w:hAnsi="仿宋" w:eastAsia="仿宋" w:cs="仿宋"/>
          <w:kern w:val="2"/>
          <w:sz w:val="32"/>
          <w:szCs w:val="32"/>
          <w:lang w:val="en-US" w:eastAsia="zh-CN" w:bidi="ar-SA"/>
        </w:rPr>
        <w:t>专项资金共下达预算指标7.5万元，实际支出7.5万元，</w:t>
      </w:r>
      <w:r>
        <w:rPr>
          <w:rFonts w:hint="eastAsia" w:ascii="仿宋" w:hAnsi="仿宋" w:eastAsia="仿宋" w:cs="仿宋"/>
          <w:color w:val="000000" w:themeColor="text1"/>
          <w:sz w:val="32"/>
          <w:szCs w:val="32"/>
          <w14:textFill>
            <w14:solidFill>
              <w14:schemeClr w14:val="tx1"/>
            </w14:solidFill>
          </w14:textFill>
        </w:rPr>
        <w:t>完成年初预算的100%。</w:t>
      </w:r>
    </w:p>
    <w:p>
      <w:pPr>
        <w:pStyle w:val="4"/>
        <w:numPr>
          <w:ilvl w:val="0"/>
          <w:numId w:val="0"/>
        </w:numPr>
        <w:spacing w:line="600" w:lineRule="exact"/>
        <w:ind w:firstLine="643" w:firstLineChars="200"/>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二）</w:t>
      </w:r>
      <w:r>
        <w:rPr>
          <w:rFonts w:hint="eastAsia" w:ascii="仿宋" w:hAnsi="仿宋" w:eastAsia="仿宋" w:cs="仿宋"/>
          <w:b/>
          <w:sz w:val="32"/>
          <w:szCs w:val="32"/>
        </w:rPr>
        <w:t>预算执行过程情况</w:t>
      </w:r>
    </w:p>
    <w:p>
      <w:pPr>
        <w:spacing w:line="600" w:lineRule="exact"/>
        <w:ind w:firstLine="640" w:firstLineChars="200"/>
        <w:rPr>
          <w:rFonts w:hint="eastAsia" w:ascii="仿宋" w:hAnsi="仿宋" w:eastAsia="仿宋" w:cs="仿宋"/>
          <w:b/>
          <w:sz w:val="32"/>
          <w:szCs w:val="32"/>
        </w:rPr>
      </w:pPr>
      <w:r>
        <w:rPr>
          <w:rFonts w:hint="eastAsia" w:ascii="仿宋" w:hAnsi="仿宋" w:eastAsia="仿宋" w:cs="仿宋"/>
          <w:bCs/>
          <w:color w:val="000000"/>
          <w:sz w:val="32"/>
          <w:szCs w:val="32"/>
        </w:rPr>
        <w:t>单位认真切实的对于预算的执行情况进行监督与管理。既保证了执行过程的合理、合法、合规，同时也有效的控制了资金的执行进度，有利的保证了顺利执行。</w:t>
      </w:r>
    </w:p>
    <w:p>
      <w:pPr>
        <w:pStyle w:val="4"/>
        <w:numPr>
          <w:ilvl w:val="0"/>
          <w:numId w:val="0"/>
        </w:numPr>
        <w:spacing w:line="600" w:lineRule="exact"/>
        <w:ind w:firstLine="643" w:firstLineChars="200"/>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三）</w:t>
      </w:r>
      <w:r>
        <w:rPr>
          <w:rFonts w:hint="eastAsia" w:ascii="仿宋" w:hAnsi="仿宋" w:eastAsia="仿宋" w:cs="仿宋"/>
          <w:b/>
          <w:sz w:val="32"/>
          <w:szCs w:val="32"/>
        </w:rPr>
        <w:t>预算支出产出情况</w:t>
      </w:r>
    </w:p>
    <w:p>
      <w:pPr>
        <w:widowControl/>
        <w:spacing w:line="600" w:lineRule="exact"/>
        <w:ind w:firstLine="960" w:firstLineChars="300"/>
        <w:rPr>
          <w:rFonts w:hint="eastAsia" w:ascii="仿宋" w:hAnsi="仿宋" w:eastAsia="仿宋" w:cs="仿宋"/>
          <w:bCs/>
          <w:kern w:val="0"/>
          <w:sz w:val="32"/>
          <w:szCs w:val="32"/>
        </w:rPr>
      </w:pPr>
      <w:r>
        <w:rPr>
          <w:rFonts w:hint="eastAsia" w:ascii="仿宋" w:hAnsi="仿宋" w:eastAsia="仿宋" w:cs="仿宋"/>
          <w:bCs/>
          <w:kern w:val="0"/>
          <w:sz w:val="32"/>
          <w:szCs w:val="32"/>
        </w:rPr>
        <w:t>单位创排多种类型文艺演出，宣传贯彻党和国家的方针政策，送戏进基层，进社区，进农村；配合政府各项工作的公益性演出。</w:t>
      </w:r>
    </w:p>
    <w:p>
      <w:pPr>
        <w:pStyle w:val="4"/>
        <w:numPr>
          <w:ilvl w:val="0"/>
          <w:numId w:val="0"/>
        </w:numPr>
        <w:spacing w:line="600" w:lineRule="exact"/>
        <w:ind w:firstLine="643" w:firstLineChars="200"/>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四）</w:t>
      </w:r>
      <w:r>
        <w:rPr>
          <w:rFonts w:hint="eastAsia" w:ascii="仿宋" w:hAnsi="仿宋" w:eastAsia="仿宋" w:cs="仿宋"/>
          <w:b/>
          <w:sz w:val="32"/>
          <w:szCs w:val="32"/>
        </w:rPr>
        <w:t>预算支出效益情况</w:t>
      </w:r>
    </w:p>
    <w:p>
      <w:pPr>
        <w:widowControl/>
        <w:spacing w:line="60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单位始终坚持把送戏下乡当做重要工作，把最好精神粮食送给广大村民，把党的温暖送进村民的心田，筑起党和人民的心灵之桥。让广大群众了解非物质文化遗产，参与到非遗保护中。</w:t>
      </w:r>
    </w:p>
    <w:p>
      <w:pPr>
        <w:pStyle w:val="4"/>
        <w:spacing w:line="600" w:lineRule="exact"/>
        <w:rPr>
          <w:rFonts w:hint="eastAsia" w:ascii="仿宋" w:hAnsi="仿宋" w:eastAsia="仿宋" w:cs="仿宋"/>
          <w:b/>
          <w:bCs/>
          <w:sz w:val="32"/>
          <w:szCs w:val="32"/>
        </w:rPr>
      </w:pPr>
      <w:r>
        <w:rPr>
          <w:rFonts w:hint="eastAsia" w:ascii="仿宋" w:hAnsi="仿宋" w:eastAsia="仿宋" w:cs="仿宋"/>
          <w:b/>
          <w:bCs/>
          <w:sz w:val="32"/>
          <w:szCs w:val="32"/>
        </w:rPr>
        <w:t>五、主要经验及做法、存在的问题及原因分析</w:t>
      </w:r>
    </w:p>
    <w:p>
      <w:pPr>
        <w:snapToGrid w:val="0"/>
        <w:spacing w:line="360" w:lineRule="auto"/>
        <w:ind w:firstLine="960" w:firstLineChars="300"/>
        <w:rPr>
          <w:rFonts w:hint="eastAsia" w:ascii="仿宋" w:hAnsi="仿宋" w:eastAsia="仿宋" w:cs="仿宋"/>
          <w:bCs/>
          <w:color w:val="000000"/>
          <w:sz w:val="32"/>
          <w:szCs w:val="32"/>
        </w:rPr>
      </w:pPr>
      <w:r>
        <w:rPr>
          <w:rFonts w:hint="eastAsia" w:ascii="仿宋" w:hAnsi="仿宋" w:eastAsia="仿宋" w:cs="仿宋"/>
          <w:bCs/>
          <w:color w:val="000000"/>
          <w:sz w:val="32"/>
          <w:szCs w:val="32"/>
        </w:rPr>
        <w:t>1.存在的不足：财务人员专业知识不足。</w:t>
      </w:r>
    </w:p>
    <w:p>
      <w:pPr>
        <w:snapToGrid w:val="0"/>
        <w:spacing w:line="360" w:lineRule="auto"/>
        <w:ind w:firstLine="960" w:firstLineChars="300"/>
        <w:rPr>
          <w:rFonts w:hint="eastAsia" w:ascii="仿宋" w:hAnsi="仿宋" w:eastAsia="仿宋" w:cs="仿宋"/>
          <w:bCs/>
          <w:color w:val="000000"/>
          <w:sz w:val="32"/>
          <w:szCs w:val="32"/>
        </w:rPr>
      </w:pPr>
      <w:r>
        <w:rPr>
          <w:rFonts w:hint="eastAsia" w:ascii="仿宋" w:hAnsi="仿宋" w:eastAsia="仿宋" w:cs="仿宋"/>
          <w:bCs/>
          <w:color w:val="000000"/>
          <w:sz w:val="32"/>
          <w:szCs w:val="32"/>
        </w:rPr>
        <w:t>2.建议：不断提高自身业务水平，确保绩效评价结果公正、客观、准确。</w:t>
      </w:r>
    </w:p>
    <w:p>
      <w:pPr>
        <w:pStyle w:val="4"/>
        <w:spacing w:line="600" w:lineRule="exact"/>
        <w:rPr>
          <w:rFonts w:hint="eastAsia" w:ascii="仿宋" w:hAnsi="仿宋" w:eastAsia="仿宋" w:cs="仿宋"/>
          <w:b/>
          <w:bCs/>
          <w:sz w:val="32"/>
          <w:szCs w:val="32"/>
        </w:rPr>
      </w:pPr>
      <w:r>
        <w:rPr>
          <w:rFonts w:hint="eastAsia" w:ascii="仿宋" w:hAnsi="仿宋" w:eastAsia="仿宋" w:cs="仿宋"/>
          <w:b/>
          <w:bCs/>
          <w:sz w:val="32"/>
          <w:szCs w:val="32"/>
        </w:rPr>
        <w:t>六、有关建议</w:t>
      </w:r>
    </w:p>
    <w:p>
      <w:pPr>
        <w:pStyle w:val="4"/>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pStyle w:val="4"/>
        <w:numPr>
          <w:ilvl w:val="0"/>
          <w:numId w:val="0"/>
        </w:numPr>
        <w:spacing w:line="600" w:lineRule="exact"/>
        <w:rPr>
          <w:rFonts w:hint="eastAsia" w:ascii="仿宋" w:hAnsi="仿宋" w:eastAsia="仿宋" w:cs="仿宋"/>
          <w:b/>
          <w:bCs/>
          <w:sz w:val="32"/>
          <w:szCs w:val="32"/>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其他需要说明的问题</w:t>
      </w:r>
    </w:p>
    <w:p>
      <w:pPr>
        <w:pStyle w:val="4"/>
        <w:numPr>
          <w:ilvl w:val="0"/>
          <w:numId w:val="0"/>
        </w:numPr>
        <w:spacing w:line="60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pStyle w:val="4"/>
        <w:widowControl/>
        <w:spacing w:line="600" w:lineRule="exact"/>
        <w:jc w:val="lef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报告应包括以下附件：</w:t>
      </w:r>
    </w:p>
    <w:p>
      <w:pPr>
        <w:pStyle w:val="4"/>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1、绩效评价基础数据汇总表</w:t>
      </w:r>
    </w:p>
    <w:p>
      <w:pPr>
        <w:pStyle w:val="4"/>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2、绩效评价指标评分表</w:t>
      </w:r>
    </w:p>
    <w:p>
      <w:pPr>
        <w:pStyle w:val="4"/>
        <w:widowControl/>
        <w:spacing w:line="600" w:lineRule="exact"/>
        <w:ind w:firstLine="645"/>
        <w:jc w:val="left"/>
        <w:rPr>
          <w:rFonts w:eastAsia="仿宋_GB2312"/>
          <w:sz w:val="32"/>
          <w:szCs w:val="32"/>
        </w:rPr>
      </w:pPr>
    </w:p>
    <w:p>
      <w:pPr>
        <w:pStyle w:val="4"/>
        <w:widowControl/>
        <w:spacing w:line="600" w:lineRule="exact"/>
        <w:ind w:firstLine="645"/>
        <w:jc w:val="left"/>
        <w:rPr>
          <w:rFonts w:eastAsia="仿宋_GB2312"/>
          <w:sz w:val="32"/>
          <w:szCs w:val="32"/>
        </w:rPr>
      </w:pPr>
    </w:p>
    <w:p>
      <w:pPr>
        <w:pStyle w:val="4"/>
        <w:widowControl/>
        <w:spacing w:line="600" w:lineRule="exact"/>
        <w:ind w:firstLine="645"/>
        <w:jc w:val="left"/>
        <w:rPr>
          <w:rFonts w:eastAsia="仿宋_GB2312"/>
          <w:sz w:val="32"/>
          <w:szCs w:val="32"/>
        </w:rPr>
      </w:pPr>
    </w:p>
    <w:p>
      <w:pPr>
        <w:pStyle w:val="4"/>
        <w:widowControl/>
        <w:spacing w:line="600" w:lineRule="exact"/>
        <w:ind w:firstLine="645"/>
        <w:jc w:val="left"/>
        <w:rPr>
          <w:rFonts w:eastAsia="仿宋_GB2312"/>
          <w:sz w:val="32"/>
          <w:szCs w:val="32"/>
        </w:rPr>
      </w:pPr>
    </w:p>
    <w:p>
      <w:pPr>
        <w:pStyle w:val="4"/>
        <w:widowControl/>
        <w:spacing w:line="600" w:lineRule="exact"/>
        <w:ind w:firstLine="645"/>
        <w:jc w:val="left"/>
        <w:rPr>
          <w:rFonts w:eastAsia="仿宋_GB2312"/>
          <w:sz w:val="32"/>
          <w:szCs w:val="32"/>
        </w:rPr>
      </w:pPr>
    </w:p>
    <w:p>
      <w:pPr>
        <w:pStyle w:val="4"/>
        <w:widowControl/>
        <w:spacing w:line="600" w:lineRule="exact"/>
        <w:ind w:firstLine="645"/>
        <w:jc w:val="left"/>
        <w:rPr>
          <w:rFonts w:eastAsia="仿宋_GB2312"/>
          <w:sz w:val="32"/>
          <w:szCs w:val="32"/>
        </w:rPr>
      </w:pPr>
    </w:p>
    <w:p>
      <w:pPr>
        <w:pStyle w:val="4"/>
        <w:widowControl/>
        <w:spacing w:line="600" w:lineRule="exact"/>
        <w:jc w:val="left"/>
        <w:rPr>
          <w:rFonts w:eastAsia="仿宋_GB2312"/>
          <w:sz w:val="32"/>
          <w:szCs w:val="32"/>
        </w:rPr>
      </w:pPr>
    </w:p>
    <w:p>
      <w:pPr>
        <w:pStyle w:val="4"/>
        <w:widowControl/>
        <w:spacing w:line="600" w:lineRule="exact"/>
        <w:jc w:val="left"/>
        <w:rPr>
          <w:rFonts w:eastAsia="仿宋_GB2312"/>
          <w:sz w:val="32"/>
          <w:szCs w:val="32"/>
        </w:rPr>
      </w:pPr>
    </w:p>
    <w:p>
      <w:pPr>
        <w:pStyle w:val="4"/>
        <w:widowControl/>
        <w:spacing w:line="600" w:lineRule="exact"/>
        <w:jc w:val="left"/>
        <w:rPr>
          <w:rFonts w:eastAsia="仿宋_GB2312"/>
          <w:sz w:val="32"/>
          <w:szCs w:val="32"/>
        </w:rPr>
      </w:pPr>
    </w:p>
    <w:sectPr>
      <w:pgSz w:w="11906" w:h="16838"/>
      <w:pgMar w:top="1440" w:right="1800" w:bottom="1440" w:left="1800" w:header="0" w:footer="0" w:gutter="0"/>
      <w:pgNumType w:fmt="decimal"/>
      <w:cols w:space="720" w:num="1"/>
      <w:formProt w:val="0"/>
      <w:docGrid w:type="lines"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方正小标宋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C55EC8"/>
    <w:multiLevelType w:val="singleLevel"/>
    <w:tmpl w:val="9CC55EC8"/>
    <w:lvl w:ilvl="0" w:tentative="0">
      <w:start w:val="1"/>
      <w:numFmt w:val="chineseCounting"/>
      <w:suff w:val="nothing"/>
      <w:lvlText w:val="%1、"/>
      <w:lvlJc w:val="left"/>
      <w:rPr>
        <w:rFonts w:hint="eastAsia"/>
      </w:rPr>
    </w:lvl>
  </w:abstractNum>
  <w:abstractNum w:abstractNumId="1">
    <w:nsid w:val="BF205925"/>
    <w:multiLevelType w:val="multilevel"/>
    <w:tmpl w:val="BF205925"/>
    <w:lvl w:ilvl="0" w:tentative="0">
      <w:start w:val="1"/>
      <w:numFmt w:val="decimalEnclosedCircle"/>
      <w:lvlText w:val="%1"/>
      <w:lvlJc w:val="left"/>
      <w:pPr>
        <w:tabs>
          <w:tab w:val="left" w:pos="0"/>
        </w:tabs>
        <w:ind w:left="465" w:hanging="360"/>
      </w:pPr>
      <w:rPr>
        <w:rFonts w:cs="宋体"/>
      </w:rPr>
    </w:lvl>
    <w:lvl w:ilvl="1" w:tentative="0">
      <w:start w:val="1"/>
      <w:numFmt w:val="lowerLetter"/>
      <w:lvlText w:val="%2)"/>
      <w:lvlJc w:val="left"/>
      <w:pPr>
        <w:tabs>
          <w:tab w:val="left" w:pos="0"/>
        </w:tabs>
        <w:ind w:left="945" w:hanging="420"/>
      </w:pPr>
    </w:lvl>
    <w:lvl w:ilvl="2" w:tentative="0">
      <w:start w:val="1"/>
      <w:numFmt w:val="lowerRoman"/>
      <w:lvlText w:val="%3."/>
      <w:lvlJc w:val="right"/>
      <w:pPr>
        <w:tabs>
          <w:tab w:val="left" w:pos="0"/>
        </w:tabs>
        <w:ind w:left="1365" w:hanging="420"/>
      </w:pPr>
    </w:lvl>
    <w:lvl w:ilvl="3" w:tentative="0">
      <w:start w:val="1"/>
      <w:numFmt w:val="decimal"/>
      <w:lvlText w:val="%4."/>
      <w:lvlJc w:val="left"/>
      <w:pPr>
        <w:tabs>
          <w:tab w:val="left" w:pos="0"/>
        </w:tabs>
        <w:ind w:left="1785" w:hanging="420"/>
      </w:pPr>
    </w:lvl>
    <w:lvl w:ilvl="4" w:tentative="0">
      <w:start w:val="1"/>
      <w:numFmt w:val="lowerLetter"/>
      <w:lvlText w:val="%5)"/>
      <w:lvlJc w:val="left"/>
      <w:pPr>
        <w:tabs>
          <w:tab w:val="left" w:pos="0"/>
        </w:tabs>
        <w:ind w:left="2205" w:hanging="420"/>
      </w:pPr>
    </w:lvl>
    <w:lvl w:ilvl="5" w:tentative="0">
      <w:start w:val="1"/>
      <w:numFmt w:val="lowerRoman"/>
      <w:lvlText w:val="%6."/>
      <w:lvlJc w:val="right"/>
      <w:pPr>
        <w:tabs>
          <w:tab w:val="left" w:pos="0"/>
        </w:tabs>
        <w:ind w:left="2625" w:hanging="420"/>
      </w:pPr>
    </w:lvl>
    <w:lvl w:ilvl="6" w:tentative="0">
      <w:start w:val="1"/>
      <w:numFmt w:val="decimal"/>
      <w:lvlText w:val="%7."/>
      <w:lvlJc w:val="left"/>
      <w:pPr>
        <w:tabs>
          <w:tab w:val="left" w:pos="0"/>
        </w:tabs>
        <w:ind w:left="3045" w:hanging="420"/>
      </w:pPr>
    </w:lvl>
    <w:lvl w:ilvl="7" w:tentative="0">
      <w:start w:val="1"/>
      <w:numFmt w:val="lowerLetter"/>
      <w:lvlText w:val="%8)"/>
      <w:lvlJc w:val="left"/>
      <w:pPr>
        <w:tabs>
          <w:tab w:val="left" w:pos="0"/>
        </w:tabs>
        <w:ind w:left="3465" w:hanging="420"/>
      </w:pPr>
    </w:lvl>
    <w:lvl w:ilvl="8" w:tentative="0">
      <w:start w:val="1"/>
      <w:numFmt w:val="lowerRoman"/>
      <w:lvlText w:val="%9."/>
      <w:lvlJc w:val="right"/>
      <w:pPr>
        <w:tabs>
          <w:tab w:val="left" w:pos="0"/>
        </w:tabs>
        <w:ind w:left="3885" w:hanging="420"/>
      </w:pPr>
    </w:lvl>
  </w:abstractNum>
  <w:abstractNum w:abstractNumId="2">
    <w:nsid w:val="CF092B84"/>
    <w:multiLevelType w:val="multilevel"/>
    <w:tmpl w:val="CF092B84"/>
    <w:lvl w:ilvl="0" w:tentative="0">
      <w:start w:val="1"/>
      <w:numFmt w:val="decimalEnclosedCircle"/>
      <w:lvlText w:val="%1"/>
      <w:lvlJc w:val="left"/>
      <w:pPr>
        <w:tabs>
          <w:tab w:val="left" w:pos="0"/>
        </w:tabs>
        <w:ind w:left="465" w:hanging="360"/>
      </w:pPr>
      <w:rPr>
        <w:rFonts w:cs="宋体"/>
      </w:rPr>
    </w:lvl>
    <w:lvl w:ilvl="1" w:tentative="0">
      <w:start w:val="1"/>
      <w:numFmt w:val="lowerLetter"/>
      <w:lvlText w:val="%2)"/>
      <w:lvlJc w:val="left"/>
      <w:pPr>
        <w:tabs>
          <w:tab w:val="left" w:pos="0"/>
        </w:tabs>
        <w:ind w:left="945" w:hanging="420"/>
      </w:pPr>
    </w:lvl>
    <w:lvl w:ilvl="2" w:tentative="0">
      <w:start w:val="1"/>
      <w:numFmt w:val="lowerRoman"/>
      <w:lvlText w:val="%3."/>
      <w:lvlJc w:val="right"/>
      <w:pPr>
        <w:tabs>
          <w:tab w:val="left" w:pos="0"/>
        </w:tabs>
        <w:ind w:left="1365" w:hanging="420"/>
      </w:pPr>
    </w:lvl>
    <w:lvl w:ilvl="3" w:tentative="0">
      <w:start w:val="1"/>
      <w:numFmt w:val="decimal"/>
      <w:lvlText w:val="%4."/>
      <w:lvlJc w:val="left"/>
      <w:pPr>
        <w:tabs>
          <w:tab w:val="left" w:pos="0"/>
        </w:tabs>
        <w:ind w:left="1785" w:hanging="420"/>
      </w:pPr>
    </w:lvl>
    <w:lvl w:ilvl="4" w:tentative="0">
      <w:start w:val="1"/>
      <w:numFmt w:val="lowerLetter"/>
      <w:lvlText w:val="%5)"/>
      <w:lvlJc w:val="left"/>
      <w:pPr>
        <w:tabs>
          <w:tab w:val="left" w:pos="0"/>
        </w:tabs>
        <w:ind w:left="2205" w:hanging="420"/>
      </w:pPr>
    </w:lvl>
    <w:lvl w:ilvl="5" w:tentative="0">
      <w:start w:val="1"/>
      <w:numFmt w:val="lowerRoman"/>
      <w:lvlText w:val="%6."/>
      <w:lvlJc w:val="right"/>
      <w:pPr>
        <w:tabs>
          <w:tab w:val="left" w:pos="0"/>
        </w:tabs>
        <w:ind w:left="2625" w:hanging="420"/>
      </w:pPr>
    </w:lvl>
    <w:lvl w:ilvl="6" w:tentative="0">
      <w:start w:val="1"/>
      <w:numFmt w:val="decimal"/>
      <w:lvlText w:val="%7."/>
      <w:lvlJc w:val="left"/>
      <w:pPr>
        <w:tabs>
          <w:tab w:val="left" w:pos="0"/>
        </w:tabs>
        <w:ind w:left="3045" w:hanging="420"/>
      </w:pPr>
    </w:lvl>
    <w:lvl w:ilvl="7" w:tentative="0">
      <w:start w:val="1"/>
      <w:numFmt w:val="lowerLetter"/>
      <w:lvlText w:val="%8)"/>
      <w:lvlJc w:val="left"/>
      <w:pPr>
        <w:tabs>
          <w:tab w:val="left" w:pos="0"/>
        </w:tabs>
        <w:ind w:left="3465" w:hanging="420"/>
      </w:pPr>
    </w:lvl>
    <w:lvl w:ilvl="8" w:tentative="0">
      <w:start w:val="1"/>
      <w:numFmt w:val="lowerRoman"/>
      <w:lvlText w:val="%9."/>
      <w:lvlJc w:val="right"/>
      <w:pPr>
        <w:tabs>
          <w:tab w:val="left" w:pos="0"/>
        </w:tabs>
        <w:ind w:left="3885" w:hanging="420"/>
      </w:pPr>
    </w:lvl>
  </w:abstractNum>
  <w:abstractNum w:abstractNumId="3">
    <w:nsid w:val="FA833418"/>
    <w:multiLevelType w:val="singleLevel"/>
    <w:tmpl w:val="FA833418"/>
    <w:lvl w:ilvl="0" w:tentative="0">
      <w:start w:val="7"/>
      <w:numFmt w:val="chineseCounting"/>
      <w:suff w:val="nothing"/>
      <w:lvlText w:val="%1、"/>
      <w:lvlJc w:val="left"/>
      <w:rPr>
        <w:rFonts w:hint="eastAsia"/>
      </w:rPr>
    </w:lvl>
  </w:abstractNum>
  <w:abstractNum w:abstractNumId="4">
    <w:nsid w:val="0053208E"/>
    <w:multiLevelType w:val="multilevel"/>
    <w:tmpl w:val="0053208E"/>
    <w:lvl w:ilvl="0" w:tentative="0">
      <w:start w:val="1"/>
      <w:numFmt w:val="decimalEnclosedCircle"/>
      <w:lvlText w:val="%1"/>
      <w:lvlJc w:val="left"/>
      <w:pPr>
        <w:tabs>
          <w:tab w:val="left" w:pos="0"/>
        </w:tabs>
        <w:ind w:left="465" w:hanging="360"/>
      </w:pPr>
      <w:rPr>
        <w:rFonts w:cs="宋体"/>
      </w:rPr>
    </w:lvl>
    <w:lvl w:ilvl="1" w:tentative="0">
      <w:start w:val="1"/>
      <w:numFmt w:val="lowerLetter"/>
      <w:lvlText w:val="%2)"/>
      <w:lvlJc w:val="left"/>
      <w:pPr>
        <w:tabs>
          <w:tab w:val="left" w:pos="0"/>
        </w:tabs>
        <w:ind w:left="945" w:hanging="420"/>
      </w:pPr>
    </w:lvl>
    <w:lvl w:ilvl="2" w:tentative="0">
      <w:start w:val="1"/>
      <w:numFmt w:val="lowerRoman"/>
      <w:lvlText w:val="%3."/>
      <w:lvlJc w:val="right"/>
      <w:pPr>
        <w:tabs>
          <w:tab w:val="left" w:pos="0"/>
        </w:tabs>
        <w:ind w:left="1365" w:hanging="420"/>
      </w:pPr>
    </w:lvl>
    <w:lvl w:ilvl="3" w:tentative="0">
      <w:start w:val="1"/>
      <w:numFmt w:val="decimal"/>
      <w:lvlText w:val="%4."/>
      <w:lvlJc w:val="left"/>
      <w:pPr>
        <w:tabs>
          <w:tab w:val="left" w:pos="0"/>
        </w:tabs>
        <w:ind w:left="1785" w:hanging="420"/>
      </w:pPr>
    </w:lvl>
    <w:lvl w:ilvl="4" w:tentative="0">
      <w:start w:val="1"/>
      <w:numFmt w:val="lowerLetter"/>
      <w:lvlText w:val="%5)"/>
      <w:lvlJc w:val="left"/>
      <w:pPr>
        <w:tabs>
          <w:tab w:val="left" w:pos="0"/>
        </w:tabs>
        <w:ind w:left="2205" w:hanging="420"/>
      </w:pPr>
    </w:lvl>
    <w:lvl w:ilvl="5" w:tentative="0">
      <w:start w:val="1"/>
      <w:numFmt w:val="lowerRoman"/>
      <w:lvlText w:val="%6."/>
      <w:lvlJc w:val="right"/>
      <w:pPr>
        <w:tabs>
          <w:tab w:val="left" w:pos="0"/>
        </w:tabs>
        <w:ind w:left="2625" w:hanging="420"/>
      </w:pPr>
    </w:lvl>
    <w:lvl w:ilvl="6" w:tentative="0">
      <w:start w:val="1"/>
      <w:numFmt w:val="decimal"/>
      <w:lvlText w:val="%7."/>
      <w:lvlJc w:val="left"/>
      <w:pPr>
        <w:tabs>
          <w:tab w:val="left" w:pos="0"/>
        </w:tabs>
        <w:ind w:left="3045" w:hanging="420"/>
      </w:pPr>
    </w:lvl>
    <w:lvl w:ilvl="7" w:tentative="0">
      <w:start w:val="1"/>
      <w:numFmt w:val="lowerLetter"/>
      <w:lvlText w:val="%8)"/>
      <w:lvlJc w:val="left"/>
      <w:pPr>
        <w:tabs>
          <w:tab w:val="left" w:pos="0"/>
        </w:tabs>
        <w:ind w:left="3465" w:hanging="420"/>
      </w:pPr>
    </w:lvl>
    <w:lvl w:ilvl="8" w:tentative="0">
      <w:start w:val="1"/>
      <w:numFmt w:val="lowerRoman"/>
      <w:lvlText w:val="%9."/>
      <w:lvlJc w:val="right"/>
      <w:pPr>
        <w:tabs>
          <w:tab w:val="left" w:pos="0"/>
        </w:tabs>
        <w:ind w:left="3885" w:hanging="420"/>
      </w:pPr>
    </w:lvl>
  </w:abstractNum>
  <w:abstractNum w:abstractNumId="5">
    <w:nsid w:val="59ADCABA"/>
    <w:multiLevelType w:val="multilevel"/>
    <w:tmpl w:val="59ADCABA"/>
    <w:lvl w:ilvl="0" w:tentative="0">
      <w:start w:val="1"/>
      <w:numFmt w:val="decimalEnclosedCircle"/>
      <w:lvlText w:val="%1"/>
      <w:lvlJc w:val="left"/>
      <w:pPr>
        <w:tabs>
          <w:tab w:val="left" w:pos="0"/>
        </w:tabs>
        <w:ind w:left="465" w:hanging="360"/>
      </w:pPr>
      <w:rPr>
        <w:rFonts w:cs="宋体"/>
      </w:rPr>
    </w:lvl>
    <w:lvl w:ilvl="1" w:tentative="0">
      <w:start w:val="1"/>
      <w:numFmt w:val="lowerLetter"/>
      <w:lvlText w:val="%2)"/>
      <w:lvlJc w:val="left"/>
      <w:pPr>
        <w:tabs>
          <w:tab w:val="left" w:pos="0"/>
        </w:tabs>
        <w:ind w:left="945" w:hanging="420"/>
      </w:pPr>
    </w:lvl>
    <w:lvl w:ilvl="2" w:tentative="0">
      <w:start w:val="1"/>
      <w:numFmt w:val="lowerRoman"/>
      <w:lvlText w:val="%3."/>
      <w:lvlJc w:val="right"/>
      <w:pPr>
        <w:tabs>
          <w:tab w:val="left" w:pos="0"/>
        </w:tabs>
        <w:ind w:left="1365" w:hanging="420"/>
      </w:pPr>
    </w:lvl>
    <w:lvl w:ilvl="3" w:tentative="0">
      <w:start w:val="1"/>
      <w:numFmt w:val="decimal"/>
      <w:lvlText w:val="%4."/>
      <w:lvlJc w:val="left"/>
      <w:pPr>
        <w:tabs>
          <w:tab w:val="left" w:pos="0"/>
        </w:tabs>
        <w:ind w:left="1785" w:hanging="420"/>
      </w:pPr>
    </w:lvl>
    <w:lvl w:ilvl="4" w:tentative="0">
      <w:start w:val="1"/>
      <w:numFmt w:val="lowerLetter"/>
      <w:lvlText w:val="%5)"/>
      <w:lvlJc w:val="left"/>
      <w:pPr>
        <w:tabs>
          <w:tab w:val="left" w:pos="0"/>
        </w:tabs>
        <w:ind w:left="2205" w:hanging="420"/>
      </w:pPr>
    </w:lvl>
    <w:lvl w:ilvl="5" w:tentative="0">
      <w:start w:val="1"/>
      <w:numFmt w:val="lowerRoman"/>
      <w:lvlText w:val="%6."/>
      <w:lvlJc w:val="right"/>
      <w:pPr>
        <w:tabs>
          <w:tab w:val="left" w:pos="0"/>
        </w:tabs>
        <w:ind w:left="2625" w:hanging="420"/>
      </w:pPr>
    </w:lvl>
    <w:lvl w:ilvl="6" w:tentative="0">
      <w:start w:val="1"/>
      <w:numFmt w:val="decimal"/>
      <w:lvlText w:val="%7."/>
      <w:lvlJc w:val="left"/>
      <w:pPr>
        <w:tabs>
          <w:tab w:val="left" w:pos="0"/>
        </w:tabs>
        <w:ind w:left="3045" w:hanging="420"/>
      </w:pPr>
    </w:lvl>
    <w:lvl w:ilvl="7" w:tentative="0">
      <w:start w:val="1"/>
      <w:numFmt w:val="lowerLetter"/>
      <w:lvlText w:val="%8)"/>
      <w:lvlJc w:val="left"/>
      <w:pPr>
        <w:tabs>
          <w:tab w:val="left" w:pos="0"/>
        </w:tabs>
        <w:ind w:left="3465" w:hanging="420"/>
      </w:pPr>
    </w:lvl>
    <w:lvl w:ilvl="8" w:tentative="0">
      <w:start w:val="1"/>
      <w:numFmt w:val="lowerRoman"/>
      <w:lvlText w:val="%9."/>
      <w:lvlJc w:val="right"/>
      <w:pPr>
        <w:tabs>
          <w:tab w:val="left" w:pos="0"/>
        </w:tabs>
        <w:ind w:left="3885" w:hanging="420"/>
      </w:pPr>
    </w:lvl>
  </w:abstractNum>
  <w:abstractNum w:abstractNumId="6">
    <w:nsid w:val="626CF876"/>
    <w:multiLevelType w:val="singleLevel"/>
    <w:tmpl w:val="626CF876"/>
    <w:lvl w:ilvl="0" w:tentative="0">
      <w:start w:val="4"/>
      <w:numFmt w:val="chineseCounting"/>
      <w:suff w:val="nothing"/>
      <w:lvlText w:val="%1、"/>
      <w:lvlJc w:val="left"/>
      <w:rPr>
        <w:rFonts w:hint="eastAsia"/>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autoHyphenation/>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B433D"/>
    <w:rsid w:val="2B145FA8"/>
    <w:rsid w:val="316E2DEF"/>
    <w:rsid w:val="34CB709A"/>
    <w:rsid w:val="37654AC8"/>
    <w:rsid w:val="3AAC323E"/>
    <w:rsid w:val="3BBE0F72"/>
    <w:rsid w:val="3F495560"/>
    <w:rsid w:val="520E4F66"/>
    <w:rsid w:val="5C5B37C7"/>
    <w:rsid w:val="60536E57"/>
    <w:rsid w:val="65F21407"/>
    <w:rsid w:val="749113C6"/>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hi-IN"/>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正文1"/>
    <w:qFormat/>
    <w:uiPriority w:val="0"/>
    <w:pPr>
      <w:widowControl w:val="0"/>
      <w:suppressAutoHyphens w:val="0"/>
      <w:bidi w:val="0"/>
      <w:spacing w:before="0" w:after="0"/>
      <w:jc w:val="both"/>
    </w:pPr>
    <w:rPr>
      <w:rFonts w:ascii="Times New Roman" w:hAnsi="Times New Roman" w:cs="Times New Roman" w:eastAsiaTheme="minorEastAsia"/>
      <w:color w:val="auto"/>
      <w:kern w:val="2"/>
      <w:sz w:val="21"/>
      <w:szCs w:val="24"/>
      <w:lang w:val="en-US" w:eastAsia="zh-CN" w:bidi="ar-SA"/>
    </w:rPr>
  </w:style>
  <w:style w:type="paragraph" w:customStyle="1" w:styleId="5">
    <w:name w:val="列表段落"/>
    <w:basedOn w:val="4"/>
    <w:qFormat/>
    <w:uiPriority w:val="99"/>
    <w:pPr>
      <w:ind w:firstLine="420"/>
    </w:pPr>
    <w:rPr>
      <w:rFonts w:ascii="Calibri" w:hAnsi="Calibri"/>
      <w:szCs w:val="22"/>
    </w:rPr>
  </w:style>
  <w:style w:type="paragraph" w:styleId="6">
    <w:name w:val="List Paragraph"/>
    <w:basedOn w:val="1"/>
    <w:qFormat/>
    <w:uiPriority w:val="99"/>
    <w:pPr>
      <w:ind w:firstLine="420" w:firstLineChars="200"/>
    </w:pPr>
    <w:rPr>
      <w:rFonts w:ascii="Calibri" w:hAnsi="Calibri"/>
      <w:szCs w:val="22"/>
    </w:rPr>
  </w:style>
  <w:style w:type="paragraph" w:customStyle="1" w:styleId="7">
    <w:name w:val="无间隔"/>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7380</Words>
  <Characters>7722</Characters>
  <Paragraphs>611</Paragraphs>
  <TotalTime>4</TotalTime>
  <ScaleCrop>false</ScaleCrop>
  <LinksUpToDate>false</LinksUpToDate>
  <CharactersWithSpaces>8070</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2021-06-30T01:22:04Z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EB69C9349E0A4277B820662DA6A4E8FA</vt:lpwstr>
  </property>
  <property fmtid="{D5CDD505-2E9C-101B-9397-08002B2CF9AE}" pid="3" name="KSOProductBuildVer">
    <vt:lpwstr>2052-11.1.0.10314</vt:lpwstr>
  </property>
</Properties>
</file>