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rPr>
              <w:t>9</w:t>
            </w:r>
            <w:r>
              <w:rPr>
                <w:rFonts w:hint="eastAsia" w:ascii="仿宋_GB2312" w:eastAsia="仿宋_GB2312"/>
                <w:szCs w:val="21"/>
                <w:lang w:val="en-US" w:eastAsia="zh-CN"/>
              </w:rPr>
              <w:t>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w:t>
      </w:r>
      <w:r>
        <w:rPr>
          <w:rFonts w:hint="eastAsia" w:ascii="仿宋" w:hAnsi="仿宋" w:eastAsia="仿宋"/>
          <w:lang w:eastAsia="zh-CN"/>
        </w:rPr>
        <w:t>跃进路</w:t>
      </w:r>
      <w:r>
        <w:rPr>
          <w:rFonts w:hint="eastAsia" w:ascii="仿宋" w:hAnsi="仿宋" w:eastAsia="仿宋"/>
        </w:rPr>
        <w:t>小学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1.9万元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1万元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197.95万元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209.7万元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209.7万元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28.14万元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30万元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48.97万元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9万元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ascii="黑体" w:hAnsi="黑体" w:eastAsia="黑体"/>
          <w:sz w:val="44"/>
          <w:szCs w:val="44"/>
        </w:rPr>
      </w:pPr>
      <w:r>
        <w:rPr>
          <w:rFonts w:ascii="黑体" w:hAnsi="黑体" w:eastAsia="黑体"/>
          <w:sz w:val="44"/>
          <w:szCs w:val="44"/>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firstLineChars="0"/>
        <w:rPr>
          <w:rFonts w:ascii="仿宋" w:hAnsi="仿宋" w:eastAsia="仿宋"/>
          <w:b/>
          <w:sz w:val="32"/>
          <w:szCs w:val="32"/>
        </w:rPr>
      </w:pPr>
      <w:r>
        <w:rPr>
          <w:rFonts w:ascii="仿宋" w:hAnsi="仿宋" w:eastAsia="仿宋"/>
          <w:b/>
          <w:sz w:val="32"/>
          <w:szCs w:val="32"/>
        </w:rPr>
        <w:t>部门、单位基本情况</w:t>
      </w:r>
    </w:p>
    <w:p>
      <w:pPr>
        <w:pStyle w:val="9"/>
        <w:widowControl/>
        <w:spacing w:line="600" w:lineRule="exact"/>
        <w:rPr>
          <w:rFonts w:ascii="仿宋" w:hAnsi="仿宋" w:eastAsia="仿宋"/>
          <w:sz w:val="32"/>
          <w:szCs w:val="32"/>
        </w:rPr>
      </w:pPr>
      <w:r>
        <w:rPr>
          <w:rFonts w:hint="eastAsia" w:ascii="仿宋" w:hAnsi="仿宋" w:eastAsia="仿宋" w:cs="仿宋_GB2312"/>
          <w:color w:val="333333"/>
          <w:sz w:val="32"/>
          <w:szCs w:val="32"/>
        </w:rPr>
        <w:t>怀化</w:t>
      </w:r>
      <w:r>
        <w:rPr>
          <w:rFonts w:hint="eastAsia" w:ascii="仿宋" w:hAnsi="仿宋" w:eastAsia="仿宋" w:cs="仿宋_GB2312"/>
          <w:color w:val="333333"/>
          <w:sz w:val="32"/>
          <w:szCs w:val="32"/>
          <w:lang w:eastAsia="zh-CN"/>
        </w:rPr>
        <w:t>市跃进路</w:t>
      </w:r>
      <w:r>
        <w:rPr>
          <w:rFonts w:hint="eastAsia" w:ascii="仿宋" w:hAnsi="仿宋" w:eastAsia="仿宋" w:cs="仿宋_GB2312"/>
          <w:color w:val="333333"/>
          <w:sz w:val="32"/>
          <w:szCs w:val="32"/>
        </w:rPr>
        <w:t>小学成立于</w:t>
      </w:r>
      <w:r>
        <w:rPr>
          <w:rFonts w:hint="eastAsia" w:ascii="仿宋" w:hAnsi="仿宋" w:eastAsia="仿宋" w:cs="仿宋_GB2312"/>
          <w:color w:val="333333"/>
          <w:sz w:val="32"/>
          <w:szCs w:val="32"/>
          <w:lang w:val="en-US" w:eastAsia="zh-CN"/>
        </w:rPr>
        <w:t>1973</w:t>
      </w:r>
      <w:r>
        <w:rPr>
          <w:rFonts w:hint="eastAsia" w:ascii="仿宋" w:hAnsi="仿宋" w:eastAsia="仿宋" w:cs="仿宋_GB2312"/>
          <w:color w:val="333333"/>
          <w:sz w:val="32"/>
          <w:szCs w:val="32"/>
        </w:rPr>
        <w:t>年，承担了小学</w:t>
      </w:r>
      <w:r>
        <w:rPr>
          <w:rFonts w:hint="eastAsia" w:ascii="仿宋" w:hAnsi="仿宋" w:eastAsia="仿宋" w:cs="仿宋_GB2312"/>
          <w:color w:val="333333"/>
          <w:sz w:val="32"/>
          <w:szCs w:val="32"/>
          <w:lang w:eastAsia="zh-CN"/>
        </w:rPr>
        <w:t>教</w:t>
      </w:r>
      <w:r>
        <w:rPr>
          <w:rFonts w:hint="eastAsia" w:ascii="仿宋" w:hAnsi="仿宋" w:eastAsia="仿宋" w:cs="仿宋_GB2312"/>
          <w:color w:val="333333"/>
          <w:sz w:val="32"/>
          <w:szCs w:val="32"/>
        </w:rPr>
        <w:t>育事务</w:t>
      </w:r>
      <w:r>
        <w:rPr>
          <w:rFonts w:hint="eastAsia" w:ascii="仿宋" w:hAnsi="仿宋" w:eastAsia="仿宋" w:cs="仿宋_GB2312"/>
          <w:sz w:val="32"/>
          <w:szCs w:val="32"/>
        </w:rPr>
        <w:t>。</w:t>
      </w:r>
      <w:r>
        <w:rPr>
          <w:rFonts w:hint="eastAsia" w:ascii="仿宋" w:hAnsi="仿宋" w:eastAsia="仿宋" w:cs="仿宋_GB2312"/>
          <w:sz w:val="32"/>
          <w:szCs w:val="32"/>
          <w:lang w:eastAsia="zh-CN"/>
        </w:rPr>
        <w:t>现有教职工</w:t>
      </w:r>
      <w:r>
        <w:rPr>
          <w:rFonts w:hint="eastAsia" w:ascii="仿宋" w:hAnsi="仿宋" w:eastAsia="仿宋" w:cs="仿宋_GB2312"/>
          <w:sz w:val="32"/>
          <w:szCs w:val="32"/>
          <w:lang w:val="en-US" w:eastAsia="zh-CN"/>
        </w:rPr>
        <w:t>120</w:t>
      </w:r>
      <w:bookmarkStart w:id="0" w:name="_GoBack"/>
      <w:bookmarkEnd w:id="0"/>
      <w:r>
        <w:rPr>
          <w:rFonts w:hint="eastAsia" w:ascii="仿宋" w:hAnsi="仿宋" w:eastAsia="仿宋" w:cs="仿宋_GB2312"/>
          <w:sz w:val="32"/>
          <w:szCs w:val="32"/>
          <w:lang w:val="en-US" w:eastAsia="zh-CN"/>
        </w:rPr>
        <w:t>人，</w:t>
      </w:r>
      <w:r>
        <w:rPr>
          <w:rFonts w:hint="eastAsia" w:ascii="仿宋" w:hAnsi="仿宋" w:eastAsia="仿宋" w:cs="仿宋_GB2312"/>
          <w:sz w:val="32"/>
          <w:szCs w:val="32"/>
        </w:rPr>
        <w:t>包设立了</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个功能室：校长室、教导处、教研室、总务处、办公室、工会、德育处、</w:t>
      </w:r>
      <w:r>
        <w:rPr>
          <w:rFonts w:hint="eastAsia" w:ascii="仿宋" w:hAnsi="仿宋" w:eastAsia="仿宋" w:cs="仿宋_GB2312"/>
          <w:sz w:val="32"/>
          <w:szCs w:val="32"/>
          <w:lang w:eastAsia="zh-CN"/>
        </w:rPr>
        <w:t>财务室</w:t>
      </w:r>
      <w:r>
        <w:rPr>
          <w:rFonts w:hint="eastAsia" w:ascii="仿宋" w:hAnsi="仿宋" w:eastAsia="仿宋" w:cs="仿宋_GB2312"/>
          <w:sz w:val="32"/>
          <w:szCs w:val="32"/>
        </w:rPr>
        <w:t>。</w:t>
      </w:r>
    </w:p>
    <w:p>
      <w:pPr>
        <w:pStyle w:val="9"/>
        <w:widowControl/>
        <w:spacing w:line="600" w:lineRule="exact"/>
        <w:ind w:left="640" w:firstLine="0" w:firstLineChars="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一般公共预算支出情况</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基本支出情况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2020年年初预算数为</w:t>
      </w:r>
      <w:r>
        <w:rPr>
          <w:rFonts w:hint="eastAsia" w:ascii="仿宋" w:hAnsi="仿宋" w:eastAsia="仿宋"/>
          <w:sz w:val="32"/>
          <w:szCs w:val="32"/>
          <w:lang w:val="en-US" w:eastAsia="zh-CN"/>
        </w:rPr>
        <w:t>1792.2</w:t>
      </w:r>
      <w:r>
        <w:rPr>
          <w:rFonts w:hint="eastAsia" w:ascii="仿宋" w:hAnsi="仿宋" w:eastAsia="仿宋"/>
          <w:sz w:val="32"/>
          <w:szCs w:val="32"/>
        </w:rPr>
        <w:t>万元，是指为保障单位机构正常运转、完成日常工作任务而发生的各项支出，包括用</w:t>
      </w:r>
      <w:r>
        <w:rPr>
          <w:rFonts w:hint="eastAsia" w:ascii="仿宋" w:hAnsi="仿宋" w:eastAsia="仿宋"/>
          <w:sz w:val="32"/>
          <w:szCs w:val="32"/>
          <w:lang w:eastAsia="zh-CN"/>
        </w:rPr>
        <w:t>于基本工资、津补贴等人员经费以及办公费、印刷费、水电费、物业管理费等日常公用经费。</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项目支出情况</w:t>
      </w:r>
    </w:p>
    <w:p>
      <w:pPr>
        <w:spacing w:line="560" w:lineRule="exact"/>
        <w:ind w:firstLine="640"/>
        <w:rPr>
          <w:rFonts w:ascii="仿宋" w:hAnsi="仿宋" w:eastAsia="仿宋"/>
          <w:sz w:val="32"/>
          <w:szCs w:val="32"/>
        </w:rPr>
      </w:pPr>
      <w:r>
        <w:rPr>
          <w:rFonts w:hint="eastAsia" w:ascii="仿宋" w:hAnsi="仿宋" w:eastAsia="仿宋"/>
          <w:sz w:val="32"/>
          <w:szCs w:val="32"/>
        </w:rPr>
        <w:t>2020年年初预算数为</w:t>
      </w:r>
      <w:r>
        <w:rPr>
          <w:rFonts w:hint="eastAsia" w:ascii="仿宋" w:hAnsi="仿宋" w:eastAsia="仿宋"/>
          <w:sz w:val="32"/>
          <w:szCs w:val="32"/>
          <w:lang w:val="en-US" w:eastAsia="zh-CN"/>
        </w:rPr>
        <w:t>14.9</w:t>
      </w:r>
      <w:r>
        <w:rPr>
          <w:rFonts w:hint="eastAsia" w:ascii="仿宋" w:hAnsi="仿宋" w:eastAsia="仿宋"/>
          <w:sz w:val="32"/>
          <w:szCs w:val="32"/>
        </w:rPr>
        <w:t>万元，</w:t>
      </w:r>
      <w:r>
        <w:rPr>
          <w:rFonts w:hint="eastAsia" w:ascii="仿宋" w:hAnsi="仿宋" w:eastAsia="仿宋"/>
          <w:sz w:val="32"/>
          <w:szCs w:val="32"/>
          <w:lang w:eastAsia="zh-CN"/>
        </w:rPr>
        <w:t>用于学校</w:t>
      </w:r>
      <w:r>
        <w:rPr>
          <w:rFonts w:hint="eastAsia" w:ascii="仿宋" w:hAnsi="仿宋" w:eastAsia="仿宋"/>
          <w:sz w:val="32"/>
          <w:szCs w:val="32"/>
          <w:lang w:val="en-US" w:eastAsia="zh-CN"/>
        </w:rPr>
        <w:t>6名保安全年工资</w:t>
      </w:r>
      <w:r>
        <w:rPr>
          <w:rFonts w:hint="eastAsia" w:ascii="仿宋" w:hAnsi="仿宋" w:eastAsia="仿宋"/>
          <w:sz w:val="32"/>
          <w:szCs w:val="32"/>
        </w:rPr>
        <w:t>。</w:t>
      </w:r>
    </w:p>
    <w:p>
      <w:pPr>
        <w:widowControl/>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三、</w:t>
      </w:r>
      <w:r>
        <w:rPr>
          <w:rFonts w:ascii="仿宋" w:hAnsi="仿宋" w:eastAsia="仿宋"/>
          <w:b/>
          <w:sz w:val="32"/>
          <w:szCs w:val="32"/>
        </w:rPr>
        <w:t>政府性基金预算支出情况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2020年度政府性基金预算支出0万元。</w:t>
      </w:r>
    </w:p>
    <w:p>
      <w:pPr>
        <w:pStyle w:val="9"/>
        <w:widowControl/>
        <w:spacing w:line="600" w:lineRule="exact"/>
        <w:ind w:left="640" w:firstLine="0" w:firstLineChars="0"/>
        <w:jc w:val="left"/>
        <w:rPr>
          <w:rFonts w:ascii="仿宋" w:hAnsi="仿宋" w:eastAsia="仿宋"/>
          <w:b/>
          <w:sz w:val="32"/>
          <w:szCs w:val="32"/>
        </w:rPr>
      </w:pPr>
      <w:r>
        <w:rPr>
          <w:rFonts w:hint="eastAsia" w:ascii="仿宋" w:hAnsi="仿宋" w:eastAsia="仿宋"/>
          <w:b/>
          <w:sz w:val="32"/>
          <w:szCs w:val="32"/>
        </w:rPr>
        <w:t>四、</w:t>
      </w:r>
      <w:r>
        <w:rPr>
          <w:rFonts w:ascii="仿宋" w:hAnsi="仿宋" w:eastAsia="仿宋"/>
          <w:b/>
          <w:sz w:val="32"/>
          <w:szCs w:val="32"/>
        </w:rPr>
        <w:t>国有资本经营预算支出情况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2020年度国有资本经营预算支出0万元。</w:t>
      </w:r>
    </w:p>
    <w:p>
      <w:pPr>
        <w:pStyle w:val="9"/>
        <w:widowControl/>
        <w:numPr>
          <w:ilvl w:val="0"/>
          <w:numId w:val="2"/>
        </w:numPr>
        <w:spacing w:line="600" w:lineRule="exact"/>
        <w:ind w:left="640" w:firstLine="0" w:firstLineChars="0"/>
        <w:jc w:val="left"/>
        <w:rPr>
          <w:rFonts w:ascii="仿宋" w:hAnsi="仿宋" w:eastAsia="仿宋"/>
          <w:sz w:val="32"/>
          <w:szCs w:val="32"/>
        </w:rPr>
      </w:pPr>
      <w:r>
        <w:rPr>
          <w:rFonts w:ascii="仿宋" w:hAnsi="仿宋" w:eastAsia="仿宋"/>
          <w:b/>
          <w:sz w:val="32"/>
          <w:szCs w:val="32"/>
        </w:rPr>
        <w:t>社会保险基金预算</w:t>
      </w:r>
      <w:r>
        <w:rPr>
          <w:rFonts w:hint="eastAsia" w:ascii="仿宋" w:hAnsi="仿宋" w:eastAsia="仿宋"/>
          <w:b/>
          <w:sz w:val="32"/>
          <w:szCs w:val="32"/>
          <w:lang w:eastAsia="zh-CN"/>
        </w:rPr>
        <w:t>支出情况</w:t>
      </w:r>
      <w:r>
        <w:rPr>
          <w:rFonts w:ascii="仿宋" w:hAnsi="仿宋" w:eastAsia="仿宋"/>
          <w:sz w:val="32"/>
          <w:szCs w:val="32"/>
        </w:rPr>
        <w:t>。</w:t>
      </w:r>
    </w:p>
    <w:p>
      <w:pPr>
        <w:pStyle w:val="9"/>
        <w:widowControl/>
        <w:numPr>
          <w:ilvl w:val="0"/>
          <w:numId w:val="0"/>
        </w:numPr>
        <w:spacing w:line="600" w:lineRule="exact"/>
        <w:ind w:left="640" w:leftChars="0"/>
        <w:jc w:val="left"/>
        <w:rPr>
          <w:rFonts w:hint="default" w:ascii="仿宋" w:hAnsi="仿宋" w:eastAsia="仿宋"/>
          <w:sz w:val="32"/>
          <w:szCs w:val="32"/>
          <w:lang w:val="en-US" w:eastAsia="zh-CN"/>
        </w:rPr>
      </w:pPr>
      <w:r>
        <w:rPr>
          <w:rFonts w:hint="eastAsia" w:ascii="仿宋" w:hAnsi="仿宋" w:eastAsia="仿宋"/>
          <w:sz w:val="32"/>
          <w:szCs w:val="32"/>
          <w:lang w:val="en-US" w:eastAsia="zh-CN"/>
        </w:rPr>
        <w:t>2020年我校无社会社会保险基金预算支出。</w:t>
      </w:r>
    </w:p>
    <w:p>
      <w:pPr>
        <w:widowControl/>
        <w:spacing w:line="600" w:lineRule="exact"/>
        <w:ind w:firstLine="645"/>
        <w:jc w:val="left"/>
        <w:rPr>
          <w:rFonts w:ascii="仿宋" w:hAnsi="仿宋" w:eastAsia="仿宋"/>
          <w:b/>
          <w:sz w:val="32"/>
          <w:szCs w:val="32"/>
        </w:rPr>
      </w:pPr>
      <w:r>
        <w:rPr>
          <w:rFonts w:ascii="仿宋" w:hAnsi="仿宋" w:eastAsia="仿宋"/>
          <w:b/>
          <w:sz w:val="32"/>
          <w:szCs w:val="32"/>
        </w:rPr>
        <w:t>六、部门整体支出绩效情况</w:t>
      </w:r>
    </w:p>
    <w:p>
      <w:pPr>
        <w:pStyle w:val="4"/>
        <w:spacing w:before="0" w:beforeAutospacing="0" w:after="0" w:afterAutospacing="0" w:line="480" w:lineRule="auto"/>
        <w:ind w:firstLine="640" w:firstLineChars="200"/>
        <w:rPr>
          <w:rFonts w:hint="default" w:ascii="仿宋" w:hAnsi="仿宋" w:eastAsia="仿宋" w:cs="仿宋_GB2312"/>
          <w:color w:val="333333"/>
          <w:sz w:val="32"/>
          <w:szCs w:val="32"/>
          <w:lang w:val="en-US" w:eastAsia="zh-CN"/>
        </w:rPr>
      </w:pPr>
      <w:r>
        <w:rPr>
          <w:rFonts w:hint="eastAsia" w:ascii="仿宋" w:hAnsi="仿宋" w:eastAsia="仿宋" w:cs="仿宋_GB2312"/>
          <w:color w:val="333333"/>
          <w:sz w:val="32"/>
          <w:szCs w:val="32"/>
        </w:rPr>
        <w:t>2020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r>
        <w:rPr>
          <w:rFonts w:hint="eastAsia" w:ascii="仿宋" w:hAnsi="仿宋" w:eastAsia="仿宋" w:cs="仿宋_GB2312"/>
          <w:color w:val="333333"/>
          <w:sz w:val="32"/>
          <w:szCs w:val="32"/>
          <w:lang w:val="en-US" w:eastAsia="zh-CN"/>
        </w:rPr>
        <w:t>2020年部门整体支出绩效评价单位自评得分为97分。</w:t>
      </w:r>
    </w:p>
    <w:p>
      <w:pPr>
        <w:pStyle w:val="9"/>
        <w:widowControl/>
        <w:spacing w:line="600" w:lineRule="exact"/>
        <w:ind w:left="640" w:firstLine="0" w:firstLineChars="0"/>
        <w:jc w:val="left"/>
        <w:rPr>
          <w:rFonts w:ascii="仿宋" w:hAnsi="仿宋" w:eastAsia="仿宋" w:cs="仿宋_GB2312"/>
          <w:color w:val="333333"/>
          <w:sz w:val="32"/>
          <w:szCs w:val="32"/>
        </w:rPr>
      </w:pPr>
      <w:r>
        <w:rPr>
          <w:rFonts w:hint="eastAsia" w:ascii="仿宋" w:hAnsi="仿宋" w:eastAsia="仿宋"/>
          <w:b/>
          <w:sz w:val="32"/>
          <w:szCs w:val="32"/>
        </w:rPr>
        <w:t>七、</w:t>
      </w:r>
      <w:r>
        <w:rPr>
          <w:rFonts w:ascii="仿宋" w:hAnsi="仿宋" w:eastAsia="仿宋"/>
          <w:b/>
          <w:sz w:val="32"/>
          <w:szCs w:val="32"/>
        </w:rPr>
        <w:t>存在的问题及原因分析</w:t>
      </w:r>
    </w:p>
    <w:p>
      <w:pPr>
        <w:pStyle w:val="4"/>
        <w:spacing w:before="0" w:beforeAutospacing="0" w:after="0" w:afterAutospacing="0" w:line="480" w:lineRule="auto"/>
        <w:ind w:firstLine="480"/>
        <w:rPr>
          <w:rFonts w:hint="eastAsia" w:ascii="仿宋" w:hAnsi="仿宋" w:eastAsia="仿宋" w:cs="仿宋_GB2312"/>
          <w:sz w:val="32"/>
          <w:szCs w:val="32"/>
        </w:rPr>
      </w:pPr>
      <w:r>
        <w:rPr>
          <w:rFonts w:hint="eastAsia" w:ascii="仿宋" w:hAnsi="仿宋" w:eastAsia="仿宋" w:cs="仿宋_GB2312"/>
          <w:color w:val="333333"/>
          <w:sz w:val="32"/>
          <w:szCs w:val="32"/>
          <w:lang w:val="en-US" w:eastAsia="zh-CN"/>
        </w:rPr>
        <w:t>1</w:t>
      </w:r>
      <w:r>
        <w:rPr>
          <w:rFonts w:hint="eastAsia" w:ascii="仿宋" w:hAnsi="仿宋" w:eastAsia="仿宋" w:cs="仿宋_GB2312"/>
          <w:color w:val="333333"/>
          <w:sz w:val="32"/>
          <w:szCs w:val="32"/>
        </w:rPr>
        <w:t>、</w:t>
      </w:r>
      <w:r>
        <w:rPr>
          <w:rFonts w:hint="eastAsia" w:ascii="仿宋" w:hAnsi="仿宋" w:eastAsia="仿宋" w:cs="仿宋_GB2312"/>
          <w:sz w:val="32"/>
          <w:szCs w:val="32"/>
        </w:rPr>
        <w:t>学校财务人员对新的财务专业知识仍然处在摸索阶段，专业不精，有待进一步加强学习。</w:t>
      </w:r>
    </w:p>
    <w:p>
      <w:pPr>
        <w:pStyle w:val="4"/>
        <w:spacing w:before="0" w:beforeAutospacing="0" w:after="0" w:afterAutospacing="0" w:line="480" w:lineRule="auto"/>
        <w:ind w:firstLine="480"/>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2、绩效管理水平有待提高。</w:t>
      </w:r>
    </w:p>
    <w:p>
      <w:pPr>
        <w:widowControl/>
        <w:spacing w:line="600" w:lineRule="exact"/>
        <w:ind w:firstLine="640" w:firstLineChars="200"/>
        <w:jc w:val="left"/>
        <w:rPr>
          <w:rFonts w:ascii="仿宋" w:hAnsi="仿宋" w:eastAsia="仿宋"/>
          <w:sz w:val="32"/>
          <w:szCs w:val="32"/>
        </w:rPr>
      </w:pPr>
      <w:r>
        <w:rPr>
          <w:rFonts w:ascii="仿宋" w:hAnsi="仿宋" w:eastAsia="仿宋"/>
          <w:sz w:val="32"/>
          <w:szCs w:val="32"/>
        </w:rPr>
        <w:t>八、下一步改进措施</w:t>
      </w:r>
    </w:p>
    <w:p>
      <w:pPr>
        <w:pStyle w:val="4"/>
        <w:spacing w:before="0" w:beforeAutospacing="0" w:after="0" w:afterAutospacing="0" w:line="480" w:lineRule="auto"/>
        <w:ind w:firstLine="480"/>
        <w:rPr>
          <w:rFonts w:hint="eastAsia" w:ascii="仿宋" w:hAnsi="仿宋" w:eastAsia="仿宋" w:cs="仿宋_GB2312"/>
          <w:color w:val="333333"/>
          <w:sz w:val="32"/>
          <w:szCs w:val="32"/>
          <w:lang w:eastAsia="zh-CN"/>
        </w:rPr>
      </w:pPr>
      <w:r>
        <w:rPr>
          <w:rFonts w:hint="eastAsia" w:ascii="仿宋" w:hAnsi="仿宋" w:eastAsia="仿宋" w:cs="仿宋_GB2312"/>
          <w:color w:val="333333"/>
          <w:sz w:val="32"/>
          <w:szCs w:val="32"/>
        </w:rPr>
        <w:t>1、</w:t>
      </w:r>
      <w:r>
        <w:rPr>
          <w:rFonts w:hint="eastAsia" w:ascii="仿宋" w:hAnsi="仿宋" w:eastAsia="仿宋" w:cs="仿宋_GB2312"/>
          <w:color w:val="333333"/>
          <w:sz w:val="32"/>
          <w:szCs w:val="32"/>
          <w:lang w:eastAsia="zh-CN"/>
        </w:rPr>
        <w:t>加强业务学习</w:t>
      </w:r>
      <w:r>
        <w:rPr>
          <w:rFonts w:hint="eastAsia" w:ascii="仿宋" w:hAnsi="仿宋" w:eastAsia="仿宋" w:cs="仿宋_GB2312"/>
          <w:color w:val="333333"/>
          <w:sz w:val="32"/>
          <w:szCs w:val="32"/>
        </w:rPr>
        <w:t>.</w:t>
      </w:r>
      <w:r>
        <w:rPr>
          <w:rFonts w:hint="eastAsia" w:ascii="仿宋" w:hAnsi="仿宋" w:eastAsia="仿宋" w:cs="仿宋_GB2312"/>
          <w:color w:val="333333"/>
          <w:sz w:val="32"/>
          <w:szCs w:val="32"/>
          <w:lang w:eastAsia="zh-CN"/>
        </w:rPr>
        <w:t>不断提高财务人员的业务水平。</w:t>
      </w:r>
    </w:p>
    <w:p>
      <w:pPr>
        <w:pStyle w:val="4"/>
        <w:spacing w:before="0" w:beforeAutospacing="0" w:after="0" w:afterAutospacing="0" w:line="480" w:lineRule="auto"/>
        <w:ind w:firstLine="480"/>
        <w:rPr>
          <w:rFonts w:ascii="仿宋" w:hAnsi="仿宋" w:eastAsia="仿宋" w:cs="仿宋_GB2312"/>
          <w:color w:val="333333"/>
          <w:sz w:val="32"/>
          <w:szCs w:val="32"/>
        </w:rPr>
      </w:pPr>
      <w:r>
        <w:rPr>
          <w:rFonts w:hint="eastAsia" w:ascii="仿宋" w:hAnsi="仿宋" w:eastAsia="仿宋" w:cs="仿宋_GB2312"/>
          <w:color w:val="333333"/>
          <w:sz w:val="32"/>
          <w:szCs w:val="32"/>
        </w:rPr>
        <w:t>2、加强绩效评价管理评价的可操作性，对相关业务人员进行相关培训，以提高业务知识水平。</w:t>
      </w:r>
    </w:p>
    <w:p>
      <w:pPr>
        <w:widowControl/>
        <w:spacing w:line="600" w:lineRule="exact"/>
        <w:ind w:firstLine="640" w:firstLineChars="200"/>
        <w:jc w:val="left"/>
        <w:rPr>
          <w:rFonts w:ascii="仿宋_GB2312" w:hAnsi="仿宋_GB2312" w:eastAsia="仿宋_GB2312" w:cs="仿宋_GB2312"/>
          <w:sz w:val="32"/>
          <w:szCs w:val="32"/>
        </w:rPr>
      </w:pPr>
    </w:p>
    <w:p>
      <w:pPr>
        <w:widowControl/>
        <w:spacing w:line="600" w:lineRule="exact"/>
        <w:ind w:firstLine="645"/>
        <w:jc w:val="left"/>
        <w:rPr>
          <w:rFonts w:eastAsia="仿宋_GB2312"/>
          <w:sz w:val="32"/>
          <w:szCs w:val="32"/>
        </w:rPr>
      </w:pPr>
    </w:p>
    <w:p>
      <w:pPr>
        <w:widowControl/>
        <w:spacing w:line="600" w:lineRule="exact"/>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1D2E5"/>
    <w:multiLevelType w:val="singleLevel"/>
    <w:tmpl w:val="7D51D2E5"/>
    <w:lvl w:ilvl="0" w:tentative="0">
      <w:start w:val="5"/>
      <w:numFmt w:val="chineseCounting"/>
      <w:suff w:val="nothing"/>
      <w:lvlText w:val="%1、"/>
      <w:lvlJc w:val="left"/>
      <w:rPr>
        <w:rFonts w:hint="eastAsia"/>
      </w:rPr>
    </w:lvl>
  </w:abstractNum>
  <w:abstractNum w:abstractNumId="1">
    <w:nsid w:val="7F274885"/>
    <w:multiLevelType w:val="multilevel"/>
    <w:tmpl w:val="7F27488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7647C"/>
    <w:rsid w:val="004F60C9"/>
    <w:rsid w:val="005833DD"/>
    <w:rsid w:val="00595424"/>
    <w:rsid w:val="005A4AB0"/>
    <w:rsid w:val="00614437"/>
    <w:rsid w:val="006370F0"/>
    <w:rsid w:val="006811E5"/>
    <w:rsid w:val="006D0CBB"/>
    <w:rsid w:val="00731B5E"/>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75FC8"/>
    <w:rsid w:val="00CC4C2C"/>
    <w:rsid w:val="00CD20A2"/>
    <w:rsid w:val="00D10324"/>
    <w:rsid w:val="00D6016D"/>
    <w:rsid w:val="00E127F9"/>
    <w:rsid w:val="00E50869"/>
    <w:rsid w:val="00EA0626"/>
    <w:rsid w:val="00F1432F"/>
    <w:rsid w:val="00F55CD7"/>
    <w:rsid w:val="00F83B39"/>
    <w:rsid w:val="00FC7FE9"/>
    <w:rsid w:val="00FE695A"/>
    <w:rsid w:val="0B8024A8"/>
    <w:rsid w:val="0C264632"/>
    <w:rsid w:val="133C4B4F"/>
    <w:rsid w:val="13F45253"/>
    <w:rsid w:val="15E642F9"/>
    <w:rsid w:val="175E1181"/>
    <w:rsid w:val="178C66A6"/>
    <w:rsid w:val="34266E78"/>
    <w:rsid w:val="35294CF2"/>
    <w:rsid w:val="378700CB"/>
    <w:rsid w:val="393C415C"/>
    <w:rsid w:val="3A93359B"/>
    <w:rsid w:val="3BA737C5"/>
    <w:rsid w:val="4CA8108C"/>
    <w:rsid w:val="51BD5B0A"/>
    <w:rsid w:val="66622FF9"/>
    <w:rsid w:val="66965352"/>
    <w:rsid w:val="670F5F71"/>
    <w:rsid w:val="67B02EB2"/>
    <w:rsid w:val="6BE515D1"/>
    <w:rsid w:val="6F1404E7"/>
    <w:rsid w:val="785958F5"/>
    <w:rsid w:val="7B23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8AC1B-1083-4D79-8AB0-CBF43A6D043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834</Words>
  <Characters>4760</Characters>
  <Lines>39</Lines>
  <Paragraphs>11</Paragraphs>
  <TotalTime>281</TotalTime>
  <ScaleCrop>false</ScaleCrop>
  <LinksUpToDate>false</LinksUpToDate>
  <CharactersWithSpaces>5583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oyss</cp:lastModifiedBy>
  <cp:lastPrinted>2021-07-01T04:26:00Z</cp:lastPrinted>
  <dcterms:modified xsi:type="dcterms:W3CDTF">2021-06-24T01:52:43Z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