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DBE" w:rsidRDefault="005672A3">
      <w:pPr>
        <w:widowControl/>
        <w:jc w:val="left"/>
        <w:rPr>
          <w:rFonts w:eastAsia="仿宋_GB2312"/>
          <w:sz w:val="32"/>
          <w:szCs w:val="32"/>
        </w:rPr>
      </w:pPr>
      <w:r>
        <w:rPr>
          <w:rFonts w:eastAsia="黑体"/>
          <w:sz w:val="32"/>
          <w:szCs w:val="32"/>
        </w:rPr>
        <w:t>附件</w:t>
      </w:r>
      <w:r>
        <w:rPr>
          <w:rFonts w:eastAsia="黑体"/>
          <w:sz w:val="32"/>
          <w:szCs w:val="32"/>
        </w:rPr>
        <w:t>1</w:t>
      </w:r>
    </w:p>
    <w:p w:rsidR="00067DBE" w:rsidRDefault="005672A3">
      <w:pPr>
        <w:spacing w:before="120" w:after="12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Layout w:type="fixed"/>
        <w:tblCellMar>
          <w:top w:w="10" w:type="dxa"/>
          <w:left w:w="10" w:type="dxa"/>
          <w:right w:w="10" w:type="dxa"/>
        </w:tblCellMar>
        <w:tblLook w:val="04A0"/>
      </w:tblPr>
      <w:tblGrid>
        <w:gridCol w:w="666"/>
        <w:gridCol w:w="867"/>
        <w:gridCol w:w="951"/>
        <w:gridCol w:w="2908"/>
        <w:gridCol w:w="4252"/>
        <w:gridCol w:w="937"/>
      </w:tblGrid>
      <w:tr w:rsidR="00067DBE">
        <w:trPr>
          <w:trHeight w:val="861"/>
          <w:tblHeader/>
          <w:jc w:val="center"/>
        </w:trPr>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一级</w:t>
            </w:r>
            <w:r>
              <w:rPr>
                <w:rFonts w:ascii="仿宋_GB2312" w:eastAsia="仿宋_GB2312" w:hAnsi="仿宋_GB2312"/>
                <w:b/>
                <w:bCs/>
                <w:szCs w:val="21"/>
              </w:rPr>
              <w:br/>
              <w:t>指标</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ind w:right="-174"/>
              <w:jc w:val="center"/>
              <w:rPr>
                <w:rFonts w:ascii="仿宋_GB2312" w:eastAsia="仿宋_GB2312" w:hAnsi="仿宋_GB2312"/>
                <w:b/>
                <w:bCs/>
                <w:szCs w:val="21"/>
              </w:rPr>
            </w:pPr>
            <w:r>
              <w:rPr>
                <w:rFonts w:ascii="仿宋_GB2312" w:eastAsia="仿宋_GB2312" w:hAnsi="仿宋_GB2312"/>
                <w:b/>
                <w:bCs/>
                <w:szCs w:val="21"/>
              </w:rPr>
              <w:t>二级</w:t>
            </w:r>
          </w:p>
          <w:p w:rsidR="00067DBE" w:rsidRDefault="005672A3">
            <w:pPr>
              <w:ind w:right="-174"/>
              <w:jc w:val="center"/>
              <w:rPr>
                <w:rFonts w:ascii="仿宋_GB2312" w:eastAsia="仿宋_GB2312" w:hAnsi="仿宋_GB2312"/>
                <w:b/>
                <w:bCs/>
                <w:szCs w:val="21"/>
              </w:rPr>
            </w:pPr>
            <w:r>
              <w:rPr>
                <w:rFonts w:ascii="仿宋_GB2312" w:eastAsia="仿宋_GB2312" w:hAnsi="仿宋_GB2312"/>
                <w:b/>
                <w:bCs/>
                <w:szCs w:val="21"/>
              </w:rPr>
              <w:t>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三级</w:t>
            </w:r>
          </w:p>
          <w:p w:rsidR="00067DBE" w:rsidRDefault="005672A3">
            <w:pPr>
              <w:jc w:val="center"/>
              <w:rPr>
                <w:rFonts w:ascii="仿宋_GB2312" w:eastAsia="仿宋_GB2312" w:hAnsi="仿宋_GB2312"/>
                <w:b/>
                <w:bCs/>
                <w:szCs w:val="21"/>
              </w:rPr>
            </w:pPr>
            <w:r>
              <w:rPr>
                <w:rFonts w:ascii="仿宋_GB2312" w:eastAsia="仿宋_GB2312" w:hAnsi="仿宋_GB2312"/>
                <w:b/>
                <w:bCs/>
                <w:szCs w:val="21"/>
              </w:rPr>
              <w:t>指标</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ind w:left="105" w:right="105"/>
              <w:jc w:val="center"/>
              <w:rPr>
                <w:rFonts w:ascii="仿宋_GB2312" w:eastAsia="仿宋_GB2312" w:hAnsi="仿宋_GB2312"/>
                <w:b/>
                <w:bCs/>
                <w:szCs w:val="21"/>
              </w:rPr>
            </w:pPr>
            <w:r>
              <w:rPr>
                <w:rFonts w:ascii="仿宋_GB2312" w:eastAsia="仿宋_GB2312" w:hAnsi="仿宋_GB2312"/>
                <w:b/>
                <w:bCs/>
                <w:szCs w:val="21"/>
              </w:rPr>
              <w:t>评分及标准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ind w:left="105" w:right="105"/>
              <w:jc w:val="center"/>
              <w:rPr>
                <w:rFonts w:ascii="仿宋_GB2312" w:eastAsia="仿宋_GB2312" w:hAnsi="仿宋_GB2312"/>
                <w:b/>
                <w:bCs/>
                <w:szCs w:val="21"/>
              </w:rPr>
            </w:pPr>
            <w:r>
              <w:rPr>
                <w:rFonts w:ascii="仿宋_GB2312" w:eastAsia="仿宋_GB2312" w:hAnsi="仿宋_GB2312"/>
                <w:b/>
                <w:bCs/>
                <w:szCs w:val="21"/>
              </w:rPr>
              <w:t>指标说明</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ind w:left="105" w:right="105"/>
              <w:jc w:val="center"/>
              <w:rPr>
                <w:rFonts w:ascii="仿宋_GB2312" w:eastAsia="仿宋_GB2312" w:hAnsi="仿宋_GB2312"/>
                <w:b/>
                <w:bCs/>
                <w:szCs w:val="21"/>
              </w:rPr>
            </w:pPr>
            <w:r>
              <w:rPr>
                <w:rFonts w:ascii="仿宋_GB2312" w:eastAsia="仿宋_GB2312" w:hAnsi="仿宋_GB2312"/>
                <w:b/>
                <w:bCs/>
                <w:szCs w:val="21"/>
              </w:rPr>
              <w:t>自评分</w:t>
            </w:r>
          </w:p>
        </w:tc>
      </w:tr>
      <w:tr w:rsidR="00067DBE">
        <w:trPr>
          <w:trHeight w:val="1667"/>
          <w:jc w:val="center"/>
        </w:trPr>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投   入 （20分）</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目标</w:t>
            </w:r>
            <w:r>
              <w:rPr>
                <w:rFonts w:ascii="仿宋_GB2312" w:eastAsia="仿宋_GB2312" w:hAnsi="仿宋_GB2312"/>
                <w:szCs w:val="21"/>
              </w:rPr>
              <w:br/>
              <w:t>设定  （14分）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绩效目标</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合理性 （6分）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每项指标评价要点加2分。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是否符合国家法律法规、国民经济和社会发展总体规划2分</w:t>
            </w:r>
            <w:r>
              <w:rPr>
                <w:rFonts w:ascii="仿宋_GB2312" w:eastAsia="仿宋_GB2312" w:hAnsi="仿宋_GB2312" w:cs="宋体"/>
                <w:szCs w:val="21"/>
              </w:rPr>
              <w:t>②</w:t>
            </w:r>
            <w:r>
              <w:rPr>
                <w:rFonts w:ascii="仿宋_GB2312" w:eastAsia="仿宋_GB2312" w:hAnsi="仿宋_GB2312"/>
                <w:szCs w:val="21"/>
              </w:rPr>
              <w:t>是否符合部门“三定”方案确定的职责2分</w:t>
            </w:r>
            <w:r>
              <w:rPr>
                <w:rFonts w:ascii="仿宋_GB2312" w:eastAsia="仿宋_GB2312" w:hAnsi="仿宋_GB2312" w:cs="宋体"/>
                <w:szCs w:val="21"/>
              </w:rPr>
              <w:t>③</w:t>
            </w:r>
            <w:r>
              <w:rPr>
                <w:rFonts w:ascii="仿宋_GB2312" w:eastAsia="仿宋_GB2312" w:hAnsi="仿宋_GB2312"/>
                <w:szCs w:val="21"/>
              </w:rPr>
              <w:t>是否符合部门制定的中长期实施规划2分</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6</w:t>
            </w:r>
          </w:p>
        </w:tc>
      </w:tr>
      <w:tr w:rsidR="00067DBE">
        <w:trPr>
          <w:trHeight w:val="2387"/>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绩效指标</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明确性 （8分）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每项指标评价要点加2分。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是否将部门整体的绩效目标细化分解为具体的工作任务2分；</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 xml:space="preserve">是否通过清晰、可衡量的指标值予以体现。    </w:t>
            </w:r>
            <w:r>
              <w:rPr>
                <w:rFonts w:ascii="仿宋_GB2312" w:eastAsia="仿宋_GB2312" w:hAnsi="仿宋_GB2312" w:cs="宋体"/>
                <w:szCs w:val="21"/>
              </w:rPr>
              <w:t>③</w:t>
            </w:r>
            <w:r>
              <w:rPr>
                <w:rFonts w:ascii="仿宋_GB2312" w:eastAsia="仿宋_GB2312" w:hAnsi="仿宋_GB2312"/>
                <w:szCs w:val="21"/>
              </w:rPr>
              <w:t>是否与部门年度的任务数或计划数相对应2分；</w:t>
            </w:r>
            <w:r>
              <w:rPr>
                <w:rFonts w:ascii="仿宋_GB2312" w:eastAsia="仿宋_GB2312" w:hAnsi="仿宋_GB2312"/>
                <w:szCs w:val="21"/>
              </w:rPr>
              <w:br/>
            </w:r>
            <w:r>
              <w:rPr>
                <w:rFonts w:ascii="仿宋_GB2312" w:eastAsia="仿宋_GB2312" w:hAnsi="仿宋_GB2312" w:cs="宋体"/>
                <w:szCs w:val="21"/>
              </w:rPr>
              <w:t>④</w:t>
            </w:r>
            <w:r>
              <w:rPr>
                <w:rFonts w:ascii="仿宋_GB2312" w:eastAsia="仿宋_GB2312" w:hAnsi="仿宋_GB2312"/>
                <w:szCs w:val="21"/>
              </w:rPr>
              <w:t>是否与本年度部门预算资金相匹配2分。</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8</w:t>
            </w:r>
          </w:p>
        </w:tc>
      </w:tr>
      <w:tr w:rsidR="00067DBE">
        <w:trPr>
          <w:trHeight w:val="2110"/>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r>
              <w:rPr>
                <w:rFonts w:ascii="仿宋_GB2312" w:eastAsia="仿宋_GB2312" w:hAnsi="仿宋_GB2312"/>
                <w:szCs w:val="21"/>
              </w:rPr>
              <w:br/>
              <w:t>配置</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（6分）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在职人员</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控制率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以100%为标准，在职人员控制率≤100%，计2分；每超过一个百分点扣0.5分，扣完为止。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在职人员控制率=（在职人员数/编制数）×100%。</w:t>
            </w:r>
            <w:r>
              <w:rPr>
                <w:rFonts w:ascii="仿宋_GB2312" w:eastAsia="仿宋_GB2312" w:hAnsi="仿宋_GB2312"/>
                <w:szCs w:val="21"/>
              </w:rPr>
              <w:br/>
              <w:t>在职人员数：部门实际在职人数，以财政部确定的部门决算编制口径为准。</w:t>
            </w:r>
            <w:r>
              <w:rPr>
                <w:rFonts w:ascii="仿宋_GB2312" w:eastAsia="仿宋_GB2312" w:hAnsi="仿宋_GB2312"/>
                <w:szCs w:val="21"/>
              </w:rPr>
              <w:br/>
              <w:t>编制数：机构编制部门核定批复的部门的人员编制数。</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829"/>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“三公经费”</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变动率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“三公经费”变动率为0，计5分；“三公经费”＞0，每超过一个百分点扣1分，扣完为止。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“三公经费”变动率=[（本年度“三公经费”总额-上年度“三公经费”总额）/上年度“三公经费”总额]×100%。</w:t>
            </w:r>
            <w:r>
              <w:rPr>
                <w:rFonts w:ascii="仿宋_GB2312" w:eastAsia="仿宋_GB2312" w:hAnsi="仿宋_GB2312"/>
                <w:szCs w:val="21"/>
              </w:rPr>
              <w:br/>
              <w:t>“三公经费”：年度预算安排的因公出国（境）费、公务车辆购置及运行费和公务招待费。</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861"/>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重点支出</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安排率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“重点支出安排率” ＞50%，计2分，每下降一个百分点扣0.5分，扣完为止。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重点支出安排率=（重点预算支出/预算总支出）×100%。</w:t>
            </w:r>
            <w:r>
              <w:rPr>
                <w:rFonts w:ascii="仿宋_GB2312" w:eastAsia="仿宋_GB2312" w:hAnsi="仿宋_GB2312"/>
                <w:szCs w:val="21"/>
              </w:rPr>
              <w:br/>
              <w:t>重点预算支出：部门年度预算安排的，与本部门履职和发展密切相关、具有明显社会和经济影响、党委政府关心或社会比较关注的预算支出支出总额。</w:t>
            </w:r>
            <w:r>
              <w:rPr>
                <w:rFonts w:ascii="仿宋_GB2312" w:eastAsia="仿宋_GB2312" w:hAnsi="仿宋_GB2312"/>
                <w:szCs w:val="21"/>
              </w:rPr>
              <w:br/>
              <w:t>预算总支出：部门年度预算安排的预算支出支出总额。</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660"/>
          <w:jc w:val="center"/>
        </w:trPr>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lastRenderedPageBreak/>
              <w:t>过</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程</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（40分）</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r>
              <w:rPr>
                <w:rFonts w:ascii="仿宋_GB2312" w:eastAsia="仿宋_GB2312" w:hAnsi="仿宋_GB2312"/>
                <w:szCs w:val="21"/>
              </w:rPr>
              <w:br/>
              <w:t>执行 （26分）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执行率 （5分）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100%计满分，每低于1%扣1分，扣完为止。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预算执行率=（预算执行数/预算数）×100%。</w:t>
            </w:r>
            <w:r>
              <w:rPr>
                <w:rFonts w:ascii="仿宋_GB2312" w:eastAsia="仿宋_GB2312" w:hAnsi="仿宋_GB2312"/>
                <w:szCs w:val="21"/>
              </w:rPr>
              <w:br/>
              <w:t>预算执行数：部门本年度实际完成的预算数。</w:t>
            </w:r>
            <w:r>
              <w:rPr>
                <w:rFonts w:ascii="仿宋_GB2312" w:eastAsia="仿宋_GB2312" w:hAnsi="仿宋_GB2312"/>
                <w:szCs w:val="21"/>
              </w:rPr>
              <w:br/>
              <w:t>预算数：财政部门批复的本年度部门预算数。</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4</w:t>
            </w:r>
          </w:p>
        </w:tc>
      </w:tr>
      <w:tr w:rsidR="00067DBE">
        <w:trPr>
          <w:trHeight w:val="2378"/>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调整率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100%计满分，每下降5%扣1分，扣完为止。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预算调整率=（预算调整数/预算数）×100%。</w:t>
            </w:r>
            <w:r>
              <w:rPr>
                <w:rFonts w:ascii="仿宋_GB2312" w:eastAsia="仿宋_GB2312" w:hAnsi="仿宋_GB2312"/>
                <w:szCs w:val="21"/>
              </w:rPr>
              <w:br/>
              <w:t>预算调整数：部门在本年度内涉及预算的追加、追减或结构调整的资金总和（因落实国家政策、发生不可抗力、上级部门或本级党委政府临时交办而产生的调整除外）。</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2819"/>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支付</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进度率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100%计满分，每低于5%扣1分，扣完为止。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支付进度率=（实际支付进度/既定支付进度）×100%。</w:t>
            </w:r>
            <w:r>
              <w:rPr>
                <w:rFonts w:ascii="仿宋_GB2312" w:eastAsia="仿宋_GB2312" w:hAnsi="仿宋_GB2312"/>
                <w:szCs w:val="21"/>
              </w:rPr>
              <w:br/>
              <w:t>实际支付进度：部门在某一时点的支出预算执行总数与年度支出预算数的比率。</w:t>
            </w:r>
            <w:r>
              <w:rPr>
                <w:rFonts w:ascii="仿宋_GB2312" w:eastAsia="仿宋_GB2312" w:hAnsi="仿宋_GB2312"/>
                <w:szCs w:val="21"/>
              </w:rPr>
              <w:br/>
              <w:t>既定支付进度：由部门在申报部门整体绩效目标时，参照序时支付进度、前三年支付进度、本级部门平均支付进度水平等确定的，在某一时点应达到的支付进度（比率）。</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1399"/>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extDirection w:val="tbRl"/>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结转</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结余率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0%计满分，每超过5%扣1分，扣完为止。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结转结余率=结转结余总额/支出预算数×100%。</w:t>
            </w:r>
            <w:r>
              <w:rPr>
                <w:rFonts w:ascii="仿宋_GB2312" w:eastAsia="仿宋_GB2312" w:hAnsi="仿宋_GB2312"/>
                <w:szCs w:val="21"/>
              </w:rPr>
              <w:br/>
              <w:t>结转结余总额：部门本年度的结转资金与结余资金之和（以决算数为准）。</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1817"/>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结转结余</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变动率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0%计满分，每超过5%扣1分，扣完为止。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结转结余变动率=[（本年度累计结转结余资金总额-上年度累计结转结余资金总额）/上年度累计结转结余资金总额]×100%。</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1829"/>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公用经费</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控制率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100%以下（含）计满分，每超出1%扣1分，扣完为止。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公用经费控制率=（实际支出公用经费总额/预算安排公用经费总额）×100%。</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1944"/>
          <w:jc w:val="center"/>
        </w:trPr>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lastRenderedPageBreak/>
              <w:t>过</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程  （40分）</w:t>
            </w:r>
          </w:p>
        </w:tc>
        <w:tc>
          <w:tcPr>
            <w:tcW w:w="867" w:type="dxa"/>
            <w:vMerge w:val="restart"/>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r>
              <w:rPr>
                <w:rFonts w:ascii="仿宋_GB2312" w:eastAsia="仿宋_GB2312" w:hAnsi="仿宋_GB2312"/>
                <w:szCs w:val="21"/>
              </w:rPr>
              <w:br/>
              <w:t>执行 （26分）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“三公经费”控制率（3分）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100%以下（含）计满分，每超出1%扣1分，扣完为止。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“三公经费”控制率=（“三公经费”实际支出数/“三公经费”预算安排数）×100%。</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2098"/>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政府采购</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执行率 （3分）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100%计满分，每超过（降低）5%扣1分，扣完为止。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政府采购执行率=（实际政府采购金额/政府采购预算数）×100%；</w:t>
            </w:r>
            <w:r>
              <w:rPr>
                <w:rFonts w:ascii="仿宋_GB2312" w:eastAsia="仿宋_GB2312" w:hAnsi="仿宋_GB2312"/>
                <w:szCs w:val="21"/>
              </w:rPr>
              <w:br/>
              <w:t xml:space="preserve">政府采购预算：采购机关根据事业发展计划和行政任务编制的、并经过规定程序批准的年度政府采购计划。 </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2398"/>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067DBE">
            <w:pPr>
              <w:spacing w:line="320" w:lineRule="exact"/>
              <w:jc w:val="center"/>
              <w:rPr>
                <w:rFonts w:ascii="仿宋_GB2312" w:eastAsia="仿宋_GB2312" w:hAnsi="仿宋_GB2312"/>
                <w:szCs w:val="21"/>
              </w:rPr>
            </w:pP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管理  （8分）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管理制度</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健全性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1.有内部财务管理制度，会计核算制度等管理制度，0.5分；2.有本部门厉行节约制度，0.5分；3.相关管理制度合法、合规、完整，0.5分；4.相关管理制度得到有效执行，0.5分。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是否已制定或具有预算资金管理办法、内部财务管理制度、会计核算制度等管理制度；</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相关管理制度是否合法、合规、完整；</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相关管理制度是否得到有效执行。</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3509"/>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资金使用</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合规性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00" w:lineRule="exact"/>
              <w:rPr>
                <w:rFonts w:ascii="仿宋_GB2312" w:eastAsia="仿宋_GB2312" w:hAnsi="仿宋_GB2312"/>
                <w:szCs w:val="21"/>
              </w:rPr>
            </w:pPr>
            <w:r>
              <w:rPr>
                <w:rFonts w:ascii="仿宋_GB2312" w:eastAsia="仿宋_GB2312" w:hAnsi="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以上情况每出现一例不符合要求的扣0.5分，扣完为止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是否符合国家财经法规和财务管理制度规定以及有关预算支出管理办法的规定；</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资金的拨付是否有完整的审批程序和手续；</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预算支出的重大开支是否经过评估论证；</w:t>
            </w:r>
            <w:r>
              <w:rPr>
                <w:rFonts w:ascii="仿宋_GB2312" w:eastAsia="仿宋_GB2312" w:hAnsi="仿宋_GB2312"/>
                <w:szCs w:val="21"/>
              </w:rPr>
              <w:br/>
            </w:r>
            <w:r>
              <w:rPr>
                <w:rFonts w:ascii="仿宋_GB2312" w:eastAsia="仿宋_GB2312" w:hAnsi="仿宋_GB2312" w:cs="宋体"/>
                <w:szCs w:val="21"/>
              </w:rPr>
              <w:t>④</w:t>
            </w:r>
            <w:r>
              <w:rPr>
                <w:rFonts w:ascii="仿宋_GB2312" w:eastAsia="仿宋_GB2312" w:hAnsi="仿宋_GB2312"/>
                <w:szCs w:val="21"/>
              </w:rPr>
              <w:t>是否符合部门预算批复的用途；</w:t>
            </w:r>
            <w:r>
              <w:rPr>
                <w:rFonts w:ascii="仿宋_GB2312" w:eastAsia="仿宋_GB2312" w:hAnsi="仿宋_GB2312"/>
                <w:szCs w:val="21"/>
              </w:rPr>
              <w:br/>
            </w:r>
            <w:r>
              <w:rPr>
                <w:rFonts w:ascii="仿宋_GB2312" w:eastAsia="仿宋_GB2312" w:hAnsi="仿宋_GB2312" w:cs="宋体"/>
                <w:szCs w:val="21"/>
              </w:rPr>
              <w:t>⑤</w:t>
            </w:r>
            <w:r>
              <w:rPr>
                <w:rFonts w:ascii="仿宋_GB2312" w:eastAsia="仿宋_GB2312" w:hAnsi="仿宋_GB2312"/>
                <w:szCs w:val="21"/>
              </w:rPr>
              <w:t>是否存在截留、挤占、挪用、虚列支出等情况。</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813"/>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预决算信</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息公开性（2分）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部门预算、执行、决算、监督、绩效等管理相关的信息未公开，每一项扣0.5分，扣完为止。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是否按规定内容公开预决算信息；</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是否按规定时限公开预决算信息。</w:t>
            </w:r>
            <w:r>
              <w:rPr>
                <w:rFonts w:ascii="仿宋_GB2312" w:eastAsia="仿宋_GB2312" w:hAnsi="仿宋_GB2312"/>
                <w:szCs w:val="21"/>
              </w:rPr>
              <w:br/>
              <w:t>预决算信息是指与部门预算、执行、决算、监督、绩效等管理相关的信息。</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802"/>
          <w:jc w:val="center"/>
        </w:trPr>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lastRenderedPageBreak/>
              <w:t>过</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程  （40分）</w:t>
            </w:r>
          </w:p>
        </w:tc>
        <w:tc>
          <w:tcPr>
            <w:tcW w:w="86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预算</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管理   （8分）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基础信息</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完善性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部门基础信息是否完善，缺一项扣0.5分，扣完为止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基础数据信息和会计信息资料是否真实；</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基础数据信息和会计信息资料是否完整；</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基础数据信息和会计信息资料是否准确。</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2219"/>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extDirection w:val="tbRl"/>
            <w:vAlign w:val="center"/>
          </w:tcPr>
          <w:p w:rsidR="00067DBE" w:rsidRDefault="00067DBE">
            <w:pPr>
              <w:spacing w:line="320" w:lineRule="exact"/>
              <w:jc w:val="center"/>
              <w:rPr>
                <w:rFonts w:ascii="仿宋_GB2312" w:eastAsia="仿宋_GB2312" w:hAnsi="仿宋_GB2312"/>
                <w:szCs w:val="21"/>
              </w:rPr>
            </w:pP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资产</w:t>
            </w:r>
            <w:r>
              <w:rPr>
                <w:rFonts w:ascii="仿宋_GB2312" w:eastAsia="仿宋_GB2312" w:hAnsi="仿宋_GB2312"/>
                <w:szCs w:val="21"/>
              </w:rPr>
              <w:br/>
              <w:t>管理  （6分）</w:t>
            </w:r>
          </w:p>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管理制度</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健全性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部门有加强资产管理、规范资产管理行为而制定的管理制度的计1分；有效执行相关文件的计1分。反之不计分。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 xml:space="preserve">是否已制定或具有资产管理制度；           </w:t>
            </w:r>
            <w:r>
              <w:rPr>
                <w:rFonts w:ascii="仿宋_GB2312" w:eastAsia="仿宋_GB2312" w:hAnsi="仿宋_GB2312" w:cs="宋体"/>
                <w:szCs w:val="21"/>
              </w:rPr>
              <w:t>②</w:t>
            </w:r>
            <w:r>
              <w:rPr>
                <w:rFonts w:ascii="仿宋_GB2312" w:eastAsia="仿宋_GB2312" w:hAnsi="仿宋_GB2312"/>
                <w:szCs w:val="21"/>
              </w:rPr>
              <w:t>相关资金管理制度是否合法、合规、完整；</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相关资产管理制度是否得到有效执行。</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2837"/>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jc w:val="center"/>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资产管理</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安全性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761"/>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部门的资产是否保存完整、使用合规、配置合理、处置规范、收入及时足额上缴计满分，每一项不达标扣0.5分，扣完为止。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资产保存是否完整；</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资产配置是否合理；</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资产处置是否规范；</w:t>
            </w:r>
            <w:r>
              <w:rPr>
                <w:rFonts w:ascii="仿宋_GB2312" w:eastAsia="仿宋_GB2312" w:hAnsi="仿宋_GB2312"/>
                <w:szCs w:val="21"/>
              </w:rPr>
              <w:br/>
            </w:r>
            <w:r>
              <w:rPr>
                <w:rFonts w:ascii="仿宋_GB2312" w:eastAsia="仿宋_GB2312" w:hAnsi="仿宋_GB2312" w:cs="宋体"/>
                <w:szCs w:val="21"/>
              </w:rPr>
              <w:t>④</w:t>
            </w:r>
            <w:r>
              <w:rPr>
                <w:rFonts w:ascii="仿宋_GB2312" w:eastAsia="仿宋_GB2312" w:hAnsi="仿宋_GB2312"/>
                <w:szCs w:val="21"/>
              </w:rPr>
              <w:t>资产账务管理是否合规，是否帐实相符；</w:t>
            </w:r>
            <w:r>
              <w:rPr>
                <w:rFonts w:ascii="仿宋_GB2312" w:eastAsia="仿宋_GB2312" w:hAnsi="仿宋_GB2312"/>
                <w:szCs w:val="21"/>
              </w:rPr>
              <w:br/>
            </w:r>
            <w:r>
              <w:rPr>
                <w:rFonts w:ascii="仿宋_GB2312" w:eastAsia="仿宋_GB2312" w:hAnsi="仿宋_GB2312" w:cs="宋体"/>
                <w:szCs w:val="21"/>
              </w:rPr>
              <w:t>⑤</w:t>
            </w:r>
            <w:r>
              <w:rPr>
                <w:rFonts w:ascii="仿宋_GB2312" w:eastAsia="仿宋_GB2312" w:hAnsi="仿宋_GB2312"/>
                <w:szCs w:val="21"/>
              </w:rPr>
              <w:t>资产是否有偿使用及处置收入及时足额上缴。</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995"/>
          <w:jc w:val="center"/>
        </w:trPr>
        <w:tc>
          <w:tcPr>
            <w:tcW w:w="6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固定资产</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利用率 （2分）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100%计满分，每降低5%扣1分，扣完为止。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固定资产利用率=（实际在用固定资产总额/所有固定资产总额）×100%。</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2799"/>
          <w:jc w:val="center"/>
        </w:trPr>
        <w:tc>
          <w:tcPr>
            <w:tcW w:w="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产出（20分）</w:t>
            </w:r>
          </w:p>
        </w:tc>
        <w:tc>
          <w:tcPr>
            <w:tcW w:w="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职责</w:t>
            </w:r>
            <w:r>
              <w:rPr>
                <w:rFonts w:ascii="仿宋_GB2312" w:eastAsia="仿宋_GB2312" w:hAnsi="仿宋_GB2312"/>
                <w:szCs w:val="21"/>
              </w:rPr>
              <w:br/>
              <w:t>履行 （20分）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实际</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完成率 （5分）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100%计满分，每超过1%扣1分，扣完为止。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实际完成率=（实际完成工作数/计划工作数）×100%。</w:t>
            </w:r>
            <w:r>
              <w:rPr>
                <w:rFonts w:ascii="仿宋_GB2312" w:eastAsia="仿宋_GB2312" w:hAnsi="仿宋_GB2312"/>
                <w:szCs w:val="21"/>
              </w:rPr>
              <w:br/>
              <w:t>实际完成工作数：一定时期（年度或规划期）内部门实际完成工作任务的数量。</w:t>
            </w:r>
            <w:r>
              <w:rPr>
                <w:rFonts w:ascii="仿宋_GB2312" w:eastAsia="仿宋_GB2312" w:hAnsi="仿宋_GB2312"/>
                <w:szCs w:val="21"/>
              </w:rPr>
              <w:br/>
              <w:t>计划工作数：部门整体绩效目标确定的一定时期（年度或规划期）内预计完成工作任务的数量。</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635"/>
          <w:jc w:val="center"/>
        </w:trPr>
        <w:tc>
          <w:tcPr>
            <w:tcW w:w="665" w:type="dxa"/>
            <w:vMerge w:val="restart"/>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lastRenderedPageBreak/>
              <w:t>产</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出</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（20分）</w:t>
            </w:r>
          </w:p>
        </w:tc>
        <w:tc>
          <w:tcPr>
            <w:tcW w:w="867" w:type="dxa"/>
            <w:vMerge w:val="restart"/>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职责</w:t>
            </w:r>
            <w:r>
              <w:rPr>
                <w:rFonts w:ascii="仿宋_GB2312" w:eastAsia="仿宋_GB2312" w:hAnsi="仿宋_GB2312"/>
                <w:szCs w:val="21"/>
              </w:rPr>
              <w:br/>
              <w:t>履行 （20分）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完成</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及时率 （5分）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100%以下（含）计满分，每超出1%扣1分，扣完为止。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完成及时率=（及时完成实际工作数/计划工作数）×100%。</w:t>
            </w:r>
            <w:r>
              <w:rPr>
                <w:rFonts w:ascii="仿宋_GB2312" w:eastAsia="仿宋_GB2312" w:hAnsi="仿宋_GB2312"/>
                <w:szCs w:val="21"/>
              </w:rPr>
              <w:br/>
              <w:t>及时完成实际工作数：部门按照整体绩效目标确定的时限实际完成的工作任务数量。</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737"/>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质量</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达标率 （5分）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100%计满分，每超过1%扣1分，扣完为止。</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质量达标率=（质量达标实际工作数/计划工作数）×100%。</w:t>
            </w:r>
            <w:r>
              <w:rPr>
                <w:rFonts w:ascii="仿宋_GB2312" w:eastAsia="仿宋_GB2312" w:hAnsi="仿宋_GB2312"/>
                <w:szCs w:val="21"/>
              </w:rPr>
              <w:br/>
              <w:t>质量达标实际工作数：一定时期（年度或规划期）内部门实际完成工作数中达到部门绩效目标要求（绩效标准值）的工作任务数量。</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470"/>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重点工作</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办结率 （5分）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根据绩效办2019年对各部门为民办实事和部门重点工程与重点工作考核分数折算。该项得分=（绩效办对应部分考核得分）</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重点工作办结率=（重点工作实际完成数/交办或下达数）×100%。</w:t>
            </w:r>
            <w:r>
              <w:rPr>
                <w:rFonts w:ascii="仿宋_GB2312" w:eastAsia="仿宋_GB2312" w:hAnsi="仿宋_GB2312"/>
                <w:szCs w:val="21"/>
              </w:rPr>
              <w:br/>
              <w:t>重点工作是指党委、政府、人大、相关部门交办或下达的工作任务。</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735"/>
          <w:jc w:val="center"/>
        </w:trPr>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效</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果</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（20分）</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履职</w:t>
            </w:r>
            <w:r>
              <w:rPr>
                <w:rFonts w:ascii="仿宋_GB2312" w:eastAsia="仿宋_GB2312" w:hAnsi="仿宋_GB2312"/>
                <w:szCs w:val="21"/>
              </w:rPr>
              <w:br/>
              <w:t>效益 （20分）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经济效益（5分）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部门履行职责对经济发展所带来的直接或间接影响。</w:t>
            </w:r>
          </w:p>
        </w:tc>
        <w:tc>
          <w:tcPr>
            <w:tcW w:w="42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4</w:t>
            </w:r>
          </w:p>
        </w:tc>
      </w:tr>
      <w:tr w:rsidR="00067DBE">
        <w:trPr>
          <w:trHeight w:val="735"/>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社会效益（5分）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部门履行职责对社会发展所带来的直接或间接影响。</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ind w:left="105" w:right="105"/>
              <w:rPr>
                <w:rFonts w:ascii="仿宋_GB2312" w:eastAsia="仿宋_GB2312" w:hAnsi="仿宋_GB2312"/>
                <w:szCs w:val="21"/>
              </w:rPr>
            </w:pP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735"/>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生态效益（5分）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部门履行职责对生态环境所带来的直接或间接影响。</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ind w:left="105" w:right="105"/>
              <w:rPr>
                <w:rFonts w:ascii="仿宋_GB2312" w:eastAsia="仿宋_GB2312" w:hAnsi="仿宋_GB2312"/>
                <w:szCs w:val="21"/>
              </w:rPr>
            </w:pP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312"/>
          <w:jc w:val="center"/>
        </w:trPr>
        <w:tc>
          <w:tcPr>
            <w:tcW w:w="665"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867" w:type="dxa"/>
            <w:vMerge/>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320" w:lineRule="exact"/>
              <w:rPr>
                <w:rFonts w:ascii="仿宋_GB2312" w:eastAsia="仿宋_GB2312" w:hAnsi="仿宋_GB2312"/>
                <w:szCs w:val="21"/>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社会公众</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或服务对</w:t>
            </w:r>
          </w:p>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象满意度（5分）</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社会公众或部门的服务对象对部门履职效果的满意程度。</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320" w:lineRule="exact"/>
              <w:ind w:left="105" w:right="105"/>
              <w:rPr>
                <w:rFonts w:ascii="仿宋_GB2312" w:eastAsia="仿宋_GB2312" w:hAnsi="仿宋_GB2312"/>
                <w:szCs w:val="21"/>
              </w:rPr>
            </w:pPr>
            <w:r>
              <w:rPr>
                <w:rFonts w:ascii="仿宋_GB2312" w:eastAsia="仿宋_GB2312" w:hAnsi="仿宋_GB2312"/>
                <w:szCs w:val="21"/>
              </w:rPr>
              <w:t>社会公众或服务对象是指部门履行职责而影响到的部门、群体或个人。一般采取社会调查的方式。</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312"/>
          <w:jc w:val="center"/>
        </w:trPr>
        <w:tc>
          <w:tcPr>
            <w:tcW w:w="9643" w:type="dxa"/>
            <w:gridSpan w:val="5"/>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jc w:val="center"/>
              <w:rPr>
                <w:rFonts w:ascii="仿宋_GB2312" w:eastAsia="仿宋_GB2312" w:hAnsi="仿宋_GB2312"/>
                <w:szCs w:val="21"/>
              </w:rPr>
            </w:pPr>
            <w:r>
              <w:rPr>
                <w:rFonts w:ascii="仿宋_GB2312" w:eastAsia="仿宋_GB2312" w:hAnsi="仿宋_GB2312"/>
                <w:szCs w:val="21"/>
              </w:rPr>
              <w:t>总   分</w:t>
            </w:r>
          </w:p>
        </w:tc>
        <w:tc>
          <w:tcPr>
            <w:tcW w:w="937"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320" w:lineRule="exact"/>
              <w:ind w:left="105" w:right="105"/>
              <w:jc w:val="center"/>
              <w:rPr>
                <w:rFonts w:ascii="仿宋_GB2312" w:eastAsia="仿宋_GB2312" w:hAnsi="仿宋_GB2312"/>
                <w:szCs w:val="21"/>
              </w:rPr>
            </w:pPr>
            <w:r>
              <w:rPr>
                <w:rFonts w:ascii="仿宋_GB2312" w:eastAsia="仿宋_GB2312" w:hAnsi="仿宋_GB2312"/>
                <w:szCs w:val="21"/>
              </w:rPr>
              <w:t>98</w:t>
            </w:r>
          </w:p>
        </w:tc>
      </w:tr>
    </w:tbl>
    <w:p w:rsidR="00067DBE" w:rsidRDefault="00067DBE"/>
    <w:p w:rsidR="00067DBE" w:rsidRDefault="005672A3">
      <w:pPr>
        <w:widowControl/>
        <w:jc w:val="left"/>
      </w:pPr>
      <w:r>
        <w:br w:type="page"/>
      </w:r>
    </w:p>
    <w:p w:rsidR="00067DBE" w:rsidRDefault="005672A3">
      <w:pPr>
        <w:widowControl/>
        <w:jc w:val="left"/>
        <w:rPr>
          <w:rFonts w:eastAsia="仿宋_GB2312"/>
          <w:sz w:val="32"/>
          <w:szCs w:val="32"/>
        </w:rPr>
      </w:pPr>
      <w:r>
        <w:rPr>
          <w:rFonts w:eastAsia="黑体"/>
          <w:sz w:val="32"/>
          <w:szCs w:val="32"/>
        </w:rPr>
        <w:lastRenderedPageBreak/>
        <w:t>附件</w:t>
      </w:r>
      <w:r>
        <w:rPr>
          <w:rFonts w:eastAsia="黑体"/>
          <w:sz w:val="32"/>
          <w:szCs w:val="32"/>
        </w:rPr>
        <w:t>2</w:t>
      </w:r>
    </w:p>
    <w:p w:rsidR="00067DBE" w:rsidRDefault="005672A3">
      <w:pPr>
        <w:jc w:val="center"/>
        <w:rPr>
          <w:rFonts w:ascii="仿宋" w:eastAsia="仿宋" w:hAnsi="仿宋"/>
          <w:b/>
          <w:bCs/>
          <w:sz w:val="44"/>
          <w:szCs w:val="44"/>
        </w:rPr>
      </w:pPr>
      <w:r>
        <w:rPr>
          <w:rFonts w:ascii="仿宋" w:eastAsia="仿宋" w:hAnsi="仿宋"/>
          <w:b/>
          <w:bCs/>
          <w:sz w:val="44"/>
          <w:szCs w:val="44"/>
        </w:rPr>
        <w:t>部门整体支出绩效评价基础数据表</w:t>
      </w:r>
    </w:p>
    <w:p w:rsidR="00067DBE" w:rsidRDefault="005672A3">
      <w:pPr>
        <w:rPr>
          <w:rFonts w:ascii="仿宋" w:eastAsia="仿宋" w:hAnsi="仿宋"/>
        </w:rPr>
      </w:pPr>
      <w:r>
        <w:rPr>
          <w:rFonts w:ascii="仿宋" w:eastAsia="仿宋" w:hAnsi="仿宋"/>
        </w:rPr>
        <w:t>填报单位：鹤城区教育局</w:t>
      </w:r>
    </w:p>
    <w:tbl>
      <w:tblPr>
        <w:tblW w:w="10314" w:type="dxa"/>
        <w:jc w:val="center"/>
        <w:tblLayout w:type="fixed"/>
        <w:tblLook w:val="04A0"/>
      </w:tblPr>
      <w:tblGrid>
        <w:gridCol w:w="3597"/>
        <w:gridCol w:w="2181"/>
        <w:gridCol w:w="2292"/>
        <w:gridCol w:w="2244"/>
      </w:tblGrid>
      <w:tr w:rsidR="00067DBE">
        <w:trPr>
          <w:trHeight w:val="452"/>
          <w:jc w:val="center"/>
        </w:trPr>
        <w:tc>
          <w:tcPr>
            <w:tcW w:w="3596" w:type="dxa"/>
            <w:vMerge w:val="restart"/>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财政供养人员情况</w:t>
            </w:r>
          </w:p>
        </w:tc>
        <w:tc>
          <w:tcPr>
            <w:tcW w:w="2181"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编制数</w:t>
            </w:r>
          </w:p>
        </w:tc>
        <w:tc>
          <w:tcPr>
            <w:tcW w:w="2292"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2020年实际在职人数</w:t>
            </w:r>
          </w:p>
        </w:tc>
        <w:tc>
          <w:tcPr>
            <w:tcW w:w="2244"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控制率</w:t>
            </w:r>
          </w:p>
        </w:tc>
      </w:tr>
      <w:tr w:rsidR="00067DBE">
        <w:trPr>
          <w:trHeight w:val="459"/>
          <w:jc w:val="center"/>
        </w:trPr>
        <w:tc>
          <w:tcPr>
            <w:tcW w:w="3596" w:type="dxa"/>
            <w:vMerge/>
            <w:tcBorders>
              <w:top w:val="single" w:sz="4" w:space="0" w:color="000000"/>
              <w:left w:val="single" w:sz="4" w:space="0" w:color="000000"/>
              <w:bottom w:val="single" w:sz="4" w:space="0" w:color="000000"/>
              <w:right w:val="single" w:sz="4" w:space="0" w:color="000000"/>
            </w:tcBorders>
            <w:vAlign w:val="center"/>
          </w:tcPr>
          <w:p w:rsidR="00067DBE" w:rsidRDefault="00067DBE">
            <w:pPr>
              <w:spacing w:line="440" w:lineRule="exact"/>
              <w:jc w:val="left"/>
              <w:rPr>
                <w:rFonts w:ascii="仿宋" w:eastAsia="仿宋" w:hAnsi="仿宋"/>
              </w:rPr>
            </w:pPr>
          </w:p>
        </w:tc>
        <w:tc>
          <w:tcPr>
            <w:tcW w:w="2181"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79</w:t>
            </w:r>
          </w:p>
        </w:tc>
        <w:tc>
          <w:tcPr>
            <w:tcW w:w="2292"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78</w:t>
            </w:r>
          </w:p>
        </w:tc>
        <w:tc>
          <w:tcPr>
            <w:tcW w:w="2244"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98.73%</w:t>
            </w: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经费控制情况</w:t>
            </w:r>
          </w:p>
        </w:tc>
        <w:tc>
          <w:tcPr>
            <w:tcW w:w="2181"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2019年决算数</w:t>
            </w:r>
          </w:p>
        </w:tc>
        <w:tc>
          <w:tcPr>
            <w:tcW w:w="2292"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2020年预算数</w:t>
            </w:r>
          </w:p>
        </w:tc>
        <w:tc>
          <w:tcPr>
            <w:tcW w:w="2244"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2020</w:t>
            </w:r>
            <w:bookmarkStart w:id="0" w:name="_GoBack"/>
            <w:bookmarkEnd w:id="0"/>
            <w:r>
              <w:rPr>
                <w:rFonts w:ascii="仿宋" w:eastAsia="仿宋" w:hAnsi="仿宋"/>
              </w:rPr>
              <w:t>年决算数</w:t>
            </w:r>
          </w:p>
        </w:tc>
      </w:tr>
      <w:tr w:rsidR="00067DBE">
        <w:trPr>
          <w:trHeight w:val="429"/>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三公经费</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 xml:space="preserve">      4.34万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 xml:space="preserve">      5万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 xml:space="preserve">      4.65万</w:t>
            </w:r>
          </w:p>
        </w:tc>
      </w:tr>
      <w:tr w:rsidR="00067DBE">
        <w:trPr>
          <w:trHeight w:val="449"/>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1、公务用车购置和维护经费</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40"/>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其中：公车购置</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公车运行维护</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4万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4万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4万</w:t>
            </w: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2、出国经费</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3、公务接待</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0.34万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1万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0.65万</w:t>
            </w:r>
          </w:p>
        </w:tc>
      </w:tr>
      <w:tr w:rsidR="00067DBE">
        <w:trPr>
          <w:trHeight w:val="476"/>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项目支出：</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1、业务工作专项</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2、运行维护专项</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w:t>
            </w:r>
            <w:r>
              <w:rPr>
                <w:rFonts w:ascii="宋体" w:hAnsi="宋体" w:cs="宋体"/>
              </w:rPr>
              <w:t> </w:t>
            </w:r>
            <w:r>
              <w:rPr>
                <w:rFonts w:ascii="仿宋" w:eastAsia="仿宋" w:hAnsi="仿宋"/>
              </w:rPr>
              <w:t>…</w:t>
            </w:r>
          </w:p>
        </w:tc>
        <w:tc>
          <w:tcPr>
            <w:tcW w:w="2181"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公用经费</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977.9万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91.9万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948.9万</w:t>
            </w: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其中：办公经费</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45.14万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4万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14万</w:t>
            </w:r>
          </w:p>
        </w:tc>
      </w:tr>
      <w:tr w:rsidR="00067DBE">
        <w:trPr>
          <w:trHeight w:val="476"/>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水费、电费、差旅费</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25.2万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20万</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16.4万</w:t>
            </w:r>
          </w:p>
        </w:tc>
      </w:tr>
      <w:tr w:rsidR="00067DBE">
        <w:trPr>
          <w:trHeight w:val="494"/>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会议费、培训费</w:t>
            </w:r>
          </w:p>
        </w:tc>
        <w:tc>
          <w:tcPr>
            <w:tcW w:w="2181"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127.8万</w:t>
            </w:r>
          </w:p>
        </w:tc>
        <w:tc>
          <w:tcPr>
            <w:tcW w:w="2292"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0万元</w:t>
            </w:r>
          </w:p>
        </w:tc>
        <w:tc>
          <w:tcPr>
            <w:tcW w:w="2244" w:type="dxa"/>
            <w:tcBorders>
              <w:top w:val="single" w:sz="4" w:space="0" w:color="000000"/>
              <w:bottom w:val="single" w:sz="4" w:space="0" w:color="000000"/>
              <w:right w:val="single" w:sz="4" w:space="0" w:color="000000"/>
            </w:tcBorders>
          </w:tcPr>
          <w:p w:rsidR="00067DBE" w:rsidRDefault="005672A3">
            <w:pPr>
              <w:spacing w:line="440" w:lineRule="exact"/>
              <w:rPr>
                <w:rFonts w:ascii="仿宋" w:eastAsia="仿宋" w:hAnsi="仿宋"/>
              </w:rPr>
            </w:pPr>
            <w:r>
              <w:rPr>
                <w:rFonts w:ascii="仿宋" w:eastAsia="仿宋" w:hAnsi="仿宋"/>
              </w:rPr>
              <w:t>5.6万元</w:t>
            </w:r>
          </w:p>
        </w:tc>
      </w:tr>
      <w:tr w:rsidR="00067DBE">
        <w:trPr>
          <w:trHeight w:val="405"/>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政府采购金额</w:t>
            </w:r>
          </w:p>
        </w:tc>
        <w:tc>
          <w:tcPr>
            <w:tcW w:w="2181"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 —</w:t>
            </w: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r w:rsidR="00067DBE">
        <w:trPr>
          <w:trHeight w:val="369"/>
          <w:jc w:val="center"/>
        </w:trPr>
        <w:tc>
          <w:tcPr>
            <w:tcW w:w="3596" w:type="dxa"/>
            <w:tcBorders>
              <w:top w:val="single" w:sz="4" w:space="0" w:color="000000"/>
              <w:left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部门整体支出预算调整</w:t>
            </w:r>
          </w:p>
        </w:tc>
        <w:tc>
          <w:tcPr>
            <w:tcW w:w="2181" w:type="dxa"/>
            <w:tcBorders>
              <w:top w:val="single" w:sz="4" w:space="0" w:color="000000"/>
              <w:bottom w:val="single" w:sz="4" w:space="0" w:color="000000"/>
              <w:right w:val="single" w:sz="4" w:space="0" w:color="000000"/>
            </w:tcBorders>
            <w:vAlign w:val="center"/>
          </w:tcPr>
          <w:p w:rsidR="00067DBE" w:rsidRDefault="005672A3">
            <w:pPr>
              <w:spacing w:line="440" w:lineRule="exact"/>
              <w:jc w:val="center"/>
              <w:rPr>
                <w:rFonts w:ascii="仿宋" w:eastAsia="仿宋" w:hAnsi="仿宋"/>
              </w:rPr>
            </w:pPr>
            <w:r>
              <w:rPr>
                <w:rFonts w:ascii="仿宋" w:eastAsia="仿宋" w:hAnsi="仿宋"/>
              </w:rPr>
              <w:t>— —</w:t>
            </w:r>
          </w:p>
        </w:tc>
        <w:tc>
          <w:tcPr>
            <w:tcW w:w="2292"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c>
          <w:tcPr>
            <w:tcW w:w="2244" w:type="dxa"/>
            <w:tcBorders>
              <w:top w:val="single" w:sz="4" w:space="0" w:color="000000"/>
              <w:bottom w:val="single" w:sz="4" w:space="0" w:color="000000"/>
              <w:right w:val="single" w:sz="4" w:space="0" w:color="000000"/>
            </w:tcBorders>
          </w:tcPr>
          <w:p w:rsidR="00067DBE" w:rsidRDefault="00067DBE">
            <w:pPr>
              <w:spacing w:line="440" w:lineRule="exact"/>
              <w:rPr>
                <w:rFonts w:ascii="仿宋" w:eastAsia="仿宋" w:hAnsi="仿宋"/>
              </w:rPr>
            </w:pPr>
          </w:p>
        </w:tc>
      </w:tr>
    </w:tbl>
    <w:p w:rsidR="00067DBE" w:rsidRDefault="005672A3">
      <w:pPr>
        <w:spacing w:line="400" w:lineRule="exact"/>
        <w:rPr>
          <w:rFonts w:ascii="仿宋" w:eastAsia="仿宋" w:hAnsi="仿宋"/>
        </w:rPr>
      </w:pPr>
      <w:r>
        <w:rPr>
          <w:rFonts w:ascii="仿宋" w:eastAsia="仿宋" w:hAnsi="仿宋"/>
        </w:rPr>
        <w:t>说明：“项目支出”需要填报除专项资金和基本支出以外的所有项目情况，包括业务工作项目、运行维护项目等；“公用经费”填报基本支出中的一般商品和服务支出。</w:t>
      </w:r>
    </w:p>
    <w:p w:rsidR="00067DBE" w:rsidRDefault="00067DBE"/>
    <w:p w:rsidR="00067DBE" w:rsidRDefault="00067DBE"/>
    <w:p w:rsidR="00067DBE" w:rsidRDefault="00067DBE"/>
    <w:p w:rsidR="00067DBE" w:rsidRDefault="00067DBE"/>
    <w:p w:rsidR="00067DBE" w:rsidRDefault="00067DBE"/>
    <w:p w:rsidR="00067DBE" w:rsidRDefault="00067DBE"/>
    <w:p w:rsidR="00067DBE" w:rsidRDefault="00067DBE"/>
    <w:p w:rsidR="00067DBE" w:rsidRDefault="005672A3">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kern w:val="0"/>
          <w:sz w:val="32"/>
          <w:szCs w:val="32"/>
        </w:rPr>
        <w:t>3</w:t>
      </w:r>
    </w:p>
    <w:p w:rsidR="00067DBE" w:rsidRDefault="00067DBE">
      <w:pPr>
        <w:widowControl/>
        <w:spacing w:line="600" w:lineRule="exact"/>
        <w:jc w:val="left"/>
        <w:rPr>
          <w:rFonts w:eastAsia="黑体"/>
          <w:kern w:val="0"/>
          <w:sz w:val="32"/>
          <w:szCs w:val="32"/>
        </w:rPr>
      </w:pPr>
    </w:p>
    <w:p w:rsidR="00067DBE" w:rsidRDefault="005672A3">
      <w:pPr>
        <w:spacing w:line="600" w:lineRule="exact"/>
        <w:jc w:val="center"/>
        <w:rPr>
          <w:rFonts w:eastAsia="方正小标宋_GBK"/>
          <w:sz w:val="32"/>
          <w:szCs w:val="32"/>
        </w:rPr>
      </w:pPr>
      <w:r>
        <w:rPr>
          <w:rFonts w:eastAsia="方正小标宋_GBK"/>
          <w:sz w:val="36"/>
          <w:szCs w:val="36"/>
        </w:rPr>
        <w:t>部门整体支出绩效评价报告</w:t>
      </w:r>
    </w:p>
    <w:p w:rsidR="00067DBE" w:rsidRDefault="00067DBE">
      <w:pPr>
        <w:spacing w:line="600" w:lineRule="exact"/>
        <w:jc w:val="center"/>
        <w:rPr>
          <w:rFonts w:eastAsia="方正小标宋_GBK"/>
          <w:sz w:val="32"/>
          <w:szCs w:val="32"/>
        </w:rPr>
      </w:pPr>
    </w:p>
    <w:p w:rsidR="00067DBE" w:rsidRDefault="005672A3">
      <w:pPr>
        <w:pStyle w:val="a3"/>
        <w:widowControl/>
        <w:numPr>
          <w:ilvl w:val="0"/>
          <w:numId w:val="6"/>
        </w:numPr>
        <w:spacing w:line="600" w:lineRule="exact"/>
        <w:ind w:firstLine="0"/>
        <w:rPr>
          <w:rFonts w:ascii="Times New Roman" w:eastAsia="黑体" w:hAnsi="Times New Roman"/>
          <w:sz w:val="32"/>
          <w:szCs w:val="32"/>
        </w:rPr>
      </w:pPr>
      <w:r>
        <w:rPr>
          <w:rFonts w:ascii="Times New Roman" w:eastAsia="黑体" w:hAnsi="Times New Roman"/>
          <w:sz w:val="32"/>
          <w:szCs w:val="32"/>
        </w:rPr>
        <w:t>部门、单位基本情况</w:t>
      </w:r>
    </w:p>
    <w:p w:rsidR="00067DBE" w:rsidRDefault="005672A3">
      <w:pPr>
        <w:spacing w:line="560" w:lineRule="exact"/>
        <w:ind w:left="640"/>
        <w:rPr>
          <w:rFonts w:ascii="仿宋_GB2312" w:eastAsia="仿宋_GB2312" w:hAnsi="仿宋_GB2312"/>
          <w:sz w:val="32"/>
          <w:szCs w:val="32"/>
        </w:rPr>
      </w:pPr>
      <w:r>
        <w:rPr>
          <w:rFonts w:ascii="仿宋" w:eastAsia="仿宋" w:hAnsi="仿宋" w:cs="宋体;SimSun"/>
          <w:bCs/>
          <w:sz w:val="32"/>
          <w:szCs w:val="32"/>
        </w:rPr>
        <w:t>怀化市鹤城区教育局机关</w:t>
      </w:r>
      <w:r>
        <w:rPr>
          <w:rFonts w:ascii="仿宋" w:eastAsia="仿宋" w:hAnsi="仿宋" w:cs="宋体;SimSun"/>
          <w:sz w:val="32"/>
          <w:szCs w:val="32"/>
        </w:rPr>
        <w:t>作为一级部门预算单位，内设19个业务股室，分别为：办公室、人事股、基础教育股、计财股、基建股、教育工会、教育督导室，学生资助管理中心，法规股，内审股，监察室，招考办，体卫所，职教成教站，学前教育股，电教装备站，勤管站，教研室，关工委。分别负责全局办公室工作、负责教务考务工作、负责学生政治教育工作、负责后勤工作、负责财务管理工作、负责教学研究工作、负责工会工作。</w:t>
      </w:r>
    </w:p>
    <w:p w:rsidR="00067DBE" w:rsidRDefault="005672A3">
      <w:pPr>
        <w:pStyle w:val="a3"/>
        <w:widowControl/>
        <w:spacing w:line="600" w:lineRule="exact"/>
        <w:ind w:left="640"/>
        <w:rPr>
          <w:rFonts w:ascii="Times New Roman" w:eastAsia="黑体" w:hAnsi="Times New Roman"/>
          <w:sz w:val="32"/>
          <w:szCs w:val="32"/>
        </w:rPr>
      </w:pPr>
      <w:r>
        <w:rPr>
          <w:rFonts w:ascii="Times New Roman" w:eastAsia="黑体" w:hAnsi="Times New Roman"/>
          <w:sz w:val="32"/>
          <w:szCs w:val="32"/>
        </w:rPr>
        <w:t>二、一般公共预算支出情况</w:t>
      </w:r>
    </w:p>
    <w:p w:rsidR="00067DBE" w:rsidRDefault="005672A3">
      <w:pPr>
        <w:pStyle w:val="a3"/>
        <w:widowControl/>
        <w:spacing w:line="600" w:lineRule="exact"/>
        <w:ind w:left="640"/>
        <w:rPr>
          <w:rFonts w:ascii="Times New Roman" w:eastAsia="黑体" w:hAnsi="Times New Roman"/>
          <w:sz w:val="32"/>
          <w:szCs w:val="32"/>
        </w:rPr>
      </w:pPr>
      <w:r>
        <w:rPr>
          <w:rFonts w:ascii="Times New Roman" w:eastAsia="黑体" w:hAnsi="Times New Roman"/>
          <w:sz w:val="32"/>
          <w:szCs w:val="32"/>
        </w:rPr>
        <w:t>（一）基本支出情况</w:t>
      </w:r>
    </w:p>
    <w:p w:rsidR="00067DBE" w:rsidRDefault="005672A3">
      <w:pPr>
        <w:pStyle w:val="a3"/>
        <w:widowControl/>
        <w:spacing w:line="600" w:lineRule="exact"/>
        <w:ind w:left="640"/>
        <w:rPr>
          <w:rFonts w:ascii="仿宋" w:eastAsia="仿宋" w:hAnsi="仿宋"/>
          <w:sz w:val="32"/>
          <w:szCs w:val="32"/>
        </w:rPr>
      </w:pPr>
      <w:r>
        <w:rPr>
          <w:rFonts w:ascii="仿宋" w:eastAsia="仿宋" w:hAnsi="仿宋"/>
          <w:sz w:val="32"/>
          <w:szCs w:val="32"/>
        </w:rPr>
        <w:t>2020年总支出为2092万元：其中人员经费支出1143.1万元，日常公用经费支出948.9万元，项目资金0万元。</w:t>
      </w:r>
    </w:p>
    <w:p w:rsidR="00067DBE" w:rsidRDefault="005672A3">
      <w:pPr>
        <w:pStyle w:val="a3"/>
        <w:widowControl/>
        <w:spacing w:line="600" w:lineRule="exact"/>
        <w:ind w:left="640"/>
        <w:rPr>
          <w:rFonts w:ascii="Times New Roman" w:eastAsia="黑体" w:hAnsi="Times New Roman"/>
          <w:sz w:val="32"/>
          <w:szCs w:val="32"/>
        </w:rPr>
      </w:pPr>
      <w:r>
        <w:rPr>
          <w:rFonts w:ascii="Times New Roman" w:eastAsia="黑体" w:hAnsi="Times New Roman"/>
          <w:sz w:val="32"/>
          <w:szCs w:val="32"/>
        </w:rPr>
        <w:t>（二）项目支出情况：无</w:t>
      </w:r>
    </w:p>
    <w:p w:rsidR="00067DBE" w:rsidRDefault="005672A3">
      <w:pPr>
        <w:pStyle w:val="a3"/>
        <w:widowControl/>
        <w:spacing w:line="600" w:lineRule="exact"/>
        <w:ind w:left="640"/>
        <w:jc w:val="left"/>
        <w:rPr>
          <w:rFonts w:ascii="Times New Roman" w:eastAsia="黑体" w:hAnsi="Times New Roman"/>
          <w:sz w:val="32"/>
          <w:szCs w:val="32"/>
        </w:rPr>
      </w:pPr>
      <w:r>
        <w:rPr>
          <w:rFonts w:ascii="Times New Roman" w:eastAsia="黑体" w:hAnsi="Times New Roman"/>
          <w:sz w:val="32"/>
          <w:szCs w:val="32"/>
        </w:rPr>
        <w:t>三、政府性基金预算支出情况：无</w:t>
      </w:r>
    </w:p>
    <w:p w:rsidR="00067DBE" w:rsidRDefault="005672A3">
      <w:pPr>
        <w:pStyle w:val="a3"/>
        <w:widowControl/>
        <w:spacing w:line="600" w:lineRule="exact"/>
        <w:ind w:left="640"/>
        <w:jc w:val="left"/>
        <w:rPr>
          <w:rFonts w:ascii="Times New Roman" w:eastAsia="黑体" w:hAnsi="Times New Roman"/>
          <w:sz w:val="32"/>
          <w:szCs w:val="32"/>
        </w:rPr>
      </w:pPr>
      <w:r>
        <w:rPr>
          <w:rFonts w:ascii="Times New Roman" w:eastAsia="黑体" w:hAnsi="Times New Roman"/>
          <w:sz w:val="32"/>
          <w:szCs w:val="32"/>
        </w:rPr>
        <w:t>四、国有资本经营预算支出情况：无</w:t>
      </w:r>
    </w:p>
    <w:p w:rsidR="00067DBE" w:rsidRDefault="005672A3">
      <w:pPr>
        <w:pStyle w:val="a3"/>
        <w:widowControl/>
        <w:spacing w:line="600" w:lineRule="exact"/>
        <w:ind w:left="640"/>
        <w:jc w:val="left"/>
        <w:rPr>
          <w:rFonts w:ascii="Times New Roman" w:eastAsia="黑体" w:hAnsi="Times New Roman"/>
          <w:sz w:val="32"/>
          <w:szCs w:val="32"/>
        </w:rPr>
      </w:pPr>
      <w:r>
        <w:rPr>
          <w:rFonts w:ascii="Times New Roman" w:eastAsia="黑体" w:hAnsi="Times New Roman"/>
          <w:sz w:val="32"/>
          <w:szCs w:val="32"/>
        </w:rPr>
        <w:t>五、社会保险基金预算支出情况：无</w:t>
      </w:r>
    </w:p>
    <w:p w:rsidR="00067DBE" w:rsidRDefault="005672A3">
      <w:pPr>
        <w:widowControl/>
        <w:spacing w:line="600" w:lineRule="exact"/>
        <w:ind w:firstLine="645"/>
        <w:jc w:val="left"/>
        <w:rPr>
          <w:rFonts w:eastAsia="黑体"/>
          <w:sz w:val="32"/>
          <w:szCs w:val="32"/>
        </w:rPr>
      </w:pPr>
      <w:r>
        <w:rPr>
          <w:rFonts w:eastAsia="黑体"/>
          <w:sz w:val="32"/>
          <w:szCs w:val="32"/>
        </w:rPr>
        <w:lastRenderedPageBreak/>
        <w:t>六、部门整体支出绩效情况</w:t>
      </w:r>
    </w:p>
    <w:p w:rsidR="00067DBE" w:rsidRDefault="005672A3">
      <w:pPr>
        <w:pStyle w:val="a4"/>
        <w:spacing w:beforeAutospacing="0" w:afterAutospacing="0" w:line="480" w:lineRule="auto"/>
        <w:ind w:firstLine="480"/>
        <w:rPr>
          <w:rFonts w:asciiTheme="minorEastAsia" w:hAnsiTheme="minorEastAsia"/>
          <w:color w:val="333333"/>
          <w:sz w:val="28"/>
          <w:szCs w:val="28"/>
        </w:rPr>
      </w:pPr>
      <w:r>
        <w:rPr>
          <w:color w:val="333333"/>
          <w:sz w:val="28"/>
          <w:szCs w:val="28"/>
        </w:rPr>
        <w:t>2020</w:t>
      </w:r>
      <w:r>
        <w:rPr>
          <w:rFonts w:asciiTheme="minorEastAsia" w:hAnsiTheme="minorEastAsia"/>
          <w:color w:val="333333"/>
          <w:sz w:val="28"/>
          <w:szCs w:val="28"/>
        </w:rPr>
        <w:t>年鹤城区教育局机关所有财政性资金、专项资金都纳入绩效管理的范围。各项开支严格执行预算，控制成本，开源节流，每一分钱的使用都有它的经济性、效率性、有效性和可持续性，促进鹤城区教育教学等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067DBE" w:rsidRDefault="005672A3">
      <w:pPr>
        <w:pStyle w:val="a3"/>
        <w:widowControl/>
        <w:spacing w:line="600" w:lineRule="exact"/>
        <w:ind w:left="640"/>
        <w:jc w:val="left"/>
        <w:rPr>
          <w:rFonts w:ascii="Times New Roman" w:eastAsia="黑体" w:hAnsi="Times New Roman"/>
          <w:sz w:val="32"/>
          <w:szCs w:val="32"/>
        </w:rPr>
      </w:pPr>
      <w:r>
        <w:rPr>
          <w:rFonts w:ascii="Times New Roman" w:eastAsia="黑体" w:hAnsi="Times New Roman"/>
          <w:sz w:val="32"/>
          <w:szCs w:val="32"/>
        </w:rPr>
        <w:t>七、存在的问题及原因分析</w:t>
      </w:r>
    </w:p>
    <w:p w:rsidR="00067DBE" w:rsidRDefault="005672A3">
      <w:pPr>
        <w:widowControl/>
        <w:spacing w:line="600" w:lineRule="exact"/>
        <w:jc w:val="left"/>
        <w:rPr>
          <w:rFonts w:asciiTheme="minorEastAsia" w:hAnsiTheme="minorEastAsia"/>
          <w:color w:val="333333"/>
          <w:sz w:val="28"/>
          <w:szCs w:val="28"/>
        </w:rPr>
      </w:pPr>
      <w:r>
        <w:rPr>
          <w:rFonts w:asciiTheme="minorEastAsia" w:hAnsiTheme="minorEastAsia"/>
          <w:color w:val="333333"/>
          <w:sz w:val="28"/>
          <w:szCs w:val="28"/>
        </w:rPr>
        <w:t>鹤城区教育局作为一级教育主管单位，下辖43所公办中小学及幼儿园，每年在经费预算、年底决算时都会出现预决算差异，其主要原因主要为主管部门统一预算，预算执行却直接到学校。同时因人员变动很大，使得各校财务人员专业水平下降，造成业务生疏，工作开展推进慢。</w:t>
      </w:r>
    </w:p>
    <w:p w:rsidR="00067DBE" w:rsidRDefault="005672A3" w:rsidP="00BA610C">
      <w:pPr>
        <w:widowControl/>
        <w:spacing w:line="600" w:lineRule="exact"/>
        <w:ind w:firstLineChars="200" w:firstLine="640"/>
        <w:jc w:val="left"/>
        <w:rPr>
          <w:rFonts w:eastAsia="黑体"/>
          <w:sz w:val="32"/>
          <w:szCs w:val="32"/>
        </w:rPr>
      </w:pPr>
      <w:r>
        <w:rPr>
          <w:rFonts w:eastAsia="黑体"/>
          <w:sz w:val="32"/>
          <w:szCs w:val="32"/>
        </w:rPr>
        <w:t>八、下一步改进措施</w:t>
      </w:r>
    </w:p>
    <w:p w:rsidR="00067DBE" w:rsidRDefault="005672A3">
      <w:pPr>
        <w:pStyle w:val="a4"/>
        <w:spacing w:beforeAutospacing="0" w:afterAutospacing="0" w:line="480" w:lineRule="auto"/>
        <w:ind w:firstLine="480"/>
        <w:rPr>
          <w:rFonts w:asciiTheme="minorEastAsia" w:hAnsiTheme="minorEastAsia"/>
          <w:color w:val="333333"/>
          <w:sz w:val="28"/>
          <w:szCs w:val="28"/>
        </w:rPr>
      </w:pPr>
      <w:r>
        <w:rPr>
          <w:color w:val="333333"/>
          <w:sz w:val="28"/>
          <w:szCs w:val="28"/>
        </w:rPr>
        <w:t>1</w:t>
      </w:r>
      <w:r>
        <w:rPr>
          <w:rFonts w:asciiTheme="minorEastAsia" w:hAnsiTheme="minorEastAsia"/>
          <w:color w:val="333333"/>
          <w:sz w:val="28"/>
          <w:szCs w:val="28"/>
        </w:rPr>
        <w:t>、能够足额安排财政预算，确保各项日常工作的开展</w:t>
      </w:r>
      <w:r>
        <w:rPr>
          <w:color w:val="333333"/>
          <w:sz w:val="28"/>
          <w:szCs w:val="28"/>
        </w:rPr>
        <w:t>.</w:t>
      </w:r>
    </w:p>
    <w:p w:rsidR="00067DBE" w:rsidRDefault="005672A3">
      <w:pPr>
        <w:pStyle w:val="a4"/>
        <w:spacing w:beforeAutospacing="0" w:afterAutospacing="0" w:line="480" w:lineRule="auto"/>
        <w:ind w:firstLine="480"/>
        <w:rPr>
          <w:rFonts w:asciiTheme="minorEastAsia" w:hAnsiTheme="minorEastAsia"/>
          <w:color w:val="333333"/>
          <w:sz w:val="28"/>
          <w:szCs w:val="28"/>
        </w:rPr>
      </w:pPr>
      <w:r>
        <w:rPr>
          <w:color w:val="333333"/>
          <w:sz w:val="28"/>
          <w:szCs w:val="28"/>
        </w:rPr>
        <w:t>2</w:t>
      </w:r>
      <w:r>
        <w:rPr>
          <w:rFonts w:asciiTheme="minorEastAsia" w:hAnsiTheme="minorEastAsia"/>
          <w:color w:val="333333"/>
          <w:sz w:val="28"/>
          <w:szCs w:val="28"/>
        </w:rPr>
        <w:t>、加强绩效评价管理评价的可操作性，对相关业务人员进行相关培训，以提高业务知识水平。</w:t>
      </w:r>
    </w:p>
    <w:p w:rsidR="00067DBE" w:rsidRDefault="005672A3" w:rsidP="00BA610C">
      <w:pPr>
        <w:widowControl/>
        <w:spacing w:line="600" w:lineRule="exact"/>
        <w:ind w:firstLineChars="250" w:firstLine="800"/>
        <w:jc w:val="left"/>
        <w:rPr>
          <w:rFonts w:eastAsia="黑体"/>
          <w:sz w:val="32"/>
          <w:szCs w:val="32"/>
        </w:rPr>
      </w:pPr>
      <w:r>
        <w:rPr>
          <w:rFonts w:eastAsia="黑体"/>
          <w:sz w:val="32"/>
          <w:szCs w:val="32"/>
        </w:rPr>
        <w:t>九、其他需要说明的情况</w:t>
      </w:r>
    </w:p>
    <w:p w:rsidR="00067DBE" w:rsidRDefault="005672A3">
      <w:pPr>
        <w:widowControl/>
        <w:spacing w:line="600" w:lineRule="exact"/>
        <w:ind w:firstLine="645"/>
        <w:jc w:val="left"/>
        <w:rPr>
          <w:rFonts w:eastAsia="仿宋_GB2312"/>
          <w:sz w:val="32"/>
          <w:szCs w:val="32"/>
        </w:rPr>
      </w:pPr>
      <w:r>
        <w:rPr>
          <w:rFonts w:eastAsia="仿宋_GB2312"/>
          <w:sz w:val="32"/>
          <w:szCs w:val="32"/>
        </w:rPr>
        <w:t xml:space="preserve">    </w:t>
      </w:r>
      <w:r>
        <w:rPr>
          <w:rFonts w:eastAsia="仿宋_GB2312"/>
          <w:sz w:val="32"/>
          <w:szCs w:val="32"/>
        </w:rPr>
        <w:t>无</w:t>
      </w:r>
    </w:p>
    <w:p w:rsidR="00067DBE" w:rsidRDefault="005672A3">
      <w:pPr>
        <w:widowControl/>
        <w:spacing w:line="600" w:lineRule="exact"/>
        <w:ind w:firstLine="645"/>
        <w:jc w:val="left"/>
        <w:rPr>
          <w:rFonts w:eastAsia="仿宋_GB2312"/>
          <w:sz w:val="32"/>
          <w:szCs w:val="32"/>
        </w:rPr>
      </w:pPr>
      <w:r>
        <w:rPr>
          <w:rFonts w:eastAsia="仿宋_GB2312"/>
          <w:sz w:val="32"/>
          <w:szCs w:val="32"/>
        </w:rPr>
        <w:lastRenderedPageBreak/>
        <w:t>报告应包括以下附件：</w:t>
      </w:r>
    </w:p>
    <w:p w:rsidR="00067DBE" w:rsidRDefault="005672A3">
      <w:pPr>
        <w:widowControl/>
        <w:spacing w:line="600" w:lineRule="exact"/>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067DBE" w:rsidRDefault="005672A3">
      <w:pPr>
        <w:widowControl/>
        <w:spacing w:line="600" w:lineRule="exact"/>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067DBE" w:rsidRDefault="005672A3">
      <w:pPr>
        <w:widowControl/>
        <w:spacing w:line="600" w:lineRule="exact"/>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067DBE" w:rsidRDefault="005672A3">
      <w:pPr>
        <w:widowControl/>
        <w:spacing w:line="600" w:lineRule="exact"/>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067DBE" w:rsidRDefault="005672A3">
      <w:pPr>
        <w:widowControl/>
        <w:spacing w:line="600" w:lineRule="exact"/>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067DBE" w:rsidRDefault="005672A3">
      <w:pPr>
        <w:widowControl/>
        <w:spacing w:line="600" w:lineRule="exact"/>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067DBE" w:rsidRDefault="00067DBE">
      <w:pPr>
        <w:widowControl/>
        <w:spacing w:line="600" w:lineRule="exact"/>
        <w:jc w:val="left"/>
        <w:rPr>
          <w:rFonts w:eastAsia="仿宋_GB2312"/>
          <w:sz w:val="32"/>
          <w:szCs w:val="32"/>
        </w:rPr>
      </w:pPr>
    </w:p>
    <w:p w:rsidR="00067DBE" w:rsidRDefault="00067DBE">
      <w:pPr>
        <w:widowControl/>
        <w:spacing w:line="600" w:lineRule="exact"/>
        <w:jc w:val="left"/>
        <w:rPr>
          <w:rFonts w:eastAsia="仿宋_GB2312"/>
          <w:sz w:val="32"/>
          <w:szCs w:val="32"/>
        </w:rPr>
      </w:pPr>
    </w:p>
    <w:p w:rsidR="00067DBE" w:rsidRDefault="00067DBE">
      <w:pPr>
        <w:widowControl/>
        <w:spacing w:line="600" w:lineRule="exact"/>
        <w:jc w:val="left"/>
        <w:rPr>
          <w:rFonts w:eastAsia="仿宋_GB2312"/>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AF7364" w:rsidRDefault="00AF7364">
      <w:pPr>
        <w:spacing w:line="600" w:lineRule="exact"/>
        <w:rPr>
          <w:rFonts w:eastAsia="黑体"/>
          <w:sz w:val="32"/>
          <w:szCs w:val="32"/>
        </w:rPr>
      </w:pPr>
    </w:p>
    <w:p w:rsidR="00067DBE" w:rsidRDefault="005672A3">
      <w:pPr>
        <w:spacing w:line="600" w:lineRule="exact"/>
        <w:rPr>
          <w:rFonts w:eastAsia="黑体"/>
          <w:sz w:val="32"/>
          <w:szCs w:val="32"/>
        </w:rPr>
      </w:pPr>
      <w:r>
        <w:rPr>
          <w:rFonts w:eastAsia="黑体"/>
          <w:sz w:val="32"/>
          <w:szCs w:val="32"/>
        </w:rPr>
        <w:lastRenderedPageBreak/>
        <w:t>附件</w:t>
      </w:r>
      <w:r>
        <w:rPr>
          <w:rFonts w:eastAsia="黑体"/>
          <w:sz w:val="32"/>
          <w:szCs w:val="32"/>
        </w:rPr>
        <w:t>4-1</w:t>
      </w:r>
    </w:p>
    <w:p w:rsidR="00067DBE" w:rsidRDefault="00067DBE">
      <w:pPr>
        <w:spacing w:line="400" w:lineRule="exact"/>
        <w:rPr>
          <w:rFonts w:eastAsia="黑体"/>
          <w:sz w:val="32"/>
          <w:szCs w:val="32"/>
        </w:rPr>
      </w:pPr>
    </w:p>
    <w:p w:rsidR="00067DBE" w:rsidRDefault="00BA610C">
      <w:pPr>
        <w:spacing w:after="120" w:line="400" w:lineRule="exact"/>
        <w:jc w:val="center"/>
        <w:rPr>
          <w:rFonts w:eastAsia="方正小标宋_GBK"/>
          <w:bCs/>
          <w:sz w:val="36"/>
          <w:szCs w:val="36"/>
        </w:rPr>
      </w:pPr>
      <w:r>
        <w:rPr>
          <w:rFonts w:eastAsia="方正小标宋_GBK"/>
          <w:bCs/>
          <w:sz w:val="36"/>
          <w:szCs w:val="36"/>
        </w:rPr>
        <w:t>预算支出绩效评价共性指标体系框架</w:t>
      </w:r>
    </w:p>
    <w:tbl>
      <w:tblPr>
        <w:tblW w:w="9933" w:type="dxa"/>
        <w:jc w:val="center"/>
        <w:tblLayout w:type="fixed"/>
        <w:tblCellMar>
          <w:top w:w="10" w:type="dxa"/>
          <w:left w:w="10" w:type="dxa"/>
          <w:right w:w="10" w:type="dxa"/>
        </w:tblCellMar>
        <w:tblLook w:val="04A0"/>
      </w:tblPr>
      <w:tblGrid>
        <w:gridCol w:w="790"/>
        <w:gridCol w:w="688"/>
        <w:gridCol w:w="1068"/>
        <w:gridCol w:w="1969"/>
        <w:gridCol w:w="4467"/>
        <w:gridCol w:w="951"/>
      </w:tblGrid>
      <w:tr w:rsidR="00067DBE">
        <w:trPr>
          <w:trHeight w:val="454"/>
          <w:tblHeader/>
          <w:jc w:val="center"/>
        </w:trPr>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一级</w:t>
            </w:r>
            <w:r>
              <w:rPr>
                <w:rFonts w:ascii="仿宋_GB2312" w:eastAsia="仿宋_GB2312" w:hAnsi="仿宋_GB2312"/>
                <w:b/>
                <w:bCs/>
                <w:szCs w:val="21"/>
              </w:rPr>
              <w:br/>
              <w:t>指标</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二级</w:t>
            </w:r>
            <w:r>
              <w:rPr>
                <w:rFonts w:ascii="仿宋_GB2312" w:eastAsia="仿宋_GB2312" w:hAnsi="仿宋_GB2312"/>
                <w:b/>
                <w:bCs/>
                <w:szCs w:val="21"/>
              </w:rPr>
              <w:br/>
              <w:t>指标</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三级指标</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评分及标准</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指标说明</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jc w:val="center"/>
              <w:rPr>
                <w:rFonts w:ascii="仿宋_GB2312" w:eastAsia="仿宋_GB2312" w:hAnsi="仿宋_GB2312"/>
                <w:b/>
                <w:bCs/>
                <w:szCs w:val="21"/>
              </w:rPr>
            </w:pPr>
            <w:r>
              <w:rPr>
                <w:rFonts w:ascii="仿宋_GB2312" w:eastAsia="仿宋_GB2312" w:hAnsi="仿宋_GB2312"/>
                <w:b/>
                <w:bCs/>
                <w:szCs w:val="21"/>
              </w:rPr>
              <w:t>自评分</w:t>
            </w:r>
          </w:p>
        </w:tc>
      </w:tr>
      <w:tr w:rsidR="00067DBE">
        <w:trPr>
          <w:trHeight w:val="454"/>
          <w:jc w:val="center"/>
        </w:trPr>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决</w:t>
            </w:r>
          </w:p>
          <w:p w:rsidR="00067DBE" w:rsidRDefault="005672A3">
            <w:pPr>
              <w:jc w:val="center"/>
              <w:rPr>
                <w:rFonts w:ascii="仿宋_GB2312" w:eastAsia="仿宋_GB2312" w:hAnsi="仿宋_GB2312"/>
                <w:szCs w:val="21"/>
              </w:rPr>
            </w:pPr>
            <w:r>
              <w:rPr>
                <w:rFonts w:ascii="仿宋_GB2312" w:eastAsia="仿宋_GB2312" w:hAnsi="仿宋_GB2312"/>
                <w:szCs w:val="21"/>
              </w:rPr>
              <w:t>策 （10）</w:t>
            </w: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预算支出决策</w:t>
            </w:r>
          </w:p>
          <w:p w:rsidR="00067DBE" w:rsidRDefault="005672A3">
            <w:pPr>
              <w:jc w:val="center"/>
              <w:rPr>
                <w:rFonts w:ascii="仿宋_GB2312" w:eastAsia="仿宋_GB2312" w:hAnsi="仿宋_GB2312"/>
                <w:szCs w:val="21"/>
              </w:rPr>
            </w:pPr>
            <w:r>
              <w:rPr>
                <w:rFonts w:ascii="仿宋_GB2312" w:eastAsia="仿宋_GB2312" w:hAnsi="仿宋_GB2312"/>
                <w:szCs w:val="21"/>
              </w:rPr>
              <w:t>（项目立项）（4）</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预算支出决策（项目立项）依据</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充分性 （2分）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决策（立项）是否符合国家相关法律法规、国民经济发展规划和相关政策；</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决策（立项）是否符合行业发展规划和政策要求；</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决策（立项）是否与部门职责范围相符，属于部门履职所需；</w:t>
            </w:r>
            <w:r>
              <w:rPr>
                <w:rFonts w:ascii="仿宋_GB2312" w:eastAsia="仿宋_GB2312" w:hAnsi="仿宋_GB2312"/>
                <w:szCs w:val="21"/>
              </w:rPr>
              <w:br/>
            </w:r>
            <w:r>
              <w:rPr>
                <w:rFonts w:ascii="仿宋_GB2312" w:eastAsia="仿宋_GB2312" w:hAnsi="仿宋_GB2312" w:cs="宋体"/>
                <w:szCs w:val="21"/>
              </w:rPr>
              <w:t>④</w:t>
            </w:r>
            <w:r>
              <w:rPr>
                <w:rFonts w:ascii="仿宋_GB2312" w:eastAsia="仿宋_GB2312" w:hAnsi="仿宋_GB2312"/>
                <w:szCs w:val="21"/>
              </w:rPr>
              <w:t>预算支出是否属于公共财政支持范围，是否符合中央、地方事权支出责任划分原则；</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⑤</w:t>
            </w:r>
            <w:r>
              <w:rPr>
                <w:rFonts w:ascii="仿宋_GB2312" w:eastAsia="仿宋_GB2312" w:hAnsi="仿宋_GB2312"/>
                <w:szCs w:val="21"/>
              </w:rPr>
              <w:t>预算支出是否与相关部门同类预算支出或部门内部相关预算支出重复。</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067DBE">
            <w:pPr>
              <w:spacing w:line="260" w:lineRule="exact"/>
              <w:ind w:left="105" w:right="105"/>
              <w:jc w:val="center"/>
              <w:rPr>
                <w:rFonts w:ascii="仿宋_GB2312" w:eastAsia="仿宋_GB2312" w:hAnsi="仿宋_GB2312"/>
                <w:szCs w:val="21"/>
              </w:rPr>
            </w:pP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1365"/>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extDirection w:val="tbRl"/>
            <w:vAlign w:val="center"/>
          </w:tcPr>
          <w:p w:rsidR="00067DBE" w:rsidRDefault="00067DBE">
            <w:pPr>
              <w:jc w:val="cente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067DBE">
            <w:pPr>
              <w:jc w:val="cente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决策（立项）程序规范性</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p>
          <w:p w:rsidR="00067DBE" w:rsidRDefault="005672A3">
            <w:pPr>
              <w:pStyle w:val="a3"/>
              <w:numPr>
                <w:ilvl w:val="0"/>
                <w:numId w:val="2"/>
              </w:numPr>
              <w:spacing w:line="260" w:lineRule="exact"/>
              <w:ind w:firstLine="0"/>
              <w:rPr>
                <w:rFonts w:ascii="仿宋_GB2312" w:eastAsia="仿宋_GB2312" w:hAnsi="仿宋_GB2312"/>
                <w:szCs w:val="21"/>
              </w:rPr>
            </w:pPr>
            <w:r>
              <w:rPr>
                <w:rFonts w:ascii="仿宋_GB2312" w:eastAsia="仿宋_GB2312" w:hAnsi="仿宋_GB2312"/>
                <w:szCs w:val="21"/>
              </w:rPr>
              <w:t>预算支出是否按照规定的程序申请设立；</w:t>
            </w:r>
          </w:p>
          <w:p w:rsidR="00067DBE" w:rsidRDefault="005672A3">
            <w:pPr>
              <w:pStyle w:val="a3"/>
              <w:numPr>
                <w:ilvl w:val="0"/>
                <w:numId w:val="2"/>
              </w:numPr>
              <w:spacing w:line="260" w:lineRule="exact"/>
              <w:ind w:firstLine="0"/>
              <w:rPr>
                <w:rFonts w:ascii="仿宋_GB2312" w:eastAsia="仿宋_GB2312" w:hAnsi="仿宋_GB2312"/>
                <w:szCs w:val="21"/>
              </w:rPr>
            </w:pPr>
            <w:r>
              <w:rPr>
                <w:rFonts w:ascii="仿宋_GB2312" w:eastAsia="仿宋_GB2312" w:hAnsi="仿宋_GB2312"/>
                <w:szCs w:val="21"/>
              </w:rPr>
              <w:t>审批文件、材料是否符合相关要求；</w:t>
            </w:r>
          </w:p>
          <w:p w:rsidR="00067DBE" w:rsidRDefault="005672A3">
            <w:pPr>
              <w:spacing w:line="260" w:lineRule="exact"/>
              <w:ind w:left="105"/>
              <w:rPr>
                <w:rFonts w:ascii="仿宋_GB2312" w:eastAsia="仿宋_GB2312" w:hAnsi="仿宋_GB2312"/>
                <w:szCs w:val="21"/>
              </w:rPr>
            </w:pPr>
            <w:r>
              <w:rPr>
                <w:rFonts w:ascii="仿宋_GB2312" w:eastAsia="仿宋_GB2312" w:hAnsi="仿宋_GB2312" w:cs="宋体"/>
                <w:szCs w:val="21"/>
              </w:rPr>
              <w:t>③</w:t>
            </w:r>
            <w:r>
              <w:rPr>
                <w:rFonts w:ascii="仿宋_GB2312" w:eastAsia="仿宋_GB2312" w:hAnsi="仿宋_GB2312"/>
                <w:szCs w:val="21"/>
              </w:rPr>
              <w:t>事前是否已经过必要的可行性研究、专家论证、风险评估、绩效评估、集体决策。</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2473"/>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绩效</w:t>
            </w:r>
          </w:p>
          <w:p w:rsidR="00067DBE" w:rsidRDefault="005672A3">
            <w:pPr>
              <w:jc w:val="center"/>
              <w:rPr>
                <w:rFonts w:ascii="仿宋_GB2312" w:eastAsia="仿宋_GB2312" w:hAnsi="仿宋_GB2312"/>
                <w:szCs w:val="21"/>
              </w:rPr>
            </w:pPr>
            <w:r>
              <w:rPr>
                <w:rFonts w:ascii="仿宋_GB2312" w:eastAsia="仿宋_GB2312" w:hAnsi="仿宋_GB2312"/>
                <w:szCs w:val="21"/>
              </w:rPr>
              <w:t>目标（3）</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绩效目标</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合理性 （2分）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（如未设定预算绩效目标，也可考核其他工作任务目标）</w:t>
            </w:r>
          </w:p>
          <w:p w:rsidR="00067DBE" w:rsidRDefault="005672A3">
            <w:pPr>
              <w:pStyle w:val="a3"/>
              <w:numPr>
                <w:ilvl w:val="0"/>
                <w:numId w:val="3"/>
              </w:numPr>
              <w:spacing w:line="260" w:lineRule="exact"/>
              <w:ind w:right="105" w:firstLine="0"/>
              <w:rPr>
                <w:rFonts w:ascii="仿宋_GB2312" w:eastAsia="仿宋_GB2312" w:hAnsi="仿宋_GB2312"/>
                <w:szCs w:val="21"/>
              </w:rPr>
            </w:pPr>
            <w:r>
              <w:rPr>
                <w:rFonts w:ascii="仿宋_GB2312" w:eastAsia="仿宋_GB2312" w:hAnsi="仿宋_GB2312"/>
                <w:szCs w:val="21"/>
              </w:rPr>
              <w:t>预算支出是否有绩效目标；</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②</w:t>
            </w:r>
            <w:r>
              <w:rPr>
                <w:rFonts w:ascii="仿宋_GB2312" w:eastAsia="仿宋_GB2312" w:hAnsi="仿宋_GB2312"/>
                <w:szCs w:val="21"/>
              </w:rPr>
              <w:t>预算支出绩效目标与实际工作内容是否具有相关性；</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③</w:t>
            </w:r>
            <w:r>
              <w:rPr>
                <w:rFonts w:ascii="仿宋_GB2312" w:eastAsia="仿宋_GB2312" w:hAnsi="仿宋_GB2312"/>
                <w:szCs w:val="21"/>
              </w:rPr>
              <w:t>预算支出预期产出效益和效果是否符合正常的业绩水平；是否与预算确定的预算支出投资额或资金量相匹配。</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jc w:val="cente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绩效指标</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明确性 （1分）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是否将预算支出绩效目标细化分解为具体的绩效指标；</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是否通过清晰、可衡量的指标值体现。</w:t>
            </w:r>
          </w:p>
          <w:p w:rsidR="00067DBE" w:rsidRDefault="005672A3">
            <w:pPr>
              <w:pStyle w:val="a3"/>
              <w:numPr>
                <w:ilvl w:val="0"/>
                <w:numId w:val="3"/>
              </w:numPr>
              <w:spacing w:line="260" w:lineRule="exact"/>
              <w:ind w:right="105" w:firstLine="0"/>
              <w:rPr>
                <w:rFonts w:ascii="仿宋_GB2312" w:eastAsia="仿宋_GB2312" w:hAnsi="仿宋_GB2312"/>
                <w:szCs w:val="21"/>
              </w:rPr>
            </w:pPr>
            <w:r>
              <w:rPr>
                <w:rFonts w:ascii="仿宋_GB2312" w:eastAsia="仿宋_GB2312" w:hAnsi="仿宋_GB2312"/>
                <w:szCs w:val="21"/>
              </w:rPr>
              <w:t>是否与预算支出目标任务数相对应。</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资金</w:t>
            </w:r>
          </w:p>
          <w:p w:rsidR="00067DBE" w:rsidRDefault="005672A3">
            <w:pPr>
              <w:jc w:val="center"/>
              <w:rPr>
                <w:rFonts w:ascii="仿宋_GB2312" w:eastAsia="仿宋_GB2312" w:hAnsi="仿宋_GB2312"/>
                <w:szCs w:val="21"/>
              </w:rPr>
            </w:pPr>
            <w:r>
              <w:rPr>
                <w:rFonts w:ascii="仿宋_GB2312" w:eastAsia="仿宋_GB2312" w:hAnsi="仿宋_GB2312"/>
                <w:szCs w:val="21"/>
              </w:rPr>
              <w:t>投入（3）</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预算编制</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科学性 （2分）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p>
          <w:p w:rsidR="00067DBE" w:rsidRDefault="005672A3">
            <w:pPr>
              <w:pStyle w:val="a3"/>
              <w:numPr>
                <w:ilvl w:val="0"/>
                <w:numId w:val="4"/>
              </w:numPr>
              <w:spacing w:line="260" w:lineRule="exact"/>
              <w:ind w:right="105" w:firstLine="0"/>
              <w:rPr>
                <w:rFonts w:ascii="仿宋_GB2312" w:eastAsia="仿宋_GB2312" w:hAnsi="仿宋_GB2312"/>
                <w:szCs w:val="21"/>
              </w:rPr>
            </w:pPr>
            <w:r>
              <w:rPr>
                <w:rFonts w:ascii="仿宋_GB2312" w:eastAsia="仿宋_GB2312" w:hAnsi="仿宋_GB2312"/>
                <w:szCs w:val="21"/>
              </w:rPr>
              <w:t>预算编制是否经过科学论证；</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②</w:t>
            </w:r>
            <w:r>
              <w:rPr>
                <w:rFonts w:ascii="仿宋_GB2312" w:eastAsia="仿宋_GB2312" w:hAnsi="仿宋_GB2312"/>
                <w:szCs w:val="21"/>
              </w:rPr>
              <w:t>预算内容与支出内容是否匹配；</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③</w:t>
            </w:r>
            <w:r>
              <w:rPr>
                <w:rFonts w:ascii="仿宋_GB2312" w:eastAsia="仿宋_GB2312" w:hAnsi="仿宋_GB2312"/>
                <w:szCs w:val="21"/>
              </w:rPr>
              <w:t>预算额度测算依据是否充分，是否按照标准编制；</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④</w:t>
            </w:r>
            <w:r>
              <w:rPr>
                <w:rFonts w:ascii="仿宋_GB2312" w:eastAsia="仿宋_GB2312" w:hAnsi="仿宋_GB2312"/>
                <w:szCs w:val="21"/>
              </w:rPr>
              <w:t>预算确定的预算支出投资额或资金量是否与工作任务相匹配1分。</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jc w:val="cente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资金分配</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合理性 （1分）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p>
          <w:p w:rsidR="00067DBE" w:rsidRDefault="005672A3">
            <w:pPr>
              <w:pStyle w:val="a3"/>
              <w:numPr>
                <w:ilvl w:val="0"/>
                <w:numId w:val="5"/>
              </w:numPr>
              <w:spacing w:line="260" w:lineRule="exact"/>
              <w:ind w:right="105" w:firstLine="0"/>
              <w:rPr>
                <w:rFonts w:ascii="仿宋_GB2312" w:eastAsia="仿宋_GB2312" w:hAnsi="仿宋_GB2312"/>
                <w:szCs w:val="21"/>
              </w:rPr>
            </w:pPr>
            <w:r>
              <w:rPr>
                <w:rFonts w:ascii="仿宋_GB2312" w:eastAsia="仿宋_GB2312" w:hAnsi="仿宋_GB2312"/>
                <w:szCs w:val="21"/>
              </w:rPr>
              <w:t>预算资金分配依据是否充分；</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②</w:t>
            </w:r>
            <w:r>
              <w:rPr>
                <w:rFonts w:ascii="仿宋_GB2312" w:eastAsia="仿宋_GB2312" w:hAnsi="仿宋_GB2312"/>
                <w:szCs w:val="21"/>
              </w:rPr>
              <w:t>资金分配额度是否合理，与项目实施单位或地方实际是否相适应。</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w:t>
            </w:r>
          </w:p>
        </w:tc>
      </w:tr>
      <w:tr w:rsidR="00067DBE">
        <w:trPr>
          <w:trHeight w:val="1542"/>
          <w:jc w:val="center"/>
        </w:trPr>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lastRenderedPageBreak/>
              <w:t>过</w:t>
            </w:r>
          </w:p>
          <w:p w:rsidR="00067DBE" w:rsidRDefault="00067DBE">
            <w:pPr>
              <w:jc w:val="center"/>
              <w:rPr>
                <w:rFonts w:ascii="仿宋_GB2312" w:eastAsia="仿宋_GB2312" w:hAnsi="仿宋_GB2312"/>
                <w:szCs w:val="21"/>
              </w:rPr>
            </w:pPr>
          </w:p>
          <w:p w:rsidR="00067DBE" w:rsidRDefault="00067DBE">
            <w:pPr>
              <w:jc w:val="center"/>
              <w:rPr>
                <w:rFonts w:ascii="仿宋_GB2312" w:eastAsia="仿宋_GB2312" w:hAnsi="仿宋_GB2312"/>
                <w:szCs w:val="21"/>
              </w:rPr>
            </w:pPr>
          </w:p>
          <w:p w:rsidR="00067DBE" w:rsidRDefault="005672A3">
            <w:pPr>
              <w:jc w:val="center"/>
              <w:rPr>
                <w:rFonts w:ascii="仿宋_GB2312" w:eastAsia="仿宋_GB2312" w:hAnsi="仿宋_GB2312"/>
                <w:szCs w:val="21"/>
              </w:rPr>
            </w:pPr>
            <w:r>
              <w:rPr>
                <w:rFonts w:ascii="仿宋_GB2312" w:eastAsia="仿宋_GB2312" w:hAnsi="仿宋_GB2312"/>
                <w:szCs w:val="21"/>
              </w:rPr>
              <w:t>程  （20）</w:t>
            </w: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资金</w:t>
            </w:r>
            <w:r>
              <w:rPr>
                <w:rFonts w:ascii="仿宋_GB2312" w:eastAsia="仿宋_GB2312" w:hAnsi="仿宋_GB2312"/>
                <w:szCs w:val="21"/>
              </w:rPr>
              <w:br/>
              <w:t>管理（10）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资金</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到位率</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（3分）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资金到位率100%计满分，每下降5个百分点扣1分，扣完为止。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资金到位率=（实际到位资金/预算资金）×100%。</w:t>
            </w:r>
            <w:r>
              <w:rPr>
                <w:rFonts w:ascii="仿宋_GB2312" w:eastAsia="仿宋_GB2312" w:hAnsi="仿宋_GB2312"/>
                <w:szCs w:val="21"/>
              </w:rPr>
              <w:br/>
              <w:t>实际到位资金：一定时期（本年度或预算支出期）内落实到具体预算支出的资金。</w:t>
            </w:r>
            <w:r>
              <w:rPr>
                <w:rFonts w:ascii="仿宋_GB2312" w:eastAsia="仿宋_GB2312" w:hAnsi="仿宋_GB2312"/>
                <w:szCs w:val="21"/>
              </w:rPr>
              <w:br/>
              <w:t>预算资金：一定时期（本年度或预算支出期）内预算安排到具体预算支出的资金。</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3</w:t>
            </w:r>
          </w:p>
        </w:tc>
      </w:tr>
      <w:tr w:rsidR="00067DBE">
        <w:trPr>
          <w:trHeight w:val="1265"/>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jc w:val="cente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067DBE">
            <w:pPr>
              <w:jc w:val="cente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预算</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执行率 （3分）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100%计满分，每下降5个百分点扣1分，扣完为止。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预算执行率=（实际支出资金/实际到位资金）×100%。</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实际支出资金：一定时期（本年度或预算支出期）内预算支出实际拨付的资金。</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2</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jc w:val="cente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资金使用</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合规性 （4分）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p>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cs="宋体"/>
                <w:szCs w:val="21"/>
              </w:rPr>
              <w:t>①</w:t>
            </w:r>
            <w:r>
              <w:rPr>
                <w:rFonts w:ascii="仿宋_GB2312" w:eastAsia="仿宋_GB2312" w:hAnsi="仿宋_GB2312"/>
                <w:szCs w:val="21"/>
              </w:rPr>
              <w:t>是否符合国家财经法规和财务管理制度以及有关专项资金管理办法的规定；</w:t>
            </w:r>
          </w:p>
          <w:p w:rsidR="00067DBE" w:rsidRDefault="005672A3">
            <w:pPr>
              <w:spacing w:line="260" w:lineRule="exact"/>
              <w:ind w:right="105"/>
              <w:rPr>
                <w:rFonts w:ascii="仿宋_GB2312" w:eastAsia="仿宋_GB2312" w:hAnsi="仿宋_GB2312"/>
                <w:szCs w:val="21"/>
              </w:rPr>
            </w:pPr>
            <w:r>
              <w:rPr>
                <w:rFonts w:ascii="仿宋_GB2312" w:eastAsia="仿宋_GB2312" w:hAnsi="仿宋_GB2312" w:cs="宋体"/>
                <w:szCs w:val="21"/>
              </w:rPr>
              <w:t>②</w:t>
            </w:r>
            <w:r>
              <w:rPr>
                <w:rFonts w:ascii="仿宋_GB2312" w:eastAsia="仿宋_GB2312" w:hAnsi="仿宋_GB2312"/>
                <w:szCs w:val="21"/>
              </w:rPr>
              <w:t>资金的拨付是否有完整的审批程序和手续；</w:t>
            </w:r>
          </w:p>
          <w:p w:rsidR="00067DBE" w:rsidRDefault="005672A3">
            <w:pPr>
              <w:spacing w:line="260" w:lineRule="exact"/>
              <w:ind w:right="105"/>
              <w:rPr>
                <w:rFonts w:ascii="仿宋_GB2312" w:eastAsia="仿宋_GB2312" w:hAnsi="仿宋_GB2312"/>
                <w:szCs w:val="21"/>
              </w:rPr>
            </w:pPr>
            <w:r>
              <w:rPr>
                <w:rFonts w:ascii="仿宋_GB2312" w:eastAsia="仿宋_GB2312" w:hAnsi="仿宋_GB2312" w:cs="宋体"/>
                <w:szCs w:val="21"/>
              </w:rPr>
              <w:t>③</w:t>
            </w:r>
            <w:r>
              <w:rPr>
                <w:rFonts w:ascii="仿宋_GB2312" w:eastAsia="仿宋_GB2312" w:hAnsi="仿宋_GB2312"/>
                <w:szCs w:val="21"/>
              </w:rPr>
              <w:t>是否符合预算支出预算批复或合同规定的用途；</w:t>
            </w:r>
          </w:p>
          <w:p w:rsidR="00067DBE" w:rsidRDefault="005672A3">
            <w:pPr>
              <w:pStyle w:val="a3"/>
              <w:numPr>
                <w:ilvl w:val="0"/>
                <w:numId w:val="3"/>
              </w:numPr>
              <w:spacing w:line="260" w:lineRule="exact"/>
              <w:ind w:right="105" w:firstLine="0"/>
              <w:rPr>
                <w:rFonts w:ascii="仿宋_GB2312" w:eastAsia="仿宋_GB2312" w:hAnsi="仿宋_GB2312"/>
                <w:szCs w:val="21"/>
              </w:rPr>
            </w:pPr>
            <w:r>
              <w:rPr>
                <w:rFonts w:ascii="仿宋_GB2312" w:eastAsia="仿宋_GB2312" w:hAnsi="仿宋_GB2312"/>
                <w:szCs w:val="21"/>
              </w:rPr>
              <w:t>是否存在截留、挤占、挪用、虐列支出等情况。</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4</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extDirection w:val="tbRl"/>
            <w:vAlign w:val="center"/>
          </w:tcPr>
          <w:p w:rsidR="00067DBE" w:rsidRDefault="00067DBE">
            <w:pPr>
              <w:jc w:val="center"/>
              <w:rPr>
                <w:rFonts w:ascii="仿宋_GB2312" w:eastAsia="仿宋_GB2312" w:hAnsi="仿宋_GB2312"/>
                <w:szCs w:val="21"/>
              </w:rPr>
            </w:pP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组织</w:t>
            </w:r>
          </w:p>
          <w:p w:rsidR="00067DBE" w:rsidRDefault="005672A3">
            <w:pPr>
              <w:jc w:val="center"/>
              <w:rPr>
                <w:rFonts w:ascii="仿宋_GB2312" w:eastAsia="仿宋_GB2312" w:hAnsi="仿宋_GB2312"/>
                <w:szCs w:val="21"/>
              </w:rPr>
            </w:pPr>
            <w:r>
              <w:rPr>
                <w:rFonts w:ascii="仿宋_GB2312" w:eastAsia="仿宋_GB2312" w:hAnsi="仿宋_GB2312"/>
                <w:szCs w:val="21"/>
              </w:rPr>
              <w:t>实施（10）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管理制度</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健全性 （5分）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按指标说明评价要点，每缺一项扣3分，扣完为止。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是否已制定或具有相应的业务管理制度；</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财务和业务管理制度是否合法、合规、完整。</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制度执行</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有效性 （5分）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按指标说明评价要点，每缺一项扣3分，扣完为止。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评价要点：</w:t>
            </w:r>
            <w:r>
              <w:rPr>
                <w:rFonts w:ascii="仿宋_GB2312" w:eastAsia="仿宋_GB2312" w:hAnsi="仿宋_GB2312"/>
                <w:szCs w:val="21"/>
              </w:rPr>
              <w:br/>
            </w:r>
            <w:r>
              <w:rPr>
                <w:rFonts w:ascii="仿宋_GB2312" w:eastAsia="仿宋_GB2312" w:hAnsi="仿宋_GB2312" w:cs="宋体"/>
                <w:szCs w:val="21"/>
              </w:rPr>
              <w:t>①</w:t>
            </w:r>
            <w:r>
              <w:rPr>
                <w:rFonts w:ascii="仿宋_GB2312" w:eastAsia="仿宋_GB2312" w:hAnsi="仿宋_GB2312"/>
                <w:szCs w:val="21"/>
              </w:rPr>
              <w:t>是否遵守相关法律法规和相关管理规定；</w:t>
            </w:r>
            <w:r>
              <w:rPr>
                <w:rFonts w:ascii="仿宋_GB2312" w:eastAsia="仿宋_GB2312" w:hAnsi="仿宋_GB2312"/>
                <w:szCs w:val="21"/>
              </w:rPr>
              <w:br/>
            </w:r>
            <w:r>
              <w:rPr>
                <w:rFonts w:ascii="仿宋_GB2312" w:eastAsia="仿宋_GB2312" w:hAnsi="仿宋_GB2312" w:cs="宋体"/>
                <w:szCs w:val="21"/>
              </w:rPr>
              <w:t>②</w:t>
            </w:r>
            <w:r>
              <w:rPr>
                <w:rFonts w:ascii="仿宋_GB2312" w:eastAsia="仿宋_GB2312" w:hAnsi="仿宋_GB2312"/>
                <w:szCs w:val="21"/>
              </w:rPr>
              <w:t>预算支出调整及支出调整手续是否完备；</w:t>
            </w:r>
            <w:r>
              <w:rPr>
                <w:rFonts w:ascii="仿宋_GB2312" w:eastAsia="仿宋_GB2312" w:hAnsi="仿宋_GB2312"/>
                <w:szCs w:val="21"/>
              </w:rPr>
              <w:br/>
            </w:r>
            <w:r>
              <w:rPr>
                <w:rFonts w:ascii="仿宋_GB2312" w:eastAsia="仿宋_GB2312" w:hAnsi="仿宋_GB2312" w:cs="宋体"/>
                <w:szCs w:val="21"/>
              </w:rPr>
              <w:t>③</w:t>
            </w:r>
            <w:r>
              <w:rPr>
                <w:rFonts w:ascii="仿宋_GB2312" w:eastAsia="仿宋_GB2312" w:hAnsi="仿宋_GB2312"/>
                <w:szCs w:val="21"/>
              </w:rPr>
              <w:t>预算支出合同书、验收报告、技术鉴定等资料是否齐全并及时归档；</w:t>
            </w:r>
            <w:r>
              <w:rPr>
                <w:rFonts w:ascii="仿宋_GB2312" w:eastAsia="仿宋_GB2312" w:hAnsi="仿宋_GB2312"/>
                <w:szCs w:val="21"/>
              </w:rPr>
              <w:br/>
            </w:r>
            <w:r>
              <w:rPr>
                <w:rFonts w:ascii="仿宋_GB2312" w:eastAsia="仿宋_GB2312" w:hAnsi="仿宋_GB2312" w:cs="宋体"/>
                <w:szCs w:val="21"/>
              </w:rPr>
              <w:t>④</w:t>
            </w:r>
            <w:r>
              <w:rPr>
                <w:rFonts w:ascii="仿宋_GB2312" w:eastAsia="仿宋_GB2312" w:hAnsi="仿宋_GB2312"/>
                <w:szCs w:val="21"/>
              </w:rPr>
              <w:t>预算支出实施的人员条件、场地设备、信息支撑等是否落实到位。</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5</w:t>
            </w:r>
          </w:p>
        </w:tc>
      </w:tr>
      <w:tr w:rsidR="00067DBE">
        <w:trPr>
          <w:trHeight w:val="1781"/>
          <w:jc w:val="center"/>
        </w:trPr>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 xml:space="preserve">产   </w:t>
            </w:r>
          </w:p>
          <w:p w:rsidR="00067DBE" w:rsidRDefault="005672A3">
            <w:pPr>
              <w:jc w:val="center"/>
              <w:rPr>
                <w:rFonts w:ascii="仿宋_GB2312" w:eastAsia="仿宋_GB2312" w:hAnsi="仿宋_GB2312"/>
                <w:szCs w:val="21"/>
              </w:rPr>
            </w:pPr>
            <w:r>
              <w:rPr>
                <w:rFonts w:ascii="仿宋_GB2312" w:eastAsia="仿宋_GB2312" w:hAnsi="仿宋_GB2312"/>
                <w:szCs w:val="21"/>
              </w:rPr>
              <w:t>出 （40）</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产出</w:t>
            </w:r>
          </w:p>
          <w:p w:rsidR="00067DBE" w:rsidRDefault="005672A3">
            <w:pPr>
              <w:jc w:val="center"/>
              <w:rPr>
                <w:rFonts w:ascii="仿宋_GB2312" w:eastAsia="仿宋_GB2312" w:hAnsi="仿宋_GB2312"/>
                <w:szCs w:val="21"/>
              </w:rPr>
            </w:pPr>
            <w:r>
              <w:rPr>
                <w:rFonts w:ascii="仿宋_GB2312" w:eastAsia="仿宋_GB2312" w:hAnsi="仿宋_GB2312"/>
                <w:szCs w:val="21"/>
              </w:rPr>
              <w:t>数量（10）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实际</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完成率 （10分）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100%计满分，每下降1%扣1分，扣完为止。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实际完成率=（实际产出数/计划产出数）×100%。</w:t>
            </w:r>
            <w:r>
              <w:rPr>
                <w:rFonts w:ascii="仿宋_GB2312" w:eastAsia="仿宋_GB2312" w:hAnsi="仿宋_GB2312"/>
                <w:szCs w:val="21"/>
              </w:rPr>
              <w:br/>
              <w:t>实际产出数：一定时期（本年度或预算支出期）内预算支出实际产出的产品或提供的服务数量。</w:t>
            </w:r>
            <w:r>
              <w:rPr>
                <w:rFonts w:ascii="仿宋_GB2312" w:eastAsia="仿宋_GB2312" w:hAnsi="仿宋_GB2312"/>
                <w:szCs w:val="21"/>
              </w:rPr>
              <w:br/>
              <w:t>计划产出数：预算支出绩效目标确定的在一定时期（本年度或预算支出期）内计划产出的产品或提供的服务数量。</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9</w:t>
            </w:r>
          </w:p>
        </w:tc>
      </w:tr>
      <w:tr w:rsidR="00067DBE">
        <w:trPr>
          <w:trHeight w:val="210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extDirection w:val="tbRl"/>
            <w:vAlign w:val="center"/>
          </w:tcPr>
          <w:p w:rsidR="00067DBE" w:rsidRDefault="00067DBE">
            <w:pPr>
              <w:jc w:val="center"/>
              <w:rPr>
                <w:rFonts w:ascii="仿宋_GB2312" w:eastAsia="仿宋_GB2312" w:hAnsi="仿宋_GB2312"/>
                <w:szCs w:val="21"/>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产出</w:t>
            </w:r>
          </w:p>
          <w:p w:rsidR="00067DBE" w:rsidRDefault="005672A3">
            <w:pPr>
              <w:jc w:val="center"/>
              <w:rPr>
                <w:rFonts w:ascii="仿宋_GB2312" w:eastAsia="仿宋_GB2312" w:hAnsi="仿宋_GB2312"/>
                <w:szCs w:val="21"/>
              </w:rPr>
            </w:pPr>
            <w:r>
              <w:rPr>
                <w:rFonts w:ascii="仿宋_GB2312" w:eastAsia="仿宋_GB2312" w:hAnsi="仿宋_GB2312"/>
                <w:szCs w:val="21"/>
              </w:rPr>
              <w:t>质量（10）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质量</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达标率 （10分）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100%计满分，每下降1%扣1分，扣完为止。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质量达标率=（质量达标产出数/实际产出数）×100%。</w:t>
            </w:r>
            <w:r>
              <w:rPr>
                <w:rFonts w:ascii="仿宋_GB2312" w:eastAsia="仿宋_GB2312" w:hAnsi="仿宋_GB2312"/>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10</w:t>
            </w:r>
          </w:p>
        </w:tc>
      </w:tr>
      <w:tr w:rsidR="00067DBE">
        <w:trPr>
          <w:trHeight w:val="1255"/>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产出</w:t>
            </w:r>
          </w:p>
          <w:p w:rsidR="00067DBE" w:rsidRDefault="005672A3">
            <w:pPr>
              <w:jc w:val="center"/>
              <w:rPr>
                <w:rFonts w:ascii="仿宋_GB2312" w:eastAsia="仿宋_GB2312" w:hAnsi="仿宋_GB2312"/>
                <w:szCs w:val="21"/>
              </w:rPr>
            </w:pPr>
            <w:r>
              <w:rPr>
                <w:rFonts w:ascii="仿宋_GB2312" w:eastAsia="仿宋_GB2312" w:hAnsi="仿宋_GB2312"/>
                <w:szCs w:val="21"/>
              </w:rPr>
              <w:t>时效（10）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完成</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及时性 （10分）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达到绩效目标完成时间计5分，超过30%的不计分。</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实际完成时间：预算支出实施单位完成该预算支出实际所耗用的时间。</w:t>
            </w:r>
            <w:r>
              <w:rPr>
                <w:rFonts w:ascii="仿宋_GB2312" w:eastAsia="仿宋_GB2312" w:hAnsi="仿宋_GB2312"/>
                <w:szCs w:val="21"/>
              </w:rPr>
              <w:br/>
              <w:t>计划完成时间：按照预算支出实施计划或相关规定完成该预算支出所需的时间。</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10</w:t>
            </w:r>
          </w:p>
        </w:tc>
      </w:tr>
      <w:tr w:rsidR="00067DBE">
        <w:trPr>
          <w:trHeight w:val="454"/>
          <w:jc w:val="center"/>
        </w:trPr>
        <w:tc>
          <w:tcPr>
            <w:tcW w:w="789"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ind w:left="113"/>
              <w:jc w:val="center"/>
              <w:rPr>
                <w:rFonts w:ascii="仿宋_GB2312" w:eastAsia="仿宋_GB2312" w:hAnsi="仿宋_GB2312"/>
                <w:szCs w:val="21"/>
              </w:rPr>
            </w:pPr>
            <w:r>
              <w:rPr>
                <w:rFonts w:ascii="仿宋_GB2312" w:eastAsia="仿宋_GB2312" w:hAnsi="仿宋_GB2312"/>
                <w:szCs w:val="21"/>
              </w:rPr>
              <w:lastRenderedPageBreak/>
              <w:t>产   出 （40）</w:t>
            </w:r>
          </w:p>
        </w:tc>
        <w:tc>
          <w:tcPr>
            <w:tcW w:w="68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产出</w:t>
            </w:r>
          </w:p>
          <w:p w:rsidR="00067DBE" w:rsidRDefault="005672A3">
            <w:pPr>
              <w:jc w:val="center"/>
              <w:rPr>
                <w:rFonts w:ascii="仿宋_GB2312" w:eastAsia="仿宋_GB2312" w:hAnsi="仿宋_GB2312"/>
                <w:szCs w:val="21"/>
              </w:rPr>
            </w:pPr>
            <w:r>
              <w:rPr>
                <w:rFonts w:ascii="仿宋_GB2312" w:eastAsia="仿宋_GB2312" w:hAnsi="仿宋_GB2312"/>
                <w:szCs w:val="21"/>
              </w:rPr>
              <w:t>成本（10）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成本</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节约率 （10分）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tabs>
                <w:tab w:val="left" w:pos="2604"/>
              </w:tabs>
              <w:spacing w:line="320" w:lineRule="exact"/>
              <w:ind w:left="105" w:right="105"/>
              <w:rPr>
                <w:rFonts w:ascii="仿宋_GB2312" w:eastAsia="仿宋_GB2312" w:hAnsi="仿宋_GB2312"/>
                <w:szCs w:val="21"/>
              </w:rPr>
            </w:pPr>
            <w:r>
              <w:rPr>
                <w:rFonts w:ascii="仿宋_GB2312" w:eastAsia="仿宋_GB2312" w:hAnsi="仿宋_GB2312"/>
                <w:szCs w:val="21"/>
              </w:rPr>
              <w:t>100%计满分，每下降5个百分点扣2分，扣完为止。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成本节约率=[（计划成本-实际成本）/计划成本]×100%。</w:t>
            </w:r>
            <w:r>
              <w:rPr>
                <w:rFonts w:ascii="仿宋_GB2312" w:eastAsia="仿宋_GB2312" w:hAnsi="仿宋_GB2312"/>
                <w:szCs w:val="21"/>
              </w:rPr>
              <w:br/>
              <w:t>实际成本：预算支出实施单位如期、保质、保量完成既定工作目标实际所耗费的支出。</w:t>
            </w:r>
            <w:r>
              <w:rPr>
                <w:rFonts w:ascii="仿宋_GB2312" w:eastAsia="仿宋_GB2312" w:hAnsi="仿宋_GB2312"/>
                <w:szCs w:val="21"/>
              </w:rPr>
              <w:br/>
              <w:t>计划成本：预算支出实施单位为完成工作目标计划安排的支出，一般以预算支出预算为参考。</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10</w:t>
            </w:r>
          </w:p>
        </w:tc>
      </w:tr>
      <w:tr w:rsidR="00067DBE">
        <w:trPr>
          <w:trHeight w:val="454"/>
          <w:jc w:val="center"/>
        </w:trPr>
        <w:tc>
          <w:tcPr>
            <w:tcW w:w="7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效</w:t>
            </w:r>
          </w:p>
          <w:p w:rsidR="00067DBE" w:rsidRDefault="005672A3">
            <w:pPr>
              <w:jc w:val="center"/>
              <w:rPr>
                <w:rFonts w:ascii="仿宋_GB2312" w:eastAsia="仿宋_GB2312" w:hAnsi="仿宋_GB2312"/>
                <w:szCs w:val="21"/>
              </w:rPr>
            </w:pPr>
            <w:r>
              <w:rPr>
                <w:rFonts w:ascii="仿宋_GB2312" w:eastAsia="仿宋_GB2312" w:hAnsi="仿宋_GB2312"/>
                <w:szCs w:val="21"/>
              </w:rPr>
              <w:t>益</w:t>
            </w:r>
          </w:p>
          <w:p w:rsidR="00067DBE" w:rsidRDefault="005672A3">
            <w:pPr>
              <w:jc w:val="center"/>
              <w:rPr>
                <w:rFonts w:ascii="仿宋_GB2312" w:eastAsia="仿宋_GB2312" w:hAnsi="仿宋_GB2312"/>
                <w:szCs w:val="21"/>
              </w:rPr>
            </w:pPr>
            <w:r>
              <w:rPr>
                <w:rFonts w:ascii="仿宋_GB2312" w:eastAsia="仿宋_GB2312" w:hAnsi="仿宋_GB2312"/>
                <w:szCs w:val="21"/>
              </w:rPr>
              <w:t>（30）</w:t>
            </w:r>
          </w:p>
        </w:tc>
        <w:tc>
          <w:tcPr>
            <w:tcW w:w="6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jc w:val="center"/>
              <w:rPr>
                <w:rFonts w:ascii="仿宋_GB2312" w:eastAsia="仿宋_GB2312" w:hAnsi="仿宋_GB2312"/>
                <w:szCs w:val="21"/>
              </w:rPr>
            </w:pPr>
            <w:r>
              <w:rPr>
                <w:rFonts w:ascii="仿宋_GB2312" w:eastAsia="仿宋_GB2312" w:hAnsi="仿宋_GB2312"/>
                <w:szCs w:val="21"/>
              </w:rPr>
              <w:t>预算支出</w:t>
            </w:r>
            <w:r>
              <w:rPr>
                <w:rFonts w:ascii="仿宋_GB2312" w:eastAsia="仿宋_GB2312" w:hAnsi="仿宋_GB2312"/>
                <w:szCs w:val="21"/>
              </w:rPr>
              <w:br/>
              <w:t>效益（10）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实施效益（20分）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达到绩效目标完成时间计5分，少于60%的不计分。</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预算支出实施所产生的社会效益、经济效益、生态效益、可持续影响等。可根据预算支出实际情况有选择地设置和细化。</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19</w:t>
            </w:r>
          </w:p>
        </w:tc>
      </w:tr>
      <w:tr w:rsidR="00067DBE">
        <w:trPr>
          <w:trHeight w:val="454"/>
          <w:jc w:val="center"/>
        </w:trPr>
        <w:tc>
          <w:tcPr>
            <w:tcW w:w="78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067DBE">
            <w:pPr>
              <w:rPr>
                <w:rFonts w:ascii="仿宋_GB2312" w:eastAsia="仿宋_GB2312" w:hAnsi="仿宋_GB2312"/>
                <w:szCs w:val="21"/>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社会公众</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或服务对</w:t>
            </w:r>
          </w:p>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象满意度（10分）</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100%计满分，每下降五个百分点扣2分，扣完为止。</w:t>
            </w:r>
          </w:p>
        </w:tc>
        <w:tc>
          <w:tcPr>
            <w:tcW w:w="4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社会公众或服务对象是指因该预算支出实施而受到影响的部门、群体或个人。一般采取社会调查的方式。</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9</w:t>
            </w:r>
          </w:p>
        </w:tc>
      </w:tr>
      <w:tr w:rsidR="00067DBE">
        <w:trPr>
          <w:trHeight w:val="1078"/>
          <w:jc w:val="center"/>
        </w:trPr>
        <w:tc>
          <w:tcPr>
            <w:tcW w:w="898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067DBE" w:rsidRDefault="005672A3">
            <w:pPr>
              <w:spacing w:line="260" w:lineRule="exact"/>
              <w:ind w:left="105" w:right="105"/>
              <w:rPr>
                <w:rFonts w:ascii="仿宋_GB2312" w:eastAsia="仿宋_GB2312" w:hAnsi="仿宋_GB2312"/>
                <w:szCs w:val="21"/>
              </w:rPr>
            </w:pPr>
            <w:r>
              <w:rPr>
                <w:rFonts w:ascii="仿宋_GB2312" w:eastAsia="仿宋_GB2312" w:hAnsi="仿宋_GB2312"/>
                <w:szCs w:val="21"/>
              </w:rPr>
              <w:t xml:space="preserve">                                       总   分</w:t>
            </w:r>
          </w:p>
        </w:tc>
        <w:tc>
          <w:tcPr>
            <w:tcW w:w="95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rsidR="00067DBE" w:rsidRDefault="005672A3">
            <w:pPr>
              <w:spacing w:line="260" w:lineRule="exact"/>
              <w:ind w:left="105" w:right="105"/>
              <w:jc w:val="center"/>
              <w:rPr>
                <w:rFonts w:ascii="仿宋_GB2312" w:eastAsia="仿宋_GB2312" w:hAnsi="仿宋_GB2312"/>
                <w:szCs w:val="21"/>
              </w:rPr>
            </w:pPr>
            <w:r>
              <w:rPr>
                <w:rFonts w:ascii="仿宋_GB2312" w:eastAsia="仿宋_GB2312" w:hAnsi="仿宋_GB2312"/>
                <w:szCs w:val="21"/>
              </w:rPr>
              <w:t>97</w:t>
            </w:r>
          </w:p>
        </w:tc>
      </w:tr>
    </w:tbl>
    <w:p w:rsidR="00067DBE" w:rsidRDefault="005672A3">
      <w:pPr>
        <w:widowControl/>
        <w:spacing w:line="600" w:lineRule="exact"/>
        <w:jc w:val="left"/>
        <w:rPr>
          <w:rFonts w:eastAsia="仿宋_GB2312"/>
          <w:sz w:val="32"/>
          <w:szCs w:val="32"/>
        </w:rPr>
      </w:pPr>
      <w:r>
        <w:br w:type="page"/>
      </w:r>
    </w:p>
    <w:p w:rsidR="00067DBE" w:rsidRDefault="005672A3" w:rsidP="00AF7364">
      <w:pPr>
        <w:spacing w:line="600" w:lineRule="exact"/>
        <w:jc w:val="center"/>
        <w:rPr>
          <w:rFonts w:eastAsia="方正小标宋_GBK"/>
          <w:sz w:val="36"/>
          <w:szCs w:val="36"/>
        </w:rPr>
      </w:pPr>
      <w:r>
        <w:rPr>
          <w:rFonts w:eastAsia="方正小标宋_GBK"/>
          <w:sz w:val="36"/>
          <w:szCs w:val="36"/>
        </w:rPr>
        <w:lastRenderedPageBreak/>
        <w:t>预算支出绩效评价报告</w:t>
      </w:r>
    </w:p>
    <w:p w:rsidR="00067DBE" w:rsidRDefault="00067DBE">
      <w:pPr>
        <w:spacing w:line="360" w:lineRule="exact"/>
        <w:rPr>
          <w:rFonts w:eastAsia="黑体"/>
          <w:kern w:val="0"/>
          <w:sz w:val="32"/>
          <w:szCs w:val="32"/>
        </w:rPr>
      </w:pPr>
    </w:p>
    <w:p w:rsidR="00067DBE" w:rsidRDefault="005672A3">
      <w:pPr>
        <w:spacing w:line="600" w:lineRule="exact"/>
        <w:rPr>
          <w:rFonts w:eastAsia="黑体"/>
          <w:sz w:val="32"/>
          <w:szCs w:val="32"/>
        </w:rPr>
      </w:pPr>
      <w:r>
        <w:rPr>
          <w:rFonts w:eastAsia="黑体"/>
          <w:sz w:val="32"/>
          <w:szCs w:val="32"/>
        </w:rPr>
        <w:t>一、预算支出基本情况</w:t>
      </w:r>
    </w:p>
    <w:p w:rsidR="00067DBE" w:rsidRDefault="005672A3">
      <w:pPr>
        <w:pStyle w:val="Default"/>
        <w:rPr>
          <w:rFonts w:eastAsia="楷体_GB2312"/>
          <w:b/>
          <w:sz w:val="32"/>
          <w:szCs w:val="32"/>
        </w:rPr>
      </w:pPr>
      <w:r>
        <w:rPr>
          <w:rFonts w:eastAsia="楷体_GB2312"/>
          <w:b/>
          <w:sz w:val="32"/>
          <w:szCs w:val="32"/>
        </w:rPr>
        <w:t>（一）预算支出概况。</w:t>
      </w:r>
    </w:p>
    <w:p w:rsidR="00067DBE" w:rsidRDefault="005672A3" w:rsidP="005672A3">
      <w:pPr>
        <w:pStyle w:val="Defaul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2020年度</w:t>
      </w:r>
      <w:r>
        <w:rPr>
          <w:rFonts w:asciiTheme="minorEastAsia" w:eastAsiaTheme="minorEastAsia" w:hAnsiTheme="minorEastAsia" w:hint="eastAsia"/>
          <w:sz w:val="28"/>
          <w:szCs w:val="28"/>
        </w:rPr>
        <w:t>鹤城区教育局</w:t>
      </w:r>
      <w:r>
        <w:rPr>
          <w:rFonts w:asciiTheme="minorEastAsia" w:eastAsiaTheme="minorEastAsia" w:hAnsiTheme="minorEastAsia"/>
          <w:sz w:val="28"/>
          <w:szCs w:val="28"/>
        </w:rPr>
        <w:t>预算支出</w:t>
      </w:r>
      <w:r>
        <w:rPr>
          <w:rFonts w:asciiTheme="minorEastAsia" w:eastAsiaTheme="minorEastAsia" w:hAnsiTheme="minorEastAsia" w:hint="eastAsia"/>
          <w:sz w:val="28"/>
          <w:szCs w:val="28"/>
        </w:rPr>
        <w:t>2092</w:t>
      </w:r>
      <w:r>
        <w:rPr>
          <w:rFonts w:asciiTheme="minorEastAsia" w:eastAsiaTheme="minorEastAsia" w:hAnsiTheme="minorEastAsia"/>
          <w:sz w:val="28"/>
          <w:szCs w:val="28"/>
        </w:rPr>
        <w:t>万元，其中：人员经费</w:t>
      </w:r>
      <w:r w:rsidR="00AF7364">
        <w:rPr>
          <w:rFonts w:asciiTheme="minorEastAsia" w:eastAsiaTheme="minorEastAsia" w:hAnsiTheme="minorEastAsia" w:hint="eastAsia"/>
          <w:sz w:val="28"/>
          <w:szCs w:val="28"/>
        </w:rPr>
        <w:t>1143.1</w:t>
      </w:r>
      <w:r>
        <w:rPr>
          <w:rFonts w:asciiTheme="minorEastAsia" w:eastAsiaTheme="minorEastAsia" w:hAnsiTheme="minorEastAsia"/>
          <w:sz w:val="28"/>
          <w:szCs w:val="28"/>
        </w:rPr>
        <w:t>万元，占总支出的</w:t>
      </w:r>
      <w:r w:rsidR="00AF7364">
        <w:rPr>
          <w:rFonts w:asciiTheme="minorEastAsia" w:eastAsiaTheme="minorEastAsia" w:hAnsiTheme="minorEastAsia" w:hint="eastAsia"/>
          <w:sz w:val="28"/>
          <w:szCs w:val="28"/>
        </w:rPr>
        <w:t>54.64</w:t>
      </w:r>
      <w:r>
        <w:rPr>
          <w:rFonts w:asciiTheme="minorEastAsia" w:eastAsiaTheme="minorEastAsia" w:hAnsiTheme="minor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sidR="00AF7364">
        <w:rPr>
          <w:rFonts w:asciiTheme="minorEastAsia" w:eastAsiaTheme="minorEastAsia" w:hAnsiTheme="minorEastAsia" w:hint="eastAsia"/>
          <w:sz w:val="28"/>
          <w:szCs w:val="28"/>
        </w:rPr>
        <w:t>948.9</w:t>
      </w:r>
      <w:r>
        <w:rPr>
          <w:rFonts w:asciiTheme="minorEastAsia" w:eastAsiaTheme="minorEastAsia" w:hAnsiTheme="minorEastAsia"/>
          <w:sz w:val="28"/>
          <w:szCs w:val="28"/>
        </w:rPr>
        <w:t>万元，占总支出的</w:t>
      </w:r>
      <w:r w:rsidR="00AF7364">
        <w:rPr>
          <w:rFonts w:asciiTheme="minorEastAsia" w:eastAsiaTheme="minorEastAsia" w:hAnsiTheme="minorEastAsia" w:hint="eastAsia"/>
          <w:sz w:val="28"/>
          <w:szCs w:val="28"/>
        </w:rPr>
        <w:t>45.36</w:t>
      </w:r>
      <w:r>
        <w:rPr>
          <w:rFonts w:asciiTheme="minorEastAsia" w:eastAsiaTheme="minorEastAsia" w:hAnsiTheme="minorEastAsia"/>
          <w:sz w:val="28"/>
          <w:szCs w:val="28"/>
        </w:rPr>
        <w:t>%，主要包括办公费、印刷费、手续费、水费、电费、邮电费、差旅费、工会经费、福利费、其他商品和服务支出。项目支出</w:t>
      </w:r>
      <w:r w:rsidR="00AF7364">
        <w:rPr>
          <w:rFonts w:asciiTheme="minorEastAsia" w:eastAsiaTheme="minorEastAsia" w:hAnsiTheme="minorEastAsia" w:hint="eastAsia"/>
          <w:sz w:val="28"/>
          <w:szCs w:val="28"/>
        </w:rPr>
        <w:t>0</w:t>
      </w:r>
      <w:r>
        <w:rPr>
          <w:rFonts w:asciiTheme="minorEastAsia" w:eastAsiaTheme="minorEastAsia" w:hAnsiTheme="minorEastAsia"/>
          <w:sz w:val="28"/>
          <w:szCs w:val="28"/>
        </w:rPr>
        <w:t>万</w:t>
      </w:r>
      <w:r w:rsidR="00AF7364">
        <w:rPr>
          <w:rFonts w:asciiTheme="minorEastAsia" w:eastAsiaTheme="minorEastAsia" w:hAnsiTheme="minorEastAsia" w:hint="eastAsia"/>
          <w:sz w:val="28"/>
          <w:szCs w:val="28"/>
        </w:rPr>
        <w:t>元</w:t>
      </w:r>
      <w:r>
        <w:rPr>
          <w:rFonts w:asciiTheme="minorEastAsia" w:eastAsiaTheme="minorEastAsia" w:hAnsiTheme="minorEastAsia"/>
          <w:sz w:val="28"/>
          <w:szCs w:val="28"/>
        </w:rPr>
        <w:t>。</w:t>
      </w:r>
    </w:p>
    <w:p w:rsidR="00067DBE" w:rsidRDefault="005672A3">
      <w:pPr>
        <w:pStyle w:val="Default"/>
        <w:rPr>
          <w:rFonts w:eastAsia="楷体_GB2312"/>
          <w:b/>
          <w:sz w:val="32"/>
          <w:szCs w:val="32"/>
        </w:rPr>
      </w:pPr>
      <w:r>
        <w:rPr>
          <w:rFonts w:eastAsia="楷体_GB2312"/>
          <w:b/>
          <w:sz w:val="32"/>
          <w:szCs w:val="32"/>
        </w:rPr>
        <w:t>（二）预算资金使用管理情况。</w:t>
      </w:r>
    </w:p>
    <w:p w:rsidR="00067DBE" w:rsidRDefault="00AF7364" w:rsidP="00AF7364">
      <w:pPr>
        <w:pStyle w:val="Defaul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鹤城区教育局</w:t>
      </w:r>
      <w:r w:rsidR="005672A3">
        <w:rPr>
          <w:rFonts w:asciiTheme="minorEastAsia" w:eastAsiaTheme="minorEastAsia" w:hAnsiTheme="minorEastAsia"/>
          <w:sz w:val="28"/>
          <w:szCs w:val="28"/>
        </w:rPr>
        <w:t>严格按照预算执行。在收到财政下达的各类款项后，按照资金的用途使用，支出总额控制在预算总额以内，按照预算执行进度，及时支付。专项项目立项、申报、评审、监督管理、验收等阶段组织实施均合规。</w:t>
      </w:r>
    </w:p>
    <w:p w:rsidR="00067DBE" w:rsidRDefault="005672A3">
      <w:pPr>
        <w:spacing w:line="600" w:lineRule="exact"/>
        <w:rPr>
          <w:rFonts w:eastAsia="楷体_GB2312"/>
          <w:b/>
          <w:sz w:val="32"/>
          <w:szCs w:val="32"/>
        </w:rPr>
      </w:pPr>
      <w:r>
        <w:rPr>
          <w:rFonts w:eastAsia="楷体_GB2312"/>
          <w:b/>
          <w:sz w:val="32"/>
          <w:szCs w:val="32"/>
        </w:rPr>
        <w:t>（三）预算支出绩效目标完成程度。</w:t>
      </w:r>
    </w:p>
    <w:p w:rsidR="00067DBE" w:rsidRDefault="005672A3" w:rsidP="00AF7364">
      <w:pPr>
        <w:spacing w:line="600" w:lineRule="exact"/>
        <w:ind w:firstLineChars="200" w:firstLine="560"/>
        <w:rPr>
          <w:rFonts w:asciiTheme="minorEastAsia" w:hAnsiTheme="minorEastAsia"/>
          <w:color w:val="000000" w:themeColor="text1"/>
          <w:sz w:val="28"/>
          <w:szCs w:val="28"/>
        </w:rPr>
      </w:pPr>
      <w:r>
        <w:rPr>
          <w:rFonts w:asciiTheme="minorEastAsia" w:hAnsiTheme="minorEastAsia"/>
          <w:color w:val="000000" w:themeColor="text1"/>
          <w:sz w:val="28"/>
          <w:szCs w:val="28"/>
        </w:rPr>
        <w:t>2020年度财政拨款支出年初预算数为</w:t>
      </w:r>
      <w:r w:rsidR="00AF7364">
        <w:rPr>
          <w:rFonts w:asciiTheme="minorEastAsia" w:hAnsiTheme="minorEastAsia" w:hint="eastAsia"/>
          <w:color w:val="000000" w:themeColor="text1"/>
          <w:sz w:val="28"/>
          <w:szCs w:val="28"/>
        </w:rPr>
        <w:t>2092</w:t>
      </w:r>
      <w:r>
        <w:rPr>
          <w:rFonts w:asciiTheme="minorEastAsia" w:hAnsiTheme="minorEastAsia"/>
          <w:color w:val="000000" w:themeColor="text1"/>
          <w:sz w:val="28"/>
          <w:szCs w:val="28"/>
        </w:rPr>
        <w:t>万元，支出决算数为</w:t>
      </w:r>
      <w:r w:rsidR="00AF7364">
        <w:rPr>
          <w:rFonts w:asciiTheme="minorEastAsia" w:hAnsiTheme="minorEastAsia" w:hint="eastAsia"/>
          <w:color w:val="000000" w:themeColor="text1"/>
          <w:sz w:val="28"/>
          <w:szCs w:val="28"/>
        </w:rPr>
        <w:t>2092</w:t>
      </w:r>
      <w:r>
        <w:rPr>
          <w:rFonts w:asciiTheme="minorEastAsia" w:hAnsiTheme="minorEastAsia"/>
          <w:color w:val="000000" w:themeColor="text1"/>
          <w:sz w:val="28"/>
          <w:szCs w:val="28"/>
        </w:rPr>
        <w:t>万元. 完成年初预算的</w:t>
      </w:r>
      <w:r w:rsidR="00AF7364">
        <w:rPr>
          <w:rFonts w:asciiTheme="minorEastAsia" w:hAnsiTheme="minorEastAsia" w:hint="eastAsia"/>
          <w:color w:val="000000" w:themeColor="text1"/>
          <w:sz w:val="28"/>
          <w:szCs w:val="28"/>
        </w:rPr>
        <w:t>100</w:t>
      </w:r>
      <w:r>
        <w:rPr>
          <w:rFonts w:asciiTheme="minorEastAsia" w:hAnsiTheme="minorEastAsia"/>
          <w:color w:val="000000" w:themeColor="text1"/>
          <w:sz w:val="28"/>
          <w:szCs w:val="28"/>
        </w:rPr>
        <w:t>%</w:t>
      </w:r>
      <w:r w:rsidR="00AF7364">
        <w:rPr>
          <w:rFonts w:asciiTheme="minorEastAsia" w:hAnsiTheme="minorEastAsia" w:hint="eastAsia"/>
          <w:color w:val="000000" w:themeColor="text1"/>
          <w:sz w:val="28"/>
          <w:szCs w:val="28"/>
        </w:rPr>
        <w:t>。</w:t>
      </w:r>
    </w:p>
    <w:p w:rsidR="00067DBE" w:rsidRDefault="00067DBE">
      <w:pPr>
        <w:spacing w:line="600" w:lineRule="exact"/>
        <w:rPr>
          <w:rFonts w:eastAsia="仿宋_GB2312"/>
          <w:sz w:val="32"/>
          <w:szCs w:val="32"/>
        </w:rPr>
      </w:pPr>
    </w:p>
    <w:p w:rsidR="00067DBE" w:rsidRDefault="00AF7364" w:rsidP="00AF7364">
      <w:pPr>
        <w:pStyle w:val="a3"/>
        <w:spacing w:line="600" w:lineRule="exact"/>
        <w:rPr>
          <w:rFonts w:eastAsia="黑体"/>
          <w:sz w:val="32"/>
          <w:szCs w:val="32"/>
        </w:rPr>
      </w:pPr>
      <w:r>
        <w:rPr>
          <w:rFonts w:eastAsia="黑体" w:hint="eastAsia"/>
          <w:sz w:val="32"/>
          <w:szCs w:val="32"/>
        </w:rPr>
        <w:t>二、</w:t>
      </w:r>
      <w:r w:rsidR="005672A3">
        <w:rPr>
          <w:rFonts w:eastAsia="黑体"/>
          <w:sz w:val="32"/>
          <w:szCs w:val="32"/>
        </w:rPr>
        <w:t>绩效评价工作情况</w:t>
      </w:r>
    </w:p>
    <w:p w:rsidR="00067DBE" w:rsidRDefault="00AF7364">
      <w:pPr>
        <w:spacing w:line="600" w:lineRule="exact"/>
        <w:ind w:left="640"/>
        <w:rPr>
          <w:rFonts w:eastAsia="黑体"/>
          <w:sz w:val="32"/>
          <w:szCs w:val="32"/>
        </w:rPr>
      </w:pPr>
      <w:r>
        <w:rPr>
          <w:rFonts w:asciiTheme="minorEastAsia" w:hAnsiTheme="minorEastAsia" w:hint="eastAsia"/>
          <w:sz w:val="28"/>
          <w:szCs w:val="28"/>
        </w:rPr>
        <w:t>教育局机关</w:t>
      </w:r>
      <w:r w:rsidR="005672A3">
        <w:rPr>
          <w:rFonts w:asciiTheme="minorEastAsia" w:hAnsiTheme="minorEastAsia"/>
          <w:sz w:val="28"/>
          <w:szCs w:val="28"/>
        </w:rPr>
        <w:t>在预算执行和支出绩效方面，都按照规定严格执行，</w:t>
      </w:r>
      <w:r w:rsidR="005672A3">
        <w:rPr>
          <w:rFonts w:asciiTheme="minorEastAsia" w:hAnsiTheme="minorEastAsia"/>
          <w:sz w:val="28"/>
          <w:szCs w:val="28"/>
        </w:rPr>
        <w:lastRenderedPageBreak/>
        <w:t>合理安排支出，无追加预算现象发生，使财政资金发挥最大效益。</w:t>
      </w:r>
    </w:p>
    <w:p w:rsidR="00067DBE" w:rsidRDefault="00AF7364" w:rsidP="00AF7364">
      <w:pPr>
        <w:pStyle w:val="a3"/>
        <w:spacing w:line="600" w:lineRule="exact"/>
        <w:rPr>
          <w:rFonts w:eastAsia="黑体"/>
          <w:sz w:val="32"/>
          <w:szCs w:val="32"/>
        </w:rPr>
      </w:pPr>
      <w:r>
        <w:rPr>
          <w:rFonts w:eastAsia="黑体" w:hint="eastAsia"/>
          <w:sz w:val="32"/>
          <w:szCs w:val="32"/>
        </w:rPr>
        <w:t>三、</w:t>
      </w:r>
      <w:r w:rsidR="005672A3">
        <w:rPr>
          <w:rFonts w:eastAsia="黑体"/>
          <w:sz w:val="32"/>
          <w:szCs w:val="32"/>
        </w:rPr>
        <w:t>预算支出主要绩效及评价结论</w:t>
      </w:r>
    </w:p>
    <w:p w:rsidR="00067DBE" w:rsidRDefault="00AF7364">
      <w:pPr>
        <w:spacing w:line="600" w:lineRule="exact"/>
        <w:ind w:left="315"/>
        <w:rPr>
          <w:rFonts w:asciiTheme="minorEastAsia" w:hAnsiTheme="minorEastAsia"/>
          <w:sz w:val="28"/>
          <w:szCs w:val="28"/>
        </w:rPr>
      </w:pPr>
      <w:r>
        <w:rPr>
          <w:rFonts w:asciiTheme="minorEastAsia" w:hAnsiTheme="minorEastAsia" w:hint="eastAsia"/>
          <w:sz w:val="28"/>
          <w:szCs w:val="28"/>
        </w:rPr>
        <w:t>鹤城区教育局</w:t>
      </w:r>
      <w:r w:rsidR="005672A3">
        <w:rPr>
          <w:rFonts w:asciiTheme="minorEastAsia" w:hAnsiTheme="minorEastAsia"/>
          <w:sz w:val="28"/>
          <w:szCs w:val="28"/>
        </w:rPr>
        <w:t>2020年整体支出基本符合财务管理制度和会计核算要求，财政资金的投入，对</w:t>
      </w:r>
      <w:r>
        <w:rPr>
          <w:rFonts w:asciiTheme="minorEastAsia" w:hAnsiTheme="minorEastAsia" w:hint="eastAsia"/>
          <w:sz w:val="28"/>
          <w:szCs w:val="28"/>
        </w:rPr>
        <w:t>局机关日常工作开展及下属学校的发展提供了强有力的财务</w:t>
      </w:r>
      <w:r>
        <w:rPr>
          <w:rFonts w:asciiTheme="minorEastAsia" w:hAnsiTheme="minorEastAsia"/>
          <w:sz w:val="28"/>
          <w:szCs w:val="28"/>
        </w:rPr>
        <w:t>保障</w:t>
      </w:r>
      <w:r w:rsidR="005672A3">
        <w:rPr>
          <w:rFonts w:asciiTheme="minorEastAsia" w:hAnsiTheme="minorEastAsia"/>
          <w:sz w:val="28"/>
          <w:szCs w:val="28"/>
        </w:rPr>
        <w:t>。</w:t>
      </w:r>
    </w:p>
    <w:p w:rsidR="00067DBE" w:rsidRDefault="005672A3">
      <w:pPr>
        <w:spacing w:line="700" w:lineRule="exact"/>
        <w:ind w:left="420"/>
        <w:rPr>
          <w:rFonts w:asciiTheme="minorEastAsia" w:hAnsiTheme="minorEastAsia" w:cs="仿宋_GB2312"/>
          <w:sz w:val="28"/>
          <w:szCs w:val="28"/>
        </w:rPr>
      </w:pPr>
      <w:r>
        <w:rPr>
          <w:rFonts w:asciiTheme="minorEastAsia" w:hAnsiTheme="minorEastAsia"/>
          <w:sz w:val="28"/>
          <w:szCs w:val="28"/>
        </w:rPr>
        <w:t>主要经验及做法</w:t>
      </w:r>
      <w:r>
        <w:rPr>
          <w:rFonts w:asciiTheme="minorEastAsia" w:hAnsiTheme="minorEastAsia" w:cs="仿宋_GB2312"/>
          <w:sz w:val="28"/>
          <w:szCs w:val="28"/>
        </w:rPr>
        <w:t>：严格遵循把财政资金使用好、管理好的宗旨，基本做到了专款专用，严格资金审批程序，确保了项目质量，财政资金的安全。</w:t>
      </w:r>
    </w:p>
    <w:p w:rsidR="00067DBE" w:rsidRDefault="005672A3">
      <w:pPr>
        <w:spacing w:line="700" w:lineRule="exact"/>
        <w:ind w:left="420"/>
        <w:rPr>
          <w:rFonts w:asciiTheme="minorEastAsia" w:hAnsiTheme="minorEastAsia" w:cs="仿宋_GB2312"/>
          <w:sz w:val="28"/>
          <w:szCs w:val="28"/>
        </w:rPr>
      </w:pPr>
      <w:r>
        <w:rPr>
          <w:rFonts w:asciiTheme="minorEastAsia" w:hAnsiTheme="minorEastAsia" w:cs="仿宋_GB2312"/>
          <w:sz w:val="28"/>
          <w:szCs w:val="28"/>
        </w:rPr>
        <w:t>存在的问题：对绩效评价工作的认识和重视程度还有待加强。</w:t>
      </w:r>
    </w:p>
    <w:p w:rsidR="00067DBE" w:rsidRDefault="005672A3">
      <w:pPr>
        <w:spacing w:line="600" w:lineRule="exact"/>
        <w:rPr>
          <w:rFonts w:eastAsia="黑体"/>
          <w:sz w:val="32"/>
          <w:szCs w:val="32"/>
        </w:rPr>
      </w:pPr>
      <w:r>
        <w:rPr>
          <w:rFonts w:eastAsia="黑体"/>
          <w:sz w:val="32"/>
          <w:szCs w:val="32"/>
        </w:rPr>
        <w:t>四、绩效评价指标分析</w:t>
      </w:r>
    </w:p>
    <w:p w:rsidR="00067DBE" w:rsidRDefault="005672A3">
      <w:pPr>
        <w:spacing w:line="600" w:lineRule="exact"/>
        <w:rPr>
          <w:rFonts w:eastAsia="楷体_GB2312"/>
          <w:b/>
          <w:sz w:val="32"/>
          <w:szCs w:val="32"/>
        </w:rPr>
      </w:pPr>
      <w:r>
        <w:rPr>
          <w:rFonts w:eastAsia="楷体_GB2312"/>
          <w:b/>
          <w:sz w:val="32"/>
          <w:szCs w:val="32"/>
        </w:rPr>
        <w:t>（一）预算支出决策情况</w:t>
      </w:r>
    </w:p>
    <w:p w:rsidR="00067DBE" w:rsidRDefault="005672A3">
      <w:pPr>
        <w:spacing w:line="600" w:lineRule="exact"/>
        <w:rPr>
          <w:rFonts w:asciiTheme="minorEastAsia" w:hAnsiTheme="minorEastAsia"/>
          <w:sz w:val="28"/>
          <w:szCs w:val="28"/>
        </w:rPr>
      </w:pPr>
      <w:r>
        <w:rPr>
          <w:rFonts w:asciiTheme="minorEastAsia" w:hAnsiTheme="minorEastAsia"/>
          <w:sz w:val="28"/>
          <w:szCs w:val="28"/>
        </w:rPr>
        <w:t>严格执行相关法律法规及项目管理制度，项目公示制。</w:t>
      </w:r>
    </w:p>
    <w:p w:rsidR="00067DBE" w:rsidRDefault="005672A3">
      <w:pPr>
        <w:spacing w:line="600" w:lineRule="exact"/>
        <w:rPr>
          <w:rFonts w:eastAsia="楷体_GB2312"/>
          <w:b/>
          <w:sz w:val="32"/>
          <w:szCs w:val="32"/>
        </w:rPr>
      </w:pPr>
      <w:r>
        <w:rPr>
          <w:rFonts w:eastAsia="楷体_GB2312"/>
          <w:b/>
          <w:sz w:val="32"/>
          <w:szCs w:val="32"/>
        </w:rPr>
        <w:t>（二）预算执行过程情况</w:t>
      </w:r>
    </w:p>
    <w:p w:rsidR="00067DBE" w:rsidRDefault="005672A3">
      <w:pPr>
        <w:spacing w:line="600" w:lineRule="exact"/>
        <w:rPr>
          <w:rFonts w:asciiTheme="minorEastAsia" w:hAnsiTheme="minorEastAsia"/>
          <w:sz w:val="28"/>
          <w:szCs w:val="28"/>
        </w:rPr>
      </w:pPr>
      <w:r>
        <w:rPr>
          <w:rFonts w:asciiTheme="minorEastAsia" w:hAnsiTheme="minorEastAsia"/>
          <w:sz w:val="28"/>
          <w:szCs w:val="28"/>
        </w:rPr>
        <w:t>强化绩效理念，提高财政资金使用效益，在预算执行中严格接受财政部门的监管。</w:t>
      </w:r>
    </w:p>
    <w:p w:rsidR="00067DBE" w:rsidRDefault="005672A3">
      <w:pPr>
        <w:spacing w:line="600" w:lineRule="exact"/>
        <w:rPr>
          <w:rFonts w:eastAsia="楷体_GB2312"/>
          <w:b/>
          <w:sz w:val="32"/>
          <w:szCs w:val="32"/>
        </w:rPr>
      </w:pPr>
      <w:r>
        <w:rPr>
          <w:rFonts w:eastAsia="楷体_GB2312"/>
          <w:b/>
          <w:sz w:val="32"/>
          <w:szCs w:val="32"/>
        </w:rPr>
        <w:t>（三）预算支出产出情况</w:t>
      </w:r>
    </w:p>
    <w:p w:rsidR="00067DBE" w:rsidRDefault="005672A3">
      <w:pPr>
        <w:spacing w:line="600" w:lineRule="exact"/>
        <w:rPr>
          <w:rFonts w:asciiTheme="minorEastAsia" w:hAnsiTheme="minorEastAsia" w:cs="仿宋"/>
          <w:sz w:val="28"/>
          <w:szCs w:val="28"/>
        </w:rPr>
      </w:pPr>
      <w:r>
        <w:rPr>
          <w:rFonts w:asciiTheme="minorEastAsia" w:hAnsiTheme="minorEastAsia" w:cs="仿宋"/>
          <w:sz w:val="28"/>
          <w:szCs w:val="28"/>
        </w:rPr>
        <w:t>全面贯彻党的教育方针，落实教育各项政策，保障</w:t>
      </w:r>
      <w:r w:rsidR="00AF7364">
        <w:rPr>
          <w:rFonts w:asciiTheme="minorEastAsia" w:hAnsiTheme="minorEastAsia" w:cs="仿宋" w:hint="eastAsia"/>
          <w:sz w:val="28"/>
          <w:szCs w:val="28"/>
        </w:rPr>
        <w:t>各学校办学条件改善、维护</w:t>
      </w:r>
      <w:r>
        <w:rPr>
          <w:rFonts w:asciiTheme="minorEastAsia" w:hAnsiTheme="minorEastAsia" w:cs="仿宋"/>
          <w:sz w:val="28"/>
          <w:szCs w:val="28"/>
        </w:rPr>
        <w:t>学生受教育的各项权利，维护教师职工各项权益。</w:t>
      </w:r>
    </w:p>
    <w:p w:rsidR="00067DBE" w:rsidRDefault="005672A3">
      <w:pPr>
        <w:spacing w:line="600" w:lineRule="exact"/>
        <w:rPr>
          <w:rFonts w:eastAsia="楷体_GB2312"/>
          <w:b/>
          <w:sz w:val="32"/>
          <w:szCs w:val="32"/>
        </w:rPr>
      </w:pPr>
      <w:r>
        <w:rPr>
          <w:rFonts w:eastAsia="楷体_GB2312"/>
          <w:b/>
          <w:sz w:val="32"/>
          <w:szCs w:val="32"/>
        </w:rPr>
        <w:t>（四）预算支出效益情况</w:t>
      </w:r>
    </w:p>
    <w:p w:rsidR="00067DBE" w:rsidRDefault="005672A3">
      <w:pPr>
        <w:spacing w:line="600" w:lineRule="exact"/>
        <w:rPr>
          <w:rFonts w:eastAsia="楷体_GB2312"/>
          <w:b/>
          <w:sz w:val="32"/>
          <w:szCs w:val="32"/>
        </w:rPr>
      </w:pPr>
      <w:r>
        <w:rPr>
          <w:rFonts w:asciiTheme="minorEastAsia" w:hAnsiTheme="minorEastAsia"/>
          <w:color w:val="333333"/>
          <w:sz w:val="28"/>
          <w:szCs w:val="28"/>
        </w:rPr>
        <w:t>改善了我</w:t>
      </w:r>
      <w:r w:rsidR="00AF7364">
        <w:rPr>
          <w:rFonts w:asciiTheme="minorEastAsia" w:hAnsiTheme="minorEastAsia" w:hint="eastAsia"/>
          <w:color w:val="333333"/>
          <w:sz w:val="28"/>
          <w:szCs w:val="28"/>
        </w:rPr>
        <w:t>局下属各公办学校</w:t>
      </w:r>
      <w:r>
        <w:rPr>
          <w:rFonts w:asciiTheme="minorEastAsia" w:hAnsiTheme="minorEastAsia"/>
          <w:color w:val="333333"/>
          <w:sz w:val="28"/>
          <w:szCs w:val="28"/>
        </w:rPr>
        <w:t>的办学条件，为更多的学生创造良好的学习环境，也将进一步提高我</w:t>
      </w:r>
      <w:r w:rsidR="00AF7364">
        <w:rPr>
          <w:rFonts w:asciiTheme="minorEastAsia" w:hAnsiTheme="minorEastAsia" w:hint="eastAsia"/>
          <w:color w:val="333333"/>
          <w:sz w:val="28"/>
          <w:szCs w:val="28"/>
        </w:rPr>
        <w:t>区教育</w:t>
      </w:r>
      <w:r>
        <w:rPr>
          <w:rFonts w:asciiTheme="minorEastAsia" w:hAnsiTheme="minorEastAsia"/>
          <w:color w:val="333333"/>
          <w:sz w:val="28"/>
          <w:szCs w:val="28"/>
        </w:rPr>
        <w:t>教学质量，促进教育事业的发</w:t>
      </w:r>
      <w:r>
        <w:rPr>
          <w:rFonts w:asciiTheme="minorEastAsia" w:hAnsiTheme="minorEastAsia"/>
          <w:color w:val="333333"/>
          <w:sz w:val="28"/>
          <w:szCs w:val="28"/>
        </w:rPr>
        <w:lastRenderedPageBreak/>
        <w:t>展，产生更好的社会效应，做到学生满意，人民群众满意。</w:t>
      </w:r>
    </w:p>
    <w:p w:rsidR="00067DBE" w:rsidRDefault="005672A3">
      <w:pPr>
        <w:spacing w:line="600" w:lineRule="exact"/>
        <w:rPr>
          <w:rFonts w:eastAsia="黑体"/>
          <w:sz w:val="32"/>
          <w:szCs w:val="32"/>
        </w:rPr>
      </w:pPr>
      <w:r>
        <w:rPr>
          <w:rFonts w:eastAsia="黑体"/>
          <w:sz w:val="32"/>
          <w:szCs w:val="32"/>
        </w:rPr>
        <w:t>五、主要经验及做法、存在的问题及原因分析</w:t>
      </w:r>
    </w:p>
    <w:p w:rsidR="00067DBE" w:rsidRDefault="005672A3">
      <w:pPr>
        <w:spacing w:line="700" w:lineRule="exact"/>
        <w:rPr>
          <w:rFonts w:asciiTheme="minorEastAsia" w:hAnsiTheme="minorEastAsia" w:cs="仿宋_GB2312"/>
          <w:sz w:val="28"/>
          <w:szCs w:val="28"/>
        </w:rPr>
      </w:pPr>
      <w:r>
        <w:rPr>
          <w:rFonts w:asciiTheme="minorEastAsia" w:hAnsiTheme="minorEastAsia"/>
          <w:sz w:val="28"/>
          <w:szCs w:val="28"/>
        </w:rPr>
        <w:t>主要经验及做法</w:t>
      </w:r>
      <w:r>
        <w:rPr>
          <w:rFonts w:asciiTheme="minorEastAsia" w:hAnsiTheme="minorEastAsia" w:cs="仿宋_GB2312"/>
          <w:sz w:val="28"/>
          <w:szCs w:val="28"/>
        </w:rPr>
        <w:t>：严格遵循把财政资金使用好、管理好的宗旨，基本做到了专款专用，严格资金审批程序，确保了项目质量，财政资金的安全。</w:t>
      </w:r>
    </w:p>
    <w:p w:rsidR="00067DBE" w:rsidRDefault="005672A3">
      <w:pPr>
        <w:spacing w:line="700" w:lineRule="exact"/>
        <w:rPr>
          <w:rFonts w:asciiTheme="minorEastAsia" w:hAnsiTheme="minorEastAsia" w:cs="仿宋_GB2312"/>
          <w:sz w:val="28"/>
          <w:szCs w:val="28"/>
        </w:rPr>
      </w:pPr>
      <w:r>
        <w:rPr>
          <w:rFonts w:asciiTheme="minorEastAsia" w:hAnsiTheme="minorEastAsia" w:cs="仿宋_GB2312"/>
          <w:sz w:val="28"/>
          <w:szCs w:val="28"/>
        </w:rPr>
        <w:t>存在的问题：对绩效评价工作的认识和重视程度还有待加强。</w:t>
      </w:r>
    </w:p>
    <w:p w:rsidR="00067DBE" w:rsidRDefault="005672A3">
      <w:pPr>
        <w:spacing w:line="600" w:lineRule="exact"/>
        <w:rPr>
          <w:rFonts w:eastAsia="黑体"/>
          <w:sz w:val="32"/>
          <w:szCs w:val="32"/>
        </w:rPr>
      </w:pPr>
      <w:r>
        <w:rPr>
          <w:rFonts w:eastAsia="黑体"/>
          <w:sz w:val="32"/>
          <w:szCs w:val="32"/>
        </w:rPr>
        <w:t>六、有关建议</w:t>
      </w:r>
    </w:p>
    <w:p w:rsidR="00067DBE" w:rsidRDefault="005672A3">
      <w:pPr>
        <w:spacing w:line="600" w:lineRule="exact"/>
        <w:rPr>
          <w:rFonts w:asciiTheme="minorEastAsia" w:hAnsiTheme="minorEastAsia"/>
          <w:sz w:val="28"/>
          <w:szCs w:val="28"/>
        </w:rPr>
      </w:pPr>
      <w:r>
        <w:rPr>
          <w:rFonts w:asciiTheme="minorEastAsia" w:hAnsiTheme="minorEastAsia" w:cs="仿宋_GB2312"/>
          <w:sz w:val="28"/>
          <w:szCs w:val="28"/>
        </w:rPr>
        <w:t>建议组织财务人员和部门工作人员预算、绩效工作培训，加强预算、绩效管理意识</w:t>
      </w:r>
      <w:r>
        <w:rPr>
          <w:rFonts w:asciiTheme="minorEastAsia" w:hAnsiTheme="minorEastAsia"/>
          <w:sz w:val="28"/>
          <w:szCs w:val="28"/>
        </w:rPr>
        <w:t>。</w:t>
      </w:r>
    </w:p>
    <w:p w:rsidR="00067DBE" w:rsidRDefault="005672A3">
      <w:pPr>
        <w:spacing w:line="600" w:lineRule="exact"/>
        <w:rPr>
          <w:rFonts w:eastAsia="黑体"/>
          <w:sz w:val="32"/>
          <w:szCs w:val="32"/>
        </w:rPr>
      </w:pPr>
      <w:r>
        <w:rPr>
          <w:rFonts w:eastAsia="黑体"/>
          <w:sz w:val="32"/>
          <w:szCs w:val="32"/>
        </w:rPr>
        <w:t>七、其他需要说明的问题</w:t>
      </w:r>
    </w:p>
    <w:p w:rsidR="00067DBE" w:rsidRDefault="005672A3">
      <w:pPr>
        <w:spacing w:line="600" w:lineRule="exact"/>
        <w:rPr>
          <w:rFonts w:eastAsia="黑体"/>
          <w:sz w:val="32"/>
          <w:szCs w:val="32"/>
        </w:rPr>
      </w:pPr>
      <w:r>
        <w:rPr>
          <w:rFonts w:eastAsia="黑体"/>
          <w:sz w:val="32"/>
          <w:szCs w:val="32"/>
        </w:rPr>
        <w:t>无</w:t>
      </w:r>
    </w:p>
    <w:p w:rsidR="00067DBE" w:rsidRDefault="005672A3">
      <w:pPr>
        <w:widowControl/>
        <w:spacing w:line="600" w:lineRule="exact"/>
        <w:jc w:val="left"/>
        <w:rPr>
          <w:rFonts w:eastAsia="黑体"/>
          <w:sz w:val="32"/>
          <w:szCs w:val="32"/>
        </w:rPr>
      </w:pPr>
      <w:r>
        <w:rPr>
          <w:rFonts w:eastAsia="黑体"/>
          <w:sz w:val="32"/>
          <w:szCs w:val="32"/>
        </w:rPr>
        <w:t xml:space="preserve">    </w:t>
      </w:r>
    </w:p>
    <w:p w:rsidR="00067DBE" w:rsidRDefault="005672A3">
      <w:pPr>
        <w:widowControl/>
        <w:spacing w:line="600" w:lineRule="exact"/>
        <w:ind w:firstLine="645"/>
        <w:jc w:val="left"/>
        <w:rPr>
          <w:rFonts w:eastAsia="仿宋_GB2312"/>
          <w:sz w:val="32"/>
          <w:szCs w:val="32"/>
        </w:rPr>
      </w:pPr>
      <w:r>
        <w:rPr>
          <w:rFonts w:eastAsia="仿宋_GB2312"/>
          <w:sz w:val="32"/>
          <w:szCs w:val="32"/>
        </w:rPr>
        <w:t>报告应包括以下附件：</w:t>
      </w:r>
    </w:p>
    <w:p w:rsidR="00067DBE" w:rsidRDefault="005672A3">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067DBE" w:rsidRDefault="005672A3">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067DBE" w:rsidRDefault="00067DBE">
      <w:pPr>
        <w:widowControl/>
        <w:spacing w:line="600" w:lineRule="exact"/>
        <w:jc w:val="left"/>
        <w:rPr>
          <w:rFonts w:eastAsia="仿宋_GB2312"/>
          <w:sz w:val="32"/>
          <w:szCs w:val="32"/>
        </w:rPr>
      </w:pPr>
    </w:p>
    <w:sectPr w:rsidR="00067DBE" w:rsidSect="00067DBE">
      <w:pgSz w:w="11906" w:h="16838"/>
      <w:pgMar w:top="1440" w:right="1800" w:bottom="1440" w:left="1800" w:header="0" w:footer="0" w:gutter="0"/>
      <w:cols w:space="720"/>
      <w:formProt w:val="0"/>
      <w:docGrid w:type="lines" w:linePitch="312" w:charSpace="4300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roman"/>
    <w:pitch w:val="variable"/>
    <w:sig w:usb0="00000000" w:usb1="00000000" w:usb2="00000000" w:usb3="00000000" w:csb0="00000000" w:csb1="00000000"/>
  </w:font>
  <w:font w:name="方正小标宋_GBK">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宋体;SimSun">
    <w:panose1 w:val="00000000000000000000"/>
    <w:charset w:val="86"/>
    <w:family w:val="roman"/>
    <w:notTrueType/>
    <w:pitch w:val="default"/>
    <w:sig w:usb0="00000000" w:usb1="00000000" w:usb2="00000000" w:usb3="00000000" w:csb0="00000000" w:csb1="00000000"/>
  </w:font>
  <w:font w:name="楷体_GB2312">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3091C"/>
    <w:multiLevelType w:val="multilevel"/>
    <w:tmpl w:val="4926B9AE"/>
    <w:lvl w:ilvl="0">
      <w:start w:val="1"/>
      <w:numFmt w:val="taiwaneseCountingThousand"/>
      <w:lvlText w:val="%1、"/>
      <w:lvlJc w:val="left"/>
      <w:pPr>
        <w:tabs>
          <w:tab w:val="num" w:pos="0"/>
        </w:tabs>
        <w:ind w:left="1360" w:hanging="720"/>
      </w:pPr>
    </w:lvl>
    <w:lvl w:ilvl="1">
      <w:start w:val="1"/>
      <w:numFmt w:val="lowerLetter"/>
      <w:lvlText w:val="%2)"/>
      <w:lvlJc w:val="left"/>
      <w:pPr>
        <w:tabs>
          <w:tab w:val="num" w:pos="0"/>
        </w:tabs>
        <w:ind w:left="1480" w:hanging="420"/>
      </w:pPr>
    </w:lvl>
    <w:lvl w:ilvl="2">
      <w:start w:val="1"/>
      <w:numFmt w:val="lowerRoman"/>
      <w:lvlText w:val="%3."/>
      <w:lvlJc w:val="right"/>
      <w:pPr>
        <w:tabs>
          <w:tab w:val="num" w:pos="0"/>
        </w:tabs>
        <w:ind w:left="1900" w:hanging="420"/>
      </w:pPr>
    </w:lvl>
    <w:lvl w:ilvl="3">
      <w:start w:val="1"/>
      <w:numFmt w:val="decimal"/>
      <w:lvlText w:val="%4."/>
      <w:lvlJc w:val="left"/>
      <w:pPr>
        <w:tabs>
          <w:tab w:val="num" w:pos="0"/>
        </w:tabs>
        <w:ind w:left="2320" w:hanging="420"/>
      </w:pPr>
    </w:lvl>
    <w:lvl w:ilvl="4">
      <w:start w:val="1"/>
      <w:numFmt w:val="lowerLetter"/>
      <w:lvlText w:val="%5)"/>
      <w:lvlJc w:val="left"/>
      <w:pPr>
        <w:tabs>
          <w:tab w:val="num" w:pos="0"/>
        </w:tabs>
        <w:ind w:left="2740" w:hanging="420"/>
      </w:pPr>
    </w:lvl>
    <w:lvl w:ilvl="5">
      <w:start w:val="1"/>
      <w:numFmt w:val="lowerRoman"/>
      <w:lvlText w:val="%6."/>
      <w:lvlJc w:val="right"/>
      <w:pPr>
        <w:tabs>
          <w:tab w:val="num" w:pos="0"/>
        </w:tabs>
        <w:ind w:left="3160" w:hanging="420"/>
      </w:pPr>
    </w:lvl>
    <w:lvl w:ilvl="6">
      <w:start w:val="1"/>
      <w:numFmt w:val="decimal"/>
      <w:lvlText w:val="%7."/>
      <w:lvlJc w:val="left"/>
      <w:pPr>
        <w:tabs>
          <w:tab w:val="num" w:pos="0"/>
        </w:tabs>
        <w:ind w:left="3580" w:hanging="420"/>
      </w:pPr>
    </w:lvl>
    <w:lvl w:ilvl="7">
      <w:start w:val="1"/>
      <w:numFmt w:val="lowerLetter"/>
      <w:lvlText w:val="%8)"/>
      <w:lvlJc w:val="left"/>
      <w:pPr>
        <w:tabs>
          <w:tab w:val="num" w:pos="0"/>
        </w:tabs>
        <w:ind w:left="4000" w:hanging="420"/>
      </w:pPr>
    </w:lvl>
    <w:lvl w:ilvl="8">
      <w:start w:val="1"/>
      <w:numFmt w:val="lowerRoman"/>
      <w:lvlText w:val="%9."/>
      <w:lvlJc w:val="right"/>
      <w:pPr>
        <w:tabs>
          <w:tab w:val="num" w:pos="0"/>
        </w:tabs>
        <w:ind w:left="4420" w:hanging="420"/>
      </w:pPr>
    </w:lvl>
  </w:abstractNum>
  <w:abstractNum w:abstractNumId="1">
    <w:nsid w:val="3D35609B"/>
    <w:multiLevelType w:val="multilevel"/>
    <w:tmpl w:val="6F4880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40B2546"/>
    <w:multiLevelType w:val="multilevel"/>
    <w:tmpl w:val="2D50D966"/>
    <w:lvl w:ilvl="0">
      <w:start w:val="1"/>
      <w:numFmt w:val="decimalEnclosedCircle"/>
      <w:lvlText w:val="%1"/>
      <w:lvlJc w:val="left"/>
      <w:pPr>
        <w:tabs>
          <w:tab w:val="num" w:pos="0"/>
        </w:tabs>
        <w:ind w:left="465" w:hanging="360"/>
      </w:pPr>
      <w:rPr>
        <w:rFonts w:cs="宋体"/>
      </w:rPr>
    </w:lvl>
    <w:lvl w:ilvl="1">
      <w:start w:val="1"/>
      <w:numFmt w:val="lowerLetter"/>
      <w:lvlText w:val="%2)"/>
      <w:lvlJc w:val="left"/>
      <w:pPr>
        <w:tabs>
          <w:tab w:val="num" w:pos="0"/>
        </w:tabs>
        <w:ind w:left="945" w:hanging="420"/>
      </w:pPr>
    </w:lvl>
    <w:lvl w:ilvl="2">
      <w:start w:val="1"/>
      <w:numFmt w:val="lowerRoman"/>
      <w:lvlText w:val="%3."/>
      <w:lvlJc w:val="right"/>
      <w:pPr>
        <w:tabs>
          <w:tab w:val="num" w:pos="0"/>
        </w:tabs>
        <w:ind w:left="1365" w:hanging="420"/>
      </w:pPr>
    </w:lvl>
    <w:lvl w:ilvl="3">
      <w:start w:val="1"/>
      <w:numFmt w:val="decimal"/>
      <w:lvlText w:val="%4."/>
      <w:lvlJc w:val="left"/>
      <w:pPr>
        <w:tabs>
          <w:tab w:val="num" w:pos="0"/>
        </w:tabs>
        <w:ind w:left="1785" w:hanging="420"/>
      </w:pPr>
    </w:lvl>
    <w:lvl w:ilvl="4">
      <w:start w:val="1"/>
      <w:numFmt w:val="lowerLetter"/>
      <w:lvlText w:val="%5)"/>
      <w:lvlJc w:val="left"/>
      <w:pPr>
        <w:tabs>
          <w:tab w:val="num" w:pos="0"/>
        </w:tabs>
        <w:ind w:left="2205" w:hanging="420"/>
      </w:pPr>
    </w:lvl>
    <w:lvl w:ilvl="5">
      <w:start w:val="1"/>
      <w:numFmt w:val="lowerRoman"/>
      <w:lvlText w:val="%6."/>
      <w:lvlJc w:val="right"/>
      <w:pPr>
        <w:tabs>
          <w:tab w:val="num" w:pos="0"/>
        </w:tabs>
        <w:ind w:left="2625" w:hanging="420"/>
      </w:pPr>
    </w:lvl>
    <w:lvl w:ilvl="6">
      <w:start w:val="1"/>
      <w:numFmt w:val="decimal"/>
      <w:lvlText w:val="%7."/>
      <w:lvlJc w:val="left"/>
      <w:pPr>
        <w:tabs>
          <w:tab w:val="num" w:pos="0"/>
        </w:tabs>
        <w:ind w:left="3045" w:hanging="420"/>
      </w:pPr>
    </w:lvl>
    <w:lvl w:ilvl="7">
      <w:start w:val="1"/>
      <w:numFmt w:val="lowerLetter"/>
      <w:lvlText w:val="%8)"/>
      <w:lvlJc w:val="left"/>
      <w:pPr>
        <w:tabs>
          <w:tab w:val="num" w:pos="0"/>
        </w:tabs>
        <w:ind w:left="3465" w:hanging="420"/>
      </w:pPr>
    </w:lvl>
    <w:lvl w:ilvl="8">
      <w:start w:val="1"/>
      <w:numFmt w:val="lowerRoman"/>
      <w:lvlText w:val="%9."/>
      <w:lvlJc w:val="right"/>
      <w:pPr>
        <w:tabs>
          <w:tab w:val="num" w:pos="0"/>
        </w:tabs>
        <w:ind w:left="3885" w:hanging="420"/>
      </w:pPr>
    </w:lvl>
  </w:abstractNum>
  <w:abstractNum w:abstractNumId="3">
    <w:nsid w:val="5D99773A"/>
    <w:multiLevelType w:val="multilevel"/>
    <w:tmpl w:val="95FC6D86"/>
    <w:lvl w:ilvl="0">
      <w:start w:val="1"/>
      <w:numFmt w:val="decimalEnclosedCircle"/>
      <w:lvlText w:val="%1"/>
      <w:lvlJc w:val="left"/>
      <w:pPr>
        <w:tabs>
          <w:tab w:val="num" w:pos="0"/>
        </w:tabs>
        <w:ind w:left="465" w:hanging="360"/>
      </w:pPr>
      <w:rPr>
        <w:rFonts w:cs="宋体"/>
      </w:rPr>
    </w:lvl>
    <w:lvl w:ilvl="1">
      <w:start w:val="1"/>
      <w:numFmt w:val="lowerLetter"/>
      <w:lvlText w:val="%2)"/>
      <w:lvlJc w:val="left"/>
      <w:pPr>
        <w:tabs>
          <w:tab w:val="num" w:pos="0"/>
        </w:tabs>
        <w:ind w:left="945" w:hanging="420"/>
      </w:pPr>
    </w:lvl>
    <w:lvl w:ilvl="2">
      <w:start w:val="1"/>
      <w:numFmt w:val="lowerRoman"/>
      <w:lvlText w:val="%3."/>
      <w:lvlJc w:val="right"/>
      <w:pPr>
        <w:tabs>
          <w:tab w:val="num" w:pos="0"/>
        </w:tabs>
        <w:ind w:left="1365" w:hanging="420"/>
      </w:pPr>
    </w:lvl>
    <w:lvl w:ilvl="3">
      <w:start w:val="1"/>
      <w:numFmt w:val="decimal"/>
      <w:lvlText w:val="%4."/>
      <w:lvlJc w:val="left"/>
      <w:pPr>
        <w:tabs>
          <w:tab w:val="num" w:pos="0"/>
        </w:tabs>
        <w:ind w:left="1785" w:hanging="420"/>
      </w:pPr>
    </w:lvl>
    <w:lvl w:ilvl="4">
      <w:start w:val="1"/>
      <w:numFmt w:val="lowerLetter"/>
      <w:lvlText w:val="%5)"/>
      <w:lvlJc w:val="left"/>
      <w:pPr>
        <w:tabs>
          <w:tab w:val="num" w:pos="0"/>
        </w:tabs>
        <w:ind w:left="2205" w:hanging="420"/>
      </w:pPr>
    </w:lvl>
    <w:lvl w:ilvl="5">
      <w:start w:val="1"/>
      <w:numFmt w:val="lowerRoman"/>
      <w:lvlText w:val="%6."/>
      <w:lvlJc w:val="right"/>
      <w:pPr>
        <w:tabs>
          <w:tab w:val="num" w:pos="0"/>
        </w:tabs>
        <w:ind w:left="2625" w:hanging="420"/>
      </w:pPr>
    </w:lvl>
    <w:lvl w:ilvl="6">
      <w:start w:val="1"/>
      <w:numFmt w:val="decimal"/>
      <w:lvlText w:val="%7."/>
      <w:lvlJc w:val="left"/>
      <w:pPr>
        <w:tabs>
          <w:tab w:val="num" w:pos="0"/>
        </w:tabs>
        <w:ind w:left="3045" w:hanging="420"/>
      </w:pPr>
    </w:lvl>
    <w:lvl w:ilvl="7">
      <w:start w:val="1"/>
      <w:numFmt w:val="lowerLetter"/>
      <w:lvlText w:val="%8)"/>
      <w:lvlJc w:val="left"/>
      <w:pPr>
        <w:tabs>
          <w:tab w:val="num" w:pos="0"/>
        </w:tabs>
        <w:ind w:left="3465" w:hanging="420"/>
      </w:pPr>
    </w:lvl>
    <w:lvl w:ilvl="8">
      <w:start w:val="1"/>
      <w:numFmt w:val="lowerRoman"/>
      <w:lvlText w:val="%9."/>
      <w:lvlJc w:val="right"/>
      <w:pPr>
        <w:tabs>
          <w:tab w:val="num" w:pos="0"/>
        </w:tabs>
        <w:ind w:left="3885" w:hanging="420"/>
      </w:pPr>
    </w:lvl>
  </w:abstractNum>
  <w:abstractNum w:abstractNumId="4">
    <w:nsid w:val="5DA01BC8"/>
    <w:multiLevelType w:val="multilevel"/>
    <w:tmpl w:val="FC0E41B8"/>
    <w:lvl w:ilvl="0">
      <w:start w:val="1"/>
      <w:numFmt w:val="decimalEnclosedCircle"/>
      <w:lvlText w:val="%1"/>
      <w:lvlJc w:val="left"/>
      <w:pPr>
        <w:tabs>
          <w:tab w:val="num" w:pos="0"/>
        </w:tabs>
        <w:ind w:left="465" w:hanging="360"/>
      </w:pPr>
      <w:rPr>
        <w:rFonts w:cs="宋体"/>
      </w:rPr>
    </w:lvl>
    <w:lvl w:ilvl="1">
      <w:start w:val="1"/>
      <w:numFmt w:val="lowerLetter"/>
      <w:lvlText w:val="%2)"/>
      <w:lvlJc w:val="left"/>
      <w:pPr>
        <w:tabs>
          <w:tab w:val="num" w:pos="0"/>
        </w:tabs>
        <w:ind w:left="945" w:hanging="420"/>
      </w:pPr>
    </w:lvl>
    <w:lvl w:ilvl="2">
      <w:start w:val="1"/>
      <w:numFmt w:val="lowerRoman"/>
      <w:lvlText w:val="%3."/>
      <w:lvlJc w:val="right"/>
      <w:pPr>
        <w:tabs>
          <w:tab w:val="num" w:pos="0"/>
        </w:tabs>
        <w:ind w:left="1365" w:hanging="420"/>
      </w:pPr>
    </w:lvl>
    <w:lvl w:ilvl="3">
      <w:start w:val="1"/>
      <w:numFmt w:val="decimal"/>
      <w:lvlText w:val="%4."/>
      <w:lvlJc w:val="left"/>
      <w:pPr>
        <w:tabs>
          <w:tab w:val="num" w:pos="0"/>
        </w:tabs>
        <w:ind w:left="1785" w:hanging="420"/>
      </w:pPr>
    </w:lvl>
    <w:lvl w:ilvl="4">
      <w:start w:val="1"/>
      <w:numFmt w:val="lowerLetter"/>
      <w:lvlText w:val="%5)"/>
      <w:lvlJc w:val="left"/>
      <w:pPr>
        <w:tabs>
          <w:tab w:val="num" w:pos="0"/>
        </w:tabs>
        <w:ind w:left="2205" w:hanging="420"/>
      </w:pPr>
    </w:lvl>
    <w:lvl w:ilvl="5">
      <w:start w:val="1"/>
      <w:numFmt w:val="lowerRoman"/>
      <w:lvlText w:val="%6."/>
      <w:lvlJc w:val="right"/>
      <w:pPr>
        <w:tabs>
          <w:tab w:val="num" w:pos="0"/>
        </w:tabs>
        <w:ind w:left="2625" w:hanging="420"/>
      </w:pPr>
    </w:lvl>
    <w:lvl w:ilvl="6">
      <w:start w:val="1"/>
      <w:numFmt w:val="decimal"/>
      <w:lvlText w:val="%7."/>
      <w:lvlJc w:val="left"/>
      <w:pPr>
        <w:tabs>
          <w:tab w:val="num" w:pos="0"/>
        </w:tabs>
        <w:ind w:left="3045" w:hanging="420"/>
      </w:pPr>
    </w:lvl>
    <w:lvl w:ilvl="7">
      <w:start w:val="1"/>
      <w:numFmt w:val="lowerLetter"/>
      <w:lvlText w:val="%8)"/>
      <w:lvlJc w:val="left"/>
      <w:pPr>
        <w:tabs>
          <w:tab w:val="num" w:pos="0"/>
        </w:tabs>
        <w:ind w:left="3465" w:hanging="420"/>
      </w:pPr>
    </w:lvl>
    <w:lvl w:ilvl="8">
      <w:start w:val="1"/>
      <w:numFmt w:val="lowerRoman"/>
      <w:lvlText w:val="%9."/>
      <w:lvlJc w:val="right"/>
      <w:pPr>
        <w:tabs>
          <w:tab w:val="num" w:pos="0"/>
        </w:tabs>
        <w:ind w:left="3885" w:hanging="420"/>
      </w:pPr>
    </w:lvl>
  </w:abstractNum>
  <w:abstractNum w:abstractNumId="5">
    <w:nsid w:val="6CD02918"/>
    <w:multiLevelType w:val="multilevel"/>
    <w:tmpl w:val="6AE692D6"/>
    <w:lvl w:ilvl="0">
      <w:start w:val="1"/>
      <w:numFmt w:val="decimalEnclosedCircle"/>
      <w:lvlText w:val="%1"/>
      <w:lvlJc w:val="left"/>
      <w:pPr>
        <w:tabs>
          <w:tab w:val="num" w:pos="0"/>
        </w:tabs>
        <w:ind w:left="465" w:hanging="360"/>
      </w:pPr>
      <w:rPr>
        <w:rFonts w:cs="宋体"/>
      </w:rPr>
    </w:lvl>
    <w:lvl w:ilvl="1">
      <w:start w:val="1"/>
      <w:numFmt w:val="lowerLetter"/>
      <w:lvlText w:val="%2)"/>
      <w:lvlJc w:val="left"/>
      <w:pPr>
        <w:tabs>
          <w:tab w:val="num" w:pos="0"/>
        </w:tabs>
        <w:ind w:left="945" w:hanging="420"/>
      </w:pPr>
    </w:lvl>
    <w:lvl w:ilvl="2">
      <w:start w:val="1"/>
      <w:numFmt w:val="lowerRoman"/>
      <w:lvlText w:val="%3."/>
      <w:lvlJc w:val="right"/>
      <w:pPr>
        <w:tabs>
          <w:tab w:val="num" w:pos="0"/>
        </w:tabs>
        <w:ind w:left="1365" w:hanging="420"/>
      </w:pPr>
    </w:lvl>
    <w:lvl w:ilvl="3">
      <w:start w:val="1"/>
      <w:numFmt w:val="decimal"/>
      <w:lvlText w:val="%4."/>
      <w:lvlJc w:val="left"/>
      <w:pPr>
        <w:tabs>
          <w:tab w:val="num" w:pos="0"/>
        </w:tabs>
        <w:ind w:left="1785" w:hanging="420"/>
      </w:pPr>
    </w:lvl>
    <w:lvl w:ilvl="4">
      <w:start w:val="1"/>
      <w:numFmt w:val="lowerLetter"/>
      <w:lvlText w:val="%5)"/>
      <w:lvlJc w:val="left"/>
      <w:pPr>
        <w:tabs>
          <w:tab w:val="num" w:pos="0"/>
        </w:tabs>
        <w:ind w:left="2205" w:hanging="420"/>
      </w:pPr>
    </w:lvl>
    <w:lvl w:ilvl="5">
      <w:start w:val="1"/>
      <w:numFmt w:val="lowerRoman"/>
      <w:lvlText w:val="%6."/>
      <w:lvlJc w:val="right"/>
      <w:pPr>
        <w:tabs>
          <w:tab w:val="num" w:pos="0"/>
        </w:tabs>
        <w:ind w:left="2625" w:hanging="420"/>
      </w:pPr>
    </w:lvl>
    <w:lvl w:ilvl="6">
      <w:start w:val="1"/>
      <w:numFmt w:val="decimal"/>
      <w:lvlText w:val="%7."/>
      <w:lvlJc w:val="left"/>
      <w:pPr>
        <w:tabs>
          <w:tab w:val="num" w:pos="0"/>
        </w:tabs>
        <w:ind w:left="3045" w:hanging="420"/>
      </w:pPr>
    </w:lvl>
    <w:lvl w:ilvl="7">
      <w:start w:val="1"/>
      <w:numFmt w:val="lowerLetter"/>
      <w:lvlText w:val="%8)"/>
      <w:lvlJc w:val="left"/>
      <w:pPr>
        <w:tabs>
          <w:tab w:val="num" w:pos="0"/>
        </w:tabs>
        <w:ind w:left="3465" w:hanging="420"/>
      </w:pPr>
    </w:lvl>
    <w:lvl w:ilvl="8">
      <w:start w:val="1"/>
      <w:numFmt w:val="lowerRoman"/>
      <w:lvlText w:val="%9."/>
      <w:lvlJc w:val="right"/>
      <w:pPr>
        <w:tabs>
          <w:tab w:val="num" w:pos="0"/>
        </w:tabs>
        <w:ind w:left="3885" w:hanging="42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autoHyphenation/>
  <w:characterSpacingControl w:val="doNotCompress"/>
  <w:compat>
    <w:balanceSingleByteDoubleByteWidth/>
    <w:doNotExpandShiftReturn/>
    <w:useFELayout/>
  </w:compat>
  <w:rsids>
    <w:rsidRoot w:val="00067DBE"/>
    <w:rsid w:val="00067DBE"/>
    <w:rsid w:val="00321D52"/>
    <w:rsid w:val="005672A3"/>
    <w:rsid w:val="00AF7364"/>
    <w:rsid w:val="00BA61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6DC"/>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列表段落"/>
    <w:basedOn w:val="a"/>
    <w:uiPriority w:val="99"/>
    <w:qFormat/>
    <w:rsid w:val="009156DC"/>
    <w:rPr>
      <w:rFonts w:ascii="Calibri" w:hAnsi="Calibri"/>
      <w:szCs w:val="22"/>
    </w:rPr>
  </w:style>
  <w:style w:type="paragraph" w:styleId="a4">
    <w:name w:val="Normal (Web)"/>
    <w:basedOn w:val="a"/>
    <w:uiPriority w:val="99"/>
    <w:unhideWhenUsed/>
    <w:qFormat/>
    <w:rsid w:val="006B49A9"/>
    <w:pPr>
      <w:widowControl/>
      <w:spacing w:beforeAutospacing="1" w:afterAutospacing="1"/>
      <w:jc w:val="left"/>
    </w:pPr>
    <w:rPr>
      <w:rFonts w:ascii="宋体" w:hAnsi="宋体" w:cs="宋体"/>
      <w:kern w:val="0"/>
      <w:sz w:val="24"/>
    </w:rPr>
  </w:style>
  <w:style w:type="paragraph" w:customStyle="1" w:styleId="Default">
    <w:name w:val="Default"/>
    <w:qFormat/>
    <w:rsid w:val="006B49A9"/>
    <w:pPr>
      <w:widowControl w:val="0"/>
    </w:pPr>
    <w:rPr>
      <w:rFonts w:ascii="黑体" w:eastAsia="黑体" w:hAnsi="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BCB66F-2192-43F3-844B-BF5C66FF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15</Pages>
  <Words>1345</Words>
  <Characters>7670</Characters>
  <Application>Microsoft Office Word</Application>
  <DocSecurity>0</DocSecurity>
  <Lines>63</Lines>
  <Paragraphs>17</Paragraphs>
  <ScaleCrop>false</ScaleCrop>
  <Company>china</Company>
  <LinksUpToDate>false</LinksUpToDate>
  <CharactersWithSpaces>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dc:description/>
  <cp:lastModifiedBy>Administrator</cp:lastModifiedBy>
  <cp:revision>40</cp:revision>
  <cp:lastPrinted>2021-01-19T01:10:00Z</cp:lastPrinted>
  <dcterms:created xsi:type="dcterms:W3CDTF">2020-06-24T01:59:00Z</dcterms:created>
  <dcterms:modified xsi:type="dcterms:W3CDTF">2021-07-06T03:38:00Z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049E71E4537C4ACEA7657BDF0C0F5725</vt:lpwstr>
  </property>
  <property fmtid="{D5CDD505-2E9C-101B-9397-08002B2CF9AE}" pid="3" name="KSOProductBuildVer">
    <vt:lpwstr>2052-11.1.0.10495</vt:lpwstr>
  </property>
</Properties>
</file>