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方正小标宋_GBK"/>
          <w:b/>
          <w:bCs/>
          <w:sz w:val="44"/>
          <w:szCs w:val="44"/>
        </w:rPr>
      </w:pPr>
      <w:r>
        <w:rPr>
          <w:rFonts w:hint="eastAsia" w:eastAsia="方正小标宋_GBK"/>
          <w:b/>
          <w:bCs/>
          <w:sz w:val="44"/>
          <w:szCs w:val="44"/>
        </w:rPr>
        <w:t>区审计局20</w:t>
      </w:r>
      <w:r>
        <w:rPr>
          <w:rFonts w:hint="eastAsia" w:eastAsia="方正小标宋_GBK"/>
          <w:b/>
          <w:bCs/>
          <w:sz w:val="44"/>
          <w:szCs w:val="44"/>
          <w:lang w:val="en-US" w:eastAsia="zh-CN"/>
        </w:rPr>
        <w:t>20</w:t>
      </w:r>
      <w:bookmarkStart w:id="0" w:name="_GoBack"/>
      <w:bookmarkEnd w:id="0"/>
      <w:r>
        <w:rPr>
          <w:rFonts w:hint="eastAsia" w:eastAsia="方正小标宋_GBK"/>
          <w:b/>
          <w:bCs/>
          <w:sz w:val="44"/>
          <w:szCs w:val="44"/>
        </w:rPr>
        <w:t>年</w:t>
      </w:r>
      <w:r>
        <w:rPr>
          <w:rFonts w:eastAsia="方正小标宋_GBK"/>
          <w:b/>
          <w:bCs/>
          <w:sz w:val="44"/>
          <w:szCs w:val="44"/>
        </w:rPr>
        <w:t>预算支出绩效评价报告</w:t>
      </w:r>
    </w:p>
    <w:p>
      <w:pPr>
        <w:spacing w:line="600" w:lineRule="exact"/>
        <w:jc w:val="center"/>
        <w:rPr>
          <w:rFonts w:eastAsia="方正小标宋_GBK"/>
          <w:b/>
          <w:bCs/>
          <w:sz w:val="44"/>
          <w:szCs w:val="44"/>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仿宋_GB2312"/>
          <w:sz w:val="32"/>
          <w:szCs w:val="32"/>
        </w:rPr>
      </w:pPr>
      <w:r>
        <w:rPr>
          <w:rFonts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年，区审计局先后实施黄金坳中心完全小学教学综合楼建设工程结算审计项目等1</w:t>
      </w:r>
      <w:r>
        <w:rPr>
          <w:rFonts w:hint="eastAsia" w:ascii="仿宋" w:hAnsi="仿宋" w:eastAsia="仿宋" w:cs="仿宋"/>
          <w:sz w:val="32"/>
          <w:szCs w:val="32"/>
          <w:lang w:val="en-US" w:eastAsia="zh-CN"/>
        </w:rPr>
        <w:t>11</w:t>
      </w:r>
      <w:r>
        <w:rPr>
          <w:rFonts w:hint="eastAsia" w:ascii="仿宋" w:hAnsi="仿宋" w:eastAsia="仿宋" w:cs="仿宋"/>
          <w:sz w:val="32"/>
          <w:szCs w:val="32"/>
        </w:rPr>
        <w:t>个，涉及教育、住建、城建投、交通、水利等部门。所实施的审计项目依据《</w:t>
      </w:r>
      <w:r>
        <w:rPr>
          <w:rFonts w:hint="eastAsia" w:ascii="仿宋" w:hAnsi="仿宋" w:eastAsia="仿宋" w:cs="仿宋"/>
          <w:color w:val="000000"/>
          <w:kern w:val="0"/>
          <w:sz w:val="32"/>
          <w:szCs w:val="32"/>
        </w:rPr>
        <w:t>中华人民共和国审计法》的</w:t>
      </w:r>
      <w:r>
        <w:rPr>
          <w:rFonts w:hint="eastAsia" w:ascii="仿宋" w:hAnsi="仿宋" w:eastAsia="仿宋" w:cs="仿宋"/>
          <w:sz w:val="32"/>
          <w:szCs w:val="32"/>
        </w:rPr>
        <w:t>文件要求，依法对区内建设项目实施审计</w:t>
      </w:r>
      <w:r>
        <w:rPr>
          <w:rFonts w:eastAsia="仿宋_GB2312"/>
          <w:sz w:val="32"/>
          <w:szCs w:val="32"/>
        </w:rPr>
        <w:t>。</w:t>
      </w:r>
    </w:p>
    <w:p>
      <w:pPr>
        <w:numPr>
          <w:ilvl w:val="0"/>
          <w:numId w:val="1"/>
        </w:numPr>
        <w:spacing w:line="600" w:lineRule="exact"/>
        <w:ind w:firstLine="643" w:firstLineChars="200"/>
        <w:rPr>
          <w:rFonts w:eastAsia="楷体_GB2312"/>
          <w:b/>
          <w:sz w:val="32"/>
          <w:szCs w:val="32"/>
        </w:rPr>
      </w:pPr>
      <w:r>
        <w:rPr>
          <w:rFonts w:eastAsia="楷体_GB2312"/>
          <w:b/>
          <w:sz w:val="32"/>
          <w:szCs w:val="32"/>
        </w:rPr>
        <w:t>预算资金使用管理情况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按照年初预算及财政专项资金使用相关规定的要求，根据审计项目实施进度情况，向财政部门申请拨付审计业务专项资金，相关资金均能按相关进度要求拨付到位。我局严格按照财政、财务会计制度相关要求，配置财务人员，并制定单位财务管理相关制度，严格遵守和执行相关财经法律法规，使用、拨付审计业务类专项资金，确保专项资金专款专用。</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主要绩效目标是：维护财经纪律，规范各级部门严格财政预算管理，提高资金使用效益；加强专项、行业领域的审计调查，为政府及相关部门科学化决策提供重要参考依据；充分发挥审计监督作用，加强廉政建设。</w:t>
      </w:r>
    </w:p>
    <w:p>
      <w:pPr>
        <w:spacing w:line="600" w:lineRule="exact"/>
        <w:ind w:firstLine="640" w:firstLineChars="200"/>
        <w:rPr>
          <w:rFonts w:eastAsia="仿宋_GB2312"/>
          <w:sz w:val="32"/>
          <w:szCs w:val="32"/>
        </w:rPr>
      </w:pPr>
      <w:r>
        <w:rPr>
          <w:rFonts w:hint="eastAsia" w:ascii="仿宋" w:hAnsi="仿宋" w:eastAsia="仿宋" w:cs="仿宋"/>
          <w:sz w:val="32"/>
          <w:szCs w:val="32"/>
        </w:rPr>
        <w:t>计划对5个部门实施的建设项目开展审计，核减金额6000万元，根据上年度实施情况，计划目标能有效落实，目标可行</w:t>
      </w:r>
      <w:r>
        <w:rPr>
          <w:rFonts w:eastAsia="仿宋_GB2312"/>
          <w:sz w:val="32"/>
          <w:szCs w:val="32"/>
        </w:rPr>
        <w:t>。</w:t>
      </w:r>
    </w:p>
    <w:p>
      <w:pPr>
        <w:numPr>
          <w:ilvl w:val="0"/>
          <w:numId w:val="2"/>
        </w:numPr>
        <w:spacing w:line="600" w:lineRule="exact"/>
        <w:ind w:firstLine="640" w:firstLineChars="200"/>
        <w:rPr>
          <w:rFonts w:eastAsia="黑体"/>
          <w:sz w:val="32"/>
          <w:szCs w:val="32"/>
        </w:rPr>
      </w:pPr>
      <w:r>
        <w:rPr>
          <w:rFonts w:eastAsia="黑体"/>
          <w:sz w:val="32"/>
          <w:szCs w:val="32"/>
        </w:rPr>
        <w:t>绩效评价工作情况</w:t>
      </w:r>
    </w:p>
    <w:p>
      <w:pPr>
        <w:spacing w:line="600" w:lineRule="exact"/>
        <w:ind w:firstLine="640" w:firstLineChars="200"/>
        <w:rPr>
          <w:rFonts w:eastAsia="仿宋"/>
          <w:sz w:val="32"/>
          <w:szCs w:val="32"/>
        </w:rPr>
      </w:pPr>
      <w:r>
        <w:rPr>
          <w:rFonts w:hint="eastAsia" w:ascii="仿宋" w:hAnsi="仿宋" w:eastAsia="仿宋" w:cs="仿宋"/>
          <w:sz w:val="32"/>
          <w:szCs w:val="32"/>
        </w:rPr>
        <w:t>我局采用基建项目中心审计为主并购买社会服务的方式对区内财政资金投入建设项目实施审计；严格执行工程领域招投标、工程造价等相关法律法规，切实提高财政资金使用合法性、合规性和效益性。</w:t>
      </w:r>
    </w:p>
    <w:p>
      <w:pPr>
        <w:numPr>
          <w:ilvl w:val="0"/>
          <w:numId w:val="2"/>
        </w:numPr>
        <w:spacing w:line="600" w:lineRule="exact"/>
        <w:ind w:firstLine="640" w:firstLineChars="200"/>
        <w:rPr>
          <w:rFonts w:eastAsia="黑体"/>
          <w:sz w:val="32"/>
          <w:szCs w:val="32"/>
        </w:rPr>
      </w:pPr>
      <w:r>
        <w:rPr>
          <w:rFonts w:eastAsia="黑体"/>
          <w:sz w:val="32"/>
          <w:szCs w:val="32"/>
        </w:rPr>
        <w:t>预算支出主要绩效及评价结论</w:t>
      </w:r>
    </w:p>
    <w:p>
      <w:pPr>
        <w:spacing w:line="600" w:lineRule="exact"/>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 xml:space="preserve">  </w:t>
      </w:r>
      <w:r>
        <w:rPr>
          <w:rFonts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年，我局实际完成工程结算类审计项目1</w:t>
      </w:r>
      <w:r>
        <w:rPr>
          <w:rFonts w:hint="eastAsia" w:ascii="仿宋" w:hAnsi="仿宋" w:eastAsia="仿宋" w:cs="仿宋"/>
          <w:sz w:val="32"/>
          <w:szCs w:val="32"/>
          <w:lang w:val="en-US" w:eastAsia="zh-CN"/>
        </w:rPr>
        <w:t>11</w:t>
      </w:r>
      <w:r>
        <w:rPr>
          <w:rFonts w:hint="eastAsia" w:ascii="仿宋" w:hAnsi="仿宋" w:eastAsia="仿宋" w:cs="仿宋"/>
          <w:sz w:val="32"/>
          <w:szCs w:val="32"/>
        </w:rPr>
        <w:t>个，核减金额</w:t>
      </w:r>
      <w:r>
        <w:rPr>
          <w:rFonts w:hint="eastAsia" w:ascii="仿宋" w:hAnsi="仿宋" w:eastAsia="仿宋" w:cs="仿宋"/>
          <w:sz w:val="32"/>
          <w:szCs w:val="32"/>
          <w:lang w:val="en-US" w:eastAsia="zh-CN"/>
        </w:rPr>
        <w:t>2.33</w:t>
      </w:r>
      <w:r>
        <w:rPr>
          <w:rFonts w:hint="eastAsia" w:ascii="仿宋" w:hAnsi="仿宋" w:eastAsia="仿宋" w:cs="仿宋"/>
          <w:sz w:val="32"/>
          <w:szCs w:val="32"/>
        </w:rPr>
        <w:t>亿元，实施项目核减金额为年初计划的</w:t>
      </w:r>
      <w:r>
        <w:rPr>
          <w:rFonts w:hint="eastAsia" w:ascii="仿宋" w:hAnsi="仿宋" w:eastAsia="仿宋" w:cs="仿宋"/>
          <w:sz w:val="32"/>
          <w:szCs w:val="32"/>
          <w:lang w:val="en-US" w:eastAsia="zh-CN"/>
        </w:rPr>
        <w:t>388.33</w:t>
      </w:r>
      <w:r>
        <w:rPr>
          <w:rFonts w:ascii="仿宋" w:hAnsi="仿宋" w:eastAsia="仿宋" w:cs="仿宋"/>
          <w:sz w:val="32"/>
          <w:szCs w:val="32"/>
        </w:rPr>
        <w:t>%</w:t>
      </w:r>
      <w:r>
        <w:rPr>
          <w:rFonts w:hint="eastAsia" w:ascii="仿宋" w:hAnsi="仿宋" w:eastAsia="仿宋" w:cs="仿宋"/>
          <w:sz w:val="32"/>
          <w:szCs w:val="32"/>
        </w:rPr>
        <w:t>，超额完成年初计划。项目完成达到质量目标。</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通过实施审计项目，有效规范工程领域建设资金使用，督促建设单位及时就审计中发现的问题及时整改，有利的促进被审计单位完善内部管理；节约支出财政资金1.11亿元，提高了财政资金使用效益，得到政府、社会群众的一致好评。</w:t>
      </w:r>
    </w:p>
    <w:p>
      <w:pPr>
        <w:spacing w:line="60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20</w:t>
      </w:r>
      <w:r>
        <w:rPr>
          <w:rFonts w:hint="eastAsia" w:ascii="仿宋" w:hAnsi="仿宋" w:eastAsia="仿宋" w:cs="仿宋"/>
          <w:color w:val="000000" w:themeColor="text1"/>
          <w:sz w:val="32"/>
          <w:szCs w:val="32"/>
          <w:lang w:val="en-US" w:eastAsia="zh-CN"/>
        </w:rPr>
        <w:t>20</w:t>
      </w:r>
      <w:r>
        <w:rPr>
          <w:rFonts w:hint="eastAsia" w:ascii="仿宋" w:hAnsi="仿宋" w:eastAsia="仿宋" w:cs="仿宋"/>
          <w:color w:val="000000" w:themeColor="text1"/>
          <w:sz w:val="32"/>
          <w:szCs w:val="32"/>
        </w:rPr>
        <w:t>年预算支出绩效评价单位自评分：</w:t>
      </w:r>
      <w:r>
        <w:rPr>
          <w:rFonts w:hint="eastAsia" w:ascii="仿宋" w:hAnsi="仿宋" w:eastAsia="仿宋" w:cs="仿宋"/>
          <w:color w:val="000000" w:themeColor="text1"/>
          <w:sz w:val="32"/>
          <w:szCs w:val="32"/>
          <w:lang w:val="en-US" w:eastAsia="zh-CN"/>
        </w:rPr>
        <w:t>100</w:t>
      </w:r>
      <w:r>
        <w:rPr>
          <w:rFonts w:hint="eastAsia" w:ascii="仿宋" w:hAnsi="仿宋" w:eastAsia="仿宋" w:cs="仿宋"/>
          <w:color w:val="000000" w:themeColor="text1"/>
          <w:sz w:val="32"/>
          <w:szCs w:val="32"/>
        </w:rPr>
        <w:t>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321" w:firstLineChars="1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仿宋" w:hAnsi="仿宋" w:eastAsia="仿宋" w:cs="仿宋"/>
          <w:bCs/>
          <w:sz w:val="32"/>
          <w:szCs w:val="32"/>
        </w:rPr>
        <w:t>预算支出决策依据充分、程序规范，绩效目标合理、指标明确。</w:t>
      </w:r>
    </w:p>
    <w:p>
      <w:pPr>
        <w:tabs>
          <w:tab w:val="left" w:pos="1226"/>
        </w:tabs>
        <w:spacing w:line="600" w:lineRule="exact"/>
        <w:ind w:left="420" w:leftChars="200"/>
        <w:rPr>
          <w:rFonts w:eastAsia="楷体_GB2312"/>
          <w:b/>
          <w:sz w:val="32"/>
          <w:szCs w:val="32"/>
        </w:rPr>
      </w:pPr>
      <w:r>
        <w:rPr>
          <w:rFonts w:hint="eastAsia" w:eastAsia="楷体_GB2312"/>
          <w:b/>
          <w:sz w:val="32"/>
          <w:szCs w:val="32"/>
        </w:rPr>
        <w:t>（二）</w:t>
      </w:r>
      <w:r>
        <w:rPr>
          <w:rFonts w:eastAsia="楷体_GB2312"/>
          <w:b/>
          <w:sz w:val="32"/>
          <w:szCs w:val="32"/>
        </w:rPr>
        <w:t>预算执行过程情况</w:t>
      </w:r>
    </w:p>
    <w:p>
      <w:pPr>
        <w:spacing w:line="600" w:lineRule="exact"/>
        <w:ind w:firstLine="640" w:firstLineChars="200"/>
        <w:rPr>
          <w:rFonts w:eastAsia="楷体_GB2312"/>
          <w:b/>
          <w:sz w:val="32"/>
          <w:szCs w:val="32"/>
        </w:rPr>
      </w:pPr>
      <w:r>
        <w:rPr>
          <w:rFonts w:hint="eastAsia" w:ascii="仿宋" w:hAnsi="仿宋" w:eastAsia="仿宋" w:cs="仿宋"/>
          <w:bCs/>
          <w:sz w:val="32"/>
          <w:szCs w:val="32"/>
        </w:rPr>
        <w:t>预算编制科学，资金分配合理，预算执行率高，资金使用合规。</w:t>
      </w:r>
    </w:p>
    <w:p>
      <w:pPr>
        <w:spacing w:line="600" w:lineRule="exact"/>
        <w:ind w:left="420" w:leftChars="200"/>
        <w:rPr>
          <w:rFonts w:ascii="仿宋" w:hAnsi="仿宋" w:eastAsia="仿宋" w:cs="仿宋"/>
          <w:bCs/>
          <w:sz w:val="32"/>
          <w:szCs w:val="32"/>
        </w:rPr>
      </w:pPr>
      <w:r>
        <w:rPr>
          <w:rFonts w:hint="eastAsia" w:eastAsia="楷体_GB2312"/>
          <w:b/>
          <w:sz w:val="32"/>
          <w:szCs w:val="32"/>
        </w:rPr>
        <w:t>（三）</w:t>
      </w:r>
      <w:r>
        <w:rPr>
          <w:rFonts w:eastAsia="楷体_GB2312"/>
          <w:b/>
          <w:sz w:val="32"/>
          <w:szCs w:val="32"/>
        </w:rPr>
        <w:t>预算支出产出情况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预算支出产出数量完成率高，质量达标率高，成本节约率高，完成及时有效。</w:t>
      </w:r>
    </w:p>
    <w:p>
      <w:pPr>
        <w:spacing w:line="600" w:lineRule="exact"/>
        <w:ind w:left="420" w:leftChars="200"/>
        <w:rPr>
          <w:rFonts w:eastAsia="楷体_GB2312"/>
          <w:b/>
          <w:sz w:val="32"/>
          <w:szCs w:val="32"/>
        </w:rPr>
      </w:pPr>
      <w:r>
        <w:rPr>
          <w:rFonts w:hint="eastAsia" w:eastAsia="楷体_GB2312"/>
          <w:b/>
          <w:sz w:val="32"/>
          <w:szCs w:val="32"/>
        </w:rPr>
        <w:t>（四）</w:t>
      </w:r>
      <w:r>
        <w:rPr>
          <w:rFonts w:eastAsia="楷体_GB2312"/>
          <w:b/>
          <w:sz w:val="32"/>
          <w:szCs w:val="32"/>
        </w:rPr>
        <w:t>预算支出效益情况</w:t>
      </w:r>
    </w:p>
    <w:p>
      <w:pPr>
        <w:spacing w:line="600" w:lineRule="exact"/>
        <w:ind w:firstLine="640" w:firstLineChars="200"/>
        <w:rPr>
          <w:rFonts w:ascii="仿宋" w:hAnsi="仿宋" w:eastAsia="仿宋" w:cs="仿宋"/>
          <w:bCs/>
          <w:sz w:val="32"/>
          <w:szCs w:val="32"/>
        </w:rPr>
      </w:pPr>
      <w:r>
        <w:rPr>
          <w:rFonts w:hint="eastAsia" w:ascii="仿宋" w:hAnsi="仿宋" w:eastAsia="仿宋" w:cs="仿宋"/>
          <w:bCs/>
          <w:sz w:val="32"/>
          <w:szCs w:val="32"/>
        </w:rPr>
        <w:t>预算支出实施效益好，社会公众及服务对象满意度好。</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审计中存在的突出问题是工程超预算现象严重，相关增量工程未经相关单位论证审批。按照财政资金审计全覆盖的要求，应加强对审计项目事前、事中的审计力度，提高财政资金的使用效益，切实发挥好审计监督职能的作用。</w:t>
      </w:r>
    </w:p>
    <w:p>
      <w:pPr>
        <w:spacing w:line="600" w:lineRule="exact"/>
        <w:ind w:left="640"/>
        <w:rPr>
          <w:rFonts w:eastAsia="黑体"/>
          <w:sz w:val="32"/>
          <w:szCs w:val="32"/>
        </w:rPr>
      </w:pPr>
      <w:r>
        <w:rPr>
          <w:rFonts w:hint="eastAsia" w:eastAsia="黑体"/>
          <w:sz w:val="32"/>
          <w:szCs w:val="32"/>
        </w:rPr>
        <w:t>六、</w:t>
      </w:r>
      <w:r>
        <w:rPr>
          <w:rFonts w:eastAsia="黑体"/>
          <w:sz w:val="32"/>
          <w:szCs w:val="32"/>
        </w:rPr>
        <w:t>有关建议</w:t>
      </w:r>
    </w:p>
    <w:p>
      <w:pPr>
        <w:ind w:firstLine="640" w:firstLineChars="200"/>
        <w:rPr>
          <w:rFonts w:eastAsia="黑体"/>
          <w:sz w:val="32"/>
          <w:szCs w:val="32"/>
        </w:rPr>
      </w:pPr>
      <w:r>
        <w:rPr>
          <w:rFonts w:hint="eastAsia" w:ascii="仿宋" w:hAnsi="仿宋" w:eastAsia="仿宋" w:cs="仿宋"/>
          <w:sz w:val="32"/>
          <w:szCs w:val="32"/>
        </w:rPr>
        <w:t>建设单位应加强对工程预算变更的管理，完善相关的审批程序，提高建设资金使用的合法、合规性。</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6" w:hRule="atLeast"/>
          <w:jc w:val="center"/>
        </w:trPr>
        <w:tc>
          <w:tcPr>
            <w:tcW w:w="8979" w:type="dxa"/>
            <w:gridSpan w:val="5"/>
            <w:shd w:val="clear" w:color="auto" w:fill="auto"/>
            <w:vAlign w:val="center"/>
          </w:tcPr>
          <w:p>
            <w:pPr>
              <w:spacing w:line="260" w:lineRule="exact"/>
              <w:ind w:left="105" w:leftChars="50" w:right="105" w:rightChars="50"/>
              <w:jc w:val="center"/>
              <w:rPr>
                <w:rFonts w:hint="eastAsia" w:ascii="仿宋_GB2312" w:eastAsia="仿宋_GB2312"/>
                <w:sz w:val="28"/>
                <w:szCs w:val="28"/>
              </w:rPr>
            </w:pPr>
            <w:r>
              <w:rPr>
                <w:rFonts w:hint="eastAsia" w:ascii="仿宋_GB2312" w:eastAsia="仿宋_GB2312"/>
                <w:sz w:val="28"/>
                <w:szCs w:val="28"/>
              </w:rPr>
              <w:t>总分</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审计业务类专项资金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区审计局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235.9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hint="eastAsia" w:eastAsia="仿宋_GB2312"/>
                <w:color w:val="auto"/>
                <w:kern w:val="0"/>
                <w:szCs w:val="21"/>
                <w:lang w:val="en-US" w:eastAsia="zh-CN"/>
              </w:rPr>
              <w:t>78.63</w:t>
            </w:r>
            <w:r>
              <w:rPr>
                <w:rFonts w:hint="eastAsia" w:eastAsia="仿宋_GB2312"/>
                <w:color w:val="auto"/>
                <w:kern w:val="0"/>
                <w:szCs w:val="21"/>
              </w:rPr>
              <w:t>%</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auto"/>
                <w:kern w:val="0"/>
                <w:szCs w:val="21"/>
                <w:lang w:val="en-US" w:eastAsia="zh-CN"/>
              </w:rPr>
            </w:pPr>
            <w:r>
              <w:rPr>
                <w:rFonts w:hint="eastAsia" w:eastAsia="仿宋_GB2312"/>
                <w:color w:val="auto"/>
                <w:kern w:val="0"/>
                <w:szCs w:val="21"/>
                <w:lang w:val="en-US" w:eastAsia="zh-CN"/>
              </w:rPr>
              <w:t>7.9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szCs w:val="21"/>
              </w:rPr>
              <w:t>计划对5个部门实施的建设项目开展审计，核减金额6000万元</w:t>
            </w:r>
            <w:r>
              <w:rPr>
                <w:rFonts w:hint="eastAsia" w:eastAsia="仿宋_GB2312"/>
                <w:color w:val="000000"/>
                <w:kern w:val="0"/>
                <w:szCs w:val="21"/>
              </w:rPr>
              <w:t>。</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rPr>
                <w:rFonts w:eastAsia="仿宋"/>
                <w:color w:val="000000"/>
                <w:kern w:val="0"/>
                <w:szCs w:val="21"/>
              </w:rPr>
            </w:pPr>
            <w:r>
              <w:rPr>
                <w:rFonts w:hint="eastAsia" w:ascii="仿宋" w:hAnsi="仿宋" w:eastAsia="仿宋" w:cs="仿宋"/>
                <w:szCs w:val="21"/>
              </w:rPr>
              <w:t>实际完成工程结算类审计项目</w:t>
            </w:r>
            <w:r>
              <w:rPr>
                <w:rFonts w:hint="eastAsia" w:ascii="仿宋" w:hAnsi="仿宋" w:eastAsia="仿宋" w:cs="仿宋"/>
                <w:szCs w:val="21"/>
                <w:lang w:val="en-US" w:eastAsia="zh-CN"/>
              </w:rPr>
              <w:t>111</w:t>
            </w:r>
            <w:r>
              <w:rPr>
                <w:rFonts w:hint="eastAsia" w:ascii="仿宋" w:hAnsi="仿宋" w:eastAsia="仿宋" w:cs="仿宋"/>
                <w:szCs w:val="21"/>
              </w:rPr>
              <w:t>个，核减金额</w:t>
            </w:r>
            <w:r>
              <w:rPr>
                <w:rFonts w:hint="eastAsia" w:ascii="仿宋" w:hAnsi="仿宋" w:eastAsia="仿宋" w:cs="仿宋"/>
                <w:szCs w:val="21"/>
                <w:lang w:val="en-US" w:eastAsia="zh-CN"/>
              </w:rPr>
              <w:t>2.33</w:t>
            </w:r>
            <w:r>
              <w:rPr>
                <w:rFonts w:hint="eastAsia" w:ascii="仿宋" w:hAnsi="仿宋" w:eastAsia="仿宋" w:cs="仿宋"/>
                <w:szCs w:val="21"/>
              </w:rPr>
              <w:t>亿元，实施项目核减金额为年初计划的</w:t>
            </w:r>
            <w:r>
              <w:rPr>
                <w:rFonts w:hint="eastAsia" w:ascii="仿宋" w:hAnsi="仿宋" w:eastAsia="仿宋" w:cs="仿宋"/>
                <w:szCs w:val="21"/>
                <w:lang w:val="en-US" w:eastAsia="zh-CN"/>
              </w:rPr>
              <w:t>388.33</w:t>
            </w:r>
            <w:r>
              <w:rPr>
                <w:rFonts w:ascii="仿宋" w:hAnsi="仿宋" w:eastAsia="仿宋" w:cs="仿宋"/>
                <w:szCs w:val="21"/>
              </w:rPr>
              <w:t>%</w:t>
            </w:r>
            <w:r>
              <w:rPr>
                <w:rFonts w:hint="eastAsia" w:ascii="仿宋" w:hAnsi="仿宋" w:eastAsia="仿宋" w:cs="仿宋"/>
                <w:szCs w:val="21"/>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szCs w:val="21"/>
              </w:rPr>
              <w:t>工程结算审计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ascii="仿宋" w:hAnsi="仿宋" w:eastAsia="仿宋" w:cs="仿宋"/>
                <w:color w:val="000000" w:themeColor="text1"/>
                <w:szCs w:val="21"/>
                <w:lang w:val="en-US" w:eastAsia="zh-CN"/>
              </w:rPr>
              <w:t>5个部门</w:t>
            </w:r>
            <w:r>
              <w:rPr>
                <w:rFonts w:hint="eastAsia" w:ascii="仿宋" w:hAnsi="仿宋" w:eastAsia="仿宋" w:cs="仿宋"/>
                <w:color w:val="000000" w:themeColor="text1"/>
                <w:szCs w:val="21"/>
              </w:rPr>
              <w:t>工程</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ascii="仿宋" w:hAnsi="仿宋" w:eastAsia="仿宋" w:cs="仿宋"/>
                <w:color w:val="000000" w:themeColor="text1"/>
                <w:szCs w:val="21"/>
                <w:lang w:val="en-US" w:eastAsia="zh-CN"/>
              </w:rPr>
              <w:t>111</w:t>
            </w:r>
            <w:r>
              <w:rPr>
                <w:rFonts w:hint="eastAsia" w:ascii="仿宋" w:hAnsi="仿宋" w:eastAsia="仿宋" w:cs="仿宋"/>
                <w:color w:val="000000" w:themeColor="text1"/>
                <w:szCs w:val="21"/>
              </w:rPr>
              <w:t>项工程</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szCs w:val="21"/>
              </w:rPr>
              <w:t>工程结算审计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ascii="仿宋" w:hAnsi="仿宋" w:eastAsia="仿宋" w:cs="仿宋"/>
                <w:color w:val="000000" w:themeColor="text1"/>
                <w:szCs w:val="21"/>
              </w:rPr>
              <w:t>核减金额6000万元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ascii="仿宋" w:hAnsi="仿宋" w:eastAsia="仿宋" w:cs="仿宋"/>
                <w:color w:val="000000" w:themeColor="text1"/>
                <w:szCs w:val="21"/>
              </w:rPr>
              <w:t>核减金额</w:t>
            </w:r>
            <w:r>
              <w:rPr>
                <w:rFonts w:hint="eastAsia" w:ascii="仿宋" w:hAnsi="仿宋" w:eastAsia="仿宋" w:cs="仿宋"/>
                <w:color w:val="000000" w:themeColor="text1"/>
                <w:szCs w:val="21"/>
                <w:lang w:val="en-US" w:eastAsia="zh-CN"/>
              </w:rPr>
              <w:t>2.33</w:t>
            </w:r>
            <w:r>
              <w:rPr>
                <w:rFonts w:hint="eastAsia" w:ascii="仿宋" w:hAnsi="仿宋" w:eastAsia="仿宋" w:cs="仿宋"/>
                <w:color w:val="000000" w:themeColor="text1"/>
                <w:szCs w:val="21"/>
              </w:rPr>
              <w:t>亿元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按时完成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报告送达14个工作日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按时完成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审计业务类专项资金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300万元</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235.9</w:t>
            </w:r>
            <w:r>
              <w:rPr>
                <w:rFonts w:hint="eastAsia" w:eastAsia="仿宋_GB2312"/>
                <w:color w:val="000000"/>
                <w:kern w:val="0"/>
                <w:szCs w:val="21"/>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FF0000"/>
                <w:kern w:val="0"/>
                <w:szCs w:val="21"/>
                <w:lang w:val="en-US" w:eastAsia="zh-CN"/>
              </w:rPr>
            </w:pPr>
            <w:r>
              <w:rPr>
                <w:rFonts w:hint="eastAsia" w:eastAsia="仿宋_GB2312"/>
                <w:color w:val="000000" w:themeColor="text1"/>
                <w:kern w:val="0"/>
                <w:szCs w:val="21"/>
                <w:lang w:val="en-US" w:eastAsia="zh-CN"/>
              </w:rPr>
              <w:t>尚有工程未结算，应加强工程预算的管理</w:t>
            </w:r>
          </w:p>
        </w:tc>
      </w:tr>
      <w:tr>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节约财政资金支出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6000万元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2.33</w:t>
            </w:r>
            <w:r>
              <w:rPr>
                <w:rFonts w:hint="eastAsia" w:eastAsia="仿宋_GB2312"/>
                <w:color w:val="000000"/>
                <w:kern w:val="0"/>
                <w:szCs w:val="21"/>
              </w:rPr>
              <w:t>亿元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节约财政资金支出</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eastAsia="zh-CN"/>
              </w:rPr>
            </w:pPr>
            <w:r>
              <w:rPr>
                <w:rFonts w:hint="eastAsia" w:eastAsia="仿宋_GB2312"/>
                <w:color w:val="000000" w:themeColor="text1"/>
                <w:kern w:val="0"/>
                <w:szCs w:val="21"/>
              </w:rPr>
              <w:t>每年核减6000</w:t>
            </w:r>
            <w:r>
              <w:rPr>
                <w:rFonts w:hint="eastAsia" w:eastAsia="仿宋_GB2312"/>
                <w:color w:val="000000" w:themeColor="text1"/>
                <w:kern w:val="0"/>
                <w:szCs w:val="21"/>
                <w:lang w:val="en-US" w:eastAsia="zh-CN"/>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val="en-US" w:eastAsia="zh-CN"/>
              </w:rPr>
            </w:pPr>
            <w:r>
              <w:rPr>
                <w:rFonts w:hint="eastAsia" w:eastAsia="仿宋_GB2312"/>
                <w:color w:val="000000" w:themeColor="text1"/>
                <w:kern w:val="0"/>
                <w:szCs w:val="21"/>
              </w:rPr>
              <w:t>1.1亿</w:t>
            </w:r>
            <w:r>
              <w:rPr>
                <w:rFonts w:hint="eastAsia" w:eastAsia="仿宋_GB2312"/>
                <w:color w:val="000000" w:themeColor="text1"/>
                <w:kern w:val="0"/>
                <w:szCs w:val="21"/>
                <w:lang w:val="en-US" w:eastAsia="zh-CN"/>
              </w:rPr>
              <w:t>元</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18"/>
              </w:rPr>
              <w:t>政府、社会群众</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满意</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FF0000"/>
                <w:kern w:val="0"/>
                <w:szCs w:val="21"/>
                <w:lang w:val="en-US" w:eastAsia="zh-CN"/>
              </w:rPr>
            </w:pPr>
            <w:r>
              <w:rPr>
                <w:rFonts w:eastAsia="仿宋_GB2312"/>
                <w:color w:val="000000" w:themeColor="text1"/>
                <w:kern w:val="0"/>
                <w:szCs w:val="21"/>
              </w:rPr>
              <w:t>　</w:t>
            </w:r>
            <w:r>
              <w:rPr>
                <w:rFonts w:hint="eastAsia" w:eastAsia="仿宋_GB2312"/>
                <w:color w:val="000000" w:themeColor="text1"/>
                <w:kern w:val="0"/>
                <w:szCs w:val="21"/>
              </w:rPr>
              <w:t>9</w:t>
            </w:r>
            <w:r>
              <w:rPr>
                <w:rFonts w:hint="eastAsia" w:eastAsia="仿宋_GB2312"/>
                <w:color w:val="000000" w:themeColor="text1"/>
                <w:kern w:val="0"/>
                <w:szCs w:val="21"/>
                <w:lang w:val="en-US" w:eastAsia="zh-CN"/>
              </w:rPr>
              <w:t>7</w:t>
            </w:r>
            <w:r>
              <w:rPr>
                <w:rFonts w:hint="eastAsia" w:eastAsia="仿宋_GB2312"/>
                <w:color w:val="000000" w:themeColor="text1"/>
                <w:kern w:val="0"/>
                <w:szCs w:val="21"/>
              </w:rPr>
              <w:t>.</w:t>
            </w:r>
            <w:r>
              <w:rPr>
                <w:rFonts w:hint="eastAsia" w:eastAsia="仿宋_GB2312"/>
                <w:color w:val="000000" w:themeColor="text1"/>
                <w:kern w:val="0"/>
                <w:szCs w:val="21"/>
                <w:lang w:val="en-US" w:eastAsia="zh-CN"/>
              </w:rPr>
              <w:t>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widowControl/>
        <w:spacing w:line="600" w:lineRule="exact"/>
        <w:ind w:firstLine="645"/>
        <w:jc w:val="left"/>
        <w:rPr>
          <w:rFonts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A18B98"/>
    <w:multiLevelType w:val="singleLevel"/>
    <w:tmpl w:val="82A18B98"/>
    <w:lvl w:ilvl="0" w:tentative="0">
      <w:start w:val="2"/>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A610133"/>
    <w:multiLevelType w:val="singleLevel"/>
    <w:tmpl w:val="7A610133"/>
    <w:lvl w:ilvl="0" w:tentative="0">
      <w:start w:val="2"/>
      <w:numFmt w:val="chineseCounting"/>
      <w:suff w:val="nothing"/>
      <w:lvlText w:val="（%1）"/>
      <w:lvlJc w:val="left"/>
      <w:rPr>
        <w:rFonts w:hint="eastAsia"/>
      </w:r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02416"/>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914D7"/>
    <w:rsid w:val="00CC4C2C"/>
    <w:rsid w:val="00CD20A2"/>
    <w:rsid w:val="00CF7BF7"/>
    <w:rsid w:val="00D10324"/>
    <w:rsid w:val="00E127F9"/>
    <w:rsid w:val="00E50869"/>
    <w:rsid w:val="00FC7FE9"/>
    <w:rsid w:val="020F7F52"/>
    <w:rsid w:val="04241B68"/>
    <w:rsid w:val="04D10331"/>
    <w:rsid w:val="06A64039"/>
    <w:rsid w:val="080F1ABD"/>
    <w:rsid w:val="0908188E"/>
    <w:rsid w:val="0A814DE3"/>
    <w:rsid w:val="0ABD67EF"/>
    <w:rsid w:val="0C1053BE"/>
    <w:rsid w:val="0DC94F0D"/>
    <w:rsid w:val="0E5A3F85"/>
    <w:rsid w:val="0F152227"/>
    <w:rsid w:val="1104197D"/>
    <w:rsid w:val="12D415C5"/>
    <w:rsid w:val="154E7389"/>
    <w:rsid w:val="1587666A"/>
    <w:rsid w:val="172E48CF"/>
    <w:rsid w:val="18C86EC6"/>
    <w:rsid w:val="19E41AC0"/>
    <w:rsid w:val="1A113873"/>
    <w:rsid w:val="1A2C4DDE"/>
    <w:rsid w:val="1A471BD6"/>
    <w:rsid w:val="1BA03545"/>
    <w:rsid w:val="1C5F59DD"/>
    <w:rsid w:val="1C7E303C"/>
    <w:rsid w:val="1CDD6D65"/>
    <w:rsid w:val="1EE41024"/>
    <w:rsid w:val="21060A05"/>
    <w:rsid w:val="21075247"/>
    <w:rsid w:val="21667964"/>
    <w:rsid w:val="23A65208"/>
    <w:rsid w:val="23B87709"/>
    <w:rsid w:val="260147DE"/>
    <w:rsid w:val="269B5B37"/>
    <w:rsid w:val="28014A99"/>
    <w:rsid w:val="281238DF"/>
    <w:rsid w:val="2C3A3AAA"/>
    <w:rsid w:val="2C527BFE"/>
    <w:rsid w:val="3186012D"/>
    <w:rsid w:val="318F1527"/>
    <w:rsid w:val="32B104CE"/>
    <w:rsid w:val="35484071"/>
    <w:rsid w:val="399664B0"/>
    <w:rsid w:val="3D751781"/>
    <w:rsid w:val="40284288"/>
    <w:rsid w:val="42264AD1"/>
    <w:rsid w:val="43390D5E"/>
    <w:rsid w:val="44217494"/>
    <w:rsid w:val="442A1815"/>
    <w:rsid w:val="44401803"/>
    <w:rsid w:val="49685439"/>
    <w:rsid w:val="4CF85717"/>
    <w:rsid w:val="4E9F62D9"/>
    <w:rsid w:val="5067437F"/>
    <w:rsid w:val="53E27EE0"/>
    <w:rsid w:val="55F44D38"/>
    <w:rsid w:val="571C3979"/>
    <w:rsid w:val="574D0D35"/>
    <w:rsid w:val="57BB011F"/>
    <w:rsid w:val="58266CB2"/>
    <w:rsid w:val="58343EE5"/>
    <w:rsid w:val="58DB20D7"/>
    <w:rsid w:val="5CF75F1B"/>
    <w:rsid w:val="614F2EF9"/>
    <w:rsid w:val="66B67DFA"/>
    <w:rsid w:val="66CB11DE"/>
    <w:rsid w:val="682C094A"/>
    <w:rsid w:val="685C34C4"/>
    <w:rsid w:val="6A3D3CC9"/>
    <w:rsid w:val="6C851D39"/>
    <w:rsid w:val="6E007FDB"/>
    <w:rsid w:val="70F53680"/>
    <w:rsid w:val="71650271"/>
    <w:rsid w:val="75952D20"/>
    <w:rsid w:val="767915F0"/>
    <w:rsid w:val="7A0429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17</Pages>
  <Words>1507</Words>
  <Characters>8592</Characters>
  <Lines>71</Lines>
  <Paragraphs>20</Paragraphs>
  <TotalTime>5</TotalTime>
  <ScaleCrop>false</ScaleCrop>
  <LinksUpToDate>false</LinksUpToDate>
  <CharactersWithSpaces>10079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Lenovo</cp:lastModifiedBy>
  <cp:lastPrinted>2020-09-21T09:01:00Z</cp:lastPrinted>
  <dcterms:modified xsi:type="dcterms:W3CDTF">2021-06-28T01:39:12Z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643F4DCA5E0147DDA0E1EFBFAAF1896E</vt:lpwstr>
  </property>
</Properties>
</file>