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黑体"/>
          <w:kern w:val="0"/>
          <w:sz w:val="32"/>
          <w:szCs w:val="32"/>
        </w:rPr>
      </w:pPr>
    </w:p>
    <w:p>
      <w:pPr>
        <w:spacing w:line="600" w:lineRule="exact"/>
        <w:jc w:val="center"/>
        <w:rPr>
          <w:rFonts w:eastAsia="方正小标宋_GBK"/>
          <w:b/>
          <w:bCs/>
          <w:sz w:val="44"/>
          <w:szCs w:val="44"/>
        </w:rPr>
      </w:pPr>
      <w:r>
        <w:rPr>
          <w:rFonts w:hint="eastAsia" w:eastAsia="方正小标宋_GBK"/>
          <w:b/>
          <w:bCs/>
          <w:sz w:val="44"/>
          <w:szCs w:val="44"/>
        </w:rPr>
        <w:t>区审计局20</w:t>
      </w:r>
      <w:r>
        <w:rPr>
          <w:rFonts w:hint="eastAsia" w:eastAsia="方正小标宋_GBK"/>
          <w:b/>
          <w:bCs/>
          <w:sz w:val="44"/>
          <w:szCs w:val="44"/>
          <w:lang w:val="en-US" w:eastAsia="zh-CN"/>
        </w:rPr>
        <w:t>20</w:t>
      </w:r>
      <w:r>
        <w:rPr>
          <w:rFonts w:hint="eastAsia" w:eastAsia="方正小标宋_GBK"/>
          <w:b/>
          <w:bCs/>
          <w:sz w:val="44"/>
          <w:szCs w:val="44"/>
        </w:rPr>
        <w:t>年</w:t>
      </w:r>
      <w:r>
        <w:rPr>
          <w:rFonts w:eastAsia="方正小标宋_GBK"/>
          <w:b/>
          <w:bCs/>
          <w:sz w:val="44"/>
          <w:szCs w:val="44"/>
        </w:rPr>
        <w:t>部门整体支出</w:t>
      </w:r>
    </w:p>
    <w:p>
      <w:pPr>
        <w:spacing w:line="600" w:lineRule="exact"/>
        <w:jc w:val="center"/>
        <w:rPr>
          <w:rFonts w:eastAsia="方正小标宋_GBK"/>
          <w:b/>
          <w:bCs/>
          <w:sz w:val="44"/>
          <w:szCs w:val="44"/>
        </w:rPr>
      </w:pPr>
      <w:r>
        <w:rPr>
          <w:rFonts w:eastAsia="方正小标宋_GBK"/>
          <w:b/>
          <w:bCs/>
          <w:sz w:val="44"/>
          <w:szCs w:val="44"/>
        </w:rPr>
        <w:t>绩效评价报告</w:t>
      </w:r>
    </w:p>
    <w:p>
      <w:pPr>
        <w:spacing w:line="600" w:lineRule="exact"/>
        <w:jc w:val="center"/>
        <w:rPr>
          <w:rFonts w:eastAsia="方正小标宋_GBK"/>
          <w:sz w:val="44"/>
          <w:szCs w:val="44"/>
        </w:rPr>
      </w:pPr>
    </w:p>
    <w:p>
      <w:pPr>
        <w:widowControl/>
        <w:spacing w:line="600" w:lineRule="exact"/>
        <w:ind w:firstLine="645"/>
        <w:jc w:val="left"/>
        <w:rPr>
          <w:rFonts w:hint="eastAsia" w:eastAsia="仿宋_GB2312"/>
          <w:b/>
          <w:bCs/>
          <w:color w:val="000000"/>
          <w:sz w:val="32"/>
          <w:szCs w:val="32"/>
        </w:rPr>
      </w:pPr>
      <w:r>
        <w:rPr>
          <w:rFonts w:hint="eastAsia" w:eastAsia="仿宋_GB2312"/>
          <w:b/>
          <w:bCs/>
          <w:color w:val="000000"/>
          <w:sz w:val="32"/>
          <w:szCs w:val="32"/>
          <w:lang w:eastAsia="zh-CN"/>
        </w:rPr>
        <w:t>一、</w:t>
      </w:r>
      <w:r>
        <w:rPr>
          <w:rFonts w:hint="eastAsia" w:eastAsia="仿宋_GB2312"/>
          <w:b/>
          <w:bCs/>
          <w:color w:val="000000"/>
          <w:sz w:val="32"/>
          <w:szCs w:val="32"/>
        </w:rPr>
        <w:t>部门、单位基本情况</w:t>
      </w:r>
    </w:p>
    <w:p>
      <w:pPr>
        <w:widowControl/>
        <w:spacing w:line="600" w:lineRule="exact"/>
        <w:ind w:firstLine="645"/>
        <w:jc w:val="left"/>
        <w:rPr>
          <w:rFonts w:hint="eastAsia" w:eastAsia="仿宋_GB2312"/>
          <w:b/>
          <w:bCs/>
          <w:color w:val="000000"/>
          <w:sz w:val="32"/>
          <w:szCs w:val="32"/>
        </w:rPr>
      </w:pPr>
      <w:r>
        <w:rPr>
          <w:rFonts w:hint="eastAsia" w:eastAsia="仿宋_GB2312"/>
          <w:b/>
          <w:bCs/>
          <w:color w:val="000000"/>
          <w:sz w:val="32"/>
          <w:szCs w:val="32"/>
        </w:rPr>
        <w:t>（一）部门职能职责</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rPr>
        <w:t>1、贯彻执行国家审计工作方针政策，制订全区审计工作规划并组织实施；指导、协调、监督全区审计机关的业务；组织行业和专项资金的审计或审计调查。2、受区委、区政府委托，依法对党政领导干部和国有企业负责人进行任期经济责任审计；实施对区管党政领导干部和区属国有企业负责人经济责任审计。3、向区政府提交区本级预算执行情况的审计结果报告；受区政府委托向区人大常委会提出区本级预算执行情况和其他财政收支审计工作报告。4、向区政府报告和向区政府有关部门通报审计情况，提出制定和完善有关政策、宏观调控措施的建议。5、贯彻执行国家财经方针政策和宏观调控措施，组织行业审计、专项审计或审计调查，并向区政府和相关部门反映情况、提出建议。6、对依法属于国家审计监督对象的单位，实施内部审计的业务指导与监督；对社会审计机构出具的相关审计报告进行核查。7、承办区人民政府交办的其他事项。</w:t>
      </w:r>
    </w:p>
    <w:p>
      <w:pPr>
        <w:widowControl/>
        <w:spacing w:line="600" w:lineRule="exact"/>
        <w:ind w:firstLine="645"/>
        <w:jc w:val="left"/>
        <w:rPr>
          <w:rFonts w:hint="eastAsia" w:eastAsia="仿宋_GB2312"/>
          <w:b/>
          <w:bCs/>
          <w:color w:val="000000"/>
          <w:sz w:val="32"/>
          <w:szCs w:val="32"/>
        </w:rPr>
      </w:pPr>
      <w:r>
        <w:rPr>
          <w:rFonts w:hint="eastAsia" w:eastAsia="仿宋_GB2312"/>
          <w:b/>
          <w:bCs/>
          <w:color w:val="000000"/>
          <w:sz w:val="32"/>
          <w:szCs w:val="32"/>
        </w:rPr>
        <w:t>（二）机构设置情况</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lang w:val="en-US" w:eastAsia="zh-CN"/>
        </w:rPr>
        <w:t>鹤城区审计局作为一般预算部门单位，纳入2020年部门预算编制范围为区审计局局机关和建设项目审计中心。内设6个职能股室，分别为：办公室、财政金融审计股、经济责任审计室、固定资产投资审计股、农业农村与自然资源环境审计股、行政事业审计股；下设区建设项目审计中心1个。</w:t>
      </w:r>
    </w:p>
    <w:p>
      <w:pPr>
        <w:widowControl/>
        <w:spacing w:line="600" w:lineRule="exact"/>
        <w:jc w:val="left"/>
        <w:rPr>
          <w:rFonts w:hint="eastAsia" w:eastAsia="仿宋_GB2312"/>
          <w:color w:val="000000"/>
          <w:sz w:val="32"/>
          <w:szCs w:val="32"/>
          <w:lang w:val="en-US" w:eastAsia="zh-CN"/>
        </w:rPr>
      </w:pPr>
      <w:r>
        <w:rPr>
          <w:rFonts w:hint="eastAsia" w:eastAsia="仿宋_GB2312"/>
          <w:color w:val="000000"/>
          <w:sz w:val="32"/>
          <w:szCs w:val="32"/>
          <w:lang w:val="en-US" w:eastAsia="zh-CN"/>
        </w:rPr>
        <w:t>2020年，区审计局核定编制人员30人，实际在职人员29人。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rPr>
          <w:rFonts w:eastAsia="黑体"/>
          <w:sz w:val="32"/>
          <w:szCs w:val="32"/>
        </w:rPr>
      </w:pPr>
      <w:r>
        <w:rPr>
          <w:rFonts w:hint="eastAsia" w:ascii="仿宋" w:hAnsi="仿宋" w:eastAsia="仿宋" w:cs="仿宋"/>
          <w:bCs/>
          <w:sz w:val="32"/>
          <w:szCs w:val="32"/>
        </w:rPr>
        <w:t>2</w:t>
      </w:r>
      <w:r>
        <w:rPr>
          <w:rFonts w:hint="eastAsia" w:ascii="仿宋" w:hAnsi="仿宋" w:eastAsia="仿宋" w:cs="仿宋"/>
          <w:bCs/>
          <w:sz w:val="32"/>
          <w:szCs w:val="32"/>
          <w:lang w:val="en-US" w:eastAsia="zh-CN"/>
        </w:rPr>
        <w:t>9.20</w:t>
      </w:r>
      <w:r>
        <w:rPr>
          <w:rFonts w:hint="eastAsia" w:ascii="仿宋" w:hAnsi="仿宋" w:eastAsia="仿宋" w:cs="仿宋"/>
          <w:bCs/>
          <w:sz w:val="32"/>
          <w:szCs w:val="32"/>
        </w:rPr>
        <w:t>万元0</w:t>
      </w:r>
      <w:r>
        <w:rPr>
          <w:rFonts w:hint="eastAsia" w:ascii="仿宋" w:hAnsi="仿宋" w:eastAsia="仿宋" w:cs="仿宋"/>
          <w:bCs/>
          <w:sz w:val="32"/>
          <w:szCs w:val="32"/>
          <w:lang w:val="en-US" w:eastAsia="zh-CN"/>
        </w:rPr>
        <w:t>20</w:t>
      </w:r>
      <w:r>
        <w:rPr>
          <w:rFonts w:hint="eastAsia" w:ascii="仿宋" w:hAnsi="仿宋" w:eastAsia="仿宋" w:cs="仿宋"/>
          <w:bCs/>
          <w:sz w:val="32"/>
          <w:szCs w:val="32"/>
        </w:rPr>
        <w:t>年度财政拨款基本支出：</w:t>
      </w:r>
      <w:r>
        <w:rPr>
          <w:rFonts w:hint="eastAsia" w:ascii="仿宋" w:hAnsi="仿宋" w:eastAsia="仿宋" w:cs="仿宋"/>
          <w:bCs/>
          <w:sz w:val="32"/>
          <w:szCs w:val="32"/>
          <w:lang w:val="en-US" w:eastAsia="zh-CN"/>
        </w:rPr>
        <w:t>541.14</w:t>
      </w:r>
      <w:r>
        <w:rPr>
          <w:rFonts w:hint="eastAsia" w:ascii="仿宋" w:hAnsi="仿宋" w:eastAsia="仿宋" w:cs="仿宋"/>
          <w:bCs/>
          <w:sz w:val="32"/>
          <w:szCs w:val="32"/>
        </w:rPr>
        <w:t>万元，其中：人员经费支出3</w:t>
      </w:r>
      <w:r>
        <w:rPr>
          <w:rFonts w:hint="eastAsia" w:ascii="仿宋" w:hAnsi="仿宋" w:eastAsia="仿宋" w:cs="仿宋"/>
          <w:bCs/>
          <w:sz w:val="32"/>
          <w:szCs w:val="32"/>
          <w:lang w:val="en-US" w:eastAsia="zh-CN"/>
        </w:rPr>
        <w:t>8</w:t>
      </w:r>
      <w:r>
        <w:rPr>
          <w:rFonts w:hint="eastAsia" w:ascii="仿宋" w:hAnsi="仿宋" w:eastAsia="仿宋" w:cs="仿宋"/>
          <w:bCs/>
          <w:sz w:val="32"/>
          <w:szCs w:val="32"/>
        </w:rPr>
        <w:t>，日常公用经费支出</w:t>
      </w:r>
      <w:r>
        <w:rPr>
          <w:rFonts w:hint="eastAsia" w:ascii="仿宋" w:hAnsi="仿宋" w:eastAsia="仿宋" w:cs="仿宋"/>
          <w:bCs/>
          <w:sz w:val="32"/>
          <w:szCs w:val="32"/>
          <w:lang w:val="en-US" w:eastAsia="zh-CN"/>
        </w:rPr>
        <w:t>151.94</w:t>
      </w:r>
      <w:r>
        <w:rPr>
          <w:rFonts w:hint="eastAsia" w:ascii="仿宋" w:hAnsi="仿宋" w:eastAsia="仿宋" w:cs="仿宋"/>
          <w:bCs/>
          <w:sz w:val="32"/>
          <w:szCs w:val="32"/>
        </w:rPr>
        <w:t>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sz w:val="32"/>
          <w:szCs w:val="32"/>
        </w:rPr>
      </w:pPr>
      <w:r>
        <w:rPr>
          <w:rFonts w:hint="eastAsia" w:ascii="仿宋" w:hAnsi="仿宋" w:eastAsia="仿宋" w:cs="仿宋"/>
          <w:bCs/>
          <w:sz w:val="32"/>
          <w:szCs w:val="32"/>
        </w:rPr>
        <w:t>20</w:t>
      </w:r>
      <w:r>
        <w:rPr>
          <w:rFonts w:hint="eastAsia" w:ascii="仿宋" w:hAnsi="仿宋" w:eastAsia="仿宋" w:cs="仿宋"/>
          <w:bCs/>
          <w:sz w:val="32"/>
          <w:szCs w:val="32"/>
          <w:lang w:val="en-US" w:eastAsia="zh-CN"/>
        </w:rPr>
        <w:t>20</w:t>
      </w:r>
      <w:r>
        <w:rPr>
          <w:rFonts w:hint="eastAsia" w:ascii="仿宋" w:hAnsi="仿宋" w:eastAsia="仿宋" w:cs="仿宋"/>
          <w:bCs/>
          <w:sz w:val="32"/>
          <w:szCs w:val="32"/>
        </w:rPr>
        <w:t>年度</w:t>
      </w:r>
      <w:r>
        <w:rPr>
          <w:rFonts w:hint="eastAsia" w:eastAsia="仿宋_GB2312"/>
          <w:sz w:val="32"/>
          <w:szCs w:val="32"/>
        </w:rPr>
        <w:t>项目支出</w:t>
      </w:r>
      <w:r>
        <w:rPr>
          <w:rFonts w:eastAsia="仿宋_GB2312"/>
          <w:sz w:val="32"/>
          <w:szCs w:val="32"/>
        </w:rPr>
        <w:t>：</w:t>
      </w:r>
      <w:r>
        <w:rPr>
          <w:rFonts w:hint="eastAsia" w:ascii="仿宋" w:hAnsi="仿宋" w:eastAsia="仿宋" w:cs="仿宋"/>
          <w:sz w:val="32"/>
          <w:szCs w:val="32"/>
          <w:lang w:val="en-US" w:eastAsia="zh-CN"/>
        </w:rPr>
        <w:t>235.9</w:t>
      </w:r>
      <w:r>
        <w:rPr>
          <w:rFonts w:hint="eastAsia" w:ascii="仿宋" w:hAnsi="仿宋" w:eastAsia="仿宋" w:cs="仿宋"/>
          <w:bCs/>
          <w:sz w:val="32"/>
          <w:szCs w:val="32"/>
        </w:rPr>
        <w:t>万元，</w:t>
      </w:r>
      <w:r>
        <w:rPr>
          <w:rFonts w:hint="eastAsia" w:ascii="仿宋" w:hAnsi="仿宋" w:eastAsia="仿宋" w:cs="仿宋"/>
          <w:sz w:val="32"/>
          <w:szCs w:val="32"/>
        </w:rPr>
        <w:t>是指本单位为完成特定行政工作任务或事业发展目标而发生的支出，主要为专项业务费用类，项目支出主要通过政府购买社会服务等方式支出</w:t>
      </w:r>
      <w:r>
        <w:rPr>
          <w:rFonts w:eastAsia="仿宋_GB2312"/>
          <w:sz w:val="32"/>
          <w:szCs w:val="32"/>
        </w:rPr>
        <w:t>。</w:t>
      </w:r>
    </w:p>
    <w:p>
      <w:pPr>
        <w:pStyle w:val="8"/>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ascii="仿宋" w:hAnsi="仿宋" w:eastAsia="仿宋" w:cs="仿宋"/>
          <w:sz w:val="32"/>
          <w:szCs w:val="32"/>
        </w:rPr>
      </w:pPr>
      <w:r>
        <w:rPr>
          <w:rFonts w:hint="eastAsia" w:ascii="仿宋" w:hAnsi="仿宋" w:eastAsia="仿宋" w:cs="仿宋"/>
          <w:sz w:val="32"/>
          <w:szCs w:val="32"/>
        </w:rPr>
        <w:t>无</w:t>
      </w:r>
    </w:p>
    <w:p>
      <w:pPr>
        <w:pStyle w:val="8"/>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无</w:t>
      </w:r>
    </w:p>
    <w:p>
      <w:pPr>
        <w:pStyle w:val="8"/>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20</w:t>
      </w:r>
      <w:r>
        <w:rPr>
          <w:rFonts w:hint="eastAsia" w:eastAsia="仿宋_GB2312"/>
          <w:color w:val="000000"/>
          <w:sz w:val="32"/>
          <w:szCs w:val="32"/>
          <w:lang w:val="en-US" w:eastAsia="zh-CN"/>
        </w:rPr>
        <w:t>20</w:t>
      </w:r>
      <w:r>
        <w:rPr>
          <w:rFonts w:hint="eastAsia" w:eastAsia="仿宋_GB2312"/>
          <w:color w:val="000000"/>
          <w:sz w:val="32"/>
          <w:szCs w:val="32"/>
        </w:rPr>
        <w:t>年，较好的完成了年度工作目标，通过加强预算支出管理，不断建立健全内部管理制度，根据部门整体支出绩效评价指标体系，20</w:t>
      </w:r>
      <w:r>
        <w:rPr>
          <w:rFonts w:hint="eastAsia" w:eastAsia="仿宋_GB2312"/>
          <w:color w:val="000000"/>
          <w:sz w:val="32"/>
          <w:szCs w:val="32"/>
          <w:lang w:val="en-US" w:eastAsia="zh-CN"/>
        </w:rPr>
        <w:t>20</w:t>
      </w:r>
      <w:r>
        <w:rPr>
          <w:rFonts w:hint="eastAsia" w:eastAsia="仿宋_GB2312"/>
          <w:color w:val="000000"/>
          <w:sz w:val="32"/>
          <w:szCs w:val="32"/>
        </w:rPr>
        <w:t>年度评价得分为100分</w:t>
      </w:r>
      <w:r>
        <w:rPr>
          <w:rFonts w:eastAsia="仿宋_GB2312"/>
          <w:color w:val="000000"/>
          <w:sz w:val="32"/>
          <w:szCs w:val="32"/>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rPr>
        <w:t>经费不足。由于年度追加计划审计项目较多，年初安排预算经费不足，严重影响了审计项目的完成进度</w:t>
      </w:r>
      <w:r>
        <w:rPr>
          <w:rFonts w:eastAsia="仿宋_GB2312"/>
          <w:sz w:val="32"/>
          <w:szCs w:val="32"/>
        </w:rPr>
        <w:t>。</w:t>
      </w: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ind w:firstLine="627" w:firstLineChars="196"/>
        <w:rPr>
          <w:rFonts w:ascii="仿宋" w:hAnsi="仿宋" w:eastAsia="仿宋" w:cs="仿宋"/>
          <w:sz w:val="32"/>
          <w:szCs w:val="32"/>
        </w:rPr>
      </w:pPr>
      <w:r>
        <w:rPr>
          <w:rFonts w:hint="eastAsia" w:ascii="仿宋" w:hAnsi="仿宋" w:eastAsia="仿宋" w:cs="仿宋"/>
          <w:sz w:val="32"/>
          <w:szCs w:val="32"/>
        </w:rPr>
        <w:t>1、严格执行新《预算法》、《党政机关厉行节约反对浪费条例》等文件规定，合理制定和编报年度预算。</w:t>
      </w:r>
    </w:p>
    <w:p>
      <w:pPr>
        <w:widowControl/>
        <w:spacing w:line="600" w:lineRule="exact"/>
        <w:ind w:firstLine="640" w:firstLineChars="200"/>
        <w:jc w:val="left"/>
        <w:rPr>
          <w:rFonts w:eastAsia="黑体"/>
          <w:sz w:val="32"/>
          <w:szCs w:val="32"/>
        </w:rPr>
      </w:pPr>
      <w:r>
        <w:rPr>
          <w:rFonts w:hint="eastAsia" w:ascii="仿宋" w:hAnsi="仿宋" w:eastAsia="仿宋" w:cs="仿宋"/>
          <w:sz w:val="32"/>
          <w:szCs w:val="32"/>
        </w:rPr>
        <w:t>2、加强资金管理，提高资金使用效益。建立完善内部监督机制，合理列支年度经费支出。</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ascii="仿宋" w:hAnsi="仿宋" w:eastAsia="仿宋" w:cs="仿宋"/>
          <w:sz w:val="32"/>
          <w:szCs w:val="32"/>
        </w:rPr>
      </w:pPr>
      <w:r>
        <w:rPr>
          <w:rFonts w:hint="eastAsia" w:ascii="仿宋" w:hAnsi="仿宋" w:eastAsia="仿宋" w:cs="仿宋"/>
          <w:sz w:val="32"/>
          <w:szCs w:val="32"/>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afterLines="100" w:line="600" w:lineRule="exact"/>
        <w:rPr>
          <w:rFonts w:eastAsia="黑体"/>
          <w:sz w:val="32"/>
          <w:szCs w:val="32"/>
        </w:rPr>
      </w:pPr>
    </w:p>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100</w:t>
            </w:r>
          </w:p>
        </w:tc>
      </w:tr>
    </w:tbl>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区审计局</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96.67%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2019年</w:t>
            </w:r>
            <w:r>
              <w:rPr>
                <w:rFonts w:hint="eastAsia" w:ascii="仿宋" w:hAnsi="仿宋" w:eastAsia="仿宋"/>
                <w:lang w:eastAsia="zh-CN"/>
              </w:rPr>
              <w:t>决</w:t>
            </w:r>
            <w:r>
              <w:rPr>
                <w:rFonts w:hint="eastAsia" w:ascii="仿宋" w:hAnsi="仿宋" w:eastAsia="仿宋"/>
              </w:rPr>
              <w:t>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13.78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13.78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163.45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235.9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175.23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198.36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1</w:t>
            </w:r>
            <w:r>
              <w:rPr>
                <w:rFonts w:hint="eastAsia" w:ascii="仿宋" w:hAnsi="仿宋" w:eastAsia="仿宋"/>
                <w:lang w:val="en-US" w:eastAsia="zh-CN"/>
              </w:rPr>
              <w:t>51.94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Pr>
        <w:spacing w:afterLines="100" w:line="600" w:lineRule="exact"/>
        <w:rPr>
          <w:rFonts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EE2BBF"/>
    <w:multiLevelType w:val="singleLevel"/>
    <w:tmpl w:val="9DEE2BBF"/>
    <w:lvl w:ilvl="0" w:tentative="0">
      <w:start w:val="1"/>
      <w:numFmt w:val="chineseCounting"/>
      <w:suff w:val="nothing"/>
      <w:lvlText w:val="%1、"/>
      <w:lvlJc w:val="left"/>
      <w:rPr>
        <w:rFonts w:hint="eastAsia"/>
      </w:rPr>
    </w:lvl>
  </w:abstractNum>
  <w:abstractNum w:abstractNumId="1">
    <w:nsid w:val="71E5D6FA"/>
    <w:multiLevelType w:val="singleLevel"/>
    <w:tmpl w:val="71E5D6FA"/>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02416"/>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00B9"/>
    <w:rsid w:val="00A75C37"/>
    <w:rsid w:val="00AA700A"/>
    <w:rsid w:val="00B364CE"/>
    <w:rsid w:val="00BB6107"/>
    <w:rsid w:val="00BD1C3A"/>
    <w:rsid w:val="00C25716"/>
    <w:rsid w:val="00C3391C"/>
    <w:rsid w:val="00C344EC"/>
    <w:rsid w:val="00C72139"/>
    <w:rsid w:val="00C914D7"/>
    <w:rsid w:val="00CC4C2C"/>
    <w:rsid w:val="00CD20A2"/>
    <w:rsid w:val="00CF7BF7"/>
    <w:rsid w:val="00D10324"/>
    <w:rsid w:val="00E127F9"/>
    <w:rsid w:val="00E50869"/>
    <w:rsid w:val="00FC7FE9"/>
    <w:rsid w:val="01050FBF"/>
    <w:rsid w:val="020F7F52"/>
    <w:rsid w:val="045C69BC"/>
    <w:rsid w:val="04D10331"/>
    <w:rsid w:val="06A64039"/>
    <w:rsid w:val="080F1ABD"/>
    <w:rsid w:val="0908188E"/>
    <w:rsid w:val="0A814DE3"/>
    <w:rsid w:val="0ABD67EF"/>
    <w:rsid w:val="0C1053BE"/>
    <w:rsid w:val="0DC94F0D"/>
    <w:rsid w:val="0E5A3F85"/>
    <w:rsid w:val="0F152227"/>
    <w:rsid w:val="107775EE"/>
    <w:rsid w:val="1104197D"/>
    <w:rsid w:val="12D415C5"/>
    <w:rsid w:val="154E7389"/>
    <w:rsid w:val="1587666A"/>
    <w:rsid w:val="172E48CF"/>
    <w:rsid w:val="18C86EC6"/>
    <w:rsid w:val="19E41AC0"/>
    <w:rsid w:val="1A113873"/>
    <w:rsid w:val="1A2C4DDE"/>
    <w:rsid w:val="1A471BD6"/>
    <w:rsid w:val="1BA03545"/>
    <w:rsid w:val="1C5F59DD"/>
    <w:rsid w:val="1CDD6D65"/>
    <w:rsid w:val="1EE41024"/>
    <w:rsid w:val="21060A05"/>
    <w:rsid w:val="21075247"/>
    <w:rsid w:val="21667964"/>
    <w:rsid w:val="23A65208"/>
    <w:rsid w:val="23B87709"/>
    <w:rsid w:val="260147DE"/>
    <w:rsid w:val="269B5B37"/>
    <w:rsid w:val="28014A99"/>
    <w:rsid w:val="281238DF"/>
    <w:rsid w:val="2C3A3AAA"/>
    <w:rsid w:val="2C527BFE"/>
    <w:rsid w:val="3186012D"/>
    <w:rsid w:val="318F1527"/>
    <w:rsid w:val="32B104CE"/>
    <w:rsid w:val="35484071"/>
    <w:rsid w:val="38617209"/>
    <w:rsid w:val="399664B0"/>
    <w:rsid w:val="3D751781"/>
    <w:rsid w:val="40284288"/>
    <w:rsid w:val="42264AD1"/>
    <w:rsid w:val="43390D5E"/>
    <w:rsid w:val="44217494"/>
    <w:rsid w:val="442A1815"/>
    <w:rsid w:val="49685439"/>
    <w:rsid w:val="4CF85717"/>
    <w:rsid w:val="4E9F62D9"/>
    <w:rsid w:val="5067437F"/>
    <w:rsid w:val="53E27EE0"/>
    <w:rsid w:val="55F44D38"/>
    <w:rsid w:val="571C3979"/>
    <w:rsid w:val="574D0D35"/>
    <w:rsid w:val="58266CB2"/>
    <w:rsid w:val="58343EE5"/>
    <w:rsid w:val="58DB20D7"/>
    <w:rsid w:val="5A9631FC"/>
    <w:rsid w:val="614F2EF9"/>
    <w:rsid w:val="66B67DFA"/>
    <w:rsid w:val="66CB11DE"/>
    <w:rsid w:val="682C094A"/>
    <w:rsid w:val="685C34C4"/>
    <w:rsid w:val="6A3D3CC9"/>
    <w:rsid w:val="6C851D39"/>
    <w:rsid w:val="6E007FDB"/>
    <w:rsid w:val="70F53680"/>
    <w:rsid w:val="71650271"/>
    <w:rsid w:val="75952D20"/>
    <w:rsid w:val="767915F0"/>
    <w:rsid w:val="7A0429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17</Pages>
  <Words>1507</Words>
  <Characters>8592</Characters>
  <Lines>71</Lines>
  <Paragraphs>20</Paragraphs>
  <TotalTime>6</TotalTime>
  <ScaleCrop>false</ScaleCrop>
  <LinksUpToDate>false</LinksUpToDate>
  <CharactersWithSpaces>10079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Lenovo</cp:lastModifiedBy>
  <cp:lastPrinted>2021-06-28T01:39:00Z</cp:lastPrinted>
  <dcterms:modified xsi:type="dcterms:W3CDTF">2021-06-28T06:55:52Z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D22087BBF1AE4128939AE2A8E67BADC7</vt:lpwstr>
  </property>
</Properties>
</file>