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填报单位：鹤城区农民素质教育中心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8</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1700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1900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1700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1900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50000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50000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70000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50000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50000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70000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32247</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61784</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48932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13743</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17868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1524</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2464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16980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 xml:space="preserve">     28600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8"/>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jc w:val="left"/>
        <w:rPr>
          <w:rFonts w:ascii="仿宋_GB2312" w:eastAsia="仿宋_GB2312"/>
          <w:sz w:val="32"/>
          <w:szCs w:val="32"/>
        </w:rPr>
      </w:pPr>
      <w:r>
        <w:rPr>
          <w:rFonts w:hint="eastAsia" w:ascii="仿宋_GB2312" w:eastAsia="仿宋_GB2312"/>
          <w:sz w:val="32"/>
          <w:szCs w:val="32"/>
        </w:rPr>
        <w:t>鹤城区农民素质教育中心是财政全额拨款的事业单位。单位主要工作职责：组织实施全区农民素质教育工作，统筹协调各部门的农民素质教育培训工作。拟定全区农民素质教育工作计划，负责农民素质教育任务的统筹、分解并督促检查落实。负责实施开展农民生产技能培训及职业技能培训，引导和帮助农村剩余劳动力转移就业。单位有编制数9人，在编8人，领导班子成员1人，共有干部职工8人，其中在职人员8人，离退休人员4人。</w:t>
      </w:r>
    </w:p>
    <w:p>
      <w:pPr>
        <w:pStyle w:val="8"/>
        <w:widowControl/>
        <w:spacing w:line="600" w:lineRule="exact"/>
        <w:ind w:left="640" w:firstLine="0" w:firstLineChars="0"/>
        <w:rPr>
          <w:rFonts w:asciiTheme="majorEastAsia" w:hAnsiTheme="majorEastAsia" w:eastAsiaTheme="majorEastAsia"/>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jc w:val="left"/>
        <w:rPr>
          <w:rFonts w:ascii="仿宋_GB2312" w:eastAsia="仿宋_GB2312"/>
          <w:sz w:val="32"/>
          <w:szCs w:val="32"/>
        </w:rPr>
      </w:pPr>
      <w:r>
        <w:rPr>
          <w:rFonts w:hint="eastAsia" w:ascii="仿宋_GB2312" w:eastAsia="仿宋_GB2312"/>
          <w:sz w:val="32"/>
          <w:szCs w:val="32"/>
        </w:rPr>
        <w:t>收入预算：2020年预算总收入90.51万元，其中，经费拨款89.53万元，其他拨款0万元，上级补助收入0万元，非税收入0.98万元。</w:t>
      </w:r>
    </w:p>
    <w:p>
      <w:pPr>
        <w:ind w:firstLine="640" w:firstLineChars="200"/>
        <w:jc w:val="left"/>
        <w:rPr>
          <w:rFonts w:ascii="仿宋_GB2312" w:eastAsia="仿宋_GB2312"/>
          <w:sz w:val="32"/>
          <w:szCs w:val="32"/>
        </w:rPr>
      </w:pPr>
      <w:r>
        <w:rPr>
          <w:rFonts w:hint="eastAsia" w:ascii="仿宋_GB2312" w:eastAsia="仿宋_GB2312"/>
          <w:sz w:val="32"/>
          <w:szCs w:val="32"/>
        </w:rPr>
        <w:t>支出预算:2020年预算总支出90.51万元，其中，1、基本支出84.38万元，（人员支出79.73万元，公用经费支出4.65万元）。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eastAsia="仿宋_GB2312"/>
          <w:sz w:val="32"/>
          <w:szCs w:val="32"/>
        </w:rPr>
        <w:t>2019年专项资金全年预算数7万元，实际使用支出6.13万元，实际完成预算数87%。</w:t>
      </w:r>
    </w:p>
    <w:p>
      <w:pPr>
        <w:pStyle w:val="8"/>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widowControl/>
        <w:spacing w:line="600" w:lineRule="exact"/>
        <w:ind w:left="640"/>
        <w:jc w:val="left"/>
        <w:rPr>
          <w:rFonts w:ascii="仿宋_GB2312" w:eastAsia="仿宋_GB2312"/>
          <w:sz w:val="32"/>
          <w:szCs w:val="32"/>
        </w:rPr>
      </w:pPr>
      <w:r>
        <w:rPr>
          <w:rFonts w:hint="eastAsia" w:ascii="仿宋_GB2312" w:eastAsia="仿宋_GB2312"/>
          <w:sz w:val="32"/>
          <w:szCs w:val="32"/>
        </w:rPr>
        <w:t>我单位无政府性基金预算支出。</w:t>
      </w:r>
    </w:p>
    <w:p>
      <w:pPr>
        <w:pStyle w:val="8"/>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widowControl/>
        <w:spacing w:line="600" w:lineRule="exact"/>
        <w:ind w:left="640"/>
        <w:jc w:val="left"/>
        <w:rPr>
          <w:rFonts w:ascii="仿宋_GB2312" w:eastAsia="仿宋_GB2312"/>
          <w:sz w:val="32"/>
          <w:szCs w:val="32"/>
        </w:rPr>
      </w:pPr>
      <w:r>
        <w:rPr>
          <w:rFonts w:hint="eastAsia" w:ascii="仿宋_GB2312" w:eastAsia="仿宋_GB2312"/>
          <w:sz w:val="32"/>
          <w:szCs w:val="32"/>
        </w:rPr>
        <w:t>我单位无国有资本经营预算支出。</w:t>
      </w:r>
    </w:p>
    <w:p>
      <w:pPr>
        <w:pStyle w:val="8"/>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widowControl/>
        <w:spacing w:line="600" w:lineRule="exact"/>
        <w:ind w:left="640"/>
        <w:jc w:val="left"/>
        <w:rPr>
          <w:rFonts w:ascii="仿宋_GB2312" w:eastAsia="仿宋_GB2312"/>
          <w:sz w:val="32"/>
          <w:szCs w:val="32"/>
        </w:rPr>
      </w:pPr>
      <w:r>
        <w:rPr>
          <w:rFonts w:hint="eastAsia" w:ascii="仿宋_GB2312" w:eastAsia="仿宋_GB2312"/>
          <w:sz w:val="32"/>
          <w:szCs w:val="32"/>
        </w:rPr>
        <w:t>我单位无社会保险基金预算支出。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2020年，我单位积极推进部门整体绩效管理，合理制定和编报年度预算，加强资金管理，完善财务制度，严肃财经纪律，提高资金使用效益，组织实施全区的农民素质教育工作，负责实施开展农民生产技能培训和职业技能培训，取得了较好的社会效益。建立完善内部监督机制，合理列支年度经费支出。按照我区预算绩效管理工作的总体要求，2020年我单位整体支出90.51万元，达到整体支出绩效目标，单位自评分为94分，等级优秀。</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我单位继续贯彻落实厉行节约的原则，把各项工作抓好，加强资金管理，严格控制各项经费支出。</w:t>
      </w:r>
    </w:p>
    <w:p>
      <w:pPr>
        <w:widowControl/>
        <w:spacing w:line="600" w:lineRule="exact"/>
        <w:ind w:firstLine="640" w:firstLineChars="200"/>
        <w:jc w:val="left"/>
        <w:rPr>
          <w:rFonts w:hint="eastAsia" w:eastAsia="黑体"/>
          <w:sz w:val="32"/>
          <w:szCs w:val="32"/>
        </w:rPr>
      </w:pPr>
      <w:r>
        <w:rPr>
          <w:rFonts w:eastAsia="黑体"/>
          <w:sz w:val="32"/>
          <w:szCs w:val="32"/>
        </w:rPr>
        <w:t>八、下一步改进措施</w:t>
      </w:r>
    </w:p>
    <w:p>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我单位把农民素质教育培训工作狠抓落实，继续贯彻政府厉行节约原则，严格控制各项开支，保质保量完成好绩效考核目标。</w:t>
      </w:r>
    </w:p>
    <w:p>
      <w:pPr>
        <w:widowControl/>
        <w:spacing w:line="600" w:lineRule="exact"/>
        <w:ind w:firstLine="645"/>
        <w:jc w:val="left"/>
        <w:rPr>
          <w:rFonts w:hint="eastAsia" w:eastAsia="黑体"/>
          <w:sz w:val="32"/>
          <w:szCs w:val="32"/>
        </w:rPr>
      </w:pPr>
      <w:r>
        <w:rPr>
          <w:rFonts w:eastAsia="黑体"/>
          <w:sz w:val="32"/>
          <w:szCs w:val="32"/>
        </w:rPr>
        <w:t>九、其他需要说明的情况</w:t>
      </w:r>
    </w:p>
    <w:p>
      <w:pPr>
        <w:widowControl/>
        <w:spacing w:line="600" w:lineRule="exact"/>
        <w:ind w:firstLine="645"/>
        <w:jc w:val="left"/>
        <w:rPr>
          <w:rFonts w:hint="eastAsia" w:ascii="仿宋_GB2312" w:eastAsia="仿宋_GB2312"/>
          <w:sz w:val="32"/>
          <w:szCs w:val="32"/>
        </w:rPr>
      </w:pPr>
      <w:r>
        <w:rPr>
          <w:rFonts w:hint="eastAsia" w:ascii="仿宋_GB2312" w:eastAsia="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10234" w:type="dxa"/>
        <w:jc w:val="center"/>
        <w:tblLayout w:type="autofit"/>
        <w:tblCellMar>
          <w:top w:w="0" w:type="dxa"/>
          <w:left w:w="108" w:type="dxa"/>
          <w:bottom w:w="0" w:type="dxa"/>
          <w:right w:w="108" w:type="dxa"/>
        </w:tblCellMar>
      </w:tblPr>
      <w:tblGrid>
        <w:gridCol w:w="1135"/>
        <w:gridCol w:w="992"/>
        <w:gridCol w:w="1130"/>
        <w:gridCol w:w="1843"/>
        <w:gridCol w:w="1251"/>
        <w:gridCol w:w="1134"/>
        <w:gridCol w:w="709"/>
        <w:gridCol w:w="714"/>
        <w:gridCol w:w="136"/>
        <w:gridCol w:w="1190"/>
      </w:tblGrid>
      <w:tr>
        <w:tblPrEx>
          <w:tblCellMar>
            <w:top w:w="0" w:type="dxa"/>
            <w:left w:w="108" w:type="dxa"/>
            <w:bottom w:w="0" w:type="dxa"/>
            <w:right w:w="108" w:type="dxa"/>
          </w:tblCellMar>
        </w:tblPrEx>
        <w:trPr>
          <w:trHeight w:val="690" w:hRule="atLeast"/>
          <w:jc w:val="center"/>
        </w:trPr>
        <w:tc>
          <w:tcPr>
            <w:tcW w:w="10234"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234"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099"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农民素质教育培训工作经费</w:t>
            </w:r>
            <w:r>
              <w:rPr>
                <w:rFonts w:eastAsia="仿宋_GB2312"/>
                <w:color w:val="000000"/>
                <w:kern w:val="0"/>
                <w:szCs w:val="21"/>
              </w:rPr>
              <w:t>　</w:t>
            </w:r>
          </w:p>
        </w:tc>
      </w:tr>
      <w:tr>
        <w:tblPrEx>
          <w:tblCellMar>
            <w:top w:w="0" w:type="dxa"/>
            <w:left w:w="108" w:type="dxa"/>
            <w:bottom w:w="0" w:type="dxa"/>
            <w:right w:w="108" w:type="dxa"/>
          </w:tblCellMar>
        </w:tblPrEx>
        <w:trPr>
          <w:trHeight w:val="487"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521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74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鹤城区农民素质教育中心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年初预算数</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hint="eastAsia" w:eastAsia="仿宋_GB2312"/>
                <w:sz w:val="18"/>
                <w:szCs w:val="18"/>
              </w:rPr>
              <w:t>全年执行数</w:t>
            </w:r>
          </w:p>
        </w:tc>
        <w:tc>
          <w:tcPr>
            <w:tcW w:w="709" w:type="dxa"/>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hint="eastAsia" w:eastAsia="仿宋_GB2312"/>
                <w:sz w:val="18"/>
                <w:szCs w:val="18"/>
              </w:rPr>
              <w:t>分值</w:t>
            </w:r>
          </w:p>
        </w:tc>
        <w:tc>
          <w:tcPr>
            <w:tcW w:w="850"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 w:val="18"/>
                <w:szCs w:val="18"/>
              </w:rPr>
            </w:pPr>
            <w:r>
              <w:rPr>
                <w:rFonts w:hint="eastAsia" w:eastAsia="仿宋_GB2312"/>
                <w:szCs w:val="21"/>
              </w:rPr>
              <w:t>执行</w:t>
            </w:r>
            <w:r>
              <w:rPr>
                <w:rFonts w:hint="eastAsia" w:eastAsia="仿宋_GB2312"/>
                <w:sz w:val="18"/>
                <w:szCs w:val="18"/>
              </w:rPr>
              <w:t>率</w:t>
            </w:r>
          </w:p>
        </w:tc>
        <w:tc>
          <w:tcPr>
            <w:tcW w:w="1190" w:type="dxa"/>
            <w:tcBorders>
              <w:top w:val="nil"/>
              <w:left w:val="nil"/>
              <w:bottom w:val="single" w:color="auto" w:sz="4" w:space="0"/>
              <w:right w:val="single" w:color="auto" w:sz="4" w:space="0"/>
            </w:tcBorders>
            <w:shd w:val="clear" w:color="auto" w:fill="auto"/>
          </w:tcPr>
          <w:p>
            <w:pPr>
              <w:spacing w:line="320" w:lineRule="exact"/>
              <w:ind w:firstLine="270" w:firstLineChars="150"/>
              <w:rPr>
                <w:rFonts w:eastAsia="仿宋_GB2312"/>
                <w:sz w:val="18"/>
                <w:szCs w:val="18"/>
              </w:rPr>
            </w:pPr>
            <w:r>
              <w:rPr>
                <w:rFonts w:eastAsia="仿宋_GB2312"/>
                <w:sz w:val="18"/>
                <w:szCs w:val="18"/>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5</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6</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5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86%</w:t>
            </w:r>
          </w:p>
        </w:tc>
        <w:tc>
          <w:tcPr>
            <w:tcW w:w="1190" w:type="dxa"/>
            <w:tcBorders>
              <w:top w:val="nil"/>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5</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6</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9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5216"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883"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438"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5216"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3883"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3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农业科技培训</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9次</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10</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8"/>
                <w:szCs w:val="18"/>
              </w:rPr>
              <w:t>农民生产技能培训</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0.6万人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10</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培训内容</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10</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结业</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5</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 xml:space="preserve"> 5</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农民科技培训</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4-12月</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5</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 xml:space="preserve"> 5</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培训资料费</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5</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5</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18"/>
              </w:rPr>
              <w:t>老师授课费</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1</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5</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3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 xml:space="preserve">    无</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r>
              <w:rPr>
                <w:rFonts w:hint="eastAsia" w:eastAsia="仿宋_GB2312"/>
                <w:color w:val="000000"/>
                <w:kern w:val="0"/>
                <w:sz w:val="15"/>
                <w:szCs w:val="15"/>
              </w:rPr>
              <w:t>提高全区农民总体水平</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6000人次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15</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Cs w:val="21"/>
              </w:rPr>
              <w:t xml:space="preserve">    </w:t>
            </w:r>
            <w:r>
              <w:rPr>
                <w:rFonts w:hint="eastAsia" w:eastAsia="仿宋_GB2312"/>
                <w:color w:val="000000"/>
                <w:kern w:val="0"/>
                <w:sz w:val="18"/>
                <w:szCs w:val="18"/>
              </w:rPr>
              <w:t>无</w:t>
            </w: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5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r>
              <w:rPr>
                <w:rFonts w:hint="eastAsia" w:eastAsia="仿宋_GB2312"/>
                <w:color w:val="000000"/>
                <w:kern w:val="0"/>
                <w:sz w:val="15"/>
                <w:szCs w:val="15"/>
              </w:rPr>
              <w:t>持续开展生产技能培训</w:t>
            </w:r>
          </w:p>
        </w:tc>
        <w:tc>
          <w:tcPr>
            <w:tcW w:w="12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r>
              <w:rPr>
                <w:rFonts w:hint="eastAsia" w:eastAsia="仿宋_GB2312"/>
                <w:color w:val="000000"/>
                <w:kern w:val="0"/>
                <w:sz w:val="15"/>
                <w:szCs w:val="15"/>
              </w:rPr>
              <w:t>每年6000人次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hint="eastAsia" w:eastAsia="仿宋_GB2312"/>
                <w:color w:val="000000"/>
                <w:kern w:val="0"/>
                <w:szCs w:val="21"/>
              </w:rPr>
              <w:t>15</w:t>
            </w:r>
          </w:p>
        </w:tc>
        <w:tc>
          <w:tcPr>
            <w:tcW w:w="7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w:t>
            </w:r>
          </w:p>
        </w:tc>
        <w:tc>
          <w:tcPr>
            <w:tcW w:w="13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130"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培训对象</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eastAsia="仿宋_GB2312"/>
                <w:color w:val="000000"/>
                <w:kern w:val="0"/>
                <w:szCs w:val="21"/>
              </w:rPr>
              <w:t>10</w:t>
            </w:r>
          </w:p>
        </w:tc>
        <w:tc>
          <w:tcPr>
            <w:tcW w:w="7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3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63"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84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5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485"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0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7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13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rPr>
        <w:t>：李传素</w:t>
      </w:r>
      <w:r>
        <w:rPr>
          <w:rFonts w:eastAsia="仿宋_GB2312"/>
          <w:sz w:val="24"/>
        </w:rPr>
        <w:t xml:space="preserve"> 填报日期：</w:t>
      </w:r>
      <w:r>
        <w:rPr>
          <w:rFonts w:hint="eastAsia" w:eastAsia="仿宋_GB2312"/>
          <w:sz w:val="24"/>
        </w:rPr>
        <w:t>2020.6.23</w:t>
      </w:r>
      <w:r>
        <w:rPr>
          <w:rFonts w:eastAsia="仿宋_GB2312"/>
          <w:sz w:val="24"/>
        </w:rPr>
        <w:t xml:space="preserve"> </w:t>
      </w:r>
      <w:r>
        <w:rPr>
          <w:rFonts w:hint="eastAsia" w:eastAsia="仿宋_GB2312"/>
          <w:sz w:val="24"/>
        </w:rPr>
        <w:t xml:space="preserve"> </w:t>
      </w:r>
      <w:r>
        <w:rPr>
          <w:rFonts w:eastAsia="仿宋_GB2312"/>
          <w:sz w:val="24"/>
        </w:rPr>
        <w:t>联系电话：</w:t>
      </w:r>
      <w:r>
        <w:rPr>
          <w:rFonts w:hint="eastAsia" w:eastAsia="仿宋_GB2312"/>
          <w:sz w:val="24"/>
        </w:rPr>
        <w:t>2278089</w:t>
      </w:r>
      <w:r>
        <w:rPr>
          <w:rFonts w:eastAsia="仿宋_GB2312"/>
          <w:sz w:val="24"/>
        </w:rPr>
        <w:t xml:space="preserve">  </w:t>
      </w:r>
      <w:r>
        <w:rPr>
          <w:rFonts w:hint="eastAsia" w:eastAsia="仿宋_GB2312"/>
          <w:sz w:val="24"/>
        </w:rPr>
        <w:t xml:space="preserve"> </w:t>
      </w:r>
      <w:r>
        <w:rPr>
          <w:rFonts w:eastAsia="仿宋_GB2312"/>
          <w:sz w:val="24"/>
        </w:rPr>
        <w:t>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rPr>
          <w:rFonts w:ascii="黑体" w:eastAsia="黑体" w:hAnsiTheme="majorHAnsi"/>
          <w:sz w:val="32"/>
          <w:szCs w:val="32"/>
        </w:rPr>
      </w:pPr>
      <w:r>
        <w:rPr>
          <w:rFonts w:hint="eastAsia" w:eastAsia="楷体_GB2312"/>
          <w:sz w:val="32"/>
          <w:szCs w:val="32"/>
        </w:rPr>
        <w:t xml:space="preserve">                 </w:t>
      </w:r>
      <w:r>
        <w:rPr>
          <w:rFonts w:hint="eastAsia" w:ascii="黑体" w:eastAsia="黑体"/>
          <w:sz w:val="32"/>
          <w:szCs w:val="32"/>
        </w:rPr>
        <w:t xml:space="preserve"> </w:t>
      </w:r>
      <w:r>
        <w:rPr>
          <w:rFonts w:hint="eastAsia" w:ascii="黑体" w:eastAsia="黑体" w:hAnsiTheme="majorHAnsi"/>
          <w:sz w:val="32"/>
          <w:szCs w:val="32"/>
        </w:rPr>
        <w:t>(部门参考提纲)</w:t>
      </w:r>
    </w:p>
    <w:p>
      <w:pPr>
        <w:spacing w:line="360" w:lineRule="exact"/>
        <w:rPr>
          <w:rFonts w:ascii="黑体" w:eastAsia="黑体" w:hAnsiTheme="majorHAnsi"/>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hint="eastAsia" w:eastAsia="仿宋_GB2312"/>
          <w:sz w:val="32"/>
          <w:szCs w:val="32"/>
        </w:rPr>
        <w:t>区农民素质教育中心贯彻落实党中央、省委和市委关于农业农村工作的方针政策和决策部署，全面落实区委关于农民素质教育工作的部署要求。单位的工作职责：1、拟定全区农民素质教育工作计划，负责农民素质教育培训任务的统筹、分解并督促检查落实。2、负责实施开展农民生产技能培训及职业技能培训，引导和帮助农村剩余劳动力转移就业。3、负责全区农民素质教育培训教材的编写等工作，协调指导乡（镇）农民培训中心及村级农民培训室建设。</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eastAsia="仿宋_GB2312"/>
          <w:sz w:val="32"/>
          <w:szCs w:val="32"/>
        </w:rPr>
        <w:t>我单位2020年项目资金7万元，为加强我单位财务管理，提高资金使用效益，确保工作正常有序开展，根据有关财务规定，结合我单位实际，制定了相应的财务管理办法，严格资金使用标准，严格审批程序，专款专用，合理有效的使用专项资金。</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eastAsia="仿宋_GB2312"/>
          <w:sz w:val="32"/>
          <w:szCs w:val="32"/>
        </w:rPr>
        <w:t>2020年度总体目标是综合协调，联合区里相关部门开展农民生产技能培训和职业技能培训，农村劳动力转移培训，完成市里下达的培训任务，提高我区农民素质总体水平，促进农业农村经济快速发展，完成农民生产技能培训及职业技能培训0.6万人。</w:t>
      </w:r>
    </w:p>
    <w:p>
      <w:pPr>
        <w:spacing w:line="600" w:lineRule="exact"/>
        <w:ind w:firstLine="640" w:firstLineChars="200"/>
        <w:rPr>
          <w:rFonts w:eastAsia="黑体"/>
          <w:sz w:val="32"/>
          <w:szCs w:val="32"/>
        </w:rPr>
      </w:pPr>
      <w:r>
        <w:rPr>
          <w:rFonts w:eastAsia="黑体"/>
          <w:sz w:val="32"/>
          <w:szCs w:val="32"/>
        </w:rPr>
        <w:t>二、绩效评价工作情</w:t>
      </w:r>
      <w:r>
        <w:rPr>
          <w:rFonts w:hint="eastAsia" w:eastAsia="黑体"/>
          <w:sz w:val="32"/>
          <w:szCs w:val="32"/>
        </w:rPr>
        <w:t>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2020年，我单位积极推进预算绩效管理，合理制定和编制年度预算，加强资金管理，提高资金使用效益，按照我区预算绩效管理工作的总体要求，2020年我单位整体支出90.51万元，全部实行整体支出绩效目标管理。</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根据预算支出绩效自评表，项目资金7万元经费，实际完成培训经费6.13万元，完成87%，自评分平均分为95分，评价等级为优秀。</w:t>
      </w:r>
    </w:p>
    <w:p>
      <w:pPr>
        <w:spacing w:line="600" w:lineRule="exact"/>
        <w:ind w:left="640"/>
        <w:rPr>
          <w:rFonts w:eastAsia="黑体"/>
          <w:sz w:val="32"/>
          <w:szCs w:val="32"/>
        </w:rPr>
      </w:pPr>
      <w:r>
        <w:rPr>
          <w:rFonts w:hint="eastAsia" w:eastAsia="黑体"/>
          <w:sz w:val="32"/>
          <w:szCs w:val="32"/>
        </w:rPr>
        <w:t>四、</w:t>
      </w:r>
      <w:r>
        <w:rPr>
          <w:rFonts w:eastAsia="黑体"/>
          <w:sz w:val="32"/>
          <w:szCs w:val="32"/>
        </w:rPr>
        <w:t>绩效评价指标分析</w:t>
      </w:r>
    </w:p>
    <w:p>
      <w:pPr>
        <w:pStyle w:val="8"/>
        <w:numPr>
          <w:ilvl w:val="0"/>
          <w:numId w:val="6"/>
        </w:numPr>
        <w:spacing w:line="600" w:lineRule="exact"/>
        <w:ind w:firstLineChars="0"/>
        <w:rPr>
          <w:rFonts w:eastAsia="楷体_GB2312"/>
          <w:b/>
          <w:sz w:val="32"/>
          <w:szCs w:val="32"/>
        </w:rPr>
      </w:pPr>
      <w:r>
        <w:rPr>
          <w:rFonts w:eastAsia="楷体_GB2312"/>
          <w:b/>
          <w:sz w:val="32"/>
          <w:szCs w:val="32"/>
        </w:rPr>
        <w:t>预算支出决策情况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认真按照上级部门指示安排，统一思想认识，强化资金使用绩效，狠抓责任落实，保证项目资金按时到位，扎实开展好农民生产技能培训及职业技能培训工作，切实做到专款专用。</w:t>
      </w:r>
    </w:p>
    <w:p>
      <w:pPr>
        <w:pStyle w:val="8"/>
        <w:numPr>
          <w:ilvl w:val="0"/>
          <w:numId w:val="6"/>
        </w:numPr>
        <w:spacing w:line="600" w:lineRule="exact"/>
        <w:ind w:firstLineChars="0"/>
        <w:rPr>
          <w:rFonts w:eastAsia="楷体_GB2312"/>
          <w:b/>
          <w:sz w:val="32"/>
          <w:szCs w:val="32"/>
        </w:rPr>
      </w:pPr>
      <w:r>
        <w:rPr>
          <w:rFonts w:eastAsia="楷体_GB2312"/>
          <w:b/>
          <w:sz w:val="32"/>
          <w:szCs w:val="32"/>
        </w:rPr>
        <w:t>预算执行过程情况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严格按照项目资金管理办法，对资金进行计划申请、合理使用，严格对发票和票据进行审核，同时附教学培训计划方案及培训农民学员花名册，做到各种培训资料齐全，一目了然。</w:t>
      </w:r>
    </w:p>
    <w:p>
      <w:pPr>
        <w:pStyle w:val="8"/>
        <w:numPr>
          <w:ilvl w:val="0"/>
          <w:numId w:val="6"/>
        </w:numPr>
        <w:spacing w:line="600" w:lineRule="exact"/>
        <w:ind w:firstLineChars="0"/>
        <w:rPr>
          <w:rFonts w:eastAsia="楷体_GB2312"/>
          <w:b/>
          <w:sz w:val="32"/>
          <w:szCs w:val="32"/>
        </w:rPr>
      </w:pPr>
      <w:r>
        <w:rPr>
          <w:rFonts w:eastAsia="楷体_GB2312"/>
          <w:b/>
          <w:sz w:val="32"/>
          <w:szCs w:val="32"/>
        </w:rPr>
        <w:t>预算支出产出情况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本单位预算支出产出情况完成率为85%，主要差异为单位严格控制项目培训各种开支，厉行节约，实际投入成本指标小于预算投入成本指标。</w:t>
      </w:r>
    </w:p>
    <w:p>
      <w:pPr>
        <w:pStyle w:val="8"/>
        <w:numPr>
          <w:ilvl w:val="0"/>
          <w:numId w:val="6"/>
        </w:numPr>
        <w:spacing w:line="600" w:lineRule="exact"/>
        <w:ind w:firstLineChars="0"/>
        <w:rPr>
          <w:rFonts w:eastAsia="楷体_GB2312"/>
          <w:b/>
          <w:sz w:val="32"/>
          <w:szCs w:val="32"/>
        </w:rPr>
      </w:pPr>
      <w:r>
        <w:rPr>
          <w:rFonts w:eastAsia="楷体_GB2312"/>
          <w:b/>
          <w:sz w:val="32"/>
          <w:szCs w:val="32"/>
        </w:rPr>
        <w:t>预算支出效益情况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本单位预算支出效益指标完成率为100%，完成年初预算指标值。</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hint="eastAsia" w:eastAsia="仿宋_GB2312"/>
          <w:sz w:val="32"/>
          <w:szCs w:val="32"/>
        </w:rPr>
        <w:t>主要做法：一是及时和农业相关部门联系沟通培训事宜，积极反馈工作进度，把握工作进程；二是切实做好资金管控，及时按要求开展农业科技培训，按计划做好各项经费开支。</w:t>
      </w:r>
    </w:p>
    <w:p>
      <w:pPr>
        <w:pStyle w:val="8"/>
        <w:numPr>
          <w:ilvl w:val="0"/>
          <w:numId w:val="7"/>
        </w:numPr>
        <w:spacing w:line="600" w:lineRule="exact"/>
        <w:ind w:firstLineChars="0"/>
        <w:rPr>
          <w:rFonts w:eastAsia="黑体"/>
          <w:sz w:val="32"/>
          <w:szCs w:val="32"/>
        </w:rPr>
      </w:pPr>
      <w:r>
        <w:rPr>
          <w:rFonts w:eastAsia="黑体"/>
          <w:sz w:val="32"/>
          <w:szCs w:val="32"/>
        </w:rPr>
        <w:t>有关建议</w:t>
      </w:r>
    </w:p>
    <w:p>
      <w:pPr>
        <w:spacing w:line="600" w:lineRule="exact"/>
        <w:ind w:left="64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ascii="仿宋_GB2312" w:eastAsia="仿宋_GB2312"/>
          <w:sz w:val="32"/>
          <w:szCs w:val="32"/>
        </w:rPr>
      </w:pPr>
      <w:r>
        <w:rPr>
          <w:rFonts w:eastAsia="黑体"/>
          <w:sz w:val="32"/>
          <w:szCs w:val="32"/>
        </w:rPr>
        <w:t xml:space="preserve">    </w:t>
      </w:r>
      <w:r>
        <w:rPr>
          <w:rFonts w:hint="eastAsia" w:ascii="仿宋_GB2312" w:eastAsia="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640" w:firstLineChars="200"/>
      </w:pPr>
      <w:r>
        <w:rPr>
          <w:rFonts w:eastAsia="仿宋_GB2312"/>
          <w:sz w:val="32"/>
          <w:szCs w:val="32"/>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6D14D0A"/>
    <w:multiLevelType w:val="multilevel"/>
    <w:tmpl w:val="56D14D0A"/>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DB1230D"/>
    <w:multiLevelType w:val="multilevel"/>
    <w:tmpl w:val="5DB1230D"/>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F48501F"/>
    <w:multiLevelType w:val="multilevel"/>
    <w:tmpl w:val="7F48501F"/>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1"/>
  </w:num>
  <w:num w:numId="3">
    <w:abstractNumId w:val="0"/>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112D5"/>
    <w:rsid w:val="00022046"/>
    <w:rsid w:val="000668D7"/>
    <w:rsid w:val="000B0765"/>
    <w:rsid w:val="000B57BC"/>
    <w:rsid w:val="00162440"/>
    <w:rsid w:val="00174EEF"/>
    <w:rsid w:val="001814C5"/>
    <w:rsid w:val="00186B7A"/>
    <w:rsid w:val="00192DEB"/>
    <w:rsid w:val="001A127E"/>
    <w:rsid w:val="002558F7"/>
    <w:rsid w:val="002E02C3"/>
    <w:rsid w:val="0031755D"/>
    <w:rsid w:val="00337F02"/>
    <w:rsid w:val="0034196E"/>
    <w:rsid w:val="003711D0"/>
    <w:rsid w:val="00377767"/>
    <w:rsid w:val="00377A33"/>
    <w:rsid w:val="00385375"/>
    <w:rsid w:val="003E5114"/>
    <w:rsid w:val="00426627"/>
    <w:rsid w:val="00457952"/>
    <w:rsid w:val="00466EB6"/>
    <w:rsid w:val="004C62A9"/>
    <w:rsid w:val="0053763A"/>
    <w:rsid w:val="00554CF3"/>
    <w:rsid w:val="005833DD"/>
    <w:rsid w:val="00595424"/>
    <w:rsid w:val="005A4AB0"/>
    <w:rsid w:val="005B4952"/>
    <w:rsid w:val="005C6410"/>
    <w:rsid w:val="006057E1"/>
    <w:rsid w:val="00614437"/>
    <w:rsid w:val="006370F0"/>
    <w:rsid w:val="006811E5"/>
    <w:rsid w:val="00687FD9"/>
    <w:rsid w:val="006F02B2"/>
    <w:rsid w:val="006F49A7"/>
    <w:rsid w:val="007028A1"/>
    <w:rsid w:val="007361AC"/>
    <w:rsid w:val="007509ED"/>
    <w:rsid w:val="00772133"/>
    <w:rsid w:val="007B54D9"/>
    <w:rsid w:val="007F24CB"/>
    <w:rsid w:val="00876C3D"/>
    <w:rsid w:val="008833B7"/>
    <w:rsid w:val="00885B9D"/>
    <w:rsid w:val="00887C00"/>
    <w:rsid w:val="008A0657"/>
    <w:rsid w:val="008A4834"/>
    <w:rsid w:val="008D7141"/>
    <w:rsid w:val="00945F3F"/>
    <w:rsid w:val="00986491"/>
    <w:rsid w:val="009D3EA3"/>
    <w:rsid w:val="009D4AE4"/>
    <w:rsid w:val="009D7B1F"/>
    <w:rsid w:val="00A045A1"/>
    <w:rsid w:val="00A070E1"/>
    <w:rsid w:val="00A317C9"/>
    <w:rsid w:val="00A3259B"/>
    <w:rsid w:val="00A3374E"/>
    <w:rsid w:val="00A75C37"/>
    <w:rsid w:val="00AA05D5"/>
    <w:rsid w:val="00AA53B7"/>
    <w:rsid w:val="00AA700A"/>
    <w:rsid w:val="00B04569"/>
    <w:rsid w:val="00B177EB"/>
    <w:rsid w:val="00B364CE"/>
    <w:rsid w:val="00BB6107"/>
    <w:rsid w:val="00BD1C3A"/>
    <w:rsid w:val="00BF78AC"/>
    <w:rsid w:val="00C25716"/>
    <w:rsid w:val="00C3200C"/>
    <w:rsid w:val="00C3391C"/>
    <w:rsid w:val="00C344EC"/>
    <w:rsid w:val="00C4552C"/>
    <w:rsid w:val="00C72139"/>
    <w:rsid w:val="00CC4C2C"/>
    <w:rsid w:val="00CD20A2"/>
    <w:rsid w:val="00D03066"/>
    <w:rsid w:val="00D10324"/>
    <w:rsid w:val="00D31CA0"/>
    <w:rsid w:val="00D77EE3"/>
    <w:rsid w:val="00DB346A"/>
    <w:rsid w:val="00E127F9"/>
    <w:rsid w:val="00E50869"/>
    <w:rsid w:val="00E564DE"/>
    <w:rsid w:val="00EC5A41"/>
    <w:rsid w:val="00F10EB1"/>
    <w:rsid w:val="00F55CD7"/>
    <w:rsid w:val="00F671AA"/>
    <w:rsid w:val="00F8494D"/>
    <w:rsid w:val="00F973B1"/>
    <w:rsid w:val="00FB30A9"/>
    <w:rsid w:val="00FB3D1B"/>
    <w:rsid w:val="00FC427F"/>
    <w:rsid w:val="00FC7FE9"/>
    <w:rsid w:val="133C4B4F"/>
    <w:rsid w:val="690F00D9"/>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151C6-76CD-4940-861C-27BD2754F6A4}">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18</Pages>
  <Words>1553</Words>
  <Characters>8853</Characters>
  <Lines>73</Lines>
  <Paragraphs>20</Paragraphs>
  <TotalTime>494</TotalTime>
  <ScaleCrop>false</ScaleCrop>
  <LinksUpToDate>false</LinksUpToDate>
  <CharactersWithSpaces>10386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2021-06-24T03:24:27Z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