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68</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68</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61200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4360.84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51200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4360.84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191705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359568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127538.2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169605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44492.36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22100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294168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83045.84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15400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Pr>
        <w:widowControl/>
        <w:spacing w:line="480" w:lineRule="auto"/>
        <w:jc w:val="both"/>
        <w:rPr>
          <w:rFonts w:hint="eastAsia"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480" w:lineRule="auto"/>
        <w:ind w:firstLine="480"/>
        <w:jc w:val="center"/>
        <w:rPr>
          <w:rFonts w:ascii="黑体" w:hAnsi="黑体" w:eastAsia="黑体" w:cs="宋体"/>
          <w:kern w:val="0"/>
          <w:sz w:val="36"/>
          <w:szCs w:val="36"/>
        </w:rPr>
      </w:pPr>
      <w:r>
        <w:rPr>
          <w:rFonts w:hint="eastAsia" w:ascii="黑体" w:hAnsi="黑体" w:eastAsia="黑体" w:cs="宋体"/>
          <w:kern w:val="0"/>
          <w:sz w:val="36"/>
          <w:szCs w:val="36"/>
          <w:lang w:val="en-US" w:eastAsia="zh-CN"/>
        </w:rPr>
        <w:t>2020</w:t>
      </w:r>
      <w:r>
        <w:rPr>
          <w:rFonts w:ascii="黑体" w:hAnsi="黑体" w:eastAsia="黑体" w:cs="宋体"/>
          <w:kern w:val="0"/>
          <w:sz w:val="36"/>
          <w:szCs w:val="36"/>
        </w:rPr>
        <w:t>年</w:t>
      </w:r>
      <w:r>
        <w:rPr>
          <w:rFonts w:hint="eastAsia" w:ascii="黑体" w:hAnsi="黑体" w:eastAsia="黑体" w:cs="宋体"/>
          <w:kern w:val="0"/>
          <w:sz w:val="36"/>
          <w:szCs w:val="36"/>
        </w:rPr>
        <w:t>征收安置办</w:t>
      </w:r>
      <w:r>
        <w:rPr>
          <w:rFonts w:ascii="黑体" w:hAnsi="黑体" w:eastAsia="黑体" w:cs="宋体"/>
          <w:kern w:val="0"/>
          <w:sz w:val="36"/>
          <w:szCs w:val="36"/>
        </w:rPr>
        <w:t>部门整体支出绩效</w:t>
      </w:r>
      <w:r>
        <w:rPr>
          <w:rFonts w:hint="eastAsia" w:ascii="黑体" w:hAnsi="黑体" w:eastAsia="黑体" w:cs="宋体"/>
          <w:kern w:val="0"/>
          <w:sz w:val="36"/>
          <w:szCs w:val="36"/>
        </w:rPr>
        <w:t>自</w:t>
      </w:r>
      <w:r>
        <w:rPr>
          <w:rFonts w:ascii="黑体" w:hAnsi="黑体" w:eastAsia="黑体" w:cs="宋体"/>
          <w:kern w:val="0"/>
          <w:sz w:val="36"/>
          <w:szCs w:val="36"/>
        </w:rPr>
        <w:t>评报告</w:t>
      </w:r>
    </w:p>
    <w:p>
      <w:pPr>
        <w:widowControl/>
        <w:spacing w:line="480" w:lineRule="auto"/>
        <w:ind w:firstLine="480"/>
        <w:rPr>
          <w:rFonts w:ascii="仿宋" w:hAnsi="仿宋" w:eastAsia="仿宋" w:cs="宋体"/>
          <w:kern w:val="0"/>
          <w:sz w:val="32"/>
          <w:szCs w:val="32"/>
        </w:rPr>
      </w:pPr>
    </w:p>
    <w:p>
      <w:pPr>
        <w:ind w:firstLine="640" w:firstLineChars="200"/>
        <w:rPr>
          <w:rFonts w:hint="eastAsia" w:ascii="仿宋" w:hAnsi="仿宋" w:eastAsia="仿宋" w:cs="宋体"/>
          <w:kern w:val="0"/>
          <w:sz w:val="32"/>
          <w:szCs w:val="32"/>
        </w:rPr>
      </w:pPr>
      <w:r>
        <w:rPr>
          <w:rFonts w:hint="eastAsia" w:ascii="仿宋_GB2312" w:eastAsia="仿宋_GB2312"/>
          <w:sz w:val="32"/>
          <w:szCs w:val="32"/>
        </w:rPr>
        <w:t>根据《鹤城区财政局关于开展</w:t>
      </w:r>
      <w:r>
        <w:rPr>
          <w:rFonts w:hint="eastAsia" w:ascii="仿宋_GB2312" w:eastAsia="仿宋_GB2312"/>
          <w:sz w:val="32"/>
          <w:szCs w:val="32"/>
          <w:lang w:val="en-US" w:eastAsia="zh-CN"/>
        </w:rPr>
        <w:t>2020</w:t>
      </w:r>
      <w:r>
        <w:rPr>
          <w:rFonts w:hint="eastAsia" w:ascii="仿宋_GB2312" w:eastAsia="仿宋_GB2312"/>
          <w:sz w:val="32"/>
          <w:szCs w:val="32"/>
        </w:rPr>
        <w:t>年度全区预算支出绩效评价工作的通知》文件要求，强化绩效理念，提高财政资金使用效率，</w:t>
      </w:r>
      <w:r>
        <w:rPr>
          <w:rFonts w:hint="eastAsia" w:ascii="仿宋" w:hAnsi="仿宋" w:eastAsia="仿宋" w:cs="宋体"/>
          <w:kern w:val="0"/>
          <w:sz w:val="32"/>
          <w:szCs w:val="32"/>
        </w:rPr>
        <w:t>我单位即对20</w:t>
      </w:r>
      <w:r>
        <w:rPr>
          <w:rFonts w:hint="eastAsia" w:ascii="仿宋" w:hAnsi="仿宋" w:eastAsia="仿宋" w:cs="宋体"/>
          <w:kern w:val="0"/>
          <w:sz w:val="32"/>
          <w:szCs w:val="32"/>
          <w:lang w:val="en-US" w:eastAsia="zh-CN"/>
        </w:rPr>
        <w:t>20</w:t>
      </w:r>
      <w:r>
        <w:rPr>
          <w:rFonts w:hint="eastAsia" w:ascii="仿宋" w:hAnsi="仿宋" w:eastAsia="仿宋" w:cs="宋体"/>
          <w:kern w:val="0"/>
          <w:sz w:val="32"/>
          <w:szCs w:val="32"/>
        </w:rPr>
        <w:t>年部门整体支出绩效进行了全面综合自评，整体支出的评价重点是厉行节约保运转，降低行政成本，经全面综合评价，现将有关情况报告如下：</w:t>
      </w:r>
    </w:p>
    <w:p>
      <w:pPr>
        <w:pStyle w:val="8"/>
        <w:widowControl/>
        <w:numPr>
          <w:ilvl w:val="0"/>
          <w:numId w:val="1"/>
        </w:numPr>
        <w:spacing w:line="600" w:lineRule="exact"/>
        <w:ind w:left="640" w:firstLine="0" w:firstLineChars="0"/>
        <w:rPr>
          <w:rFonts w:hint="eastAsia" w:ascii="仿宋" w:hAnsi="仿宋" w:eastAsia="仿宋" w:cs="宋体"/>
          <w:kern w:val="0"/>
          <w:sz w:val="32"/>
          <w:szCs w:val="32"/>
        </w:rPr>
      </w:pPr>
      <w:r>
        <w:rPr>
          <w:rFonts w:ascii="Times New Roman" w:hAnsi="Times New Roman" w:eastAsia="黑体"/>
          <w:sz w:val="32"/>
          <w:szCs w:val="32"/>
        </w:rPr>
        <w:t>部门、单位基本情况</w:t>
      </w:r>
    </w:p>
    <w:p>
      <w:pPr>
        <w:widowControl/>
        <w:spacing w:line="480" w:lineRule="auto"/>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(一)、</w:t>
      </w:r>
      <w:r>
        <w:rPr>
          <w:rFonts w:hint="eastAsia" w:ascii="黑体" w:hAnsi="黑体" w:eastAsia="黑体" w:cs="黑体"/>
          <w:kern w:val="0"/>
          <w:sz w:val="32"/>
          <w:szCs w:val="32"/>
        </w:rPr>
        <w:t>部门职能职责</w:t>
      </w:r>
    </w:p>
    <w:p>
      <w:pPr>
        <w:rPr>
          <w:rFonts w:ascii="仿宋" w:hAnsi="仿宋" w:eastAsia="仿宋"/>
          <w:sz w:val="32"/>
          <w:szCs w:val="32"/>
        </w:rPr>
      </w:pPr>
      <w:r>
        <w:rPr>
          <w:rFonts w:hint="eastAsia" w:ascii="仿宋" w:hAnsi="仿宋" w:eastAsia="仿宋"/>
          <w:sz w:val="32"/>
          <w:szCs w:val="32"/>
        </w:rPr>
        <w:t>1、贯彻执行土地和房屋征收安置的法律、法规和政策；拟定鹤城区土地和房屋征收安置的中长期规划、年度征收安置工作计划。</w:t>
      </w:r>
    </w:p>
    <w:p>
      <w:pPr>
        <w:rPr>
          <w:rFonts w:ascii="仿宋" w:hAnsi="仿宋" w:eastAsia="仿宋"/>
          <w:sz w:val="32"/>
          <w:szCs w:val="32"/>
        </w:rPr>
      </w:pPr>
      <w:r>
        <w:rPr>
          <w:rFonts w:hint="eastAsia" w:ascii="仿宋" w:hAnsi="仿宋" w:eastAsia="仿宋"/>
          <w:sz w:val="32"/>
          <w:szCs w:val="32"/>
        </w:rPr>
        <w:t>2、负责具体实施鹤城区政府作出的集体土地上房屋征收补偿决定的房屋征收补偿工作。</w:t>
      </w:r>
    </w:p>
    <w:p>
      <w:pPr>
        <w:rPr>
          <w:rFonts w:ascii="仿宋" w:hAnsi="仿宋" w:eastAsia="仿宋"/>
          <w:sz w:val="32"/>
          <w:szCs w:val="32"/>
        </w:rPr>
      </w:pPr>
      <w:r>
        <w:rPr>
          <w:rFonts w:hint="eastAsia" w:ascii="仿宋" w:hAnsi="仿宋" w:eastAsia="仿宋"/>
          <w:sz w:val="32"/>
          <w:szCs w:val="32"/>
        </w:rPr>
        <w:t>3、负责按照国土资源主管部门的委托或下达的计划，具体实施鹤城区范围内集体土地的征收及村民房屋征收安置工作。</w:t>
      </w:r>
    </w:p>
    <w:p>
      <w:pPr>
        <w:rPr>
          <w:rFonts w:ascii="仿宋" w:hAnsi="仿宋" w:eastAsia="仿宋"/>
          <w:sz w:val="32"/>
          <w:szCs w:val="32"/>
        </w:rPr>
      </w:pPr>
      <w:r>
        <w:rPr>
          <w:rFonts w:hint="eastAsia" w:ascii="仿宋" w:hAnsi="仿宋" w:eastAsia="仿宋"/>
          <w:sz w:val="32"/>
          <w:szCs w:val="32"/>
        </w:rPr>
        <w:t>4、负责鹤城区安置区建设的组织、指导、协调工作。</w:t>
      </w:r>
    </w:p>
    <w:p>
      <w:pPr>
        <w:rPr>
          <w:rFonts w:ascii="仿宋" w:hAnsi="仿宋" w:eastAsia="仿宋"/>
          <w:sz w:val="32"/>
          <w:szCs w:val="32"/>
        </w:rPr>
      </w:pPr>
      <w:r>
        <w:rPr>
          <w:rFonts w:hint="eastAsia" w:ascii="仿宋" w:hAnsi="仿宋" w:eastAsia="仿宋"/>
          <w:sz w:val="32"/>
          <w:szCs w:val="32"/>
        </w:rPr>
        <w:t>5、负责鹤城区征收安置工作相关法律法规的解释、宣传工作和矛盾纠纷的调解、信访工作。</w:t>
      </w:r>
    </w:p>
    <w:p>
      <w:pPr>
        <w:rPr>
          <w:rFonts w:ascii="仿宋" w:hAnsi="仿宋" w:eastAsia="仿宋"/>
          <w:sz w:val="32"/>
          <w:szCs w:val="32"/>
        </w:rPr>
      </w:pPr>
      <w:r>
        <w:rPr>
          <w:rFonts w:hint="eastAsia" w:ascii="仿宋" w:hAnsi="仿宋" w:eastAsia="仿宋"/>
          <w:sz w:val="32"/>
          <w:szCs w:val="32"/>
        </w:rPr>
        <w:t>6、负责鹤城区征收补偿资金和安置房建设资金的核拨、监管。</w:t>
      </w:r>
    </w:p>
    <w:p>
      <w:pPr>
        <w:rPr>
          <w:rFonts w:ascii="仿宋" w:hAnsi="仿宋" w:eastAsia="仿宋"/>
          <w:sz w:val="32"/>
          <w:szCs w:val="32"/>
        </w:rPr>
      </w:pPr>
      <w:r>
        <w:rPr>
          <w:rFonts w:hint="eastAsia" w:ascii="仿宋" w:hAnsi="仿宋" w:eastAsia="仿宋"/>
          <w:sz w:val="32"/>
          <w:szCs w:val="32"/>
        </w:rPr>
        <w:t>7、参与鹤城区范围内违法违章建筑的处理工作。</w:t>
      </w:r>
    </w:p>
    <w:p>
      <w:pPr>
        <w:rPr>
          <w:rFonts w:ascii="仿宋" w:hAnsi="仿宋" w:eastAsia="仿宋"/>
          <w:sz w:val="32"/>
          <w:szCs w:val="32"/>
        </w:rPr>
      </w:pPr>
      <w:r>
        <w:rPr>
          <w:rFonts w:hint="eastAsia" w:ascii="仿宋" w:hAnsi="仿宋" w:eastAsia="仿宋"/>
          <w:sz w:val="32"/>
          <w:szCs w:val="32"/>
        </w:rPr>
        <w:t>8、负责鹤城区征收安置工作的信息、统计和档案工作。</w:t>
      </w:r>
    </w:p>
    <w:p>
      <w:pPr>
        <w:rPr>
          <w:rFonts w:ascii="仿宋" w:hAnsi="仿宋" w:eastAsia="仿宋"/>
          <w:sz w:val="32"/>
          <w:szCs w:val="32"/>
        </w:rPr>
      </w:pPr>
      <w:r>
        <w:rPr>
          <w:rFonts w:hint="eastAsia" w:ascii="仿宋" w:hAnsi="仿宋" w:eastAsia="仿宋"/>
          <w:sz w:val="32"/>
          <w:szCs w:val="32"/>
        </w:rPr>
        <w:t>9、参与鹤城区涉及征收安置工作的综合绩效考核评估。</w:t>
      </w:r>
    </w:p>
    <w:p>
      <w:pPr>
        <w:rPr>
          <w:rFonts w:hint="eastAsia" w:ascii="仿宋" w:hAnsi="仿宋" w:eastAsia="仿宋"/>
          <w:sz w:val="32"/>
          <w:szCs w:val="32"/>
        </w:rPr>
      </w:pPr>
      <w:r>
        <w:rPr>
          <w:rFonts w:hint="eastAsia" w:ascii="仿宋" w:hAnsi="仿宋" w:eastAsia="仿宋"/>
          <w:sz w:val="32"/>
          <w:szCs w:val="32"/>
        </w:rPr>
        <w:t>10、承办鹤城区委、区政府交办的其他事项。</w:t>
      </w:r>
    </w:p>
    <w:p>
      <w:pPr>
        <w:ind w:firstLine="320" w:firstLineChars="100"/>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（二）</w:t>
      </w:r>
      <w:r>
        <w:rPr>
          <w:rFonts w:hint="eastAsia" w:ascii="Times New Roman" w:hAnsi="Times New Roman" w:eastAsia="黑体" w:cs="Times New Roman"/>
          <w:kern w:val="2"/>
          <w:sz w:val="32"/>
          <w:szCs w:val="32"/>
          <w:lang w:val="en-US" w:eastAsia="zh-CN" w:bidi="ar-SA"/>
        </w:rPr>
        <w:t>、机构设置及构成</w:t>
      </w:r>
    </w:p>
    <w:p>
      <w:pPr>
        <w:ind w:firstLine="640" w:firstLineChars="200"/>
        <w:rPr>
          <w:rFonts w:hint="eastAsia" w:ascii="仿宋_GB2312" w:eastAsia="仿宋_GB2312"/>
          <w:sz w:val="32"/>
          <w:szCs w:val="32"/>
        </w:rPr>
      </w:pPr>
      <w:r>
        <w:rPr>
          <w:rFonts w:hint="eastAsia" w:ascii="仿宋_GB2312" w:eastAsia="仿宋_GB2312"/>
          <w:sz w:val="32"/>
          <w:szCs w:val="32"/>
        </w:rPr>
        <w:t>市征收安置办公室作为一级部门预算单位，内设8个科室，分别为综合科、财务科、法规科、安置科、征拆一科、征拆二科、征拆三科、征拆四科。</w:t>
      </w:r>
    </w:p>
    <w:p>
      <w:pPr>
        <w:numPr>
          <w:ilvl w:val="0"/>
          <w:numId w:val="1"/>
        </w:numPr>
        <w:ind w:left="640" w:leftChars="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pStyle w:val="8"/>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基本支出情况</w:t>
      </w:r>
    </w:p>
    <w:p>
      <w:pPr>
        <w:pStyle w:val="9"/>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2020</w:t>
      </w:r>
      <w:r>
        <w:rPr>
          <w:rFonts w:hint="eastAsia" w:ascii="仿宋" w:hAnsi="仿宋" w:eastAsia="仿宋" w:cs="仿宋"/>
          <w:sz w:val="32"/>
          <w:szCs w:val="32"/>
        </w:rPr>
        <w:t>年度收、支总计</w:t>
      </w:r>
      <w:r>
        <w:rPr>
          <w:rFonts w:hint="eastAsia" w:ascii="仿宋" w:hAnsi="仿宋" w:eastAsia="仿宋" w:cs="仿宋"/>
          <w:sz w:val="32"/>
          <w:szCs w:val="32"/>
          <w:lang w:val="en-US" w:eastAsia="zh-CN"/>
        </w:rPr>
        <w:t>696.75</w:t>
      </w:r>
      <w:r>
        <w:rPr>
          <w:rFonts w:hint="eastAsia" w:ascii="仿宋" w:hAnsi="仿宋" w:eastAsia="仿宋" w:cs="仿宋"/>
          <w:sz w:val="32"/>
          <w:szCs w:val="32"/>
        </w:rPr>
        <w:t>万元。与201</w:t>
      </w:r>
      <w:r>
        <w:rPr>
          <w:rFonts w:hint="eastAsia" w:ascii="仿宋" w:hAnsi="仿宋" w:eastAsia="仿宋" w:cs="仿宋"/>
          <w:sz w:val="32"/>
          <w:szCs w:val="32"/>
          <w:lang w:val="en-US" w:eastAsia="zh-CN"/>
        </w:rPr>
        <w:t>9</w:t>
      </w:r>
      <w:r>
        <w:rPr>
          <w:rFonts w:hint="eastAsia" w:ascii="仿宋" w:hAnsi="仿宋" w:eastAsia="仿宋" w:cs="仿宋"/>
          <w:sz w:val="32"/>
          <w:szCs w:val="32"/>
        </w:rPr>
        <w:t>年相比，减少</w:t>
      </w:r>
      <w:r>
        <w:rPr>
          <w:rFonts w:hint="eastAsia" w:ascii="仿宋" w:hAnsi="仿宋" w:eastAsia="仿宋" w:cs="仿宋"/>
          <w:sz w:val="32"/>
          <w:szCs w:val="32"/>
          <w:lang w:val="en-US" w:eastAsia="zh-CN"/>
        </w:rPr>
        <w:t>30.89</w:t>
      </w:r>
      <w:r>
        <w:rPr>
          <w:rFonts w:hint="eastAsia" w:ascii="仿宋" w:hAnsi="仿宋" w:eastAsia="仿宋" w:cs="仿宋"/>
          <w:sz w:val="32"/>
          <w:szCs w:val="32"/>
        </w:rPr>
        <w:t>万元，减少</w:t>
      </w:r>
      <w:r>
        <w:rPr>
          <w:rFonts w:hint="eastAsia" w:ascii="仿宋" w:hAnsi="仿宋" w:eastAsia="仿宋" w:cs="仿宋"/>
          <w:sz w:val="32"/>
          <w:szCs w:val="32"/>
          <w:lang w:val="en-US" w:eastAsia="zh-CN"/>
        </w:rPr>
        <w:t>4.63</w:t>
      </w:r>
      <w:r>
        <w:rPr>
          <w:rFonts w:hint="eastAsia" w:ascii="仿宋" w:hAnsi="仿宋" w:eastAsia="仿宋" w:cs="仿宋"/>
          <w:sz w:val="32"/>
          <w:szCs w:val="32"/>
        </w:rPr>
        <w:t>%，主要是因为</w:t>
      </w:r>
      <w:r>
        <w:rPr>
          <w:rFonts w:hint="eastAsia" w:ascii="仿宋" w:hAnsi="仿宋" w:eastAsia="仿宋" w:cs="仿宋"/>
          <w:sz w:val="32"/>
          <w:szCs w:val="32"/>
          <w:lang w:eastAsia="zh-CN"/>
        </w:rPr>
        <w:t>厉行节约，压减开支。</w:t>
      </w:r>
    </w:p>
    <w:p>
      <w:pPr>
        <w:pStyle w:val="8"/>
        <w:widowControl/>
        <w:numPr>
          <w:ilvl w:val="0"/>
          <w:numId w:val="2"/>
        </w:numPr>
        <w:spacing w:line="600" w:lineRule="exact"/>
        <w:ind w:left="640" w:leftChars="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pStyle w:val="8"/>
        <w:widowControl/>
        <w:numPr>
          <w:numId w:val="0"/>
        </w:numPr>
        <w:spacing w:line="600" w:lineRule="exact"/>
        <w:rPr>
          <w:rFonts w:hint="eastAsia" w:ascii="仿宋" w:hAnsi="仿宋" w:eastAsia="仿宋" w:cs="仿宋"/>
          <w:color w:val="000000"/>
          <w:kern w:val="0"/>
          <w:sz w:val="32"/>
          <w:szCs w:val="32"/>
          <w:lang w:val="en-US" w:eastAsia="zh-CN" w:bidi="ar-SA"/>
        </w:rPr>
      </w:pPr>
      <w:r>
        <w:rPr>
          <w:rFonts w:hint="eastAsia" w:ascii="Times New Roman" w:hAnsi="Times New Roman" w:eastAsia="黑体"/>
          <w:sz w:val="32"/>
          <w:szCs w:val="32"/>
          <w:lang w:val="en-US" w:eastAsia="zh-CN"/>
        </w:rPr>
        <w:t xml:space="preserve">    </w:t>
      </w:r>
      <w:r>
        <w:rPr>
          <w:rFonts w:hint="eastAsia" w:ascii="仿宋" w:hAnsi="仿宋" w:eastAsia="仿宋" w:cs="仿宋"/>
          <w:color w:val="000000"/>
          <w:kern w:val="0"/>
          <w:sz w:val="32"/>
          <w:szCs w:val="32"/>
          <w:lang w:val="en-US" w:eastAsia="zh-CN" w:bidi="ar-SA"/>
        </w:rPr>
        <w:t>本单位2020年项目支出为0。</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widowControl/>
        <w:numPr>
          <w:ilvl w:val="0"/>
          <w:numId w:val="0"/>
        </w:numPr>
        <w:spacing w:line="600" w:lineRule="exact"/>
        <w:ind w:firstLine="640" w:firstLineChars="200"/>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本单位2020年政府基金预算支出为0。</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firstLine="640" w:firstLineChars="200"/>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本单位2020年国有资本经营预算支出为0。</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firstLine="640" w:firstLineChars="200"/>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2020年社会保险基金预算收、支总计26.44万元，其中养老保险5.76万元，医疗保险20.67万元。</w:t>
      </w:r>
    </w:p>
    <w:p>
      <w:pPr>
        <w:widowControl/>
        <w:numPr>
          <w:ilvl w:val="0"/>
          <w:numId w:val="1"/>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widowControl/>
        <w:spacing w:line="480" w:lineRule="auto"/>
        <w:ind w:firstLine="640" w:firstLineChars="200"/>
        <w:jc w:val="left"/>
        <w:rPr>
          <w:rFonts w:hint="eastAsia" w:ascii="仿宋" w:hAnsi="仿宋" w:eastAsia="仿宋" w:cs="宋体"/>
          <w:kern w:val="0"/>
          <w:sz w:val="32"/>
          <w:szCs w:val="32"/>
          <w:lang w:eastAsia="zh-CN"/>
        </w:rPr>
      </w:pPr>
      <w:r>
        <w:rPr>
          <w:rFonts w:ascii="仿宋" w:hAnsi="仿宋" w:eastAsia="仿宋" w:cs="宋体"/>
          <w:kern w:val="0"/>
          <w:sz w:val="32"/>
          <w:szCs w:val="32"/>
        </w:rPr>
        <w:t>从整体情况来看，我</w:t>
      </w:r>
      <w:r>
        <w:rPr>
          <w:rFonts w:hint="eastAsia" w:ascii="仿宋" w:hAnsi="仿宋" w:eastAsia="仿宋" w:cs="宋体"/>
          <w:kern w:val="0"/>
          <w:sz w:val="32"/>
          <w:szCs w:val="32"/>
        </w:rPr>
        <w:t>单位</w:t>
      </w:r>
      <w:r>
        <w:rPr>
          <w:rFonts w:ascii="仿宋" w:hAnsi="仿宋" w:eastAsia="仿宋" w:cs="宋体"/>
          <w:kern w:val="0"/>
          <w:sz w:val="32"/>
          <w:szCs w:val="32"/>
        </w:rPr>
        <w:t>严格按照年初预算进行部门整体支出。在支出过程中，能严格遵守各项规章制度，“三公经费”明显下降。所有项目都详细制定了方案，严格按方案组织实施，并加强了监督</w:t>
      </w:r>
      <w:r>
        <w:rPr>
          <w:rFonts w:hint="eastAsia" w:ascii="仿宋" w:hAnsi="仿宋" w:eastAsia="仿宋" w:cs="宋体"/>
          <w:kern w:val="0"/>
          <w:sz w:val="32"/>
          <w:szCs w:val="32"/>
          <w:lang w:eastAsia="zh-CN"/>
        </w:rPr>
        <w:t>，</w:t>
      </w:r>
      <w:r>
        <w:rPr>
          <w:rFonts w:ascii="仿宋" w:hAnsi="仿宋" w:eastAsia="仿宋" w:cs="宋体"/>
          <w:kern w:val="0"/>
          <w:sz w:val="32"/>
          <w:szCs w:val="32"/>
        </w:rPr>
        <w:t>无截留、无挪用等现象</w:t>
      </w:r>
      <w:r>
        <w:rPr>
          <w:rFonts w:hint="eastAsia" w:ascii="仿宋" w:hAnsi="仿宋" w:eastAsia="仿宋" w:cs="宋体"/>
          <w:kern w:val="0"/>
          <w:sz w:val="32"/>
          <w:szCs w:val="32"/>
          <w:lang w:eastAsia="zh-CN"/>
        </w:rPr>
        <w:t>，能较好的履行单位职责。</w:t>
      </w:r>
    </w:p>
    <w:p>
      <w:pPr>
        <w:widowControl/>
        <w:spacing w:line="480" w:lineRule="auto"/>
        <w:ind w:firstLine="640" w:firstLineChars="200"/>
        <w:jc w:val="left"/>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20</w:t>
      </w:r>
      <w:r>
        <w:rPr>
          <w:rFonts w:ascii="仿宋" w:hAnsi="仿宋" w:eastAsia="仿宋" w:cs="宋体"/>
          <w:kern w:val="0"/>
          <w:sz w:val="32"/>
          <w:szCs w:val="32"/>
        </w:rPr>
        <w:t>年，按照上级的要求，</w:t>
      </w:r>
      <w:r>
        <w:rPr>
          <w:rFonts w:hint="eastAsia" w:ascii="仿宋" w:hAnsi="仿宋" w:eastAsia="仿宋" w:cs="宋体"/>
          <w:kern w:val="0"/>
          <w:sz w:val="32"/>
          <w:szCs w:val="32"/>
        </w:rPr>
        <w:t>在</w:t>
      </w:r>
      <w:r>
        <w:rPr>
          <w:rFonts w:ascii="仿宋" w:hAnsi="仿宋" w:eastAsia="仿宋" w:cs="宋体"/>
          <w:kern w:val="0"/>
          <w:sz w:val="32"/>
          <w:szCs w:val="32"/>
        </w:rPr>
        <w:t>网站上进行了预决算公开。</w:t>
      </w:r>
    </w:p>
    <w:p>
      <w:pPr>
        <w:widowControl/>
        <w:spacing w:line="480" w:lineRule="auto"/>
        <w:ind w:firstLine="480"/>
        <w:jc w:val="left"/>
        <w:rPr>
          <w:rFonts w:ascii="仿宋" w:hAnsi="仿宋" w:eastAsia="仿宋" w:cs="宋体"/>
          <w:kern w:val="0"/>
          <w:sz w:val="32"/>
          <w:szCs w:val="32"/>
        </w:rPr>
      </w:pPr>
      <w:r>
        <w:rPr>
          <w:rFonts w:ascii="仿宋" w:hAnsi="仿宋" w:eastAsia="仿宋" w:cs="宋体"/>
          <w:kern w:val="0"/>
          <w:sz w:val="32"/>
          <w:szCs w:val="32"/>
        </w:rPr>
        <w:t>资产管理：根据《</w:t>
      </w:r>
      <w:r>
        <w:rPr>
          <w:rFonts w:hint="eastAsia" w:ascii="仿宋" w:hAnsi="仿宋" w:eastAsia="仿宋" w:cs="宋体"/>
          <w:kern w:val="0"/>
          <w:sz w:val="32"/>
          <w:szCs w:val="32"/>
        </w:rPr>
        <w:t>怀化</w:t>
      </w:r>
      <w:r>
        <w:rPr>
          <w:rFonts w:ascii="仿宋" w:hAnsi="仿宋" w:eastAsia="仿宋" w:cs="宋体"/>
          <w:kern w:val="0"/>
          <w:sz w:val="32"/>
          <w:szCs w:val="32"/>
        </w:rPr>
        <w:t>市</w:t>
      </w:r>
      <w:r>
        <w:rPr>
          <w:rFonts w:hint="eastAsia" w:ascii="仿宋" w:hAnsi="仿宋" w:eastAsia="仿宋" w:cs="宋体"/>
          <w:kern w:val="0"/>
          <w:sz w:val="32"/>
          <w:szCs w:val="32"/>
        </w:rPr>
        <w:t>鹤城区行</w:t>
      </w:r>
      <w:r>
        <w:rPr>
          <w:rFonts w:ascii="仿宋" w:hAnsi="仿宋" w:eastAsia="仿宋" w:cs="宋体"/>
          <w:kern w:val="0"/>
          <w:sz w:val="32"/>
          <w:szCs w:val="32"/>
        </w:rPr>
        <w:t>政</w:t>
      </w:r>
      <w:r>
        <w:rPr>
          <w:rFonts w:hint="eastAsia" w:ascii="仿宋" w:hAnsi="仿宋" w:eastAsia="仿宋" w:cs="宋体"/>
          <w:kern w:val="0"/>
          <w:sz w:val="32"/>
          <w:szCs w:val="32"/>
        </w:rPr>
        <w:t>、企事业</w:t>
      </w:r>
      <w:r>
        <w:rPr>
          <w:rFonts w:ascii="仿宋" w:hAnsi="仿宋" w:eastAsia="仿宋" w:cs="宋体"/>
          <w:kern w:val="0"/>
          <w:sz w:val="32"/>
          <w:szCs w:val="32"/>
        </w:rPr>
        <w:t>单位国有资产清查工作的通知》</w:t>
      </w:r>
      <w:r>
        <w:rPr>
          <w:rFonts w:hint="eastAsia" w:ascii="仿宋" w:hAnsi="仿宋" w:eastAsia="仿宋" w:cs="宋体"/>
          <w:kern w:val="0"/>
          <w:sz w:val="32"/>
          <w:szCs w:val="32"/>
        </w:rPr>
        <w:t>，</w:t>
      </w:r>
      <w:r>
        <w:rPr>
          <w:rFonts w:ascii="仿宋" w:hAnsi="仿宋" w:eastAsia="仿宋" w:cs="宋体"/>
          <w:kern w:val="0"/>
          <w:sz w:val="32"/>
          <w:szCs w:val="32"/>
        </w:rPr>
        <w:t>组织进行全面的资产清查，并就清查中发现的问题进行全面整改。完善了财务管理制度，确保各项资产核算准确、帐实相符、管理到位。</w:t>
      </w:r>
    </w:p>
    <w:p>
      <w:pPr>
        <w:widowControl/>
        <w:spacing w:line="480" w:lineRule="auto"/>
        <w:ind w:firstLine="480"/>
        <w:jc w:val="left"/>
        <w:rPr>
          <w:rFonts w:ascii="仿宋" w:hAnsi="仿宋" w:eastAsia="仿宋" w:cs="宋体"/>
          <w:kern w:val="0"/>
          <w:sz w:val="32"/>
          <w:szCs w:val="32"/>
        </w:rPr>
      </w:pPr>
      <w:r>
        <w:rPr>
          <w:rFonts w:ascii="仿宋" w:hAnsi="仿宋" w:eastAsia="仿宋" w:cs="宋体"/>
          <w:kern w:val="0"/>
          <w:sz w:val="32"/>
          <w:szCs w:val="32"/>
        </w:rPr>
        <w:t>“三公经费”控制情况：贯彻落实上级有关精神，严格控制“三公经费”支出，取得了良好效果。</w:t>
      </w:r>
    </w:p>
    <w:p>
      <w:pPr>
        <w:widowControl/>
        <w:spacing w:line="480" w:lineRule="auto"/>
        <w:ind w:firstLine="640" w:firstLineChars="200"/>
        <w:jc w:val="left"/>
        <w:rPr>
          <w:rFonts w:ascii="仿宋" w:hAnsi="仿宋" w:eastAsia="仿宋" w:cs="宋体"/>
          <w:kern w:val="0"/>
          <w:sz w:val="32"/>
          <w:szCs w:val="32"/>
        </w:rPr>
      </w:pPr>
    </w:p>
    <w:p>
      <w:pPr>
        <w:spacing w:line="600" w:lineRule="exact"/>
        <w:jc w:val="both"/>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9.5</w:t>
            </w:r>
          </w:p>
        </w:tc>
      </w:tr>
    </w:tbl>
    <w:p>
      <w:pPr>
        <w:widowControl/>
        <w:spacing w:line="600" w:lineRule="exact"/>
        <w:ind w:firstLine="420" w:firstLineChars="200"/>
        <w:jc w:val="left"/>
        <w:rPr>
          <w:rFonts w:eastAsia="仿宋_GB2312"/>
          <w:sz w:val="32"/>
          <w:szCs w:val="32"/>
        </w:rPr>
      </w:pPr>
      <w:r>
        <w:br w:type="page"/>
      </w:r>
    </w:p>
    <w:p>
      <w:pPr>
        <w:widowControl/>
        <w:spacing w:line="600" w:lineRule="exact"/>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61BEA0"/>
    <w:multiLevelType w:val="singleLevel"/>
    <w:tmpl w:val="C961BEA0"/>
    <w:lvl w:ilvl="0" w:tentative="0">
      <w:start w:val="1"/>
      <w:numFmt w:val="chineseCounting"/>
      <w:suff w:val="nothing"/>
      <w:lvlText w:val="（%1）"/>
      <w:lvlJc w:val="left"/>
      <w:rPr>
        <w:rFonts w:hint="eastAsia"/>
      </w:rPr>
    </w:lvl>
  </w:abstractNum>
  <w:abstractNum w:abstractNumId="1">
    <w:nsid w:val="0070B870"/>
    <w:multiLevelType w:val="singleLevel"/>
    <w:tmpl w:val="0070B870"/>
    <w:lvl w:ilvl="0" w:tentative="0">
      <w:start w:val="1"/>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AA93D57"/>
    <w:rsid w:val="0ABE5208"/>
    <w:rsid w:val="0BB43FF2"/>
    <w:rsid w:val="0D19432E"/>
    <w:rsid w:val="0DAD146B"/>
    <w:rsid w:val="0DF435E7"/>
    <w:rsid w:val="0F067B6F"/>
    <w:rsid w:val="133C4B4F"/>
    <w:rsid w:val="16823089"/>
    <w:rsid w:val="178C3533"/>
    <w:rsid w:val="191A0877"/>
    <w:rsid w:val="198E0028"/>
    <w:rsid w:val="1C384947"/>
    <w:rsid w:val="1E462CEF"/>
    <w:rsid w:val="210C69BF"/>
    <w:rsid w:val="212E0D28"/>
    <w:rsid w:val="226A7FD5"/>
    <w:rsid w:val="23B65207"/>
    <w:rsid w:val="25191DB9"/>
    <w:rsid w:val="29934B34"/>
    <w:rsid w:val="2BBA1B03"/>
    <w:rsid w:val="2C503266"/>
    <w:rsid w:val="2E516E52"/>
    <w:rsid w:val="33CF5766"/>
    <w:rsid w:val="387713E6"/>
    <w:rsid w:val="3A2B4A60"/>
    <w:rsid w:val="3AFC3851"/>
    <w:rsid w:val="3CDB3A5A"/>
    <w:rsid w:val="3D6659BD"/>
    <w:rsid w:val="41481AB6"/>
    <w:rsid w:val="43853719"/>
    <w:rsid w:val="443C7646"/>
    <w:rsid w:val="46E820D0"/>
    <w:rsid w:val="481D697A"/>
    <w:rsid w:val="4B5107FF"/>
    <w:rsid w:val="4BB70EFA"/>
    <w:rsid w:val="4E2D7702"/>
    <w:rsid w:val="4F5D6613"/>
    <w:rsid w:val="4F907130"/>
    <w:rsid w:val="503B19BF"/>
    <w:rsid w:val="553D5819"/>
    <w:rsid w:val="5540508A"/>
    <w:rsid w:val="58451DFD"/>
    <w:rsid w:val="5A0B48A2"/>
    <w:rsid w:val="5A98311D"/>
    <w:rsid w:val="5AE755EB"/>
    <w:rsid w:val="5E666CF6"/>
    <w:rsid w:val="5E9A3635"/>
    <w:rsid w:val="5F3759EF"/>
    <w:rsid w:val="655D78AB"/>
    <w:rsid w:val="68452CC1"/>
    <w:rsid w:val="69A0656E"/>
    <w:rsid w:val="6BE515D1"/>
    <w:rsid w:val="6E935C82"/>
    <w:rsid w:val="6EBC0ACC"/>
    <w:rsid w:val="70250387"/>
    <w:rsid w:val="72F04D8E"/>
    <w:rsid w:val="733F1DA5"/>
    <w:rsid w:val="74B0769F"/>
    <w:rsid w:val="788A3FC2"/>
    <w:rsid w:val="795D4952"/>
    <w:rsid w:val="7BD2582A"/>
    <w:rsid w:val="7D032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7</TotalTime>
  <ScaleCrop>false</ScaleCrop>
  <LinksUpToDate>false</LinksUpToDate>
  <CharactersWithSpaces>8700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2021-06-30T07:23:16Z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049E71E4537C4ACEA7657BDF0C0F5725</vt:lpwstr>
  </property>
</Properties>
</file>