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solid" w:color="FFFFFF" w:fill="auto"/>
        <w:autoSpaceDN w:val="0"/>
        <w:spacing w:line="360" w:lineRule="atLeast"/>
        <w:jc w:val="center"/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</w:rPr>
      </w:pPr>
      <w:r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</w:rPr>
        <w:t>鹤城区卫生</w:t>
      </w:r>
      <w:r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  <w:lang w:eastAsia="zh-CN"/>
        </w:rPr>
        <w:t>健康</w:t>
      </w:r>
      <w:r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</w:rPr>
        <w:t>局专项资金绩效评价报告</w:t>
      </w:r>
    </w:p>
    <w:p>
      <w:pPr>
        <w:numPr>
          <w:ilvl w:val="0"/>
          <w:numId w:val="0"/>
        </w:numPr>
        <w:spacing w:line="560" w:lineRule="exact"/>
        <w:ind w:firstLine="2560" w:firstLineChars="800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鹤城区卫生健康局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规范财政资金管理，强化部门责任意识，切实提高财政资金使用效益本着独立、客观、公正、科学的原则，按照规定的绩效评价方法对我区2020年度专项资金开展了绩效评价工作。现将绩效评价情况及评价结果报告如下：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　　一、项目基本情况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2020年，我局项目支出总计11812.64万元。主要实施的项目有：1、公共卫生服务项目3575.3455万元（其中：基本公共卫生服务项目3146.208万元，重大公共卫生服务429.1375万元）；2、计划生育机构（计生协会）77.38万元；3、计划生育利益导向项目（</w:t>
      </w:r>
      <w:r>
        <w:rPr>
          <w:rFonts w:hint="eastAsia" w:ascii="仿宋_GB2312" w:eastAsia="仿宋_GB2312"/>
          <w:sz w:val="30"/>
          <w:szCs w:val="30"/>
        </w:rPr>
        <w:t>“奖扶”、“特扶”、“独生子女保健费”</w:t>
      </w:r>
      <w:r>
        <w:rPr>
          <w:rFonts w:hint="eastAsia" w:ascii="仿宋_GB2312" w:eastAsia="仿宋_GB2312"/>
          <w:sz w:val="30"/>
          <w:szCs w:val="30"/>
          <w:lang w:eastAsia="zh-CN"/>
        </w:rPr>
        <w:t>、“城镇独生子女父母奖励”、</w:t>
      </w:r>
      <w:r>
        <w:rPr>
          <w:rFonts w:hint="eastAsia" w:ascii="仿宋_GB2312" w:eastAsia="仿宋_GB2312"/>
          <w:sz w:val="30"/>
          <w:szCs w:val="30"/>
        </w:rPr>
        <w:t>“手术并发症”</w:t>
      </w:r>
      <w:r>
        <w:rPr>
          <w:rFonts w:hint="eastAsia" w:ascii="仿宋_GB2312" w:eastAsia="仿宋_GB2312"/>
          <w:sz w:val="30"/>
          <w:szCs w:val="30"/>
          <w:lang w:eastAsia="zh-CN"/>
        </w:rPr>
        <w:t>、“农村计生“两户”人员代缴城乡居民医保”、“农村计生“两户”人员代缴城乡居民养老保险”、“计生特别扶助家庭传统节日及生日走访慰问”、“计生特殊家庭购买城乡居民医保”、“计生特殊家庭购买城乡居民养老保险”、“独生子女死亡一次性扶助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）资金1758.54万元；4、其他计划生育事务1799.69万元；其他项目资金4601.6845万元。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　　二、专项资金和项目绩效目标的设定及完成情况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2020年我局严格绩效目标的设定，做到目标明确、清新，绩效目标与部门预算密切相关，充分细化量化了具体的绩效指标和标准，恰当的反映了绩效目标的可实现程度。资金规模与绩效目标匹配得当，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所有项目均按预期目标实施完成，完成率100%。 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　　三、专项资金使用管理情况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　　</w:t>
      </w:r>
      <w:bookmarkStart w:id="0" w:name="_GoBack"/>
      <w:bookmarkEnd w:id="0"/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20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年我局对各项专项资金都进行了严格的管理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和控制，各项资金按时足额拨付到位，拨付程序严格执行省市专项资金管理制度，尽量减少中间环节，并要求各专项资金使用单位专款专用，严禁挪用、截留、挤占资金和虚列支出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，严禁项目安排存在“散、小、乱”的现象，同时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将专项资金的管理工作纳入年终考核责任制进行考核。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卫健系统</w:t>
      </w:r>
      <w:r>
        <w:rPr>
          <w:rFonts w:hint="eastAsia" w:ascii="仿宋_GB2312" w:hAnsi="仿宋_GB2312" w:eastAsia="仿宋_GB2312" w:cs="仿宋_GB2312"/>
          <w:sz w:val="32"/>
          <w:szCs w:val="32"/>
        </w:rPr>
        <w:t>各单位制定了专项经费管理制度，设立专帐进行财务管理，做到了专款专用，不存在截留、挤占、挪用、虚列支出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的情况。所有项目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</w:t>
      </w:r>
      <w:r>
        <w:rPr>
          <w:rFonts w:hint="eastAsia" w:ascii="仿宋_GB2312" w:hAnsi="仿宋_GB2312" w:eastAsia="仿宋_GB2312" w:cs="仿宋_GB2312"/>
          <w:sz w:val="32"/>
          <w:szCs w:val="32"/>
        </w:rPr>
        <w:t>按预期目标实施完成，完成率100%。通过专项项目的实施，减少了主要健康危险因素，有利于预防和控制传染病及慢性病的蔓延，有利于提高居民对公共卫生服务的可及性，逐步缩小城乡、地区和人群之间的差距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</w:rPr>
        <w:t>调查了解，计划生育利益导向专项资金和计划生育技术服务专项资金的实施，让人民群众直接感受到政府的关怀，政府的公信力得到提高，对各项医疗卫生计生服务工作的经济效益也有显著的提升作用。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四、专项资金绩效情况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基本药物制度补助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情况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2020年收到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基本药物制度补助资金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220.766万元，其中中央补助资金117.4万元，省级补助资金93.09万元，区级配套10.276万元。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完成情况：实施国家基本药物制度，是面向基层，选择疗效确定，价格相对便宜，能保障供应。有利于保基本、强基层、建机制。对常见病、多发病、慢性病，特别是重大疾病防治，有利于减轻群众用药负担。在全区推广以来，使广大人民群众受益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计划生育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情况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2020年收到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计划生育转移支付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1758.54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453.14万元，分别为湘财预【2019】318号197.43万元、湘财预【2020】184号54.31万元、湘财预【2020】367号201.4万元；省级补助资金842.96万元，分别为湘财社指【2019】6号12.51万元、湘财社指【2019】95号241万元、湘财预【2019】318号130.86万元、湘财社指【2020】26号5.57万元、湘财预【2020】184号45.15万元、湘财社指【2020】118号252.25万元、湘财社指【2020】103号27.93万元、湘财预【2020】367号140.2万元，市、区两级补助资金462.44万元。</w:t>
      </w:r>
    </w:p>
    <w:p>
      <w:pPr>
        <w:ind w:firstLine="645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工作完成情况：</w:t>
      </w:r>
      <w:r>
        <w:rPr>
          <w:rFonts w:hint="eastAsia" w:ascii="仿宋_GB2312" w:eastAsia="仿宋_GB2312"/>
          <w:sz w:val="30"/>
          <w:szCs w:val="30"/>
        </w:rPr>
        <w:t>20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</w:t>
      </w:r>
      <w:r>
        <w:rPr>
          <w:rFonts w:hint="eastAsia" w:ascii="仿宋_GB2312" w:eastAsia="仿宋_GB2312"/>
          <w:sz w:val="30"/>
          <w:szCs w:val="30"/>
        </w:rPr>
        <w:t>年，我</w:t>
      </w:r>
      <w:r>
        <w:rPr>
          <w:rFonts w:hint="eastAsia" w:ascii="仿宋_GB2312" w:eastAsia="仿宋_GB2312"/>
          <w:sz w:val="30"/>
          <w:szCs w:val="30"/>
          <w:lang w:eastAsia="zh-CN"/>
        </w:rPr>
        <w:t>区</w:t>
      </w:r>
      <w:r>
        <w:rPr>
          <w:rFonts w:hint="eastAsia" w:ascii="仿宋_GB2312" w:eastAsia="仿宋_GB2312"/>
          <w:sz w:val="30"/>
          <w:szCs w:val="30"/>
        </w:rPr>
        <w:t>共实施计划生育利导项目有“奖扶”、“特扶”、“独生子女保健费”</w:t>
      </w:r>
      <w:r>
        <w:rPr>
          <w:rFonts w:hint="eastAsia" w:ascii="仿宋_GB2312" w:eastAsia="仿宋_GB2312"/>
          <w:sz w:val="30"/>
          <w:szCs w:val="30"/>
          <w:lang w:eastAsia="zh-CN"/>
        </w:rPr>
        <w:t>、“城镇独生子女父母奖励”、</w:t>
      </w:r>
      <w:r>
        <w:rPr>
          <w:rFonts w:hint="eastAsia" w:ascii="仿宋_GB2312" w:eastAsia="仿宋_GB2312"/>
          <w:sz w:val="30"/>
          <w:szCs w:val="30"/>
        </w:rPr>
        <w:t>“手术并发症”</w:t>
      </w:r>
      <w:r>
        <w:rPr>
          <w:rFonts w:hint="eastAsia" w:ascii="仿宋_GB2312" w:eastAsia="仿宋_GB2312"/>
          <w:sz w:val="30"/>
          <w:szCs w:val="30"/>
          <w:lang w:eastAsia="zh-CN"/>
        </w:rPr>
        <w:t>、“农村计生“两户”人员代缴城乡居民医保”、“农村计生“两户”人员代缴城乡居民养老保险”、“计生特别扶助家庭传统节日及生日走访慰问”、“计生特殊家庭购买城乡居民医保”、“计生特殊家庭购买城乡居民养老保险”、“独生子女死亡一次性扶助”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个项目。这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个项目共有人数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85711</w:t>
      </w:r>
      <w:r>
        <w:rPr>
          <w:rFonts w:hint="eastAsia" w:ascii="仿宋_GB2312" w:eastAsia="仿宋_GB2312"/>
          <w:sz w:val="30"/>
          <w:szCs w:val="30"/>
        </w:rPr>
        <w:t>人，</w:t>
      </w:r>
      <w:r>
        <w:rPr>
          <w:rFonts w:hint="eastAsia" w:ascii="仿宋_GB2312" w:eastAsia="仿宋_GB2312"/>
          <w:sz w:val="30"/>
          <w:szCs w:val="30"/>
          <w:lang w:eastAsia="zh-CN"/>
        </w:rPr>
        <w:t>共发放项目资金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1758.54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万元。</w:t>
      </w:r>
      <w:r>
        <w:rPr>
          <w:rFonts w:hint="eastAsia" w:ascii="仿宋_GB2312" w:eastAsia="仿宋_GB2312"/>
          <w:sz w:val="30"/>
          <w:szCs w:val="30"/>
          <w:highlight w:val="none"/>
        </w:rPr>
        <w:t>其中奖扶对象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874</w:t>
      </w:r>
      <w:r>
        <w:rPr>
          <w:rFonts w:hint="eastAsia" w:ascii="仿宋_GB2312" w:eastAsia="仿宋_GB2312"/>
          <w:sz w:val="30"/>
          <w:szCs w:val="30"/>
          <w:highlight w:val="none"/>
        </w:rPr>
        <w:t>人，已发放资金</w:t>
      </w:r>
      <w:r>
        <w:rPr>
          <w:rFonts w:hint="eastAsia" w:ascii="仿宋_GB2312" w:eastAsia="仿宋_GB2312"/>
          <w:b w:val="0"/>
          <w:bCs w:val="0"/>
          <w:sz w:val="30"/>
          <w:szCs w:val="30"/>
          <w:highlight w:val="none"/>
          <w:lang w:val="en-US" w:eastAsia="zh-CN"/>
        </w:rPr>
        <w:t>83.9万</w:t>
      </w:r>
      <w:r>
        <w:rPr>
          <w:rFonts w:hint="eastAsia" w:ascii="仿宋_GB2312" w:eastAsia="仿宋_GB2312"/>
          <w:sz w:val="30"/>
          <w:szCs w:val="30"/>
          <w:highlight w:val="none"/>
        </w:rPr>
        <w:t>元；特扶对象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425</w:t>
      </w:r>
      <w:r>
        <w:rPr>
          <w:rFonts w:hint="eastAsia" w:ascii="仿宋_GB2312" w:eastAsia="仿宋_GB2312"/>
          <w:sz w:val="30"/>
          <w:szCs w:val="30"/>
          <w:highlight w:val="none"/>
        </w:rPr>
        <w:t>人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0"/>
          <w:szCs w:val="30"/>
          <w:highlight w:val="none"/>
        </w:rPr>
        <w:t>已发放资金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469.21</w:t>
      </w:r>
      <w:r>
        <w:rPr>
          <w:rFonts w:hint="eastAsia" w:ascii="仿宋_GB2312" w:eastAsia="仿宋_GB2312"/>
          <w:b w:val="0"/>
          <w:bCs w:val="0"/>
          <w:sz w:val="30"/>
          <w:szCs w:val="30"/>
          <w:highlight w:val="none"/>
          <w:lang w:val="en-US" w:eastAsia="zh-CN"/>
        </w:rPr>
        <w:t>万</w:t>
      </w:r>
      <w:r>
        <w:rPr>
          <w:rFonts w:hint="eastAsia" w:ascii="仿宋_GB2312" w:eastAsia="仿宋_GB2312"/>
          <w:sz w:val="30"/>
          <w:szCs w:val="30"/>
          <w:highlight w:val="none"/>
        </w:rPr>
        <w:t>元；独生子女保健费对象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925</w:t>
      </w:r>
      <w:r>
        <w:rPr>
          <w:rFonts w:hint="eastAsia" w:ascii="仿宋_GB2312" w:eastAsia="仿宋_GB2312"/>
          <w:sz w:val="30"/>
          <w:szCs w:val="30"/>
          <w:highlight w:val="none"/>
        </w:rPr>
        <w:t>人，已发放资金</w:t>
      </w:r>
      <w:r>
        <w:rPr>
          <w:rFonts w:hint="eastAsia" w:ascii="仿宋_GB2312" w:eastAsia="仿宋_GB2312"/>
          <w:b w:val="0"/>
          <w:bCs w:val="0"/>
          <w:sz w:val="30"/>
          <w:szCs w:val="30"/>
          <w:highlight w:val="none"/>
          <w:lang w:val="en-US" w:eastAsia="zh-CN"/>
        </w:rPr>
        <w:t>22.2万</w:t>
      </w:r>
      <w:r>
        <w:rPr>
          <w:rFonts w:hint="eastAsia" w:ascii="仿宋_GB2312" w:eastAsia="仿宋_GB2312"/>
          <w:sz w:val="30"/>
          <w:szCs w:val="30"/>
          <w:highlight w:val="none"/>
        </w:rPr>
        <w:t>元；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城镇独生子女父母奖励对象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67498人次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，已发放资金616.576万元，</w:t>
      </w:r>
      <w:r>
        <w:rPr>
          <w:rFonts w:hint="eastAsia" w:ascii="仿宋_GB2312" w:eastAsia="仿宋_GB2312"/>
          <w:sz w:val="30"/>
          <w:szCs w:val="30"/>
        </w:rPr>
        <w:t>手术并发</w:t>
      </w:r>
      <w:r>
        <w:rPr>
          <w:rFonts w:hint="eastAsia" w:ascii="仿宋_GB2312" w:eastAsia="仿宋_GB2312"/>
          <w:sz w:val="30"/>
          <w:szCs w:val="30"/>
          <w:highlight w:val="none"/>
        </w:rPr>
        <w:t>症人员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519</w:t>
      </w:r>
      <w:r>
        <w:rPr>
          <w:rFonts w:hint="eastAsia" w:ascii="仿宋_GB2312" w:eastAsia="仿宋_GB2312"/>
          <w:sz w:val="30"/>
          <w:szCs w:val="30"/>
          <w:highlight w:val="none"/>
        </w:rPr>
        <w:t>人，已发放资金</w:t>
      </w:r>
      <w:r>
        <w:rPr>
          <w:rFonts w:hint="eastAsia" w:ascii="仿宋_GB2312" w:eastAsia="仿宋_GB2312"/>
          <w:b w:val="0"/>
          <w:bCs w:val="0"/>
          <w:sz w:val="30"/>
          <w:szCs w:val="30"/>
          <w:highlight w:val="none"/>
          <w:lang w:val="en-US" w:eastAsia="zh-CN"/>
        </w:rPr>
        <w:t>183.72万</w:t>
      </w:r>
      <w:r>
        <w:rPr>
          <w:rFonts w:hint="eastAsia" w:ascii="仿宋_GB2312" w:eastAsia="仿宋_GB2312"/>
          <w:sz w:val="30"/>
          <w:szCs w:val="30"/>
          <w:highlight w:val="none"/>
        </w:rPr>
        <w:t>元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，农村计生“两户”人员代缴城乡居民医保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9854人，共需资金246.35万元，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农村计生“两户”人员代缴城乡居民养老保险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4730人，共需资金47.3万元，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计生特别扶助家庭传统节日及生日走访慰问春节走访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398人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，重阳节、中秋节走访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425人，共用资金74.88万元，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计生特殊家庭购买城乡居民医保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44人，共用资金1.23万元，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计生特殊家庭购买城乡居民养老保险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6人，共用资金0.18万元，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独生子女死亡一次性扶助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13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人，共用资金13万元。</w:t>
      </w:r>
    </w:p>
    <w:p>
      <w:pPr>
        <w:numPr>
          <w:ilvl w:val="0"/>
          <w:numId w:val="1"/>
        </w:numPr>
        <w:ind w:firstLine="64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基本公共卫生情况</w:t>
      </w:r>
    </w:p>
    <w:p>
      <w:pPr>
        <w:numPr>
          <w:ilvl w:val="0"/>
          <w:numId w:val="0"/>
        </w:num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2020年共收到转移支付资金3146.208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鹤城区为怀化市市辖区，人口6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3.25</w:t>
      </w:r>
      <w:r>
        <w:rPr>
          <w:rFonts w:hint="eastAsia" w:ascii="仿宋_GB2312" w:hAnsi="仿宋_GB2312" w:eastAsia="仿宋_GB2312" w:cs="仿宋_GB2312"/>
          <w:sz w:val="32"/>
          <w:szCs w:val="32"/>
        </w:rPr>
        <w:t>万。下辖3个乡镇91个行政村、7个街道办事处社区。鹤城区卫生局辖基层卫生机构21个，医务人员330人，其中社区卫生服务中心11个、站4个、乡镇卫生院6个。根据上级有关文件要求，为提高城乡居民以及城市少数民族流动人口享受基本公共卫生服务，加强对基层医疗卫生服务机构的监管，加快推进我区基本公共卫生服务项目的落实，切实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工作质量和工作效率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645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重大公共卫生服务转移支付资金情况</w:t>
      </w:r>
    </w:p>
    <w:p>
      <w:pPr>
        <w:numPr>
          <w:ilvl w:val="0"/>
          <w:numId w:val="0"/>
        </w:numPr>
        <w:rPr>
          <w:rFonts w:hint="eastAsia" w:ascii="仿宋_GB2312" w:hAnsi="Arial" w:eastAsia="仿宋_GB2312" w:cs="Arial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2020年共收到重大公共卫生服务转移支付资金429.1375万元。</w:t>
      </w:r>
      <w:r>
        <w:rPr>
          <w:rFonts w:hint="eastAsia" w:ascii="仿宋_GB2312" w:hAnsi="Arial" w:eastAsia="仿宋_GB2312" w:cs="Arial"/>
          <w:color w:val="000000"/>
          <w:sz w:val="32"/>
          <w:szCs w:val="32"/>
        </w:rPr>
        <w:t>为提高广大人群对预防艾滋病，梅毒和乙肝母婴传播的认识，为孕产妇提供预防艾滋病、梅毒和乙肝母婴传播的综合防治服务，实现最大程度的减少母婴传播，达到消除母婴传播国际目标,改善妇女、儿童的生活质量及健康水平，我区严格按照省、市、区《预防艾滋病、梅毒和乙肝母婴传播工作实施方案》的要求，积极开展项目工作，并取得了一定的工作效果</w:t>
      </w:r>
      <w:r>
        <w:rPr>
          <w:rFonts w:hint="eastAsia" w:ascii="仿宋_GB2312" w:hAnsi="Arial" w:eastAsia="仿宋_GB2312" w:cs="Arial"/>
          <w:color w:val="000000"/>
          <w:sz w:val="32"/>
          <w:szCs w:val="32"/>
          <w:lang w:eastAsia="zh-CN"/>
        </w:rPr>
        <w:t>。同时为扩大国家免疫规划以及结核病、精神卫生与慢性病等非传染性疾病的预防控制积极开展工作，取得一定成效。</w:t>
      </w:r>
    </w:p>
    <w:p>
      <w:pPr>
        <w:pStyle w:val="9"/>
        <w:spacing w:line="540" w:lineRule="exact"/>
        <w:ind w:firstLine="64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bCs/>
          <w:sz w:val="32"/>
          <w:szCs w:val="32"/>
        </w:rPr>
        <w:t>、存在的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主要</w:t>
      </w:r>
      <w:r>
        <w:rPr>
          <w:rFonts w:hint="eastAsia" w:ascii="黑体" w:hAnsi="黑体" w:eastAsia="黑体"/>
          <w:bCs/>
          <w:sz w:val="32"/>
          <w:szCs w:val="32"/>
        </w:rPr>
        <w:t>问题和建议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事项</w:t>
      </w:r>
    </w:p>
    <w:p>
      <w:pPr>
        <w:pStyle w:val="9"/>
        <w:spacing w:line="540" w:lineRule="exact"/>
        <w:ind w:firstLine="64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（一）存在的主要问题</w:t>
      </w:r>
    </w:p>
    <w:p>
      <w:pPr>
        <w:bidi w:val="0"/>
        <w:ind w:firstLine="6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基本药物制度补助金额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不足，无法充分调动基层医疗机构积极性。基药价格与市场同性价药品价格偏高。</w:t>
      </w:r>
    </w:p>
    <w:p>
      <w:pPr>
        <w:bidi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基层医疗卫生机构没有纳入全额拨款事业补助，基层医疗机构近年来收支亏损严重，不利于卫生健康事业发展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pStyle w:val="9"/>
        <w:spacing w:line="540" w:lineRule="exact"/>
        <w:ind w:firstLine="64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（二）建议事项</w:t>
      </w:r>
    </w:p>
    <w:p>
      <w:pPr>
        <w:pStyle w:val="9"/>
        <w:spacing w:line="540" w:lineRule="exact"/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建议适当提高实施基本药物制度补助金额</w:t>
      </w:r>
      <w:r>
        <w:rPr>
          <w:rFonts w:hint="eastAsia" w:ascii="仿宋_GB2312" w:eastAsia="仿宋_GB2312"/>
          <w:sz w:val="32"/>
          <w:szCs w:val="32"/>
          <w:lang w:eastAsia="zh-CN"/>
        </w:rPr>
        <w:t>，提高基层医疗业务收入，充分解决基层医疗机构日常运营举步维艰的难题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spacing w:line="54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尽快进行卫健系统人事改革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eastAsia="仿宋_GB2312"/>
          <w:b/>
          <w:bCs/>
          <w:sz w:val="32"/>
          <w:szCs w:val="32"/>
        </w:rPr>
        <w:t>一是</w:t>
      </w:r>
      <w:r>
        <w:rPr>
          <w:rFonts w:hint="eastAsia" w:ascii="仿宋_GB2312" w:eastAsia="仿宋_GB2312"/>
          <w:sz w:val="32"/>
          <w:szCs w:val="32"/>
        </w:rPr>
        <w:t>将乡镇卫生院纳入财政全额事业编制，工资津补贴由财政全额发放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.及时更新省直报系统通知公告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。建议</w:t>
      </w:r>
      <w:r>
        <w:rPr>
          <w:rFonts w:hint="eastAsia" w:ascii="仿宋_GB2312" w:eastAsia="仿宋_GB2312"/>
          <w:sz w:val="32"/>
          <w:szCs w:val="32"/>
        </w:rPr>
        <w:t>省里在下达资金指标文件的同时及时更新省直报系统通知公告，以便各项目实施单位能及时了解资金</w:t>
      </w:r>
      <w:r>
        <w:rPr>
          <w:rFonts w:hint="eastAsia" w:ascii="仿宋_GB2312" w:eastAsia="仿宋_GB2312"/>
          <w:sz w:val="32"/>
          <w:szCs w:val="32"/>
          <w:lang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，县财政部门及时准确将专项资金拨付给项目单位使用，保证项目顺利实施。</w:t>
      </w:r>
    </w:p>
    <w:p>
      <w:pPr>
        <w:pStyle w:val="9"/>
        <w:spacing w:line="560" w:lineRule="exact"/>
        <w:ind w:firstLine="640"/>
        <w:rPr>
          <w:rFonts w:hint="eastAsia" w:ascii="仿宋_GB2312" w:eastAsia="仿宋_GB2312"/>
          <w:b w:val="0"/>
          <w:bCs w:val="0"/>
          <w:sz w:val="32"/>
          <w:szCs w:val="32"/>
          <w:u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.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  <w:lang w:eastAsia="zh-CN"/>
        </w:rPr>
        <w:t>建议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因素分解法的经费指标文件，明确各项工作经费的比例。</w:t>
      </w:r>
    </w:p>
    <w:p>
      <w:pPr>
        <w:pStyle w:val="9"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.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加大财务人员培训力度。</w:t>
      </w:r>
      <w:r>
        <w:rPr>
          <w:rFonts w:hint="eastAsia" w:ascii="仿宋_GB2312" w:eastAsia="仿宋_GB2312"/>
          <w:sz w:val="32"/>
          <w:szCs w:val="32"/>
        </w:rPr>
        <w:t>近年来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对基层人群的健康投入</w:t>
      </w:r>
      <w:r>
        <w:rPr>
          <w:rFonts w:hint="eastAsia" w:ascii="仿宋_GB2312" w:eastAsia="仿宋_GB2312"/>
          <w:sz w:val="32"/>
          <w:szCs w:val="32"/>
          <w:lang w:eastAsia="zh-CN"/>
        </w:rPr>
        <w:t>越来越大</w:t>
      </w:r>
      <w:r>
        <w:rPr>
          <w:rFonts w:hint="eastAsia" w:ascii="仿宋_GB2312" w:eastAsia="仿宋_GB2312"/>
          <w:sz w:val="32"/>
          <w:szCs w:val="32"/>
        </w:rPr>
        <w:t>,列入国家拨款支持的经费也越来越多,中央转移支付和地方配套的各项重大公共卫生专项资金</w:t>
      </w:r>
      <w:r>
        <w:rPr>
          <w:rFonts w:hint="eastAsia" w:ascii="仿宋_GB2312" w:eastAsia="仿宋_GB2312"/>
          <w:sz w:val="32"/>
          <w:szCs w:val="32"/>
          <w:lang w:eastAsia="zh-CN"/>
        </w:rPr>
        <w:t>也</w:t>
      </w:r>
      <w:r>
        <w:rPr>
          <w:rFonts w:hint="eastAsia" w:ascii="仿宋_GB2312" w:eastAsia="仿宋_GB2312"/>
          <w:sz w:val="32"/>
          <w:szCs w:val="32"/>
        </w:rPr>
        <w:t>逐年增加,管好、用好专项资金显得尤为重要</w:t>
      </w:r>
      <w:r>
        <w:rPr>
          <w:rFonts w:hint="eastAsia" w:ascii="仿宋_GB2312" w:eastAsia="仿宋_GB2312"/>
          <w:sz w:val="32"/>
          <w:szCs w:val="32"/>
          <w:lang w:eastAsia="zh-CN"/>
        </w:rPr>
        <w:t>。因此，建议</w:t>
      </w:r>
      <w:r>
        <w:rPr>
          <w:rFonts w:hint="eastAsia" w:ascii="仿宋_GB2312" w:eastAsia="仿宋_GB2312"/>
          <w:sz w:val="32"/>
          <w:szCs w:val="32"/>
        </w:rPr>
        <w:t>加强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财务人员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培训</w:t>
      </w:r>
      <w:r>
        <w:rPr>
          <w:rFonts w:hint="eastAsia" w:ascii="仿宋_GB2312" w:eastAsia="仿宋_GB2312"/>
          <w:sz w:val="32"/>
          <w:szCs w:val="32"/>
          <w:lang w:eastAsia="zh-CN"/>
        </w:rPr>
        <w:t>力度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加强资金监管使用水平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pStyle w:val="9"/>
        <w:spacing w:line="560" w:lineRule="exact"/>
        <w:rPr>
          <w:rFonts w:hint="eastAsia" w:hAnsi="宋体"/>
        </w:rPr>
      </w:pPr>
    </w:p>
    <w:p>
      <w:pPr>
        <w:numPr>
          <w:ilvl w:val="0"/>
          <w:numId w:val="0"/>
        </w:numPr>
        <w:rPr>
          <w:rFonts w:hint="eastAsia" w:ascii="仿宋_GB2312" w:hAnsi="Arial" w:eastAsia="仿宋_GB2312" w:cs="Arial"/>
          <w:color w:val="000000"/>
          <w:sz w:val="32"/>
          <w:szCs w:val="32"/>
          <w:lang w:val="en-US" w:eastAsia="zh-CN"/>
        </w:rPr>
      </w:pPr>
    </w:p>
    <w:p>
      <w:pPr>
        <w:ind w:firstLine="645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</w:p>
    <w:sectPr>
      <w:pgSz w:w="11906" w:h="16838"/>
      <w:pgMar w:top="1871" w:right="1797" w:bottom="158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D6E364"/>
    <w:multiLevelType w:val="singleLevel"/>
    <w:tmpl w:val="6DD6E36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35"/>
    <w:rsid w:val="001A496E"/>
    <w:rsid w:val="002E1035"/>
    <w:rsid w:val="0031434E"/>
    <w:rsid w:val="004C60DD"/>
    <w:rsid w:val="005733E1"/>
    <w:rsid w:val="005E4D35"/>
    <w:rsid w:val="005E7C7D"/>
    <w:rsid w:val="00616244"/>
    <w:rsid w:val="00622B1F"/>
    <w:rsid w:val="006B3B51"/>
    <w:rsid w:val="00716293"/>
    <w:rsid w:val="007C78BF"/>
    <w:rsid w:val="00935369"/>
    <w:rsid w:val="00986AED"/>
    <w:rsid w:val="00A63BAE"/>
    <w:rsid w:val="00A94454"/>
    <w:rsid w:val="00B90E06"/>
    <w:rsid w:val="00BF744B"/>
    <w:rsid w:val="00C36849"/>
    <w:rsid w:val="00C37DAC"/>
    <w:rsid w:val="00CD357A"/>
    <w:rsid w:val="00CE2F44"/>
    <w:rsid w:val="00D36730"/>
    <w:rsid w:val="00D93D11"/>
    <w:rsid w:val="00DD3568"/>
    <w:rsid w:val="00EB1264"/>
    <w:rsid w:val="00EF72FA"/>
    <w:rsid w:val="00F21CAA"/>
    <w:rsid w:val="00F237A7"/>
    <w:rsid w:val="012D736F"/>
    <w:rsid w:val="01FC6363"/>
    <w:rsid w:val="01FC6C97"/>
    <w:rsid w:val="029A3AA3"/>
    <w:rsid w:val="02A528CB"/>
    <w:rsid w:val="02E32DE9"/>
    <w:rsid w:val="0362429C"/>
    <w:rsid w:val="038D0FC9"/>
    <w:rsid w:val="06D7276C"/>
    <w:rsid w:val="081C6D28"/>
    <w:rsid w:val="090137DB"/>
    <w:rsid w:val="091B760A"/>
    <w:rsid w:val="0A854D52"/>
    <w:rsid w:val="0A862E4A"/>
    <w:rsid w:val="0A8D68FF"/>
    <w:rsid w:val="0AB51B34"/>
    <w:rsid w:val="0ADD4DA2"/>
    <w:rsid w:val="0B6914C3"/>
    <w:rsid w:val="0B700D78"/>
    <w:rsid w:val="0C31086E"/>
    <w:rsid w:val="0D532281"/>
    <w:rsid w:val="0E7511CC"/>
    <w:rsid w:val="0F10730A"/>
    <w:rsid w:val="0F2B06B5"/>
    <w:rsid w:val="111F2696"/>
    <w:rsid w:val="11D26206"/>
    <w:rsid w:val="15ED4A39"/>
    <w:rsid w:val="17582A02"/>
    <w:rsid w:val="1839189B"/>
    <w:rsid w:val="1B346E3C"/>
    <w:rsid w:val="1B5D087F"/>
    <w:rsid w:val="1C262E12"/>
    <w:rsid w:val="1E7D44EA"/>
    <w:rsid w:val="201342E6"/>
    <w:rsid w:val="201A1FB1"/>
    <w:rsid w:val="2021363D"/>
    <w:rsid w:val="23CC24E3"/>
    <w:rsid w:val="253C2FAE"/>
    <w:rsid w:val="25A1176A"/>
    <w:rsid w:val="27FD3592"/>
    <w:rsid w:val="283A6FF0"/>
    <w:rsid w:val="299B428A"/>
    <w:rsid w:val="2AA76585"/>
    <w:rsid w:val="2C6E0541"/>
    <w:rsid w:val="2E1A4F7C"/>
    <w:rsid w:val="2F1242D3"/>
    <w:rsid w:val="2F7D0D72"/>
    <w:rsid w:val="30362FA0"/>
    <w:rsid w:val="307F1F78"/>
    <w:rsid w:val="30FC4097"/>
    <w:rsid w:val="313233D4"/>
    <w:rsid w:val="31375DC1"/>
    <w:rsid w:val="323725E3"/>
    <w:rsid w:val="35B21673"/>
    <w:rsid w:val="36406E5F"/>
    <w:rsid w:val="3CA56183"/>
    <w:rsid w:val="3E206AE0"/>
    <w:rsid w:val="3F18780D"/>
    <w:rsid w:val="3FFE7FBE"/>
    <w:rsid w:val="41645CAF"/>
    <w:rsid w:val="41814EF1"/>
    <w:rsid w:val="42064FF6"/>
    <w:rsid w:val="42276237"/>
    <w:rsid w:val="437B062E"/>
    <w:rsid w:val="438F7491"/>
    <w:rsid w:val="448C26A1"/>
    <w:rsid w:val="46CC0288"/>
    <w:rsid w:val="484C5E72"/>
    <w:rsid w:val="495B2817"/>
    <w:rsid w:val="49813029"/>
    <w:rsid w:val="4A691233"/>
    <w:rsid w:val="4AD16DEE"/>
    <w:rsid w:val="4B912655"/>
    <w:rsid w:val="4CD5700C"/>
    <w:rsid w:val="4E99270C"/>
    <w:rsid w:val="4F1D01EF"/>
    <w:rsid w:val="50243655"/>
    <w:rsid w:val="50B04FE3"/>
    <w:rsid w:val="520B09E9"/>
    <w:rsid w:val="52361345"/>
    <w:rsid w:val="52ED5CFA"/>
    <w:rsid w:val="53425017"/>
    <w:rsid w:val="539F14B9"/>
    <w:rsid w:val="54DA469A"/>
    <w:rsid w:val="550C1783"/>
    <w:rsid w:val="55C45DDD"/>
    <w:rsid w:val="56E316AC"/>
    <w:rsid w:val="5736344E"/>
    <w:rsid w:val="586E0C35"/>
    <w:rsid w:val="58D636B1"/>
    <w:rsid w:val="593D2EB2"/>
    <w:rsid w:val="5A1B0724"/>
    <w:rsid w:val="5B3345F4"/>
    <w:rsid w:val="5BA81EB7"/>
    <w:rsid w:val="5C002C10"/>
    <w:rsid w:val="5C407A5F"/>
    <w:rsid w:val="5C56388E"/>
    <w:rsid w:val="5D54424F"/>
    <w:rsid w:val="5EE26254"/>
    <w:rsid w:val="5F05614A"/>
    <w:rsid w:val="5F8C227A"/>
    <w:rsid w:val="6108406E"/>
    <w:rsid w:val="612A10D1"/>
    <w:rsid w:val="61B670B0"/>
    <w:rsid w:val="63386235"/>
    <w:rsid w:val="64371CE6"/>
    <w:rsid w:val="664303AB"/>
    <w:rsid w:val="677E5E7F"/>
    <w:rsid w:val="67CE3D41"/>
    <w:rsid w:val="68192CF1"/>
    <w:rsid w:val="68247659"/>
    <w:rsid w:val="692C301E"/>
    <w:rsid w:val="6AF83650"/>
    <w:rsid w:val="6B2F43B7"/>
    <w:rsid w:val="6B822971"/>
    <w:rsid w:val="6BEA0280"/>
    <w:rsid w:val="6BF81211"/>
    <w:rsid w:val="6D2B7855"/>
    <w:rsid w:val="6E777DAD"/>
    <w:rsid w:val="6E880FF4"/>
    <w:rsid w:val="71053AB1"/>
    <w:rsid w:val="71473AA6"/>
    <w:rsid w:val="73080FA3"/>
    <w:rsid w:val="73F544E2"/>
    <w:rsid w:val="742134ED"/>
    <w:rsid w:val="75B83702"/>
    <w:rsid w:val="777D2B7A"/>
    <w:rsid w:val="7BAF6370"/>
    <w:rsid w:val="7BD84972"/>
    <w:rsid w:val="7C3E3385"/>
    <w:rsid w:val="7EC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123</Words>
  <Characters>704</Characters>
  <Lines>5</Lines>
  <Paragraphs>1</Paragraphs>
  <TotalTime>2</TotalTime>
  <ScaleCrop>false</ScaleCrop>
  <LinksUpToDate>false</LinksUpToDate>
  <CharactersWithSpaces>826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2017-10-30T01:01:00Z</dcterms:created>
  <dc:creator>User</dc:creator>
  <cp:lastModifiedBy>Administrator</cp:lastModifiedBy>
  <cp:lastPrinted>2020-09-18T10:31:00Z</cp:lastPrinted>
  <dcterms:modified xsi:type="dcterms:W3CDTF">2021-06-29T02:14:44Z</dcterms:modified>
  <dc:title>2014年芷江计划生育利益导向专项资金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DC0A9C1E3D2F4EA1A58598D63BB09808</vt:lpwstr>
  </property>
</Properties>
</file>