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bookmarkStart w:id="0" w:name="_GoBack"/>
      <w:bookmarkEnd w:id="0"/>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填报单位：怀化市</w:t>
      </w:r>
      <w:r>
        <w:rPr>
          <w:rFonts w:hint="eastAsia" w:ascii="仿宋" w:hAnsi="仿宋" w:eastAsia="仿宋"/>
          <w:lang w:eastAsia="zh-CN"/>
        </w:rPr>
        <w:t>华都</w:t>
      </w:r>
      <w:r>
        <w:rPr>
          <w:rFonts w:hint="eastAsia" w:ascii="仿宋" w:hAnsi="仿宋" w:eastAsia="仿宋"/>
        </w:rPr>
        <w:t>小学</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both"/>
              <w:rPr>
                <w:rFonts w:hint="default" w:ascii="仿宋" w:hAnsi="仿宋" w:eastAsia="仿宋"/>
                <w:lang w:val="en-US" w:eastAsia="zh-CN"/>
              </w:rPr>
            </w:pPr>
            <w:r>
              <w:rPr>
                <w:rFonts w:hint="eastAsia" w:ascii="仿宋" w:hAnsi="仿宋" w:eastAsia="仿宋"/>
                <w:lang w:val="en-US" w:eastAsia="zh-CN"/>
              </w:rPr>
              <w:t>133</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both"/>
              <w:rPr>
                <w:rFonts w:hint="default" w:ascii="仿宋" w:hAnsi="仿宋" w:eastAsia="仿宋"/>
                <w:lang w:val="en-US" w:eastAsia="zh-CN"/>
              </w:rPr>
            </w:pPr>
            <w:r>
              <w:rPr>
                <w:rFonts w:hint="eastAsia" w:ascii="仿宋" w:hAnsi="仿宋" w:eastAsia="仿宋"/>
                <w:lang w:val="en-US" w:eastAsia="zh-CN"/>
              </w:rPr>
              <w:t>103</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both"/>
              <w:rPr>
                <w:rFonts w:hint="default" w:ascii="仿宋" w:hAnsi="仿宋" w:eastAsia="仿宋"/>
                <w:lang w:val="en-US" w:eastAsia="zh-CN"/>
              </w:rPr>
            </w:pPr>
            <w:r>
              <w:rPr>
                <w:rFonts w:hint="eastAsia" w:ascii="仿宋" w:hAnsi="仿宋" w:eastAsia="仿宋"/>
                <w:lang w:val="en-US" w:eastAsia="zh-CN"/>
              </w:rPr>
              <w:t>77.44%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rPr>
              <w:t>0</w:t>
            </w:r>
            <w:r>
              <w:rPr>
                <w:rFonts w:hint="eastAsia" w:ascii="仿宋" w:hAnsi="仿宋" w:eastAsia="仿宋"/>
                <w:lang w:val="en-US" w:eastAsia="zh-CN"/>
              </w:rPr>
              <w:t>.2万元</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154.89万元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157.24万元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280.79万元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14.24万元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7万元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11.28万元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41.85万元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21.54万元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30.02万元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6.95万元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6万元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0.57万元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ascii="黑体" w:hAnsi="黑体" w:eastAsia="黑体"/>
          <w:sz w:val="44"/>
          <w:szCs w:val="44"/>
        </w:rPr>
      </w:pPr>
      <w:r>
        <w:rPr>
          <w:rFonts w:ascii="黑体" w:hAnsi="黑体" w:eastAsia="黑体"/>
          <w:sz w:val="44"/>
          <w:szCs w:val="44"/>
        </w:rPr>
        <w:t>部门整体支出绩效评价报告</w:t>
      </w:r>
    </w:p>
    <w:p>
      <w:pPr>
        <w:spacing w:line="600" w:lineRule="exact"/>
        <w:jc w:val="center"/>
        <w:rPr>
          <w:rFonts w:eastAsia="方正小标宋_GBK"/>
          <w:sz w:val="32"/>
          <w:szCs w:val="32"/>
        </w:rPr>
      </w:pPr>
    </w:p>
    <w:p>
      <w:pPr>
        <w:pStyle w:val="9"/>
        <w:widowControl/>
        <w:numPr>
          <w:ilvl w:val="0"/>
          <w:numId w:val="1"/>
        </w:numPr>
        <w:spacing w:line="600" w:lineRule="exact"/>
        <w:ind w:firstLineChars="0"/>
        <w:rPr>
          <w:rFonts w:ascii="仿宋" w:hAnsi="仿宋" w:eastAsia="仿宋"/>
          <w:b/>
          <w:sz w:val="32"/>
          <w:szCs w:val="32"/>
        </w:rPr>
      </w:pPr>
      <w:r>
        <w:rPr>
          <w:rFonts w:ascii="仿宋" w:hAnsi="仿宋" w:eastAsia="仿宋"/>
          <w:b/>
          <w:sz w:val="32"/>
          <w:szCs w:val="32"/>
        </w:rPr>
        <w:t>部门、单位基本情况</w:t>
      </w:r>
    </w:p>
    <w:p>
      <w:pPr>
        <w:pStyle w:val="9"/>
        <w:widowControl/>
        <w:spacing w:line="600" w:lineRule="exact"/>
        <w:ind w:left="1360" w:firstLine="0" w:firstLineChars="0"/>
        <w:rPr>
          <w:rFonts w:ascii="仿宋" w:hAnsi="仿宋" w:eastAsia="仿宋" w:cs="仿宋_GB2312"/>
          <w:color w:val="333333"/>
          <w:sz w:val="32"/>
          <w:szCs w:val="32"/>
        </w:rPr>
      </w:pPr>
      <w:r>
        <w:rPr>
          <w:rFonts w:hint="eastAsia" w:ascii="仿宋" w:hAnsi="仿宋" w:eastAsia="仿宋" w:cs="仿宋_GB2312"/>
          <w:color w:val="333333"/>
          <w:sz w:val="32"/>
          <w:szCs w:val="32"/>
        </w:rPr>
        <w:t>怀化</w:t>
      </w:r>
      <w:r>
        <w:rPr>
          <w:rFonts w:hint="eastAsia" w:ascii="仿宋" w:hAnsi="仿宋" w:eastAsia="仿宋" w:cs="仿宋_GB2312"/>
          <w:color w:val="333333"/>
          <w:sz w:val="32"/>
          <w:szCs w:val="32"/>
          <w:lang w:eastAsia="zh-CN"/>
        </w:rPr>
        <w:t>市华都</w:t>
      </w:r>
      <w:r>
        <w:rPr>
          <w:rFonts w:hint="eastAsia" w:ascii="仿宋" w:hAnsi="仿宋" w:eastAsia="仿宋" w:cs="仿宋_GB2312"/>
          <w:color w:val="333333"/>
          <w:sz w:val="32"/>
          <w:szCs w:val="32"/>
        </w:rPr>
        <w:t>小学成立于201</w:t>
      </w:r>
      <w:r>
        <w:rPr>
          <w:rFonts w:hint="eastAsia" w:ascii="仿宋" w:hAnsi="仿宋" w:eastAsia="仿宋" w:cs="仿宋_GB2312"/>
          <w:color w:val="333333"/>
          <w:sz w:val="32"/>
          <w:szCs w:val="32"/>
          <w:lang w:val="en-US" w:eastAsia="zh-CN"/>
        </w:rPr>
        <w:t>5</w:t>
      </w:r>
      <w:r>
        <w:rPr>
          <w:rFonts w:hint="eastAsia" w:ascii="仿宋" w:hAnsi="仿宋" w:eastAsia="仿宋" w:cs="仿宋_GB2312"/>
          <w:color w:val="333333"/>
          <w:sz w:val="32"/>
          <w:szCs w:val="32"/>
        </w:rPr>
        <w:t>年，承担了小学教育</w:t>
      </w:r>
    </w:p>
    <w:p>
      <w:pPr>
        <w:widowControl/>
        <w:spacing w:line="600" w:lineRule="exact"/>
        <w:rPr>
          <w:rFonts w:ascii="仿宋" w:hAnsi="仿宋" w:eastAsia="仿宋"/>
          <w:sz w:val="32"/>
          <w:szCs w:val="32"/>
        </w:rPr>
      </w:pPr>
      <w:r>
        <w:rPr>
          <w:rFonts w:hint="eastAsia" w:ascii="仿宋" w:hAnsi="仿宋" w:eastAsia="仿宋" w:cs="仿宋_GB2312"/>
          <w:color w:val="333333"/>
          <w:sz w:val="32"/>
          <w:szCs w:val="32"/>
        </w:rPr>
        <w:t>事务。</w:t>
      </w:r>
      <w:r>
        <w:rPr>
          <w:rFonts w:hint="eastAsia" w:ascii="仿宋" w:hAnsi="仿宋" w:eastAsia="仿宋" w:cs="仿宋_GB2312"/>
          <w:sz w:val="32"/>
          <w:szCs w:val="32"/>
        </w:rPr>
        <w:t>2020年部门预算编报范围包括一个机构。</w:t>
      </w:r>
      <w:r>
        <w:rPr>
          <w:rFonts w:hint="eastAsia" w:ascii="仿宋" w:hAnsi="仿宋" w:eastAsia="仿宋" w:cs="仿宋_GB2312"/>
          <w:sz w:val="32"/>
          <w:szCs w:val="32"/>
          <w:lang w:eastAsia="zh-CN"/>
        </w:rPr>
        <w:t>现有教职工</w:t>
      </w:r>
      <w:r>
        <w:rPr>
          <w:rFonts w:hint="eastAsia" w:ascii="仿宋" w:hAnsi="仿宋" w:eastAsia="仿宋" w:cs="仿宋_GB2312"/>
          <w:sz w:val="32"/>
          <w:szCs w:val="32"/>
          <w:lang w:val="en-US" w:eastAsia="zh-CN"/>
        </w:rPr>
        <w:t>103人，</w:t>
      </w:r>
      <w:r>
        <w:rPr>
          <w:rFonts w:hint="eastAsia" w:ascii="仿宋" w:hAnsi="仿宋" w:eastAsia="仿宋" w:cs="仿宋_GB2312"/>
          <w:sz w:val="32"/>
          <w:szCs w:val="32"/>
        </w:rPr>
        <w:t>包设立了</w:t>
      </w:r>
      <w:r>
        <w:rPr>
          <w:rFonts w:hint="eastAsia" w:ascii="仿宋" w:hAnsi="仿宋" w:eastAsia="仿宋" w:cs="仿宋_GB2312"/>
          <w:sz w:val="32"/>
          <w:szCs w:val="32"/>
          <w:lang w:val="en-US" w:eastAsia="zh-CN"/>
        </w:rPr>
        <w:t>8</w:t>
      </w:r>
      <w:r>
        <w:rPr>
          <w:rFonts w:hint="eastAsia" w:ascii="仿宋" w:hAnsi="仿宋" w:eastAsia="仿宋" w:cs="仿宋_GB2312"/>
          <w:sz w:val="32"/>
          <w:szCs w:val="32"/>
        </w:rPr>
        <w:t>个功能室：校长室、教导处、教研室、总务处、办公室、工会、德育处、</w:t>
      </w:r>
      <w:r>
        <w:rPr>
          <w:rFonts w:hint="eastAsia" w:ascii="仿宋" w:hAnsi="仿宋" w:eastAsia="仿宋" w:cs="仿宋_GB2312"/>
          <w:sz w:val="32"/>
          <w:szCs w:val="32"/>
          <w:lang w:eastAsia="zh-CN"/>
        </w:rPr>
        <w:t>财务室</w:t>
      </w:r>
      <w:r>
        <w:rPr>
          <w:rFonts w:hint="eastAsia" w:ascii="仿宋" w:hAnsi="仿宋" w:eastAsia="仿宋" w:cs="仿宋_GB2312"/>
          <w:sz w:val="32"/>
          <w:szCs w:val="32"/>
        </w:rPr>
        <w:t>。</w:t>
      </w:r>
    </w:p>
    <w:p>
      <w:pPr>
        <w:pStyle w:val="9"/>
        <w:widowControl/>
        <w:spacing w:line="600" w:lineRule="exact"/>
        <w:ind w:left="640" w:firstLine="0" w:firstLineChars="0"/>
        <w:rPr>
          <w:rFonts w:ascii="仿宋" w:hAnsi="仿宋" w:eastAsia="仿宋"/>
          <w:b/>
          <w:sz w:val="32"/>
          <w:szCs w:val="32"/>
        </w:rPr>
      </w:pPr>
      <w:r>
        <w:rPr>
          <w:rFonts w:hint="eastAsia" w:ascii="仿宋" w:hAnsi="仿宋" w:eastAsia="仿宋"/>
          <w:b/>
          <w:sz w:val="32"/>
          <w:szCs w:val="32"/>
        </w:rPr>
        <w:t>二、</w:t>
      </w:r>
      <w:r>
        <w:rPr>
          <w:rFonts w:ascii="仿宋" w:hAnsi="仿宋" w:eastAsia="仿宋"/>
          <w:b/>
          <w:sz w:val="32"/>
          <w:szCs w:val="32"/>
        </w:rPr>
        <w:t>一般公共预算支出情况</w:t>
      </w:r>
    </w:p>
    <w:p>
      <w:pPr>
        <w:pStyle w:val="9"/>
        <w:widowControl/>
        <w:spacing w:line="600" w:lineRule="exact"/>
        <w:ind w:left="640" w:firstLine="0" w:firstLineChars="0"/>
        <w:rPr>
          <w:rFonts w:ascii="仿宋" w:hAnsi="仿宋" w:eastAsia="仿宋"/>
          <w:sz w:val="32"/>
          <w:szCs w:val="32"/>
        </w:rPr>
      </w:pPr>
      <w:r>
        <w:rPr>
          <w:rFonts w:hint="eastAsia" w:ascii="仿宋" w:hAnsi="仿宋" w:eastAsia="仿宋"/>
          <w:sz w:val="32"/>
          <w:szCs w:val="32"/>
        </w:rPr>
        <w:t>（一）</w:t>
      </w:r>
      <w:r>
        <w:rPr>
          <w:rFonts w:ascii="仿宋" w:hAnsi="仿宋" w:eastAsia="仿宋"/>
          <w:sz w:val="32"/>
          <w:szCs w:val="32"/>
        </w:rPr>
        <w:t>基本支出情况</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2020年年初预算数为</w:t>
      </w:r>
      <w:r>
        <w:rPr>
          <w:rFonts w:hint="eastAsia" w:ascii="仿宋" w:hAnsi="仿宋" w:eastAsia="仿宋"/>
          <w:sz w:val="32"/>
          <w:szCs w:val="32"/>
          <w:lang w:val="en-US" w:eastAsia="zh-CN"/>
        </w:rPr>
        <w:t>1579.66</w:t>
      </w:r>
      <w:r>
        <w:rPr>
          <w:rFonts w:hint="eastAsia" w:ascii="仿宋" w:hAnsi="仿宋" w:eastAsia="仿宋"/>
          <w:sz w:val="32"/>
          <w:szCs w:val="32"/>
        </w:rPr>
        <w:t>万元，是指为保障单位机构正常运转、完成日常工作任务而发生的各项支出，包括用</w:t>
      </w:r>
      <w:r>
        <w:rPr>
          <w:rFonts w:hint="eastAsia" w:ascii="仿宋" w:hAnsi="仿宋" w:eastAsia="仿宋"/>
          <w:sz w:val="32"/>
          <w:szCs w:val="32"/>
          <w:lang w:eastAsia="zh-CN"/>
        </w:rPr>
        <w:t>于基本工资、津补贴等人员经费以及办公费、印刷费、水电费、物业管理费等日常公用经费。</w:t>
      </w:r>
    </w:p>
    <w:p>
      <w:pPr>
        <w:pStyle w:val="9"/>
        <w:widowControl/>
        <w:spacing w:line="600" w:lineRule="exact"/>
        <w:ind w:left="640" w:firstLine="0" w:firstLineChars="0"/>
        <w:rPr>
          <w:rFonts w:ascii="仿宋" w:hAnsi="仿宋" w:eastAsia="仿宋"/>
          <w:sz w:val="32"/>
          <w:szCs w:val="32"/>
        </w:rPr>
      </w:pPr>
      <w:r>
        <w:rPr>
          <w:rFonts w:hint="eastAsia" w:ascii="仿宋" w:hAnsi="仿宋" w:eastAsia="仿宋"/>
          <w:sz w:val="32"/>
          <w:szCs w:val="32"/>
        </w:rPr>
        <w:t>（二）</w:t>
      </w:r>
      <w:r>
        <w:rPr>
          <w:rFonts w:ascii="仿宋" w:hAnsi="仿宋" w:eastAsia="仿宋"/>
          <w:sz w:val="32"/>
          <w:szCs w:val="32"/>
        </w:rPr>
        <w:t>项目支出情况</w:t>
      </w:r>
    </w:p>
    <w:p>
      <w:pPr>
        <w:spacing w:line="560" w:lineRule="exact"/>
        <w:ind w:firstLine="640"/>
        <w:rPr>
          <w:rFonts w:ascii="仿宋" w:hAnsi="仿宋" w:eastAsia="仿宋"/>
          <w:sz w:val="32"/>
          <w:szCs w:val="32"/>
        </w:rPr>
      </w:pPr>
      <w:r>
        <w:rPr>
          <w:rFonts w:hint="eastAsia" w:ascii="仿宋" w:hAnsi="仿宋" w:eastAsia="仿宋"/>
          <w:sz w:val="32"/>
          <w:szCs w:val="32"/>
        </w:rPr>
        <w:t>2020年年初预算数为</w:t>
      </w:r>
      <w:r>
        <w:rPr>
          <w:rFonts w:hint="eastAsia" w:ascii="仿宋" w:hAnsi="仿宋" w:eastAsia="仿宋"/>
          <w:sz w:val="32"/>
          <w:szCs w:val="32"/>
          <w:lang w:val="en-US" w:eastAsia="zh-CN"/>
        </w:rPr>
        <w:t>9.936</w:t>
      </w:r>
      <w:r>
        <w:rPr>
          <w:rFonts w:hint="eastAsia" w:ascii="仿宋" w:hAnsi="仿宋" w:eastAsia="仿宋"/>
          <w:sz w:val="32"/>
          <w:szCs w:val="32"/>
        </w:rPr>
        <w:t>万元，</w:t>
      </w:r>
      <w:r>
        <w:rPr>
          <w:rFonts w:hint="eastAsia" w:ascii="仿宋" w:hAnsi="仿宋" w:eastAsia="仿宋"/>
          <w:sz w:val="32"/>
          <w:szCs w:val="32"/>
          <w:lang w:eastAsia="zh-CN"/>
        </w:rPr>
        <w:t>用于学校</w:t>
      </w:r>
      <w:r>
        <w:rPr>
          <w:rFonts w:hint="eastAsia" w:ascii="仿宋" w:hAnsi="仿宋" w:eastAsia="仿宋"/>
          <w:sz w:val="32"/>
          <w:szCs w:val="32"/>
          <w:lang w:val="en-US" w:eastAsia="zh-CN"/>
        </w:rPr>
        <w:t>4名保安全年工资</w:t>
      </w:r>
      <w:r>
        <w:rPr>
          <w:rFonts w:hint="eastAsia" w:ascii="仿宋" w:hAnsi="仿宋" w:eastAsia="仿宋"/>
          <w:sz w:val="32"/>
          <w:szCs w:val="32"/>
        </w:rPr>
        <w:t>。</w:t>
      </w:r>
    </w:p>
    <w:p>
      <w:pPr>
        <w:widowControl/>
        <w:spacing w:line="600" w:lineRule="exact"/>
        <w:ind w:firstLine="643" w:firstLineChars="200"/>
        <w:jc w:val="left"/>
        <w:rPr>
          <w:rFonts w:ascii="仿宋" w:hAnsi="仿宋" w:eastAsia="仿宋"/>
          <w:b/>
          <w:sz w:val="32"/>
          <w:szCs w:val="32"/>
        </w:rPr>
      </w:pPr>
      <w:r>
        <w:rPr>
          <w:rFonts w:hint="eastAsia" w:ascii="仿宋" w:hAnsi="仿宋" w:eastAsia="仿宋"/>
          <w:b/>
          <w:sz w:val="32"/>
          <w:szCs w:val="32"/>
        </w:rPr>
        <w:t>三、</w:t>
      </w:r>
      <w:r>
        <w:rPr>
          <w:rFonts w:ascii="仿宋" w:hAnsi="仿宋" w:eastAsia="仿宋"/>
          <w:b/>
          <w:sz w:val="32"/>
          <w:szCs w:val="32"/>
        </w:rPr>
        <w:t>政府性基金预算支出情况</w:t>
      </w:r>
    </w:p>
    <w:p>
      <w:pPr>
        <w:pStyle w:val="9"/>
        <w:widowControl/>
        <w:spacing w:line="600" w:lineRule="exact"/>
        <w:ind w:left="640" w:firstLine="0" w:firstLineChars="0"/>
        <w:jc w:val="left"/>
        <w:rPr>
          <w:rFonts w:ascii="仿宋" w:hAnsi="仿宋" w:eastAsia="仿宋" w:cs="仿宋_GB2312"/>
          <w:sz w:val="32"/>
          <w:szCs w:val="32"/>
        </w:rPr>
      </w:pPr>
      <w:r>
        <w:rPr>
          <w:rFonts w:hint="eastAsia" w:ascii="仿宋" w:hAnsi="仿宋" w:eastAsia="仿宋" w:cs="仿宋_GB2312"/>
          <w:sz w:val="32"/>
          <w:szCs w:val="32"/>
        </w:rPr>
        <w:t>2020年度政府性基金预算支出0万元。</w:t>
      </w:r>
    </w:p>
    <w:p>
      <w:pPr>
        <w:pStyle w:val="9"/>
        <w:widowControl/>
        <w:spacing w:line="600" w:lineRule="exact"/>
        <w:ind w:left="640" w:firstLine="0" w:firstLineChars="0"/>
        <w:jc w:val="left"/>
        <w:rPr>
          <w:rFonts w:ascii="仿宋" w:hAnsi="仿宋" w:eastAsia="仿宋"/>
          <w:b/>
          <w:sz w:val="32"/>
          <w:szCs w:val="32"/>
        </w:rPr>
      </w:pPr>
      <w:r>
        <w:rPr>
          <w:rFonts w:hint="eastAsia" w:ascii="仿宋" w:hAnsi="仿宋" w:eastAsia="仿宋"/>
          <w:b/>
          <w:sz w:val="32"/>
          <w:szCs w:val="32"/>
        </w:rPr>
        <w:t>四、</w:t>
      </w:r>
      <w:r>
        <w:rPr>
          <w:rFonts w:ascii="仿宋" w:hAnsi="仿宋" w:eastAsia="仿宋"/>
          <w:b/>
          <w:sz w:val="32"/>
          <w:szCs w:val="32"/>
        </w:rPr>
        <w:t>国有资本经营预算支出情况</w:t>
      </w:r>
    </w:p>
    <w:p>
      <w:pPr>
        <w:pStyle w:val="9"/>
        <w:widowControl/>
        <w:spacing w:line="600" w:lineRule="exact"/>
        <w:ind w:left="640" w:firstLine="0" w:firstLineChars="0"/>
        <w:jc w:val="left"/>
        <w:rPr>
          <w:rFonts w:ascii="仿宋" w:hAnsi="仿宋" w:eastAsia="仿宋" w:cs="仿宋_GB2312"/>
          <w:sz w:val="32"/>
          <w:szCs w:val="32"/>
        </w:rPr>
      </w:pPr>
      <w:r>
        <w:rPr>
          <w:rFonts w:hint="eastAsia" w:ascii="仿宋" w:hAnsi="仿宋" w:eastAsia="仿宋" w:cs="仿宋_GB2312"/>
          <w:sz w:val="32"/>
          <w:szCs w:val="32"/>
        </w:rPr>
        <w:t>2020年度国有资本经营预算支出0万元。</w:t>
      </w:r>
    </w:p>
    <w:p>
      <w:pPr>
        <w:pStyle w:val="9"/>
        <w:widowControl/>
        <w:numPr>
          <w:ilvl w:val="0"/>
          <w:numId w:val="2"/>
        </w:numPr>
        <w:spacing w:line="600" w:lineRule="exact"/>
        <w:ind w:left="640" w:firstLine="0" w:firstLineChars="0"/>
        <w:jc w:val="left"/>
        <w:rPr>
          <w:rFonts w:ascii="仿宋" w:hAnsi="仿宋" w:eastAsia="仿宋"/>
          <w:sz w:val="32"/>
          <w:szCs w:val="32"/>
        </w:rPr>
      </w:pPr>
      <w:r>
        <w:rPr>
          <w:rFonts w:ascii="仿宋" w:hAnsi="仿宋" w:eastAsia="仿宋"/>
          <w:b/>
          <w:sz w:val="32"/>
          <w:szCs w:val="32"/>
        </w:rPr>
        <w:t>社会保险基金预算</w:t>
      </w:r>
      <w:r>
        <w:rPr>
          <w:rFonts w:hint="eastAsia" w:ascii="仿宋" w:hAnsi="仿宋" w:eastAsia="仿宋"/>
          <w:b/>
          <w:sz w:val="32"/>
          <w:szCs w:val="32"/>
          <w:lang w:eastAsia="zh-CN"/>
        </w:rPr>
        <w:t>支出情况</w:t>
      </w:r>
      <w:r>
        <w:rPr>
          <w:rFonts w:ascii="仿宋" w:hAnsi="仿宋" w:eastAsia="仿宋"/>
          <w:sz w:val="32"/>
          <w:szCs w:val="32"/>
        </w:rPr>
        <w:t>。</w:t>
      </w:r>
    </w:p>
    <w:p>
      <w:pPr>
        <w:pStyle w:val="9"/>
        <w:widowControl/>
        <w:numPr>
          <w:ilvl w:val="0"/>
          <w:numId w:val="0"/>
        </w:numPr>
        <w:spacing w:line="600" w:lineRule="exact"/>
        <w:ind w:left="640" w:leftChars="0"/>
        <w:jc w:val="left"/>
        <w:rPr>
          <w:rFonts w:hint="default" w:ascii="仿宋" w:hAnsi="仿宋" w:eastAsia="仿宋"/>
          <w:sz w:val="32"/>
          <w:szCs w:val="32"/>
          <w:lang w:val="en-US" w:eastAsia="zh-CN"/>
        </w:rPr>
      </w:pPr>
      <w:r>
        <w:rPr>
          <w:rFonts w:hint="eastAsia" w:ascii="仿宋" w:hAnsi="仿宋" w:eastAsia="仿宋"/>
          <w:sz w:val="32"/>
          <w:szCs w:val="32"/>
          <w:lang w:val="en-US" w:eastAsia="zh-CN"/>
        </w:rPr>
        <w:t>2020年我校无社会社会保险基金预算支出。</w:t>
      </w:r>
    </w:p>
    <w:p>
      <w:pPr>
        <w:widowControl/>
        <w:spacing w:line="600" w:lineRule="exact"/>
        <w:ind w:firstLine="645"/>
        <w:jc w:val="left"/>
        <w:rPr>
          <w:rFonts w:ascii="仿宋" w:hAnsi="仿宋" w:eastAsia="仿宋"/>
          <w:b/>
          <w:sz w:val="32"/>
          <w:szCs w:val="32"/>
        </w:rPr>
      </w:pPr>
      <w:r>
        <w:rPr>
          <w:rFonts w:ascii="仿宋" w:hAnsi="仿宋" w:eastAsia="仿宋"/>
          <w:b/>
          <w:sz w:val="32"/>
          <w:szCs w:val="32"/>
        </w:rPr>
        <w:t>六、部门整体支出绩效情况</w:t>
      </w:r>
    </w:p>
    <w:p>
      <w:pPr>
        <w:pStyle w:val="4"/>
        <w:spacing w:before="0" w:beforeAutospacing="0" w:after="0" w:afterAutospacing="0" w:line="480" w:lineRule="auto"/>
        <w:ind w:firstLine="640" w:firstLineChars="200"/>
        <w:rPr>
          <w:rFonts w:hint="default" w:ascii="仿宋" w:hAnsi="仿宋" w:eastAsia="仿宋" w:cs="仿宋_GB2312"/>
          <w:color w:val="333333"/>
          <w:sz w:val="32"/>
          <w:szCs w:val="32"/>
          <w:lang w:val="en-US" w:eastAsia="zh-CN"/>
        </w:rPr>
      </w:pPr>
      <w:r>
        <w:rPr>
          <w:rFonts w:hint="eastAsia" w:ascii="仿宋" w:hAnsi="仿宋" w:eastAsia="仿宋" w:cs="仿宋_GB2312"/>
          <w:color w:val="333333"/>
          <w:sz w:val="32"/>
          <w:szCs w:val="32"/>
        </w:rPr>
        <w:t>2020年我校所有财政性资金、专项资金都纳入绩效管理的范围。我校各项开支严格执行预算，控制成本，开源节流，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r>
        <w:rPr>
          <w:rFonts w:hint="eastAsia" w:ascii="仿宋" w:hAnsi="仿宋" w:eastAsia="仿宋" w:cs="仿宋_GB2312"/>
          <w:color w:val="333333"/>
          <w:sz w:val="32"/>
          <w:szCs w:val="32"/>
          <w:lang w:val="en-US" w:eastAsia="zh-CN"/>
        </w:rPr>
        <w:t>2020年部门整体支出绩效评价单位自评得分为98分。</w:t>
      </w:r>
    </w:p>
    <w:p>
      <w:pPr>
        <w:pStyle w:val="9"/>
        <w:widowControl/>
        <w:spacing w:line="600" w:lineRule="exact"/>
        <w:ind w:left="640" w:firstLine="0" w:firstLineChars="0"/>
        <w:jc w:val="left"/>
        <w:rPr>
          <w:rFonts w:ascii="仿宋" w:hAnsi="仿宋" w:eastAsia="仿宋" w:cs="仿宋_GB2312"/>
          <w:color w:val="333333"/>
          <w:sz w:val="32"/>
          <w:szCs w:val="32"/>
        </w:rPr>
      </w:pPr>
      <w:r>
        <w:rPr>
          <w:rFonts w:hint="eastAsia" w:ascii="仿宋" w:hAnsi="仿宋" w:eastAsia="仿宋"/>
          <w:b/>
          <w:sz w:val="32"/>
          <w:szCs w:val="32"/>
        </w:rPr>
        <w:t>七、</w:t>
      </w:r>
      <w:r>
        <w:rPr>
          <w:rFonts w:ascii="仿宋" w:hAnsi="仿宋" w:eastAsia="仿宋"/>
          <w:b/>
          <w:sz w:val="32"/>
          <w:szCs w:val="32"/>
        </w:rPr>
        <w:t>存在的问题及原因分析</w:t>
      </w:r>
    </w:p>
    <w:p>
      <w:pPr>
        <w:pStyle w:val="4"/>
        <w:spacing w:before="0" w:beforeAutospacing="0" w:after="0" w:afterAutospacing="0" w:line="480" w:lineRule="auto"/>
        <w:ind w:firstLine="480"/>
        <w:rPr>
          <w:rFonts w:hint="eastAsia" w:ascii="仿宋" w:hAnsi="仿宋" w:eastAsia="仿宋" w:cs="仿宋_GB2312"/>
          <w:sz w:val="32"/>
          <w:szCs w:val="32"/>
        </w:rPr>
      </w:pPr>
      <w:r>
        <w:rPr>
          <w:rFonts w:hint="eastAsia" w:ascii="仿宋" w:hAnsi="仿宋" w:eastAsia="仿宋" w:cs="仿宋_GB2312"/>
          <w:color w:val="333333"/>
          <w:sz w:val="32"/>
          <w:szCs w:val="32"/>
          <w:lang w:val="en-US" w:eastAsia="zh-CN"/>
        </w:rPr>
        <w:t>1</w:t>
      </w:r>
      <w:r>
        <w:rPr>
          <w:rFonts w:hint="eastAsia" w:ascii="仿宋" w:hAnsi="仿宋" w:eastAsia="仿宋" w:cs="仿宋_GB2312"/>
          <w:color w:val="333333"/>
          <w:sz w:val="32"/>
          <w:szCs w:val="32"/>
        </w:rPr>
        <w:t>、</w:t>
      </w:r>
      <w:r>
        <w:rPr>
          <w:rFonts w:hint="eastAsia" w:ascii="仿宋" w:hAnsi="仿宋" w:eastAsia="仿宋" w:cs="仿宋_GB2312"/>
          <w:sz w:val="32"/>
          <w:szCs w:val="32"/>
        </w:rPr>
        <w:t>学校财务人员对新的财务专业知识仍然处在摸索阶段，专业不精，有待进一步加强学习。</w:t>
      </w:r>
    </w:p>
    <w:p>
      <w:pPr>
        <w:pStyle w:val="4"/>
        <w:spacing w:before="0" w:beforeAutospacing="0" w:after="0" w:afterAutospacing="0" w:line="480" w:lineRule="auto"/>
        <w:ind w:firstLine="480"/>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2、绩效管理水平有待提高。</w:t>
      </w:r>
    </w:p>
    <w:p>
      <w:pPr>
        <w:widowControl/>
        <w:spacing w:line="600" w:lineRule="exact"/>
        <w:ind w:firstLine="640" w:firstLineChars="200"/>
        <w:jc w:val="left"/>
        <w:rPr>
          <w:rFonts w:ascii="仿宋" w:hAnsi="仿宋" w:eastAsia="仿宋"/>
          <w:sz w:val="32"/>
          <w:szCs w:val="32"/>
        </w:rPr>
      </w:pPr>
      <w:r>
        <w:rPr>
          <w:rFonts w:ascii="仿宋" w:hAnsi="仿宋" w:eastAsia="仿宋"/>
          <w:sz w:val="32"/>
          <w:szCs w:val="32"/>
        </w:rPr>
        <w:t>八、下一步改进措施</w:t>
      </w:r>
    </w:p>
    <w:p>
      <w:pPr>
        <w:pStyle w:val="4"/>
        <w:spacing w:before="0" w:beforeAutospacing="0" w:after="0" w:afterAutospacing="0" w:line="480" w:lineRule="auto"/>
        <w:ind w:firstLine="480"/>
        <w:rPr>
          <w:rFonts w:hint="eastAsia" w:ascii="仿宋" w:hAnsi="仿宋" w:eastAsia="仿宋" w:cs="仿宋_GB2312"/>
          <w:color w:val="333333"/>
          <w:sz w:val="32"/>
          <w:szCs w:val="32"/>
          <w:lang w:eastAsia="zh-CN"/>
        </w:rPr>
      </w:pPr>
      <w:r>
        <w:rPr>
          <w:rFonts w:hint="eastAsia" w:ascii="仿宋" w:hAnsi="仿宋" w:eastAsia="仿宋" w:cs="仿宋_GB2312"/>
          <w:color w:val="333333"/>
          <w:sz w:val="32"/>
          <w:szCs w:val="32"/>
        </w:rPr>
        <w:t>1、</w:t>
      </w:r>
      <w:r>
        <w:rPr>
          <w:rFonts w:hint="eastAsia" w:ascii="仿宋" w:hAnsi="仿宋" w:eastAsia="仿宋" w:cs="仿宋_GB2312"/>
          <w:color w:val="333333"/>
          <w:sz w:val="32"/>
          <w:szCs w:val="32"/>
          <w:lang w:eastAsia="zh-CN"/>
        </w:rPr>
        <w:t>加强业务学习</w:t>
      </w:r>
      <w:r>
        <w:rPr>
          <w:rFonts w:hint="eastAsia" w:ascii="仿宋" w:hAnsi="仿宋" w:eastAsia="仿宋" w:cs="仿宋_GB2312"/>
          <w:color w:val="333333"/>
          <w:sz w:val="32"/>
          <w:szCs w:val="32"/>
        </w:rPr>
        <w:t>.</w:t>
      </w:r>
      <w:r>
        <w:rPr>
          <w:rFonts w:hint="eastAsia" w:ascii="仿宋" w:hAnsi="仿宋" w:eastAsia="仿宋" w:cs="仿宋_GB2312"/>
          <w:color w:val="333333"/>
          <w:sz w:val="32"/>
          <w:szCs w:val="32"/>
          <w:lang w:eastAsia="zh-CN"/>
        </w:rPr>
        <w:t>不断提高财务人员的业务水平。</w:t>
      </w:r>
    </w:p>
    <w:p>
      <w:pPr>
        <w:pStyle w:val="4"/>
        <w:spacing w:before="0" w:beforeAutospacing="0" w:after="0" w:afterAutospacing="0" w:line="480" w:lineRule="auto"/>
        <w:ind w:firstLine="480"/>
        <w:rPr>
          <w:rFonts w:ascii="仿宋" w:hAnsi="仿宋" w:eastAsia="仿宋" w:cs="仿宋_GB2312"/>
          <w:color w:val="333333"/>
          <w:sz w:val="32"/>
          <w:szCs w:val="32"/>
        </w:rPr>
      </w:pPr>
      <w:r>
        <w:rPr>
          <w:rFonts w:hint="eastAsia" w:ascii="仿宋" w:hAnsi="仿宋" w:eastAsia="仿宋" w:cs="仿宋_GB2312"/>
          <w:color w:val="333333"/>
          <w:sz w:val="32"/>
          <w:szCs w:val="32"/>
        </w:rPr>
        <w:t>2、加强绩效评价管理评价的可操作性，对相关业务人员进行相关培训，以提高业务知识水平。</w:t>
      </w:r>
    </w:p>
    <w:p>
      <w:pPr>
        <w:widowControl/>
        <w:spacing w:line="600" w:lineRule="exact"/>
        <w:ind w:firstLine="640" w:firstLineChars="200"/>
        <w:jc w:val="left"/>
        <w:rPr>
          <w:rFonts w:ascii="仿宋_GB2312" w:hAnsi="仿宋_GB2312" w:eastAsia="仿宋_GB2312" w:cs="仿宋_GB2312"/>
          <w:sz w:val="32"/>
          <w:szCs w:val="32"/>
        </w:rPr>
      </w:pPr>
    </w:p>
    <w:p>
      <w:pPr>
        <w:widowControl/>
        <w:spacing w:line="600" w:lineRule="exact"/>
        <w:ind w:firstLine="645"/>
        <w:jc w:val="left"/>
        <w:rPr>
          <w:rFonts w:eastAsia="仿宋_GB2312"/>
          <w:sz w:val="32"/>
          <w:szCs w:val="32"/>
        </w:rPr>
      </w:pPr>
    </w:p>
    <w:p>
      <w:pPr>
        <w:widowControl/>
        <w:spacing w:line="600" w:lineRule="exact"/>
        <w:jc w:val="left"/>
        <w:rPr>
          <w:rFonts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51D2E5"/>
    <w:multiLevelType w:val="singleLevel"/>
    <w:tmpl w:val="7D51D2E5"/>
    <w:lvl w:ilvl="0" w:tentative="0">
      <w:start w:val="5"/>
      <w:numFmt w:val="chineseCounting"/>
      <w:suff w:val="nothing"/>
      <w:lvlText w:val="%1、"/>
      <w:lvlJc w:val="left"/>
      <w:rPr>
        <w:rFonts w:hint="eastAsia"/>
      </w:rPr>
    </w:lvl>
  </w:abstractNum>
  <w:abstractNum w:abstractNumId="1">
    <w:nsid w:val="7F274885"/>
    <w:multiLevelType w:val="multilevel"/>
    <w:tmpl w:val="7F27488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266637"/>
    <w:rsid w:val="0031755D"/>
    <w:rsid w:val="003711D0"/>
    <w:rsid w:val="00377767"/>
    <w:rsid w:val="00377A33"/>
    <w:rsid w:val="003E5114"/>
    <w:rsid w:val="004158EB"/>
    <w:rsid w:val="00426627"/>
    <w:rsid w:val="0047647C"/>
    <w:rsid w:val="004F60C9"/>
    <w:rsid w:val="005833DD"/>
    <w:rsid w:val="00595424"/>
    <w:rsid w:val="005A4AB0"/>
    <w:rsid w:val="00614437"/>
    <w:rsid w:val="006370F0"/>
    <w:rsid w:val="006811E5"/>
    <w:rsid w:val="006D0CBB"/>
    <w:rsid w:val="00731B5E"/>
    <w:rsid w:val="00786122"/>
    <w:rsid w:val="007B54D9"/>
    <w:rsid w:val="0087476C"/>
    <w:rsid w:val="00887C00"/>
    <w:rsid w:val="008A4834"/>
    <w:rsid w:val="008D7141"/>
    <w:rsid w:val="009D4AE4"/>
    <w:rsid w:val="00A045A1"/>
    <w:rsid w:val="00A070E1"/>
    <w:rsid w:val="00A317C9"/>
    <w:rsid w:val="00A75C37"/>
    <w:rsid w:val="00A93CF9"/>
    <w:rsid w:val="00AA700A"/>
    <w:rsid w:val="00B364CE"/>
    <w:rsid w:val="00BB6107"/>
    <w:rsid w:val="00BD1C3A"/>
    <w:rsid w:val="00C25716"/>
    <w:rsid w:val="00C3391C"/>
    <w:rsid w:val="00C344EC"/>
    <w:rsid w:val="00C364C0"/>
    <w:rsid w:val="00C4552C"/>
    <w:rsid w:val="00C72139"/>
    <w:rsid w:val="00C75FC8"/>
    <w:rsid w:val="00CC4C2C"/>
    <w:rsid w:val="00CD20A2"/>
    <w:rsid w:val="00D10324"/>
    <w:rsid w:val="00D6016D"/>
    <w:rsid w:val="00E127F9"/>
    <w:rsid w:val="00E50869"/>
    <w:rsid w:val="00EA0626"/>
    <w:rsid w:val="00F1432F"/>
    <w:rsid w:val="00F55CD7"/>
    <w:rsid w:val="00F83B39"/>
    <w:rsid w:val="00FC7FE9"/>
    <w:rsid w:val="00FE695A"/>
    <w:rsid w:val="05DE0489"/>
    <w:rsid w:val="0B8024A8"/>
    <w:rsid w:val="0C264632"/>
    <w:rsid w:val="133C4B4F"/>
    <w:rsid w:val="13F45253"/>
    <w:rsid w:val="15E642F9"/>
    <w:rsid w:val="178C66A6"/>
    <w:rsid w:val="278A14F5"/>
    <w:rsid w:val="30092D22"/>
    <w:rsid w:val="34266E78"/>
    <w:rsid w:val="378700CB"/>
    <w:rsid w:val="393C415C"/>
    <w:rsid w:val="3A93359B"/>
    <w:rsid w:val="3BA737C5"/>
    <w:rsid w:val="4CA8108C"/>
    <w:rsid w:val="51BD5B0A"/>
    <w:rsid w:val="66622FF9"/>
    <w:rsid w:val="66965352"/>
    <w:rsid w:val="670F5F71"/>
    <w:rsid w:val="67B02EB2"/>
    <w:rsid w:val="6BE515D1"/>
    <w:rsid w:val="6C420C68"/>
    <w:rsid w:val="6F1404E7"/>
    <w:rsid w:val="785958F5"/>
    <w:rsid w:val="7B230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F8AC1B-1083-4D79-8AB0-CBF43A6D043C}">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834</Words>
  <Characters>4760</Characters>
  <Lines>39</Lines>
  <Paragraphs>11</Paragraphs>
  <TotalTime>266</TotalTime>
  <ScaleCrop>false</ScaleCrop>
  <LinksUpToDate>false</LinksUpToDate>
  <CharactersWithSpaces>5583</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2021-07-01T04:26:00Z</cp:lastPrinted>
  <dcterms:modified xsi:type="dcterms:W3CDTF">2021-06-24T01:34:33Z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6650F265D2B4454AA42BECFCE5996B92</vt:lpwstr>
  </property>
</Properties>
</file>