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lang w:val="en-US" w:eastAsia="zh-CN"/>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lang w:eastAsia="zh-CN"/>
              </w:rPr>
              <w:t>。</w:t>
            </w:r>
          </w:p>
          <w:p>
            <w:pPr>
              <w:spacing w:line="320" w:lineRule="exact"/>
              <w:ind w:left="105" w:leftChars="50" w:right="105" w:rightChars="50"/>
              <w:rPr>
                <w:rFonts w:ascii="仿宋_GB2312" w:eastAsia="仿宋_GB2312"/>
                <w:szCs w:val="21"/>
              </w:rPr>
            </w:pP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r>
              <w:rPr>
                <w:rFonts w:hint="eastAsia" w:ascii="仿宋_GB2312" w:eastAsia="仿宋_GB2312"/>
                <w:szCs w:val="21"/>
                <w:lang w:val="en-US" w:eastAsia="zh-CN"/>
              </w:rPr>
              <w:t>=</w:t>
            </w:r>
            <w:r>
              <w:rPr>
                <w:rFonts w:hint="eastAsia" w:ascii="仿宋_GB2312" w:eastAsia="仿宋_GB2312"/>
                <w:szCs w:val="21"/>
              </w:rPr>
              <w:t>。</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91.5分</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524.24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305.35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258.01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25.67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44.24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74.76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12.17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4.81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rPr>
            </w:pPr>
            <w:r>
              <w:rPr>
                <w:rFonts w:hint="eastAsia" w:ascii="仿宋" w:hAnsi="仿宋" w:eastAsia="仿宋"/>
                <w:lang w:val="en-US" w:eastAsia="zh-CN"/>
              </w:rPr>
              <w:t>4.44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1.部门职责</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为城市建设工程建筑垃圾科学调剂提供保障；负责辖区内建设工地的建筑垃圾运输、倾倒、中转、回填、消纳、利用等管理；依法对建筑垃圾处置进行行政许可，依法对违规、违章运输建筑垃圾行为进行处罚；负责辖区内消纳场建设、建筑垃圾调剂、储备；建筑工地垃圾进出口现场管理。</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2.机构设置情况</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我办作为一级部门预算单位，内设6个股室，分别为为：综合股、车管股、法制股、督查股、工管股、财务股。同时设立直属机构5个，怀化市鹤城区渣土管理办公室城中大队、迎丰大队、城东大队、城南大队、装饰装修大队。</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2020年基本支出530.82万元，其中：工资福利支出443.4万元，商品和服务支出74.68万元，对个人和家庭的补助支出12.74万元。</w:t>
      </w:r>
    </w:p>
    <w:p>
      <w:pPr>
        <w:ind w:firstLine="560" w:firstLineChars="200"/>
        <w:rPr>
          <w:rFonts w:hint="eastAsia" w:cs="黑体" w:asciiTheme="minorEastAsia" w:hAnsiTheme="minorEastAsia" w:eastAsiaTheme="minorEastAsia"/>
          <w:color w:val="000000"/>
          <w:kern w:val="0"/>
          <w:sz w:val="28"/>
          <w:szCs w:val="32"/>
          <w:lang w:val="en-US" w:eastAsia="zh-CN" w:bidi="ar-SA"/>
        </w:rPr>
      </w:pPr>
      <w:r>
        <w:rPr>
          <w:rFonts w:hint="eastAsia" w:cs="黑体" w:asciiTheme="minorEastAsia" w:hAnsiTheme="minorEastAsia" w:eastAsiaTheme="minorEastAsia"/>
          <w:color w:val="000000"/>
          <w:kern w:val="0"/>
          <w:sz w:val="28"/>
          <w:szCs w:val="32"/>
          <w:lang w:val="en-US" w:eastAsia="zh-CN" w:bidi="ar-SA"/>
        </w:rPr>
        <w:t>“三公”经费支出0万元，其中：公务用车运行维护费0万元，公务接待费0万元。</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560" w:firstLineChars="200"/>
        <w:rPr>
          <w:rFonts w:hint="default" w:cs="黑体" w:asciiTheme="minorEastAsia" w:hAnsiTheme="minorEastAsia" w:eastAsiaTheme="minorEastAsia"/>
          <w:color w:val="auto"/>
          <w:kern w:val="0"/>
          <w:sz w:val="28"/>
          <w:szCs w:val="32"/>
          <w:highlight w:val="none"/>
          <w:lang w:val="en-US" w:eastAsia="zh-CN" w:bidi="ar-SA"/>
        </w:rPr>
      </w:pPr>
      <w:r>
        <w:rPr>
          <w:rFonts w:hint="eastAsia" w:cs="黑体" w:asciiTheme="minorEastAsia" w:hAnsiTheme="minorEastAsia" w:eastAsiaTheme="minorEastAsia"/>
          <w:color w:val="auto"/>
          <w:kern w:val="0"/>
          <w:sz w:val="28"/>
          <w:szCs w:val="32"/>
          <w:highlight w:val="none"/>
          <w:lang w:val="en-US" w:eastAsia="zh-CN" w:bidi="ar-SA"/>
        </w:rPr>
        <w:t>2020年度财政拨付项目经费305.35万元，其中：渣土整治专项经费252.28万元，公益性岗位人员补贴32.76万元，月绩效考核奖（300/人）20.31万元。</w:t>
      </w:r>
    </w:p>
    <w:p>
      <w:pPr>
        <w:ind w:firstLine="560" w:firstLineChars="200"/>
        <w:rPr>
          <w:rFonts w:hint="default" w:cs="黑体" w:asciiTheme="minorEastAsia" w:hAnsiTheme="minorEastAsia" w:eastAsiaTheme="minorEastAsia"/>
          <w:color w:val="auto"/>
          <w:kern w:val="0"/>
          <w:sz w:val="28"/>
          <w:szCs w:val="32"/>
          <w:highlight w:val="none"/>
          <w:lang w:val="en-US" w:eastAsia="zh-CN" w:bidi="ar-SA"/>
        </w:rPr>
      </w:pPr>
      <w:r>
        <w:rPr>
          <w:rFonts w:hint="eastAsia" w:cs="黑体" w:asciiTheme="minorEastAsia" w:hAnsiTheme="minorEastAsia" w:eastAsiaTheme="minorEastAsia"/>
          <w:color w:val="auto"/>
          <w:kern w:val="0"/>
          <w:sz w:val="28"/>
          <w:szCs w:val="32"/>
          <w:highlight w:val="none"/>
          <w:lang w:val="en-US" w:eastAsia="zh-CN" w:bidi="ar-SA"/>
        </w:rPr>
        <w:t>2020年度项目经费支出258.01万元，其中：渣土整治专项经费206.69万元，公益性岗位人员补贴及工资31.01万元，月绩效考核奖（300/人）20.31万元。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无</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9"/>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无</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无</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2020年部门整体支出绩效目标：确保鹤城区2020年渣土管理工作正常运行。</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2020年部门整体支出绩效自评：我办严格执行财经纪律管理规定，确保了单位正常运行和重大项目实施，较好地完成了2020年部门整体支出绩效目标，目标任务基本完成。</w:t>
      </w:r>
    </w:p>
    <w:p>
      <w:pPr>
        <w:widowControl/>
        <w:spacing w:line="600" w:lineRule="exact"/>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存在的问题：预算执行方面还存在问题和不足。</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原因分析：预决算编制要求，实际执行率有偏差，为涉改单位，执法职能业务因硬件等条件有所限制。长期绩效目标和年度绩效目标，项目绩效指标不够全面。</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both"/>
        <w:rPr>
          <w:rFonts w:hint="eastAsia" w:eastAsia="仿宋_GB2312"/>
          <w:sz w:val="32"/>
          <w:szCs w:val="32"/>
          <w:lang w:val="en-US" w:eastAsia="zh-CN"/>
        </w:rPr>
      </w:pPr>
      <w:r>
        <w:rPr>
          <w:rFonts w:hint="eastAsia" w:eastAsia="仿宋_GB2312"/>
          <w:sz w:val="32"/>
          <w:szCs w:val="32"/>
          <w:lang w:val="en-US" w:eastAsia="zh-CN"/>
        </w:rPr>
        <w:t>进一步加强预算资金管理，减少预算资金使用的随意性，对预算的事前、事中、事后进行全过程控制，加大对预算编制与执行的监督管理力度，提高预算资金使用效率。同时，提高各单位人员对预算资金使用效益的认识，把预算资金是否发挥使用效益与各岗位是否履职尽责相结合，将预算资金使用的效率和效益作为对各岗位人员工作考核评价的重要内容之一。</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042"/>
        <w:gridCol w:w="1092"/>
        <w:gridCol w:w="962"/>
        <w:gridCol w:w="873"/>
        <w:gridCol w:w="1418"/>
      </w:tblGrid>
      <w:tr>
        <w:tblPrEx>
          <w:tblCellMar>
            <w:top w:w="0" w:type="dxa"/>
            <w:left w:w="108" w:type="dxa"/>
            <w:bottom w:w="0" w:type="dxa"/>
            <w:right w:w="108" w:type="dxa"/>
          </w:tblCellMar>
        </w:tblPrEx>
        <w:trPr>
          <w:trHeight w:val="486"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渣土整治专项经费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253"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9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96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252.28</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252.28</w:t>
            </w:r>
          </w:p>
        </w:tc>
        <w:tc>
          <w:tcPr>
            <w:tcW w:w="109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206.69</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82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82</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对负责的城区路段清理渣土污染，路面巡逻执法及渣土专项整治、渣土消纳填埋加强整治力度，确保城区路面污染越来越少，渣土车辆运输越来越规范。</w:t>
            </w:r>
            <w:r>
              <w:rPr>
                <w:rFonts w:eastAsia="仿宋_GB2312"/>
                <w:color w:val="000000"/>
                <w:kern w:val="0"/>
                <w:szCs w:val="21"/>
              </w:rPr>
              <w:t>　</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 w:val="20"/>
                <w:szCs w:val="21"/>
              </w:rPr>
              <w:t>较好完成20</w:t>
            </w:r>
            <w:r>
              <w:rPr>
                <w:rFonts w:hint="eastAsia" w:eastAsia="仿宋_GB2312"/>
                <w:color w:val="000000"/>
                <w:kern w:val="0"/>
                <w:sz w:val="20"/>
                <w:szCs w:val="21"/>
                <w:lang w:val="en-US" w:eastAsia="zh-CN"/>
              </w:rPr>
              <w:t>20</w:t>
            </w:r>
            <w:r>
              <w:rPr>
                <w:rFonts w:hint="eastAsia" w:eastAsia="仿宋_GB2312"/>
                <w:color w:val="000000"/>
                <w:kern w:val="0"/>
                <w:sz w:val="20"/>
                <w:szCs w:val="21"/>
              </w:rPr>
              <w:t>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lang w:val="en-US" w:eastAsia="zh-CN"/>
              </w:rPr>
              <w:t>1、</w:t>
            </w:r>
            <w:r>
              <w:rPr>
                <w:rFonts w:hint="eastAsia" w:eastAsia="仿宋_GB2312"/>
                <w:color w:val="000000"/>
                <w:kern w:val="0"/>
                <w:sz w:val="18"/>
                <w:szCs w:val="21"/>
              </w:rPr>
              <w:t>规范建筑工地</w:t>
            </w:r>
            <w:r>
              <w:rPr>
                <w:rFonts w:hint="eastAsia" w:eastAsia="仿宋_GB2312"/>
                <w:color w:val="000000"/>
                <w:kern w:val="0"/>
                <w:sz w:val="18"/>
                <w:szCs w:val="21"/>
                <w:lang w:eastAsia="zh-CN"/>
              </w:rPr>
              <w:t>；</w:t>
            </w:r>
            <w:r>
              <w:rPr>
                <w:rFonts w:hint="eastAsia" w:eastAsia="仿宋_GB2312"/>
                <w:color w:val="000000"/>
                <w:kern w:val="0"/>
                <w:sz w:val="18"/>
                <w:szCs w:val="21"/>
                <w:lang w:val="en-US" w:eastAsia="zh-CN"/>
              </w:rPr>
              <w:t>2、</w:t>
            </w:r>
            <w:r>
              <w:rPr>
                <w:rFonts w:hint="eastAsia" w:eastAsia="仿宋_GB2312"/>
                <w:color w:val="000000"/>
                <w:kern w:val="0"/>
                <w:sz w:val="18"/>
                <w:szCs w:val="21"/>
              </w:rPr>
              <w:t>建立起工地档案</w:t>
            </w:r>
            <w:r>
              <w:rPr>
                <w:rFonts w:hint="eastAsia" w:eastAsia="仿宋_GB2312"/>
                <w:color w:val="000000"/>
                <w:kern w:val="0"/>
                <w:sz w:val="18"/>
                <w:szCs w:val="21"/>
                <w:lang w:eastAsia="zh-CN"/>
              </w:rPr>
              <w:t>，</w:t>
            </w:r>
            <w:r>
              <w:rPr>
                <w:rFonts w:hint="eastAsia" w:eastAsia="仿宋_GB2312"/>
                <w:color w:val="000000"/>
                <w:kern w:val="0"/>
                <w:sz w:val="18"/>
                <w:szCs w:val="21"/>
                <w:lang w:val="en-US" w:eastAsia="zh-CN"/>
              </w:rPr>
              <w:t>3、</w:t>
            </w:r>
            <w:r>
              <w:rPr>
                <w:rFonts w:hint="eastAsia" w:eastAsia="仿宋_GB2312"/>
                <w:color w:val="000000"/>
                <w:kern w:val="0"/>
                <w:sz w:val="18"/>
                <w:szCs w:val="21"/>
              </w:rPr>
              <w:t>依法办理渣土处置许可</w:t>
            </w:r>
            <w:r>
              <w:rPr>
                <w:rFonts w:hint="eastAsia" w:eastAsia="仿宋_GB2312"/>
                <w:color w:val="000000"/>
                <w:kern w:val="0"/>
                <w:sz w:val="18"/>
                <w:szCs w:val="21"/>
                <w:lang w:eastAsia="zh-CN"/>
              </w:rPr>
              <w:t>、</w:t>
            </w:r>
            <w:r>
              <w:rPr>
                <w:rFonts w:hint="eastAsia" w:eastAsia="仿宋_GB2312"/>
                <w:color w:val="000000"/>
                <w:kern w:val="0"/>
                <w:sz w:val="18"/>
                <w:szCs w:val="21"/>
              </w:rPr>
              <w:t>准运证</w:t>
            </w:r>
            <w:r>
              <w:rPr>
                <w:rFonts w:hint="eastAsia" w:eastAsia="仿宋_GB2312"/>
                <w:color w:val="000000"/>
                <w:kern w:val="0"/>
                <w:sz w:val="18"/>
                <w:szCs w:val="21"/>
                <w:lang w:eastAsia="zh-CN"/>
              </w:rPr>
              <w:t>；</w:t>
            </w:r>
            <w:r>
              <w:rPr>
                <w:rFonts w:hint="eastAsia" w:eastAsia="仿宋_GB2312"/>
                <w:color w:val="000000"/>
                <w:kern w:val="0"/>
                <w:sz w:val="18"/>
                <w:szCs w:val="21"/>
                <w:lang w:val="en-US" w:eastAsia="zh-CN"/>
              </w:rPr>
              <w:t>4、</w:t>
            </w:r>
            <w:r>
              <w:rPr>
                <w:rFonts w:hint="eastAsia" w:eastAsia="仿宋_GB2312"/>
                <w:color w:val="000000"/>
                <w:kern w:val="0"/>
                <w:sz w:val="18"/>
                <w:szCs w:val="21"/>
              </w:rPr>
              <w:t>清理建筑垃圾；</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1、70个；2、40个；3、14个，5000余台；4、6万余车</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52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rPr>
              <w:t>继续抓实源头管理规范化。继续抓实渣土违规运输处罚。</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lang w:val="en-US" w:eastAsia="zh-CN"/>
              </w:rPr>
              <w:t>下发整改通知1000余份，依法立案50起</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lang w:eastAsia="zh-CN"/>
              </w:rPr>
              <w:t>继续抓实渣土消纳管理。</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5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1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21"/>
              </w:rPr>
              <w:t>继续抓实内部督查绩效考核</w:t>
            </w:r>
            <w:r>
              <w:rPr>
                <w:rFonts w:hint="eastAsia" w:eastAsia="仿宋_GB2312"/>
                <w:color w:val="000000"/>
                <w:kern w:val="0"/>
                <w:sz w:val="18"/>
                <w:szCs w:val="21"/>
                <w:lang w:eastAsia="zh-CN"/>
              </w:rPr>
              <w:t>。</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完成财政非税收入315.72万元</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8"/>
                <w:szCs w:val="21"/>
              </w:rPr>
              <w:t>继续抓实宣传工作</w:t>
            </w:r>
            <w:r>
              <w:rPr>
                <w:rFonts w:hint="eastAsia" w:eastAsia="仿宋_GB2312"/>
                <w:color w:val="000000"/>
                <w:kern w:val="0"/>
                <w:sz w:val="18"/>
                <w:szCs w:val="21"/>
                <w:lang w:eastAsia="zh-CN"/>
              </w:rPr>
              <w:t>。</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lang w:eastAsia="zh-CN"/>
              </w:rPr>
              <w:t>继续抓实专业运输企业管理。</w:t>
            </w: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nil"/>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rPr>
              <w:t>满意度调查</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90%以上</w:t>
            </w:r>
          </w:p>
        </w:tc>
        <w:tc>
          <w:tcPr>
            <w:tcW w:w="109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 w:val="18"/>
                <w:szCs w:val="21"/>
                <w:lang w:val="en-US" w:eastAsia="zh-CN"/>
              </w:rPr>
            </w:pPr>
            <w:r>
              <w:rPr>
                <w:rFonts w:hint="eastAsia" w:eastAsia="仿宋_GB2312"/>
                <w:color w:val="000000"/>
                <w:kern w:val="0"/>
                <w:sz w:val="18"/>
                <w:szCs w:val="21"/>
                <w:lang w:val="en-US" w:eastAsia="zh-CN"/>
              </w:rPr>
              <w:t>90%以上</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74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9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hint="eastAsia" w:eastAsia="黑体"/>
          <w:sz w:val="32"/>
          <w:szCs w:val="32"/>
        </w:rPr>
      </w:pPr>
      <w:r>
        <w:rPr>
          <w:rFonts w:eastAsia="黑体"/>
          <w:sz w:val="32"/>
          <w:szCs w:val="32"/>
        </w:rPr>
        <w:t>附件</w:t>
      </w:r>
      <w:r>
        <w:rPr>
          <w:rFonts w:hint="eastAsia" w:eastAsia="黑体"/>
          <w:sz w:val="32"/>
          <w:szCs w:val="32"/>
        </w:rPr>
        <w:t>4-2</w:t>
      </w:r>
    </w:p>
    <w:p>
      <w:pPr>
        <w:widowControl/>
        <w:spacing w:line="400" w:lineRule="exact"/>
        <w:jc w:val="left"/>
        <w:rPr>
          <w:rFonts w:hint="eastAsia" w:eastAsia="黑体"/>
          <w:sz w:val="32"/>
          <w:szCs w:val="32"/>
        </w:rPr>
      </w:pP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042"/>
        <w:gridCol w:w="1034"/>
        <w:gridCol w:w="1020"/>
        <w:gridCol w:w="873"/>
        <w:gridCol w:w="1418"/>
      </w:tblGrid>
      <w:tr>
        <w:tblPrEx>
          <w:tblCellMar>
            <w:top w:w="0" w:type="dxa"/>
            <w:left w:w="108" w:type="dxa"/>
            <w:bottom w:w="0" w:type="dxa"/>
            <w:right w:w="108" w:type="dxa"/>
          </w:tblCellMar>
        </w:tblPrEx>
        <w:trPr>
          <w:trHeight w:val="486"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公益性岗位工资补贴</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3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03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102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32.76</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32.76</w:t>
            </w: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31.01</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保持公益性岗位群体稳定性，对单位渣管执法进行人力补充</w:t>
            </w:r>
            <w:r>
              <w:rPr>
                <w:rFonts w:eastAsia="仿宋_GB2312"/>
                <w:color w:val="000000"/>
                <w:kern w:val="0"/>
                <w:szCs w:val="21"/>
              </w:rPr>
              <w:t>　</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 w:val="20"/>
                <w:szCs w:val="21"/>
              </w:rPr>
              <w:t>较好完成20</w:t>
            </w:r>
            <w:r>
              <w:rPr>
                <w:rFonts w:hint="eastAsia" w:eastAsia="仿宋_GB2312"/>
                <w:color w:val="000000"/>
                <w:kern w:val="0"/>
                <w:sz w:val="20"/>
                <w:szCs w:val="21"/>
                <w:lang w:val="en-US" w:eastAsia="zh-CN"/>
              </w:rPr>
              <w:t>20</w:t>
            </w:r>
            <w:r>
              <w:rPr>
                <w:rFonts w:hint="eastAsia" w:eastAsia="仿宋_GB2312"/>
                <w:color w:val="000000"/>
                <w:kern w:val="0"/>
                <w:sz w:val="20"/>
                <w:szCs w:val="21"/>
              </w:rPr>
              <w:t>年度目标。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人数</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35人</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w:t>
            </w:r>
            <w:r>
              <w:rPr>
                <w:rFonts w:hint="eastAsia" w:eastAsia="仿宋_GB2312"/>
                <w:color w:val="000000"/>
                <w:kern w:val="0"/>
                <w:szCs w:val="21"/>
                <w:lang w:eastAsia="zh-CN"/>
              </w:rPr>
              <w:t>、足额</w:t>
            </w:r>
            <w:r>
              <w:rPr>
                <w:rFonts w:hint="eastAsia" w:eastAsia="仿宋_GB2312"/>
                <w:color w:val="000000"/>
                <w:kern w:val="0"/>
                <w:szCs w:val="21"/>
              </w:rPr>
              <w:t>发放</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年度内</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2020年度内完成</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协管员工资补差</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300元/人月</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越战老兵工资补差</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1000元/人月</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92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带动就业</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35人</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社会效益指标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受益人员数</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35人</w:t>
            </w:r>
          </w:p>
        </w:tc>
        <w:tc>
          <w:tcPr>
            <w:tcW w:w="10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提升城市管理质量</w:t>
            </w: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885"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提升协管及参战人员工作积极性</w:t>
            </w: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社会公众满意度</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95%</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nil"/>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城管人员满意度</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95%</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68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hint="eastAsia" w:eastAsia="黑体"/>
          <w:sz w:val="32"/>
          <w:szCs w:val="32"/>
        </w:rPr>
      </w:pPr>
      <w:r>
        <w:rPr>
          <w:rFonts w:eastAsia="黑体"/>
          <w:sz w:val="32"/>
          <w:szCs w:val="32"/>
        </w:rPr>
        <w:t>附件</w:t>
      </w:r>
      <w:r>
        <w:rPr>
          <w:rFonts w:hint="eastAsia" w:eastAsia="黑体"/>
          <w:sz w:val="32"/>
          <w:szCs w:val="32"/>
        </w:rPr>
        <w:t>4-2</w:t>
      </w:r>
      <w:bookmarkStart w:id="0" w:name="_GoBack"/>
      <w:bookmarkEnd w:id="0"/>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042"/>
        <w:gridCol w:w="1304"/>
        <w:gridCol w:w="750"/>
        <w:gridCol w:w="873"/>
        <w:gridCol w:w="1418"/>
      </w:tblGrid>
      <w:tr>
        <w:tblPrEx>
          <w:tblCellMar>
            <w:top w:w="0" w:type="dxa"/>
            <w:left w:w="108" w:type="dxa"/>
            <w:bottom w:w="0" w:type="dxa"/>
            <w:right w:w="108" w:type="dxa"/>
          </w:tblCellMar>
        </w:tblPrEx>
        <w:trPr>
          <w:trHeight w:val="486"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35"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5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月绩效考核奖</w:t>
            </w:r>
          </w:p>
        </w:tc>
      </w:tr>
      <w:tr>
        <w:tblPrEx>
          <w:tblCellMar>
            <w:top w:w="0" w:type="dxa"/>
            <w:left w:w="108" w:type="dxa"/>
            <w:bottom w:w="0" w:type="dxa"/>
            <w:right w:w="108" w:type="dxa"/>
          </w:tblCellMar>
        </w:tblPrEx>
        <w:trPr>
          <w:trHeight w:val="46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4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1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304"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75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 xml:space="preserve">20.31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20.31</w:t>
            </w: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20.31</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r>
      <w:tr>
        <w:tblPrEx>
          <w:tblCellMar>
            <w:top w:w="0" w:type="dxa"/>
            <w:left w:w="108" w:type="dxa"/>
            <w:bottom w:w="0" w:type="dxa"/>
            <w:right w:w="108" w:type="dxa"/>
          </w:tblCellMar>
        </w:tblPrEx>
        <w:trPr>
          <w:trHeight w:val="31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0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6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95"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64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保持公益性岗位群体稳定性，对单位渣管执法进行人力补充</w:t>
            </w:r>
            <w:r>
              <w:rPr>
                <w:rFonts w:eastAsia="仿宋_GB2312"/>
                <w:color w:val="000000"/>
                <w:kern w:val="0"/>
                <w:szCs w:val="21"/>
              </w:rPr>
              <w:t>　</w:t>
            </w:r>
          </w:p>
        </w:tc>
        <w:tc>
          <w:tcPr>
            <w:tcW w:w="4345"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 w:val="20"/>
                <w:szCs w:val="21"/>
              </w:rPr>
              <w:t>较好完成20</w:t>
            </w:r>
            <w:r>
              <w:rPr>
                <w:rFonts w:hint="eastAsia" w:eastAsia="仿宋_GB2312"/>
                <w:color w:val="000000"/>
                <w:kern w:val="0"/>
                <w:sz w:val="20"/>
                <w:szCs w:val="21"/>
                <w:lang w:val="en-US" w:eastAsia="zh-CN"/>
              </w:rPr>
              <w:t>20</w:t>
            </w:r>
            <w:r>
              <w:rPr>
                <w:rFonts w:hint="eastAsia" w:eastAsia="仿宋_GB2312"/>
                <w:color w:val="000000"/>
                <w:kern w:val="0"/>
                <w:sz w:val="20"/>
                <w:szCs w:val="21"/>
              </w:rPr>
              <w:t>年度目标。</w:t>
            </w:r>
          </w:p>
        </w:tc>
      </w:tr>
      <w:tr>
        <w:tblPrEx>
          <w:tblCellMar>
            <w:top w:w="0" w:type="dxa"/>
            <w:left w:w="108" w:type="dxa"/>
            <w:bottom w:w="0" w:type="dxa"/>
            <w:right w:w="108" w:type="dxa"/>
          </w:tblCellMar>
        </w:tblPrEx>
        <w:trPr>
          <w:trHeight w:val="735" w:hRule="atLeast"/>
          <w:jc w:val="center"/>
        </w:trPr>
        <w:tc>
          <w:tcPr>
            <w:tcW w:w="1135" w:type="dxa"/>
            <w:vMerge w:val="restart"/>
            <w:tcBorders>
              <w:top w:val="single" w:color="auto" w:sz="4" w:space="0"/>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人数</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77人</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3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w:t>
            </w:r>
            <w:r>
              <w:rPr>
                <w:rFonts w:hint="eastAsia" w:eastAsia="仿宋_GB2312"/>
                <w:color w:val="000000"/>
                <w:kern w:val="0"/>
                <w:szCs w:val="21"/>
                <w:lang w:eastAsia="zh-CN"/>
              </w:rPr>
              <w:t>、足额</w:t>
            </w:r>
            <w:r>
              <w:rPr>
                <w:rFonts w:hint="eastAsia" w:eastAsia="仿宋_GB2312"/>
                <w:color w:val="000000"/>
                <w:kern w:val="0"/>
                <w:szCs w:val="21"/>
              </w:rPr>
              <w:t>发放</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82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年度内</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2020年度内完成</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56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绩效考核奖</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300元/人月</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72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w:t>
            </w:r>
            <w:r>
              <w:rPr>
                <w:rFonts w:eastAsia="仿宋_GB2312"/>
                <w:color w:val="000000"/>
                <w:kern w:val="0"/>
                <w:szCs w:val="21"/>
              </w:rPr>
              <w:t>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带动就业</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77人</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社会效益指标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受益人员数</w:t>
            </w:r>
          </w:p>
        </w:tc>
        <w:tc>
          <w:tcPr>
            <w:tcW w:w="104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21"/>
                <w:lang w:val="en-US" w:eastAsia="zh-CN"/>
              </w:rPr>
              <w:t>77人</w:t>
            </w:r>
          </w:p>
        </w:tc>
        <w:tc>
          <w:tcPr>
            <w:tcW w:w="7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提升城市管理质量</w:t>
            </w: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91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提升</w:t>
            </w:r>
            <w:r>
              <w:rPr>
                <w:rFonts w:hint="eastAsia" w:eastAsia="仿宋_GB2312"/>
                <w:color w:val="000000"/>
                <w:kern w:val="0"/>
                <w:szCs w:val="21"/>
                <w:lang w:eastAsia="zh-CN"/>
              </w:rPr>
              <w:t>在职</w:t>
            </w:r>
            <w:r>
              <w:rPr>
                <w:rFonts w:hint="eastAsia" w:eastAsia="仿宋_GB2312"/>
                <w:color w:val="000000"/>
                <w:kern w:val="0"/>
                <w:szCs w:val="21"/>
              </w:rPr>
              <w:t>人员工作积极性</w:t>
            </w:r>
          </w:p>
        </w:tc>
        <w:tc>
          <w:tcPr>
            <w:tcW w:w="10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社会公众满意度</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95%</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nil"/>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single" w:color="auto" w:sz="4" w:space="0"/>
              <w:bottom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城管人员满意度</w:t>
            </w:r>
          </w:p>
        </w:tc>
        <w:tc>
          <w:tcPr>
            <w:tcW w:w="104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95%</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18"/>
                <w:szCs w:val="21"/>
                <w:lang w:val="en-US" w:eastAsia="zh-CN"/>
              </w:rPr>
            </w:pPr>
            <w:r>
              <w:rPr>
                <w:rFonts w:hint="eastAsia" w:eastAsia="仿宋_GB2312"/>
                <w:color w:val="000000"/>
                <w:kern w:val="0"/>
                <w:sz w:val="18"/>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95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部门职责</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为城市建设工程建筑垃圾科学调剂提供保障；负责辖区内建设工地的建筑垃圾运输、倾倒、中转、回填、消纳、利用等管理；依法对建筑垃圾处置进行行政许可，依法对违规、违章运输建筑垃圾行为进行处罚；负责辖区内消纳场建设、建筑垃圾调剂、储备；建筑工地垃圾进出口现场管理。</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机构设置情况</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我办作为一级部门预算单位，内设6个股室，分别为为：综合股、车管股、法制股、督查股、工管股、财务股。同时设立直属机构5个，怀化市鹤城区渣土管理办公室城中大队、迎丰大队、城东大队、城南大队、装饰装修大队。</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根据以上部门职责要求，编制部门预算、决算。</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我</w:t>
      </w:r>
      <w:r>
        <w:rPr>
          <w:rFonts w:hint="eastAsia" w:asciiTheme="minorEastAsia" w:hAnsiTheme="minorEastAsia" w:eastAsiaTheme="minorEastAsia"/>
          <w:sz w:val="28"/>
          <w:szCs w:val="28"/>
          <w:lang w:eastAsia="zh-CN"/>
        </w:rPr>
        <w:t>办</w:t>
      </w:r>
      <w:r>
        <w:rPr>
          <w:rFonts w:hint="eastAsia" w:asciiTheme="minorEastAsia" w:hAnsiTheme="minorEastAsia" w:eastAsiaTheme="minorEastAsia"/>
          <w:sz w:val="28"/>
          <w:szCs w:val="28"/>
        </w:rPr>
        <w:t>遵循专款专用、独立核算的原则，预算项目资金严格按照财政资金管理要求进行申报，财政拨款到位后及时进行项目开展和资金投入。涉及的项目招投标、政府采购事项，我</w:t>
      </w:r>
      <w:r>
        <w:rPr>
          <w:rFonts w:hint="eastAsia" w:asciiTheme="minorEastAsia" w:hAnsiTheme="minorEastAsia" w:eastAsiaTheme="minorEastAsia"/>
          <w:sz w:val="28"/>
          <w:szCs w:val="28"/>
          <w:lang w:eastAsia="zh-CN"/>
        </w:rPr>
        <w:t>办</w:t>
      </w:r>
      <w:r>
        <w:rPr>
          <w:rFonts w:hint="eastAsia" w:asciiTheme="minorEastAsia" w:hAnsiTheme="minorEastAsia" w:eastAsiaTheme="minorEastAsia"/>
          <w:sz w:val="28"/>
          <w:szCs w:val="28"/>
        </w:rPr>
        <w:t>均严格按照相关要求执行，委托政府采购代理招标认定单位进行公开招标，同时严格合同签订，做好资金支付审核审批手续。</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整体绩效目标：城市建设工程建筑垃圾科学调剂提供保障。负责辖区内建设工地的建筑垃圾运输、倾倒、中转、回填、消纳、利用等管理；依法对建筑垃圾处置进行行政许可，依法对违规、违章运输建筑垃圾行为进行处罚；负责辖区内消纳场建设、建筑垃圾调剂、储备；建筑工地垃圾进出口现场管理。</w:t>
      </w:r>
    </w:p>
    <w:p>
      <w:pPr>
        <w:spacing w:line="600" w:lineRule="exact"/>
        <w:ind w:firstLine="560" w:firstLineChars="200"/>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装修垃圾临时消纳专项整治费: 减少城区内新旧小区、门店产生的乱丢乱倒建筑垃圾的现象</w:t>
      </w:r>
      <w:r>
        <w:rPr>
          <w:rFonts w:hint="eastAsia" w:asciiTheme="minorEastAsia" w:hAnsiTheme="minorEastAsia" w:eastAsiaTheme="minorEastAsia"/>
          <w:sz w:val="28"/>
          <w:szCs w:val="28"/>
          <w:lang w:eastAsia="zh-CN"/>
        </w:rPr>
        <w:t>。</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渣土整治专项经费: 对负责的城区路段清理渣土污染、路面巡逻执法及渣土专项整治、渣土消纳填埋加强整治力度，确保城区路面污染越来越少，渣土车辆运输越来越规范。</w:t>
      </w:r>
    </w:p>
    <w:p>
      <w:pPr>
        <w:spacing w:line="600" w:lineRule="exact"/>
        <w:ind w:firstLine="560" w:firstLineChars="200"/>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建筑垃圾消纳场租赁费: 对城区内建筑垃圾进行消纳清理，建立城区内合法的建筑垃圾消纳场</w:t>
      </w:r>
      <w:r>
        <w:rPr>
          <w:rFonts w:hint="eastAsia" w:asciiTheme="minorEastAsia" w:hAnsiTheme="minorEastAsia" w:eastAsiaTheme="minorEastAsia"/>
          <w:sz w:val="28"/>
          <w:szCs w:val="28"/>
          <w:lang w:eastAsia="zh-CN"/>
        </w:rPr>
        <w:t>。</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公益性岗位人员补贴:保持公益性岗位稳定性；</w:t>
      </w:r>
    </w:p>
    <w:p>
      <w:pPr>
        <w:spacing w:line="600" w:lineRule="exact"/>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月绩效考核奖：加大对人员执法工作的考核力度，提高执法工作质量。</w:t>
      </w:r>
    </w:p>
    <w:p>
      <w:pPr>
        <w:spacing w:line="600" w:lineRule="exact"/>
        <w:ind w:firstLine="640" w:firstLineChars="200"/>
        <w:rPr>
          <w:rFonts w:eastAsia="黑体"/>
          <w:sz w:val="32"/>
          <w:szCs w:val="32"/>
        </w:rPr>
      </w:pPr>
      <w:r>
        <w:rPr>
          <w:rFonts w:eastAsia="黑体"/>
          <w:sz w:val="32"/>
          <w:szCs w:val="32"/>
        </w:rPr>
        <w:t>二、绩效评价工作情况</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绩效评价工作过程：前期准备、组织实施、分析评价</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（一）前期准备</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我办对2020年专项资金绩效评价管理工作高度重视，成立了专项资金绩效评估工作小组，由财务牵头，认真制定绩效自评工作报告，其他股室相互配合协调，共同完成2020年专项资金绩效评价管理工作。</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（二）组织实施</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财务根据《专项资金绩效评价共性指标》、《专项资金绩效目标自评表》要求开展专项资金自评工作，对项目经费进行了自评打分，并逐项对照，认真撰写专项资金绩效评价报告，同时认真收集相关资料，确保自评工作真实客观。</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（三）分析评价</w:t>
      </w:r>
    </w:p>
    <w:p>
      <w:pPr>
        <w:pStyle w:val="10"/>
        <w:spacing w:line="360" w:lineRule="auto"/>
        <w:ind w:firstLine="560" w:firstLineChars="200"/>
        <w:rPr>
          <w:rFonts w:hint="eastAsia" w:asciiTheme="minorEastAsia" w:hAnsiTheme="minorEastAsia" w:eastAsiaTheme="minorEastAsia" w:cstheme="minorEastAsia"/>
          <w:color w:val="000000"/>
          <w:kern w:val="0"/>
          <w:sz w:val="28"/>
          <w:szCs w:val="28"/>
          <w:lang w:val="en-US" w:eastAsia="zh-CN" w:bidi="ar-SA"/>
        </w:rPr>
      </w:pPr>
      <w:r>
        <w:rPr>
          <w:rFonts w:hint="eastAsia" w:asciiTheme="minorEastAsia" w:hAnsiTheme="minorEastAsia" w:eastAsiaTheme="minorEastAsia" w:cstheme="minorEastAsia"/>
          <w:color w:val="000000"/>
          <w:kern w:val="0"/>
          <w:sz w:val="28"/>
          <w:szCs w:val="28"/>
          <w:lang w:val="en-US" w:eastAsia="zh-CN" w:bidi="ar-SA"/>
        </w:rPr>
        <w:t>2020年我单位严格按照有关规定使用项目经费，资金使用效益良好。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我办</w:t>
      </w:r>
      <w:r>
        <w:rPr>
          <w:rFonts w:hint="eastAsia" w:asciiTheme="minorEastAsia" w:hAnsiTheme="minorEastAsia" w:eastAsiaTheme="minorEastAsia"/>
          <w:sz w:val="28"/>
          <w:szCs w:val="28"/>
        </w:rPr>
        <w:t>20</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年设立的绩效目标符合部门职责职能，与部门年度任务相对应，职责履行目标完成、质量达标。20</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年预算支出绩效自评结果为</w:t>
      </w:r>
      <w:r>
        <w:rPr>
          <w:rFonts w:hint="eastAsia" w:asciiTheme="minorEastAsia" w:hAnsiTheme="minorEastAsia" w:eastAsiaTheme="minorEastAsia"/>
          <w:sz w:val="28"/>
          <w:szCs w:val="28"/>
          <w:lang w:eastAsia="zh-CN"/>
        </w:rPr>
        <w:t>良好</w:t>
      </w:r>
      <w:r>
        <w:rPr>
          <w:rFonts w:hint="eastAsia" w:asciiTheme="minorEastAsia" w:hAnsiTheme="minorEastAsia" w:eastAsiaTheme="minorEastAsia"/>
          <w:sz w:val="28"/>
          <w:szCs w:val="28"/>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严格按照项目进度及时拨付、使用各项专项资金，保证专款专用；对项目预算提前细化，确保项目资金及时发放到位；并按照实际支出情况据实编制决算报表，不虚报、不漏报。</w:t>
      </w:r>
    </w:p>
    <w:p>
      <w:pPr>
        <w:spacing w:line="600" w:lineRule="exact"/>
        <w:ind w:firstLine="643" w:firstLineChars="200"/>
        <w:rPr>
          <w:rFonts w:eastAsia="楷体_GB2312"/>
          <w:b/>
          <w:sz w:val="32"/>
          <w:szCs w:val="32"/>
        </w:rPr>
      </w:pPr>
      <w:r>
        <w:rPr>
          <w:rFonts w:eastAsia="楷体_GB2312"/>
          <w:b/>
          <w:sz w:val="32"/>
          <w:szCs w:val="32"/>
        </w:rPr>
        <w:t>（二）预算执行过程情况</w:t>
      </w:r>
    </w:p>
    <w:p>
      <w:pPr>
        <w:pStyle w:val="10"/>
        <w:spacing w:line="360" w:lineRule="auto"/>
        <w:ind w:firstLine="560" w:firstLineChars="200"/>
        <w:rPr>
          <w:rFonts w:hint="eastAsia" w:asciiTheme="minorEastAsia" w:hAnsiTheme="minorEastAsia" w:eastAsiaTheme="minorEastAsia" w:cstheme="minorEastAsia"/>
          <w:bCs/>
          <w:kern w:val="2"/>
          <w:sz w:val="28"/>
          <w:szCs w:val="28"/>
          <w:lang w:val="en-US" w:eastAsia="zh-CN" w:bidi="ar-SA"/>
        </w:rPr>
      </w:pPr>
      <w:r>
        <w:rPr>
          <w:rFonts w:hint="eastAsia" w:asciiTheme="minorEastAsia" w:hAnsiTheme="minorEastAsia" w:eastAsiaTheme="minorEastAsia" w:cstheme="minorEastAsia"/>
          <w:bCs/>
          <w:kern w:val="2"/>
          <w:sz w:val="28"/>
          <w:szCs w:val="28"/>
          <w:lang w:val="en-US" w:eastAsia="zh-CN" w:bidi="ar-SA"/>
        </w:rPr>
        <w:t>资金及时、足额发放到位，严格按照财政要求拨付使用。</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560" w:firstLineChars="200"/>
        <w:rPr>
          <w:rFonts w:eastAsia="楷体_GB2312"/>
          <w:b/>
          <w:sz w:val="32"/>
          <w:szCs w:val="32"/>
        </w:rPr>
      </w:pPr>
      <w:r>
        <w:rPr>
          <w:rFonts w:hint="eastAsia" w:asciiTheme="minorEastAsia" w:hAnsiTheme="minorEastAsia" w:eastAsiaTheme="minorEastAsia"/>
          <w:sz w:val="28"/>
          <w:szCs w:val="28"/>
        </w:rPr>
        <w:t>按绩效评价管理要求进行</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560" w:firstLineChars="20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sz w:val="28"/>
          <w:szCs w:val="28"/>
          <w:lang w:val="en-US" w:eastAsia="zh-CN"/>
        </w:rPr>
        <w:t>1、经济效益：</w:t>
      </w:r>
      <w:r>
        <w:rPr>
          <w:rFonts w:hint="eastAsia" w:asciiTheme="minorEastAsia" w:hAnsiTheme="minorEastAsia" w:eastAsiaTheme="minorEastAsia" w:cstheme="minorEastAsia"/>
          <w:bCs/>
          <w:sz w:val="28"/>
          <w:szCs w:val="28"/>
        </w:rPr>
        <w:t>依法办理渣土处置许可14个</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办理准运证5000余台次</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完成财政非税收入</w:t>
      </w:r>
      <w:r>
        <w:rPr>
          <w:rFonts w:hint="eastAsia" w:asciiTheme="minorEastAsia" w:hAnsiTheme="minorEastAsia" w:eastAsiaTheme="minorEastAsia" w:cstheme="minorEastAsia"/>
          <w:bCs/>
          <w:sz w:val="28"/>
          <w:szCs w:val="28"/>
          <w:lang w:val="en-US" w:eastAsia="zh-CN"/>
        </w:rPr>
        <w:t>315.72</w:t>
      </w:r>
      <w:r>
        <w:rPr>
          <w:rFonts w:hint="eastAsia" w:asciiTheme="minorEastAsia" w:hAnsiTheme="minorEastAsia" w:eastAsiaTheme="minorEastAsia" w:cstheme="minorEastAsia"/>
          <w:bCs/>
          <w:sz w:val="28"/>
          <w:szCs w:val="28"/>
        </w:rPr>
        <w:t>万元</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下发整改通知书1000余份，依法立案50起</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拦查整改车辆2000余台次，查处工地50起，完成处罚25余万元。</w:t>
      </w:r>
    </w:p>
    <w:p>
      <w:pPr>
        <w:pStyle w:val="10"/>
        <w:spacing w:line="360" w:lineRule="auto"/>
        <w:ind w:firstLine="560" w:firstLineChars="200"/>
        <w:rPr>
          <w:rFonts w:hint="eastAsia" w:asciiTheme="minorEastAsia" w:hAnsiTheme="minorEastAsia" w:eastAsiaTheme="minorEastAsia" w:cstheme="minorEastAsia"/>
          <w:bCs/>
          <w:kern w:val="2"/>
          <w:sz w:val="28"/>
          <w:szCs w:val="28"/>
          <w:lang w:val="en-US" w:eastAsia="zh-CN" w:bidi="ar-SA"/>
        </w:rPr>
      </w:pPr>
      <w:r>
        <w:rPr>
          <w:rFonts w:hint="eastAsia" w:cs="Times New Roman" w:asciiTheme="minorEastAsia" w:hAnsiTheme="minorEastAsia" w:eastAsiaTheme="minorEastAsia"/>
          <w:kern w:val="2"/>
          <w:sz w:val="28"/>
          <w:szCs w:val="28"/>
          <w:lang w:val="en-US" w:eastAsia="zh-CN" w:bidi="ar-SA"/>
        </w:rPr>
        <w:t>2、社会效益：</w:t>
      </w:r>
      <w:r>
        <w:rPr>
          <w:rFonts w:hint="eastAsia" w:asciiTheme="minorEastAsia" w:hAnsiTheme="minorEastAsia" w:eastAsiaTheme="minorEastAsia" w:cstheme="minorEastAsia"/>
          <w:bCs/>
          <w:kern w:val="2"/>
          <w:sz w:val="28"/>
          <w:szCs w:val="28"/>
          <w:lang w:val="en-US" w:eastAsia="zh-CN" w:bidi="ar-SA"/>
        </w:rPr>
        <w:t>下发各种宣传资料2000余份，召开项目经理会5次、专业公司调度会12次。</w:t>
      </w:r>
      <w:r>
        <w:rPr>
          <w:rFonts w:hint="eastAsia" w:cs="Times New Roman" w:asciiTheme="minorEastAsia" w:hAnsiTheme="minorEastAsia" w:eastAsiaTheme="minorEastAsia"/>
          <w:kern w:val="2"/>
          <w:sz w:val="28"/>
          <w:szCs w:val="28"/>
          <w:lang w:val="en-US" w:eastAsia="zh-CN" w:bidi="ar-SA"/>
        </w:rPr>
        <w:t>加大宣传力度，不断增强城区渣土管理意识，取得了良好的宣传效果，营造良好的社会环境，增强城区渣土管理合力；</w:t>
      </w:r>
      <w:r>
        <w:rPr>
          <w:rFonts w:hint="eastAsia" w:asciiTheme="minorEastAsia" w:hAnsiTheme="minorEastAsia" w:eastAsiaTheme="minorEastAsia" w:cstheme="minorEastAsia"/>
          <w:bCs/>
          <w:kern w:val="2"/>
          <w:sz w:val="28"/>
          <w:szCs w:val="28"/>
          <w:lang w:val="en-US" w:eastAsia="zh-CN" w:bidi="ar-SA"/>
        </w:rPr>
        <w:t>稳步推进渣土智慧化管理平台建设。</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4"/>
        <w:widowControl/>
        <w:spacing w:before="0" w:beforeAutospacing="0" w:after="0" w:afterAutospacing="0" w:line="560" w:lineRule="atLeast"/>
        <w:ind w:firstLine="560" w:firstLineChars="200"/>
        <w:jc w:val="both"/>
        <w:rPr>
          <w:rFonts w:hint="eastAsia" w:ascii="仿宋_GB2312" w:hAnsi="Calibri" w:eastAsia="仿宋_GB2312"/>
          <w:kern w:val="2"/>
          <w:sz w:val="32"/>
          <w:szCs w:val="32"/>
        </w:rPr>
      </w:pPr>
      <w:r>
        <w:rPr>
          <w:rFonts w:hint="eastAsia" w:asciiTheme="minorEastAsia" w:hAnsiTheme="minorEastAsia" w:eastAsiaTheme="minorEastAsia" w:cstheme="minorEastAsia"/>
          <w:sz w:val="28"/>
          <w:szCs w:val="28"/>
        </w:rPr>
        <w:t>（1）绩效评价工作涉及面广，制定合理的评价指标体系难度较大，缺乏绩效评价专业知识、评价指标体系无法准确掌握、效益指标难以量化等</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项目绩效目标设置不够全面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导致绩效评价工作难以落到实处</w:t>
      </w:r>
      <w:r>
        <w:rPr>
          <w:rFonts w:hint="eastAsia" w:ascii="仿宋_GB2312" w:hAnsi="Calibri" w:eastAsia="仿宋_GB2312"/>
          <w:kern w:val="2"/>
          <w:sz w:val="32"/>
          <w:szCs w:val="32"/>
        </w:rPr>
        <w:t>。</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（2）缺乏相关规定对预算支出、专项资金支出的资金管理有待规范。因人员更业务掌控等原因，没有完整、科学的制度依据遵循；</w:t>
      </w:r>
    </w:p>
    <w:p>
      <w:pPr>
        <w:spacing w:line="600" w:lineRule="exact"/>
        <w:ind w:firstLine="560" w:firstLineChars="200"/>
        <w:rPr>
          <w:rFonts w:eastAsia="黑体"/>
          <w:sz w:val="32"/>
          <w:szCs w:val="32"/>
        </w:rPr>
      </w:pPr>
      <w:r>
        <w:rPr>
          <w:rFonts w:hint="eastAsia" w:asciiTheme="minorEastAsia" w:hAnsiTheme="minorEastAsia" w:eastAsiaTheme="minorEastAsia" w:cstheme="minorEastAsia"/>
          <w:sz w:val="28"/>
          <w:szCs w:val="28"/>
        </w:rPr>
        <w:t>（3）因项目进度、财政资金等原因，个别项目未完成年度预算。</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（1）完善预算编报程序。规范项目库信息，每年的预算项目均取源于项目库，年初预算编报时，从项目库提取项目，细化项目经费，完善项目信息，制定合理、合规、可行的绩效目标。</w:t>
      </w:r>
    </w:p>
    <w:p>
      <w:pPr>
        <w:spacing w:line="60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（2）严格预算执行。在预算年度内，严格按照年初制定的绩效</w:t>
      </w:r>
    </w:p>
    <w:p>
      <w:pPr>
        <w:spacing w:line="6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目标，财政资金拨款均来源于预算系统，控制预算开支范围；</w:t>
      </w:r>
    </w:p>
    <w:p>
      <w:pPr>
        <w:spacing w:line="60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（3）建立部门整改机制。针对绩效评价中存在的问题，建立整改机制，及时调整和优化后续项目和以后年度预算支出的方向和结构，完善项目管理办法，提高项目管理水平。</w:t>
      </w:r>
    </w:p>
    <w:p>
      <w:pPr>
        <w:spacing w:line="600" w:lineRule="exact"/>
        <w:ind w:firstLine="560" w:firstLineChars="200"/>
        <w:rPr>
          <w:rFonts w:eastAsia="黑体"/>
          <w:sz w:val="32"/>
          <w:szCs w:val="32"/>
        </w:rPr>
      </w:pPr>
      <w:r>
        <w:rPr>
          <w:rFonts w:hint="eastAsia" w:asciiTheme="minorEastAsia" w:hAnsiTheme="minorEastAsia" w:eastAsiaTheme="minorEastAsia" w:cstheme="minorEastAsia"/>
          <w:sz w:val="28"/>
          <w:szCs w:val="28"/>
        </w:rPr>
        <w:t>（4）信息公开。</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无</w:t>
      </w:r>
    </w:p>
    <w:p>
      <w:pPr>
        <w:adjustRightInd w:val="0"/>
        <w:snapToGrid w:val="0"/>
        <w:spacing w:line="600" w:lineRule="exact"/>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02475"/>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86C3E"/>
    <w:rsid w:val="00FC7FE9"/>
    <w:rsid w:val="02472BB8"/>
    <w:rsid w:val="02BD157D"/>
    <w:rsid w:val="033667A9"/>
    <w:rsid w:val="039D08CE"/>
    <w:rsid w:val="04D166D4"/>
    <w:rsid w:val="063C4063"/>
    <w:rsid w:val="06E00A30"/>
    <w:rsid w:val="07297F56"/>
    <w:rsid w:val="072B47BD"/>
    <w:rsid w:val="07547E96"/>
    <w:rsid w:val="07835982"/>
    <w:rsid w:val="07CB3AEE"/>
    <w:rsid w:val="0878485A"/>
    <w:rsid w:val="0894124B"/>
    <w:rsid w:val="08FE612E"/>
    <w:rsid w:val="090F06FC"/>
    <w:rsid w:val="09825DC8"/>
    <w:rsid w:val="09B20A9D"/>
    <w:rsid w:val="09BE4492"/>
    <w:rsid w:val="09F512F5"/>
    <w:rsid w:val="0A3602A5"/>
    <w:rsid w:val="0A675E7C"/>
    <w:rsid w:val="0A806467"/>
    <w:rsid w:val="0AB44151"/>
    <w:rsid w:val="0ADC2E17"/>
    <w:rsid w:val="0C434BC6"/>
    <w:rsid w:val="0CD752AB"/>
    <w:rsid w:val="0DA25842"/>
    <w:rsid w:val="0DB362D5"/>
    <w:rsid w:val="0DBB7B36"/>
    <w:rsid w:val="0DF36AFF"/>
    <w:rsid w:val="0E0C7DD6"/>
    <w:rsid w:val="0E943CD4"/>
    <w:rsid w:val="101839C1"/>
    <w:rsid w:val="109B4BB4"/>
    <w:rsid w:val="10D56682"/>
    <w:rsid w:val="11E56CFD"/>
    <w:rsid w:val="129C6E0F"/>
    <w:rsid w:val="133C4B4F"/>
    <w:rsid w:val="133F48B4"/>
    <w:rsid w:val="13546AC2"/>
    <w:rsid w:val="13BC49BA"/>
    <w:rsid w:val="13E4670F"/>
    <w:rsid w:val="140239F1"/>
    <w:rsid w:val="14326A9E"/>
    <w:rsid w:val="14751AE7"/>
    <w:rsid w:val="14E54C86"/>
    <w:rsid w:val="15E005E9"/>
    <w:rsid w:val="16675D96"/>
    <w:rsid w:val="16C549B1"/>
    <w:rsid w:val="175132AD"/>
    <w:rsid w:val="184902E7"/>
    <w:rsid w:val="19666633"/>
    <w:rsid w:val="198D43B3"/>
    <w:rsid w:val="1C3574B1"/>
    <w:rsid w:val="1DBC5DDA"/>
    <w:rsid w:val="1DD26F1E"/>
    <w:rsid w:val="20107BFB"/>
    <w:rsid w:val="21365CD3"/>
    <w:rsid w:val="215A597B"/>
    <w:rsid w:val="21CC0B68"/>
    <w:rsid w:val="2326180F"/>
    <w:rsid w:val="238050DD"/>
    <w:rsid w:val="26864EE6"/>
    <w:rsid w:val="26E97699"/>
    <w:rsid w:val="271730DB"/>
    <w:rsid w:val="27623B25"/>
    <w:rsid w:val="28740F76"/>
    <w:rsid w:val="28EA1E5A"/>
    <w:rsid w:val="28EF0CCA"/>
    <w:rsid w:val="2939051E"/>
    <w:rsid w:val="297F1059"/>
    <w:rsid w:val="29E223DA"/>
    <w:rsid w:val="29E34FD1"/>
    <w:rsid w:val="2A6C3199"/>
    <w:rsid w:val="2B055242"/>
    <w:rsid w:val="2B187F58"/>
    <w:rsid w:val="2B401EA2"/>
    <w:rsid w:val="2C8D6643"/>
    <w:rsid w:val="2CD40F8E"/>
    <w:rsid w:val="2DBE06B6"/>
    <w:rsid w:val="2DFE3D67"/>
    <w:rsid w:val="2FC06A43"/>
    <w:rsid w:val="30177822"/>
    <w:rsid w:val="314C31FF"/>
    <w:rsid w:val="32F94548"/>
    <w:rsid w:val="33186A8D"/>
    <w:rsid w:val="331F1E9A"/>
    <w:rsid w:val="33A90F03"/>
    <w:rsid w:val="34265869"/>
    <w:rsid w:val="346440CC"/>
    <w:rsid w:val="382A7DD0"/>
    <w:rsid w:val="39414CC1"/>
    <w:rsid w:val="399969A6"/>
    <w:rsid w:val="39FD486A"/>
    <w:rsid w:val="3A07301B"/>
    <w:rsid w:val="3B4F6689"/>
    <w:rsid w:val="3C584731"/>
    <w:rsid w:val="3CF36ADF"/>
    <w:rsid w:val="3D113705"/>
    <w:rsid w:val="3DEF2D24"/>
    <w:rsid w:val="3EA90954"/>
    <w:rsid w:val="3EAC4365"/>
    <w:rsid w:val="3ECD61F3"/>
    <w:rsid w:val="3F087300"/>
    <w:rsid w:val="3F9A2383"/>
    <w:rsid w:val="412154E5"/>
    <w:rsid w:val="413F73B5"/>
    <w:rsid w:val="4234403D"/>
    <w:rsid w:val="42D5264A"/>
    <w:rsid w:val="440B6536"/>
    <w:rsid w:val="45D23438"/>
    <w:rsid w:val="460D10DC"/>
    <w:rsid w:val="46121C21"/>
    <w:rsid w:val="462A4CEC"/>
    <w:rsid w:val="47597E84"/>
    <w:rsid w:val="47BC6CA9"/>
    <w:rsid w:val="49727847"/>
    <w:rsid w:val="49F93183"/>
    <w:rsid w:val="4A97450D"/>
    <w:rsid w:val="4B0B408E"/>
    <w:rsid w:val="4B7B54EB"/>
    <w:rsid w:val="4D081801"/>
    <w:rsid w:val="4F3B0566"/>
    <w:rsid w:val="4FE12293"/>
    <w:rsid w:val="50140671"/>
    <w:rsid w:val="5089145C"/>
    <w:rsid w:val="51560D0F"/>
    <w:rsid w:val="51916755"/>
    <w:rsid w:val="51F90D3E"/>
    <w:rsid w:val="52746C21"/>
    <w:rsid w:val="529A2333"/>
    <w:rsid w:val="54007FC8"/>
    <w:rsid w:val="54D13635"/>
    <w:rsid w:val="54ED7DFA"/>
    <w:rsid w:val="55C739F2"/>
    <w:rsid w:val="565A517A"/>
    <w:rsid w:val="567454AC"/>
    <w:rsid w:val="56BF3207"/>
    <w:rsid w:val="573A406C"/>
    <w:rsid w:val="5750629E"/>
    <w:rsid w:val="59C8702D"/>
    <w:rsid w:val="59E67EC1"/>
    <w:rsid w:val="5B9158A8"/>
    <w:rsid w:val="5BE93490"/>
    <w:rsid w:val="5D604C05"/>
    <w:rsid w:val="5FF34D5E"/>
    <w:rsid w:val="60AC028E"/>
    <w:rsid w:val="610E0C34"/>
    <w:rsid w:val="611D6D0B"/>
    <w:rsid w:val="61F54715"/>
    <w:rsid w:val="62FB6A82"/>
    <w:rsid w:val="67523C4B"/>
    <w:rsid w:val="67F21A11"/>
    <w:rsid w:val="682D0491"/>
    <w:rsid w:val="68CD04AD"/>
    <w:rsid w:val="695754D9"/>
    <w:rsid w:val="69611C4E"/>
    <w:rsid w:val="6A5F0F0F"/>
    <w:rsid w:val="6B3A1FC6"/>
    <w:rsid w:val="6BE515D1"/>
    <w:rsid w:val="6C095AB7"/>
    <w:rsid w:val="6C33562B"/>
    <w:rsid w:val="6CDA7DF1"/>
    <w:rsid w:val="6D7102C0"/>
    <w:rsid w:val="6DA30E91"/>
    <w:rsid w:val="6DFF3EF8"/>
    <w:rsid w:val="6E12675E"/>
    <w:rsid w:val="6F5560D5"/>
    <w:rsid w:val="6FCB0F95"/>
    <w:rsid w:val="705C247C"/>
    <w:rsid w:val="70DA04B1"/>
    <w:rsid w:val="70E30B40"/>
    <w:rsid w:val="721C1E34"/>
    <w:rsid w:val="727673F2"/>
    <w:rsid w:val="72C57156"/>
    <w:rsid w:val="73077B0B"/>
    <w:rsid w:val="746454E6"/>
    <w:rsid w:val="74F06503"/>
    <w:rsid w:val="75667D73"/>
    <w:rsid w:val="75847126"/>
    <w:rsid w:val="75E256FF"/>
    <w:rsid w:val="76C24490"/>
    <w:rsid w:val="773D78B4"/>
    <w:rsid w:val="78010172"/>
    <w:rsid w:val="78164CAB"/>
    <w:rsid w:val="794553A2"/>
    <w:rsid w:val="7A35144D"/>
    <w:rsid w:val="7A395876"/>
    <w:rsid w:val="7A7C0E48"/>
    <w:rsid w:val="7D57019D"/>
    <w:rsid w:val="7F2D5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styleId="10">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23</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2021-06-25T07:51:04Z</cp:lastPrinted>
  <dcterms:modified xsi:type="dcterms:W3CDTF">2021-06-25T07:53:25Z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