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“三公经费”变动率=[（本年度“三公经费”总额-上年度“三公经费”总额）/上年度“三公经费”总额]×100%=（0.13-0.16）/0.16=-18.75%。</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合计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 鹤城区委统战部                                    单位：万元</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86.67%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0.16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0.16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89.3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98.81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89.3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98.81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40.07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10.74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3.88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10.57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263.54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263.54</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pacing w:line="600" w:lineRule="exact"/>
        <w:ind w:left="640"/>
        <w:rPr>
          <w:rFonts w:ascii="黑体" w:hAnsi="黑体" w:eastAsia="黑体"/>
          <w:bCs/>
          <w:kern w:val="0"/>
          <w:sz w:val="32"/>
          <w:szCs w:val="32"/>
        </w:rPr>
      </w:pPr>
      <w:r>
        <w:rPr>
          <w:rFonts w:hint="eastAsia" w:ascii="黑体" w:hAnsi="黑体" w:eastAsia="黑体"/>
          <w:bCs/>
          <w:kern w:val="0"/>
          <w:sz w:val="32"/>
          <w:szCs w:val="32"/>
        </w:rPr>
        <w:t>（一）</w:t>
      </w:r>
      <w:r>
        <w:rPr>
          <w:rFonts w:ascii="黑体" w:hAnsi="黑体" w:eastAsia="黑体"/>
          <w:bCs/>
          <w:kern w:val="0"/>
          <w:sz w:val="32"/>
          <w:szCs w:val="32"/>
        </w:rPr>
        <w:t>部门职责</w:t>
      </w:r>
    </w:p>
    <w:p>
      <w:pPr>
        <w:ind w:firstLine="640" w:firstLineChars="200"/>
        <w:rPr>
          <w:rFonts w:ascii="仿宋" w:hAnsi="仿宋" w:eastAsia="仿宋"/>
          <w:b/>
          <w:sz w:val="32"/>
          <w:szCs w:val="32"/>
        </w:rPr>
      </w:pPr>
      <w:r>
        <w:rPr>
          <w:rFonts w:hint="eastAsia" w:ascii="仿宋" w:hAnsi="仿宋" w:eastAsia="仿宋"/>
          <w:sz w:val="32"/>
          <w:szCs w:val="32"/>
        </w:rPr>
        <w:t>调查研究和宣传统一战线的理论方针、政策；负责联系各民主党派和无党派代表人士；负责党外人士的政治安排；调查研究并反映我区非公有制经济代表人士的情况；承办区委交办的其他工作。</w:t>
      </w:r>
    </w:p>
    <w:p>
      <w:pPr>
        <w:pStyle w:val="10"/>
        <w:widowControl/>
        <w:numPr>
          <w:ilvl w:val="0"/>
          <w:numId w:val="1"/>
        </w:numPr>
        <w:spacing w:line="600" w:lineRule="exact"/>
        <w:ind w:firstLineChars="0"/>
        <w:rPr>
          <w:rFonts w:ascii="黑体" w:hAnsi="黑体" w:eastAsia="黑体"/>
          <w:bCs/>
          <w:kern w:val="0"/>
          <w:sz w:val="32"/>
          <w:szCs w:val="32"/>
        </w:rPr>
      </w:pPr>
      <w:r>
        <w:rPr>
          <w:rFonts w:hint="eastAsia" w:ascii="黑体" w:hAnsi="黑体" w:eastAsia="黑体"/>
          <w:bCs/>
          <w:kern w:val="0"/>
          <w:sz w:val="32"/>
          <w:szCs w:val="32"/>
        </w:rPr>
        <w:t>机构设置</w:t>
      </w:r>
    </w:p>
    <w:p>
      <w:pPr>
        <w:widowControl/>
        <w:spacing w:line="600" w:lineRule="exact"/>
        <w:ind w:firstLine="640" w:firstLineChars="200"/>
        <w:jc w:val="left"/>
        <w:rPr>
          <w:rFonts w:ascii="仿宋" w:hAnsi="仿宋" w:eastAsia="仿宋"/>
          <w:kern w:val="0"/>
          <w:sz w:val="32"/>
          <w:szCs w:val="32"/>
        </w:rPr>
      </w:pPr>
      <w:r>
        <w:rPr>
          <w:rFonts w:hint="eastAsia" w:ascii="仿宋" w:hAnsi="仿宋" w:eastAsia="仿宋"/>
          <w:bCs/>
          <w:kern w:val="0"/>
          <w:sz w:val="32"/>
          <w:szCs w:val="32"/>
        </w:rPr>
        <w:t>鹤城区委统战部</w:t>
      </w:r>
      <w:r>
        <w:rPr>
          <w:rFonts w:hint="eastAsia" w:ascii="仿宋" w:hAnsi="仿宋" w:eastAsia="仿宋"/>
          <w:sz w:val="32"/>
          <w:szCs w:val="32"/>
        </w:rPr>
        <w:t>内设4个职能股室，分别为：办公室、干部组、党派经济联络组、非公有制经济和新的社会阶层人士管理办公室（加挂民主党派与党外知识分子管理办公室）。</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hd w:val="clear" w:color="auto" w:fill="FFFFFF"/>
        <w:spacing w:line="600" w:lineRule="atLeast"/>
        <w:ind w:firstLine="640"/>
        <w:rPr>
          <w:rFonts w:ascii="仿宋" w:hAnsi="仿宋" w:eastAsia="仿宋"/>
          <w:spacing w:val="-2"/>
          <w:sz w:val="32"/>
          <w:szCs w:val="32"/>
        </w:rPr>
      </w:pPr>
      <w:r>
        <w:rPr>
          <w:rFonts w:hint="eastAsia" w:ascii="仿宋" w:hAnsi="仿宋" w:eastAsia="仿宋"/>
          <w:spacing w:val="-2"/>
          <w:sz w:val="32"/>
          <w:szCs w:val="32"/>
        </w:rPr>
        <w:t>2020年基本支出164.73万元，其中：工资福利支出127.4万元，商品和服务支出17.19万元，对个人和家庭的补助支出20.14万元。</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hd w:val="clear" w:color="auto" w:fill="FFFFFF"/>
        <w:spacing w:line="600" w:lineRule="atLeast"/>
        <w:ind w:firstLine="640"/>
        <w:rPr>
          <w:rFonts w:ascii="仿宋" w:hAnsi="仿宋" w:eastAsia="仿宋"/>
          <w:spacing w:val="-2"/>
          <w:sz w:val="32"/>
          <w:szCs w:val="32"/>
        </w:rPr>
      </w:pPr>
      <w:r>
        <w:rPr>
          <w:rFonts w:hint="eastAsia" w:ascii="仿宋" w:hAnsi="仿宋" w:eastAsia="仿宋"/>
          <w:spacing w:val="-2"/>
          <w:sz w:val="32"/>
          <w:szCs w:val="32"/>
        </w:rPr>
        <w:t>2020年财政共下达专项业务经费99万元，主要用非公人士综合评价工作经费8万元、统战机关特殊工作经费8万元、民主党派及工商联事务工作经费30万元、新社会阶层人士工作经费10万元、统战机关特殊工作经费2万元、知识分子联谊会工作经费3万元、民营办工作经费1万元、统战部工作经费2万元、非公人士综合评价工作经费2万元、区党外人士数据库管理系统设备采购经费10万元、专项行动工作经费8万元、“四同创建”工作经费7.5万元、侨联工作经费4.5万元、2020年春节期间特困企业特困职工走访慰问资金3万元。</w:t>
      </w:r>
    </w:p>
    <w:p>
      <w:pPr>
        <w:widowControl/>
        <w:shd w:val="clear" w:color="auto" w:fill="FFFFFF"/>
        <w:spacing w:line="600" w:lineRule="atLeast"/>
        <w:ind w:firstLine="640"/>
        <w:rPr>
          <w:rFonts w:ascii="仿宋" w:hAnsi="仿宋" w:eastAsia="仿宋"/>
          <w:spacing w:val="-2"/>
          <w:sz w:val="32"/>
          <w:szCs w:val="32"/>
        </w:rPr>
      </w:pPr>
      <w:r>
        <w:rPr>
          <w:rFonts w:hint="eastAsia" w:ascii="仿宋" w:hAnsi="仿宋" w:eastAsia="仿宋"/>
          <w:spacing w:val="-2"/>
          <w:sz w:val="32"/>
          <w:szCs w:val="32"/>
        </w:rPr>
        <w:t>支出专项业务经费98.81万元，非公人士综合评价工作经费8万元、统战机关特殊工作经费8万元、民主党派及工商联事务工作经费30万元、新社会阶层人士工作经费10万元、统战机关特殊工作经费2万元、知识分子联谊会工作经费3万元、民营办工作经费0.81万元、统战部工作经费2万元、非公人士综合评价工作经费2万元、区党外人士数据库管理系统设备采购经费10万元、专项行动工作经费8万元、“四同创建”工作经费7.5万元、侨联工作经费4.5万元、2020年春节期间特困企业特困职工走访慰问资金3万元。</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widowControl/>
        <w:spacing w:line="600" w:lineRule="exact"/>
        <w:ind w:left="640" w:firstLine="0" w:firstLineChars="0"/>
        <w:jc w:val="left"/>
        <w:rPr>
          <w:rFonts w:ascii="仿宋" w:hAnsi="仿宋" w:eastAsia="仿宋"/>
          <w:spacing w:val="-2"/>
          <w:sz w:val="32"/>
          <w:szCs w:val="32"/>
        </w:rPr>
      </w:pPr>
      <w:r>
        <w:rPr>
          <w:rFonts w:hint="eastAsia" w:ascii="仿宋" w:hAnsi="仿宋" w:eastAsia="仿宋"/>
          <w:spacing w:val="-2"/>
          <w:sz w:val="32"/>
          <w:szCs w:val="32"/>
        </w:rPr>
        <w:t>无</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0"/>
        <w:widowControl/>
        <w:spacing w:line="600" w:lineRule="exact"/>
        <w:ind w:left="640" w:firstLine="0" w:firstLineChars="0"/>
        <w:jc w:val="left"/>
        <w:rPr>
          <w:rFonts w:ascii="仿宋" w:hAnsi="仿宋" w:eastAsia="仿宋"/>
          <w:spacing w:val="-2"/>
          <w:sz w:val="32"/>
          <w:szCs w:val="32"/>
        </w:rPr>
      </w:pPr>
      <w:r>
        <w:rPr>
          <w:rFonts w:hint="eastAsia" w:ascii="仿宋" w:hAnsi="仿宋" w:eastAsia="仿宋"/>
          <w:spacing w:val="-2"/>
          <w:sz w:val="32"/>
          <w:szCs w:val="32"/>
        </w:rPr>
        <w:t>无</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0"/>
        <w:widowControl/>
        <w:spacing w:line="600" w:lineRule="exact"/>
        <w:ind w:left="640" w:firstLine="0" w:firstLineChars="0"/>
        <w:jc w:val="left"/>
        <w:rPr>
          <w:rFonts w:ascii="仿宋" w:hAnsi="仿宋" w:eastAsia="仿宋"/>
          <w:spacing w:val="-2"/>
          <w:sz w:val="32"/>
          <w:szCs w:val="32"/>
        </w:rPr>
      </w:pPr>
      <w:r>
        <w:rPr>
          <w:rFonts w:hint="eastAsia" w:ascii="仿宋" w:hAnsi="仿宋" w:eastAsia="仿宋"/>
          <w:spacing w:val="-2"/>
          <w:sz w:val="32"/>
          <w:szCs w:val="32"/>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今年以来，全区统一战线工作在区委的正确领导下，以习近平新时代中国特色社会主义思想为指导，深入学习习近平总书记关于加强和改进新时代统一战线工作的重要思想，紧扣加强党对统一战线工作的集中领导这个根本，以促进鹤城高质量发展为取向，服务大局谋发展，凝心聚力促和谐，积极整合和发挥统战优势，为奋力夺取疫情防控和经济社会发展“双战双胜”贡献智慧力量，全区统战工作成效明显。</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（一）坚持政治理论学习。一是深入学习贯彻习近平新时代中国特色社会主义思想。二是着力强化思想政治引领。三是全面加强党对统战工作的集中统一领导。</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二）不断加强党外代表人士队伍建设。一是认真贯彻落实中央、省、市、区委关于政治协商的相关要求。二是切实加强党外代表人士队伍建设。着眼党外人士政治安排、实职安排和社会安排，切实做好党外干部的选拔任用工作。三是开展湖南省党外人士基础数据库管理系统接入工作。</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（三）继续聚力社会扶贫工作。一是继续开展“万企帮万村”精准扶贫行动。二是充分发挥民主党派作用，助力精准扶贫。三是深化“互联网＋社会扶贫”工作。积极开展“户帮户亲帮亲 互助脱贫奔小康”活动。</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(四)推动非公经济领域统战工作有序发展。一是积极推动全区非公企业党建工作有序开展。二是积极创建“四好”商会。三是协助企业做好复工复产。四是营造良好营商环境。</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五）抓实抓好民族宗教工作。民族工作方面：一是以《工作条例》为主线，抓好城市民族工作顶层设计。二是以宣传教育为载体，强化城市民族工作融合力度。三是以优质服务为重点，提高城市民族工作服务水平。四是形成工作合力。依托全员人口信息平台、流动人口信息平台等现代管理体系，民宗、公安、教育、城管等部门建立健全信息互通共享制度，及时解决各类矛盾和纠纷，力争做到小事不出社区，大事不出街道。</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宗教工作方面：一是创新网络体系。二是压实工作责任。 三是抓实突出问题整改。四是扎实开展“五进五好”活动。五是抓好常态化疫情防控。</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（六）持续深化 “同心工程”、积极创建“同心美丽乡村”。一是突出统战元素，打造“同心”特色。二是示范引领带动，创建“同心”品牌。</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（七）不断加强新的社会阶层平台建设。一是加强我区新阶层人士统战工作实践创新基地建设。二是引导发挥“怀化市鹤城区新的社会阶层人士联谊会”作用。</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（八）持续深化侨务侨联及港澳台工作。一方面，立足本职，注重优质服务。另一方面，完善机制，解决突出问题。</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预算执行存在偏差。</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w:t>
      </w:r>
      <w:r>
        <w:rPr>
          <w:rFonts w:hint="eastAsia" w:ascii="仿宋" w:hAnsi="仿宋" w:eastAsia="仿宋"/>
          <w:spacing w:val="-2"/>
          <w:sz w:val="32"/>
          <w:szCs w:val="32"/>
        </w:rPr>
        <w:t>.</w:t>
      </w:r>
      <w:r>
        <w:rPr>
          <w:rFonts w:ascii="仿宋" w:hAnsi="仿宋" w:eastAsia="仿宋"/>
          <w:spacing w:val="-2"/>
          <w:sz w:val="32"/>
          <w:szCs w:val="32"/>
        </w:rPr>
        <w:t>加强对预算资金绩效评价相关方面的学习，加强财政资金管理。</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2</w:t>
      </w:r>
      <w:r>
        <w:rPr>
          <w:rFonts w:hint="eastAsia" w:ascii="仿宋" w:hAnsi="仿宋" w:eastAsia="仿宋"/>
          <w:spacing w:val="-2"/>
          <w:sz w:val="32"/>
          <w:szCs w:val="32"/>
        </w:rPr>
        <w:t>.完善内部管理制度，进一步加强管理。建立本部门“三公经费”等公务支出管理制度及厉行节约制度，加强经费审批和控制，规范支出标准与范围，并严格执行。</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10"/>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r>
              <w:rPr>
                <w:rFonts w:ascii="仿宋_GB2312" w:eastAsia="仿宋_GB2312"/>
                <w:szCs w:val="21"/>
              </w:rPr>
              <w:t>合计</w:t>
            </w: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91</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538"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参政议政（民主党派及工商联）</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r>
              <w:rPr>
                <w:rFonts w:hint="eastAsia" w:eastAsia="仿宋_GB2312"/>
                <w:color w:val="000000"/>
                <w:kern w:val="0"/>
                <w:szCs w:val="21"/>
              </w:rPr>
              <w:t>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93</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围绕中心，服务大局，做好调研、社情民意信息工作，切实履行参政党职能，不断提升参政议政能力和水平。量力而行，尽力而为，注重实效，以实施"同心工程"为重点，努力开展社会服务。强化思想教育，加大宣传力度，做好思想宣传工作。开展党务活动等组织建设工作，不断优化组织结构，增强组织活力，加强组织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产出</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p>
          <w:p>
            <w:pPr>
              <w:widowControl/>
              <w:spacing w:line="20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2篇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0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开展活动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2篇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开展活动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1--12月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20万元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20万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9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效益</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left"/>
              <w:rPr>
                <w:rFonts w:eastAsia="仿宋_GB2312"/>
                <w:color w:val="000000"/>
                <w:kern w:val="0"/>
                <w:szCs w:val="21"/>
              </w:rPr>
            </w:pPr>
          </w:p>
          <w:p>
            <w:pPr>
              <w:widowControl/>
              <w:spacing w:line="200" w:lineRule="exact"/>
              <w:jc w:val="left"/>
              <w:rPr>
                <w:rFonts w:eastAsia="仿宋_GB2312"/>
                <w:color w:val="000000"/>
                <w:kern w:val="0"/>
                <w:szCs w:val="21"/>
              </w:rPr>
            </w:pPr>
            <w:r>
              <w:rPr>
                <w:rFonts w:eastAsia="仿宋_GB2312"/>
                <w:color w:val="000000"/>
                <w:kern w:val="0"/>
                <w:szCs w:val="21"/>
              </w:rPr>
              <w:t>（30分）</w:t>
            </w:r>
          </w:p>
          <w:p>
            <w:pPr>
              <w:spacing w:line="20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经济效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6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社会效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优化组织结构，增强组织活力，加强组织建设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生态效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优化组织结构，增强组织活力，加强组织建设。</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优化组织结构，增强组织活力，加强组织建设。</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调研报告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9</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hint="eastAsia" w:eastAsia="仿宋_GB2312"/>
                <w:color w:val="000000"/>
                <w:kern w:val="0"/>
                <w:sz w:val="13"/>
                <w:szCs w:val="13"/>
              </w:rPr>
              <w:t>优化组织结构，增强组织活力，加强组织建设</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按要求完成调研报告、开展各类活动</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93</w:t>
            </w:r>
          </w:p>
        </w:tc>
        <w:tc>
          <w:tcPr>
            <w:tcW w:w="1418"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538"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非公人士综合评价工作经费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做好2020年非公有制经济代表人士推荐使用和重要评选表彰的综合评价工作。</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年度</w:t>
            </w:r>
          </w:p>
          <w:p>
            <w:pPr>
              <w:widowControl/>
              <w:spacing w:line="20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实际</w:t>
            </w:r>
          </w:p>
          <w:p>
            <w:pPr>
              <w:widowControl/>
              <w:spacing w:line="20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偏差原因</w:t>
            </w:r>
          </w:p>
          <w:p>
            <w:pPr>
              <w:widowControl/>
              <w:spacing w:line="200" w:lineRule="exact"/>
              <w:jc w:val="center"/>
              <w:rPr>
                <w:rFonts w:eastAsia="仿宋_GB2312"/>
                <w:color w:val="000000"/>
                <w:kern w:val="0"/>
                <w:szCs w:val="21"/>
              </w:rPr>
            </w:pPr>
            <w:r>
              <w:rPr>
                <w:rFonts w:eastAsia="仿宋_GB2312"/>
                <w:color w:val="000000"/>
                <w:kern w:val="0"/>
                <w:szCs w:val="21"/>
              </w:rPr>
              <w:t>分析及</w:t>
            </w:r>
          </w:p>
          <w:p>
            <w:pPr>
              <w:widowControl/>
              <w:spacing w:line="20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产出</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p>
          <w:p>
            <w:pPr>
              <w:widowControl/>
              <w:spacing w:line="20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做好2020年非公有制经济代表人士推荐使用和重要评选表彰的综合评价工作。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完成2019年两个以上批次的评价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做好人大代表、政协委员新增人员的评价工作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eastAsia="仿宋_GB2312"/>
                <w:color w:val="000000"/>
                <w:kern w:val="0"/>
                <w:sz w:val="18"/>
                <w:szCs w:val="18"/>
              </w:rPr>
              <w:t>全年两次以上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办公费、资料费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办公费5万元、资料费5万元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效益</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left"/>
              <w:rPr>
                <w:rFonts w:eastAsia="仿宋_GB2312"/>
                <w:color w:val="000000"/>
                <w:kern w:val="0"/>
                <w:szCs w:val="21"/>
              </w:rPr>
            </w:pPr>
          </w:p>
          <w:p>
            <w:pPr>
              <w:widowControl/>
              <w:spacing w:line="20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20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经济效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社会效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巩固党执政的群众基础和社会基础。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8"/>
                <w:szCs w:val="18"/>
              </w:rPr>
            </w:pPr>
            <w:r>
              <w:rPr>
                <w:rFonts w:hint="eastAsia" w:eastAsia="仿宋_GB2312"/>
                <w:color w:val="000000"/>
                <w:kern w:val="0"/>
                <w:sz w:val="18"/>
                <w:szCs w:val="18"/>
              </w:rPr>
              <w:t>建设一支高素质非公有制经济代表人士队伍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生态效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推动构建“亲”“清”新型政商关系</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建立长效机制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非公有制经济人士</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94</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民营办工作经费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 加强与民营企业人士的联系，积极引导他们参政议政、关注社会、关注家乡、富而思源、扶贫济困。</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年度</w:t>
            </w:r>
          </w:p>
          <w:p>
            <w:pPr>
              <w:widowControl/>
              <w:spacing w:line="20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实际</w:t>
            </w:r>
          </w:p>
          <w:p>
            <w:pPr>
              <w:widowControl/>
              <w:spacing w:line="20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偏差原因</w:t>
            </w:r>
          </w:p>
          <w:p>
            <w:pPr>
              <w:widowControl/>
              <w:spacing w:line="200" w:lineRule="exact"/>
              <w:jc w:val="center"/>
              <w:rPr>
                <w:rFonts w:eastAsia="仿宋_GB2312"/>
                <w:color w:val="000000"/>
                <w:kern w:val="0"/>
                <w:szCs w:val="21"/>
              </w:rPr>
            </w:pPr>
            <w:r>
              <w:rPr>
                <w:rFonts w:eastAsia="仿宋_GB2312"/>
                <w:color w:val="000000"/>
                <w:kern w:val="0"/>
                <w:szCs w:val="21"/>
              </w:rPr>
              <w:t>分析及</w:t>
            </w:r>
          </w:p>
          <w:p>
            <w:pPr>
              <w:widowControl/>
              <w:spacing w:line="20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产出</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p>
          <w:p>
            <w:pPr>
              <w:widowControl/>
              <w:spacing w:line="20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加强与民营企业人士的联系</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走访民营企业人士每年两次以上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积极引导他们参政议政、关注社会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20余人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效益</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left"/>
              <w:rPr>
                <w:rFonts w:eastAsia="仿宋_GB2312"/>
                <w:color w:val="000000"/>
                <w:kern w:val="0"/>
                <w:szCs w:val="21"/>
              </w:rPr>
            </w:pPr>
          </w:p>
          <w:p>
            <w:pPr>
              <w:widowControl/>
              <w:spacing w:line="20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20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经济效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社会效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民营企业人士资金回流，积极参与鹤城的建设与发展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20余人次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生态效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鼓励和动员在外鹤城籍民营企业人士资金回流，积极参与鹤城的建设与发展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 建立长效机制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民营企业人士</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96</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侨联工作经费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 密切联系广大归侨、侨眷和海外侨胞。开展海内外文化、艺术交流，做好国内外侨情的调查研究。</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年度</w:t>
            </w:r>
          </w:p>
          <w:p>
            <w:pPr>
              <w:widowControl/>
              <w:spacing w:line="20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实际</w:t>
            </w:r>
          </w:p>
          <w:p>
            <w:pPr>
              <w:widowControl/>
              <w:spacing w:line="20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偏差原因</w:t>
            </w:r>
          </w:p>
          <w:p>
            <w:pPr>
              <w:widowControl/>
              <w:spacing w:line="200" w:lineRule="exact"/>
              <w:jc w:val="center"/>
              <w:rPr>
                <w:rFonts w:eastAsia="仿宋_GB2312"/>
                <w:color w:val="000000"/>
                <w:kern w:val="0"/>
                <w:szCs w:val="21"/>
              </w:rPr>
            </w:pPr>
            <w:r>
              <w:rPr>
                <w:rFonts w:eastAsia="仿宋_GB2312"/>
                <w:color w:val="000000"/>
                <w:kern w:val="0"/>
                <w:szCs w:val="21"/>
              </w:rPr>
              <w:t>分析及</w:t>
            </w:r>
          </w:p>
          <w:p>
            <w:pPr>
              <w:widowControl/>
              <w:spacing w:line="20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产出</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p>
          <w:p>
            <w:pPr>
              <w:widowControl/>
              <w:spacing w:line="20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密切联系广大归侨、侨眷和海外侨胞。</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每年走访2次以上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开展海内外文化、艺术交流，做好国内外侨情的调查研究。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eastAsia="仿宋_GB2312"/>
                <w:color w:val="000000"/>
                <w:kern w:val="0"/>
                <w:sz w:val="18"/>
                <w:szCs w:val="18"/>
              </w:rPr>
              <w:t>完成95%-100%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办公费、资料费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办公费2万元、资料费2.5万元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效益</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left"/>
              <w:rPr>
                <w:rFonts w:eastAsia="仿宋_GB2312"/>
                <w:color w:val="000000"/>
                <w:kern w:val="0"/>
                <w:szCs w:val="21"/>
              </w:rPr>
            </w:pPr>
          </w:p>
          <w:p>
            <w:pPr>
              <w:widowControl/>
              <w:spacing w:line="20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20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经济效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社会效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了解侨情民意，反映广大侨胞的意见和呼声。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8"/>
                <w:szCs w:val="18"/>
              </w:rPr>
            </w:pPr>
            <w:r>
              <w:rPr>
                <w:rFonts w:hint="eastAsia" w:eastAsia="仿宋_GB2312"/>
                <w:color w:val="000000"/>
                <w:kern w:val="0"/>
                <w:sz w:val="18"/>
                <w:szCs w:val="18"/>
              </w:rPr>
              <w:t>走访10余人次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生态效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了解侨情民意，反映广大侨胞的意见和呼声。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 建立长效机制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8"/>
                <w:szCs w:val="18"/>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广大归侨、侨眷和海外侨胞</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hint="eastAsia" w:eastAsia="仿宋_GB2312"/>
                <w:color w:val="000000"/>
                <w:kern w:val="0"/>
                <w:szCs w:val="21"/>
              </w:rPr>
              <w:t>96</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pStyle w:val="2"/>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“四同创建”工作经费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53.57%</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以“同心”思想为引领，以“四同创建”为抓手，整合统战资源，持续推进项目、社区、乡村建设，打造统战工作品牌。</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年度</w:t>
            </w:r>
          </w:p>
          <w:p>
            <w:pPr>
              <w:widowControl/>
              <w:spacing w:line="20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实际</w:t>
            </w:r>
          </w:p>
          <w:p>
            <w:pPr>
              <w:widowControl/>
              <w:spacing w:line="20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偏差原因</w:t>
            </w:r>
          </w:p>
          <w:p>
            <w:pPr>
              <w:widowControl/>
              <w:spacing w:line="200" w:lineRule="exact"/>
              <w:jc w:val="center"/>
              <w:rPr>
                <w:rFonts w:eastAsia="仿宋_GB2312"/>
                <w:color w:val="000000"/>
                <w:kern w:val="0"/>
                <w:szCs w:val="21"/>
              </w:rPr>
            </w:pPr>
            <w:r>
              <w:rPr>
                <w:rFonts w:eastAsia="仿宋_GB2312"/>
                <w:color w:val="000000"/>
                <w:kern w:val="0"/>
                <w:szCs w:val="21"/>
              </w:rPr>
              <w:t>分析及</w:t>
            </w:r>
          </w:p>
          <w:p>
            <w:pPr>
              <w:widowControl/>
              <w:spacing w:line="20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产出</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p>
          <w:p>
            <w:pPr>
              <w:widowControl/>
              <w:spacing w:line="20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创建市级“四同”项目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市级“四同”项目1个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创建区级“四同”项目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区级“四同”项目3个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创建市级“四同”项目1个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 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6</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创建区级“四同”项目3个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9万元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6</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效益</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left"/>
              <w:rPr>
                <w:rFonts w:eastAsia="仿宋_GB2312"/>
                <w:color w:val="000000"/>
                <w:kern w:val="0"/>
                <w:szCs w:val="21"/>
              </w:rPr>
            </w:pPr>
          </w:p>
          <w:p>
            <w:pPr>
              <w:widowControl/>
              <w:spacing w:line="20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20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经济效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社会效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vMerge w:val="restart"/>
            <w:tcBorders>
              <w:top w:val="single" w:color="auto" w:sz="4" w:space="0"/>
              <w:left w:val="nil"/>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彰显统战工作的特色和作为。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创建市级项目1个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vMerge w:val="continue"/>
            <w:tcBorders>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00" w:lineRule="exact"/>
              <w:jc w:val="center"/>
              <w:rPr>
                <w:rFonts w:eastAsia="仿宋_GB2312"/>
                <w:color w:val="000000"/>
                <w:kern w:val="0"/>
                <w:sz w:val="18"/>
                <w:szCs w:val="18"/>
              </w:rPr>
            </w:pPr>
            <w:r>
              <w:rPr>
                <w:rFonts w:hint="eastAsia" w:eastAsia="仿宋_GB2312"/>
                <w:color w:val="000000"/>
                <w:kern w:val="0"/>
                <w:sz w:val="18"/>
                <w:szCs w:val="18"/>
              </w:rPr>
              <w:t>创建区级项目1个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0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生态效</w:t>
            </w:r>
          </w:p>
          <w:p>
            <w:pPr>
              <w:widowControl/>
              <w:spacing w:line="20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彰显统战工作的特色和作为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 xml:space="preserve">  创建市级项目1个</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10</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left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创建区级项目1个</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10</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满意度</w:t>
            </w:r>
          </w:p>
          <w:p>
            <w:pPr>
              <w:widowControl/>
              <w:spacing w:line="200" w:lineRule="exact"/>
              <w:jc w:val="center"/>
              <w:rPr>
                <w:rFonts w:eastAsia="仿宋_GB2312"/>
                <w:color w:val="000000"/>
                <w:kern w:val="0"/>
                <w:szCs w:val="21"/>
              </w:rPr>
            </w:pPr>
            <w:r>
              <w:rPr>
                <w:rFonts w:eastAsia="仿宋_GB2312"/>
                <w:color w:val="000000"/>
                <w:kern w:val="0"/>
                <w:szCs w:val="21"/>
              </w:rPr>
              <w:t>指标</w:t>
            </w:r>
          </w:p>
          <w:p>
            <w:pPr>
              <w:widowControl/>
              <w:spacing w:line="20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彰显统战工作的特色和作为。</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 w:val="13"/>
                <w:szCs w:val="13"/>
              </w:rPr>
            </w:pPr>
            <w:r>
              <w:rPr>
                <w:rFonts w:hint="eastAsia" w:eastAsia="仿宋_GB2312"/>
                <w:color w:val="000000"/>
                <w:kern w:val="0"/>
                <w:sz w:val="13"/>
                <w:szCs w:val="13"/>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0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346" w:type="dxa"/>
            <w:tcBorders>
              <w:top w:val="nil"/>
              <w:left w:val="nil"/>
              <w:bottom w:val="single" w:color="auto" w:sz="4" w:space="0"/>
              <w:right w:val="single" w:color="auto" w:sz="4" w:space="0"/>
            </w:tcBorders>
            <w:shd w:val="clear" w:color="auto" w:fill="auto"/>
            <w:vAlign w:val="center"/>
          </w:tcPr>
          <w:p>
            <w:pPr>
              <w:widowControl/>
              <w:spacing w:line="20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363"/>
        <w:gridCol w:w="1058"/>
        <w:gridCol w:w="675"/>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04"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33"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统战工作经费 </w:t>
            </w:r>
          </w:p>
        </w:tc>
      </w:tr>
      <w:tr>
        <w:tblPrEx>
          <w:tblCellMar>
            <w:top w:w="0" w:type="dxa"/>
            <w:left w:w="108" w:type="dxa"/>
            <w:bottom w:w="0" w:type="dxa"/>
            <w:right w:w="108" w:type="dxa"/>
          </w:tblCellMar>
        </w:tblPrEx>
        <w:trPr>
          <w:trHeight w:val="3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1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058"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9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07"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05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675"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10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1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5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67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91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整合资源、凝聚力量，为促进全区经济持续健康发展、社会大局和谐稳定作出新贡献。</w:t>
            </w:r>
          </w:p>
        </w:tc>
        <w:tc>
          <w:tcPr>
            <w:tcW w:w="395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66"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60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整合资源、凝聚力量</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深入推进“同心”工程 </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促进全区经济持续健康发展 </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为社会大局和谐稳定作出新贡献  </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全年</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办公费</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2万元 </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73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整合资源、凝聚力量</w:t>
            </w:r>
          </w:p>
        </w:tc>
        <w:tc>
          <w:tcPr>
            <w:tcW w:w="1363"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为社会大局和谐稳定作出新贡献 </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53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739"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促进全区经济持续健康发展</w:t>
            </w: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建立长效机制 </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hint="eastAsia" w:eastAsia="仿宋_GB2312"/>
                <w:color w:val="000000"/>
                <w:kern w:val="0"/>
                <w:sz w:val="18"/>
                <w:szCs w:val="18"/>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统战对象</w:t>
            </w:r>
          </w:p>
        </w:tc>
        <w:tc>
          <w:tcPr>
            <w:tcW w:w="13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0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hint="eastAsia" w:eastAsia="仿宋_GB2312"/>
                <w:color w:val="000000"/>
                <w:kern w:val="0"/>
                <w:sz w:val="18"/>
                <w:szCs w:val="18"/>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7105"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7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94</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560" w:type="dxa"/>
        <w:jc w:val="center"/>
        <w:tblLayout w:type="fixed"/>
        <w:tblCellMar>
          <w:top w:w="0" w:type="dxa"/>
          <w:left w:w="108" w:type="dxa"/>
          <w:bottom w:w="0" w:type="dxa"/>
          <w:right w:w="108" w:type="dxa"/>
        </w:tblCellMar>
      </w:tblPr>
      <w:tblGrid>
        <w:gridCol w:w="1083"/>
        <w:gridCol w:w="819"/>
        <w:gridCol w:w="1333"/>
        <w:gridCol w:w="1456"/>
        <w:gridCol w:w="867"/>
        <w:gridCol w:w="1082"/>
        <w:gridCol w:w="790"/>
        <w:gridCol w:w="833"/>
        <w:gridCol w:w="1297"/>
      </w:tblGrid>
      <w:tr>
        <w:tblPrEx>
          <w:tblCellMar>
            <w:top w:w="0" w:type="dxa"/>
            <w:left w:w="108" w:type="dxa"/>
            <w:bottom w:w="0" w:type="dxa"/>
            <w:right w:w="108" w:type="dxa"/>
          </w:tblCellMar>
        </w:tblPrEx>
        <w:trPr>
          <w:trHeight w:val="90" w:hRule="atLeast"/>
          <w:jc w:val="center"/>
        </w:trPr>
        <w:tc>
          <w:tcPr>
            <w:tcW w:w="9560"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90" w:hRule="atLeast"/>
          <w:jc w:val="center"/>
        </w:trPr>
        <w:tc>
          <w:tcPr>
            <w:tcW w:w="9560"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90" w:hRule="atLeast"/>
          <w:jc w:val="center"/>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477"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统战特殊工作经费</w:t>
            </w:r>
          </w:p>
        </w:tc>
      </w:tr>
      <w:tr>
        <w:tblPrEx>
          <w:tblCellMar>
            <w:top w:w="0" w:type="dxa"/>
            <w:left w:w="108" w:type="dxa"/>
            <w:bottom w:w="0" w:type="dxa"/>
            <w:right w:w="108" w:type="dxa"/>
          </w:tblCellMar>
        </w:tblPrEx>
        <w:trPr>
          <w:trHeight w:val="90" w:hRule="atLeast"/>
          <w:jc w:val="center"/>
        </w:trPr>
        <w:tc>
          <w:tcPr>
            <w:tcW w:w="1083"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4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08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2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83"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5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082"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79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3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297"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90" w:hRule="atLeast"/>
          <w:jc w:val="center"/>
        </w:trPr>
        <w:tc>
          <w:tcPr>
            <w:tcW w:w="108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5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08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79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2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90</w:t>
            </w:r>
          </w:p>
        </w:tc>
      </w:tr>
      <w:tr>
        <w:tblPrEx>
          <w:tblCellMar>
            <w:top w:w="0" w:type="dxa"/>
            <w:left w:w="108" w:type="dxa"/>
            <w:bottom w:w="0" w:type="dxa"/>
            <w:right w:w="108" w:type="dxa"/>
          </w:tblCellMar>
        </w:tblPrEx>
        <w:trPr>
          <w:trHeight w:val="90" w:hRule="atLeast"/>
          <w:jc w:val="center"/>
        </w:trPr>
        <w:tc>
          <w:tcPr>
            <w:tcW w:w="108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8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8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5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083"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47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0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90" w:hRule="atLeast"/>
          <w:jc w:val="center"/>
        </w:trPr>
        <w:tc>
          <w:tcPr>
            <w:tcW w:w="10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47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加强和规范统战工作，凝聚统战力量，进一步夯实基层基础，提升社会影响，着力促进政党关系、民族关系、宗教关系、阶层关系、海内外同胞关系的和谐发展。 </w:t>
            </w:r>
          </w:p>
        </w:tc>
        <w:tc>
          <w:tcPr>
            <w:tcW w:w="400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90" w:hRule="atLeast"/>
          <w:jc w:val="center"/>
        </w:trPr>
        <w:tc>
          <w:tcPr>
            <w:tcW w:w="1083"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8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走访慰问</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2次</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联谊交友</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10人</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全年</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走访慰问</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2万元</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6</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bottom w:val="single" w:color="auto" w:sz="4" w:space="0"/>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vMerge w:val="continue"/>
            <w:tcBorders>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联谊交友</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8万元</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6</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（30分）</w:t>
            </w:r>
          </w:p>
          <w:p>
            <w:pPr>
              <w:spacing w:line="240" w:lineRule="exact"/>
              <w:jc w:val="left"/>
              <w:rPr>
                <w:rFonts w:eastAsia="仿宋_GB2312"/>
                <w:color w:val="000000"/>
                <w:kern w:val="0"/>
                <w:szCs w:val="21"/>
              </w:rPr>
            </w:pPr>
            <w:r>
              <w:rPr>
                <w:rFonts w:eastAsia="仿宋_GB2312"/>
                <w:color w:val="000000"/>
                <w:kern w:val="0"/>
                <w:szCs w:val="21"/>
              </w:rPr>
              <w:t>　</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经济效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4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社会效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456" w:type="dxa"/>
            <w:tcBorders>
              <w:top w:val="single" w:color="auto" w:sz="4" w:space="0"/>
              <w:left w:val="nil"/>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hint="eastAsia" w:eastAsia="仿宋_GB2312"/>
                <w:color w:val="000000"/>
                <w:kern w:val="0"/>
                <w:sz w:val="18"/>
                <w:szCs w:val="18"/>
              </w:rPr>
              <w:t xml:space="preserve"> 着力促进政党关系、民族关系、宗教关系、阶层关系、海内外同胞关系的和谐发展</w:t>
            </w:r>
          </w:p>
        </w:tc>
        <w:tc>
          <w:tcPr>
            <w:tcW w:w="867"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08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7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30</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30</w:t>
            </w: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19"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生态效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4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0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2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19"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333" w:type="dxa"/>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可持续影响指标</w:t>
            </w:r>
          </w:p>
        </w:tc>
        <w:tc>
          <w:tcPr>
            <w:tcW w:w="14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hint="eastAsia" w:eastAsia="仿宋_GB2312"/>
                <w:color w:val="000000"/>
                <w:kern w:val="0"/>
                <w:sz w:val="18"/>
                <w:szCs w:val="18"/>
              </w:rPr>
              <w:t xml:space="preserve">  </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0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7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p>
        </w:tc>
        <w:tc>
          <w:tcPr>
            <w:tcW w:w="8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2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083"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19"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333"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45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hint="eastAsia" w:eastAsia="仿宋_GB2312"/>
                <w:color w:val="000000"/>
                <w:kern w:val="0"/>
                <w:sz w:val="18"/>
                <w:szCs w:val="18"/>
              </w:rPr>
              <w:t xml:space="preserve">   满意度</w:t>
            </w:r>
          </w:p>
        </w:tc>
        <w:tc>
          <w:tcPr>
            <w:tcW w:w="86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hint="eastAsia" w:eastAsia="仿宋_GB2312"/>
                <w:color w:val="000000"/>
                <w:kern w:val="0"/>
                <w:sz w:val="18"/>
                <w:szCs w:val="18"/>
              </w:rPr>
              <w:t xml:space="preserve"> 95%-100%</w:t>
            </w:r>
          </w:p>
        </w:tc>
        <w:tc>
          <w:tcPr>
            <w:tcW w:w="108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790"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rPr>
              <w:t>10</w:t>
            </w:r>
          </w:p>
        </w:tc>
        <w:tc>
          <w:tcPr>
            <w:tcW w:w="8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8</w:t>
            </w:r>
          </w:p>
        </w:tc>
        <w:tc>
          <w:tcPr>
            <w:tcW w:w="129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664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9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2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新社会阶层人士工作经费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为新社会阶层人士搭建参政平台、发展平台、交友平台、服务平台，让会员能“参政议政、资源共享、经济合作、抱团发展、实现共赢”，为促进经济社会和谐发展凝心聚力。  </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973"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组织开展学习、培训、座谈会、社会实践等活动，外出考察、学习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全年4次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实践创新基地建设，指导区新联会开展工作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全年4次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组织开展学习、培训、座谈会、社会实践等活动，外出考察、学习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全年4次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实践创新基地建设，指导区新联会开展工作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全年4次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组织开展学习、培训、座谈会、社会实践等活动，外出考察、学习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6万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实践创新基地建设，指导区新联会开展工作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4万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8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自觉践行社会主义核心价值观，促进全县新的社会阶层人士的学习交流、联谊联络、建言献策、创业创新、共谋发展。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巩固和发展最广泛的爱国统一战线，鼓励和引导新的社会阶层人士为中国特色社会主义事业做出更大的贡献。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5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自觉践行社会主义核心价值观，促进全县新的社会阶层人士的学习交流、联谊联络、建言献策、创业创新、共谋发展。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巩固和发展最广泛的爱国统一战线，鼓励和引导新的社会阶层人士为中国特色社会主义事业做出更大的贡献。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94</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96"/>
        <w:gridCol w:w="1134"/>
        <w:gridCol w:w="1134"/>
        <w:gridCol w:w="828"/>
        <w:gridCol w:w="873"/>
        <w:gridCol w:w="1346"/>
      </w:tblGrid>
      <w:tr>
        <w:tblPrEx>
          <w:tblCellMar>
            <w:top w:w="0" w:type="dxa"/>
            <w:left w:w="108" w:type="dxa"/>
            <w:bottom w:w="0" w:type="dxa"/>
            <w:right w:w="108" w:type="dxa"/>
          </w:tblCellMar>
        </w:tblPrEx>
        <w:trPr>
          <w:trHeight w:val="472"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43"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74"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知识分子联谊会工作经费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8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鹤城区委统战部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2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346"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3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 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 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 xml:space="preserve"> 100%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33"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9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1226"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8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 xml:space="preserve"> 知识分子联谊会紧紧围绕区委中心工作，发挥优势，积极作为，在政治、经济、文化、社会和生态文明建设的各个领域贡献了智慧和力量，在打赢打好三大攻坚战的工作中发挥了巨大作用，赢得了社会各界的广泛赞誉和认可。 </w:t>
            </w:r>
          </w:p>
        </w:tc>
        <w:tc>
          <w:tcPr>
            <w:tcW w:w="418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完成2020年度目标</w:t>
            </w:r>
          </w:p>
        </w:tc>
      </w:tr>
      <w:tr>
        <w:tblPrEx>
          <w:tblCellMar>
            <w:top w:w="0" w:type="dxa"/>
            <w:left w:w="108" w:type="dxa"/>
            <w:bottom w:w="0" w:type="dxa"/>
            <w:right w:w="108" w:type="dxa"/>
          </w:tblCellMar>
        </w:tblPrEx>
        <w:trPr>
          <w:trHeight w:val="853"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二级指标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年度</w:t>
            </w:r>
          </w:p>
          <w:p>
            <w:pPr>
              <w:widowControl/>
              <w:spacing w:line="24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实际</w:t>
            </w:r>
          </w:p>
          <w:p>
            <w:pPr>
              <w:widowControl/>
              <w:spacing w:line="24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得分</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偏差原因</w:t>
            </w:r>
          </w:p>
          <w:p>
            <w:pPr>
              <w:widowControl/>
              <w:spacing w:line="240" w:lineRule="exact"/>
              <w:jc w:val="center"/>
              <w:rPr>
                <w:rFonts w:eastAsia="仿宋_GB2312"/>
                <w:color w:val="000000"/>
                <w:kern w:val="0"/>
                <w:szCs w:val="21"/>
              </w:rPr>
            </w:pPr>
            <w:r>
              <w:rPr>
                <w:rFonts w:eastAsia="仿宋_GB2312"/>
                <w:color w:val="000000"/>
                <w:kern w:val="0"/>
                <w:szCs w:val="21"/>
              </w:rPr>
              <w:t>分析及</w:t>
            </w:r>
          </w:p>
          <w:p>
            <w:pPr>
              <w:widowControl/>
              <w:spacing w:line="24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29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产出</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p>
          <w:p>
            <w:pPr>
              <w:widowControl/>
              <w:spacing w:line="24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数量指标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w:t>
            </w:r>
            <w:r>
              <w:rPr>
                <w:rFonts w:eastAsia="仿宋_GB2312"/>
                <w:color w:val="000000"/>
                <w:kern w:val="0"/>
                <w:sz w:val="18"/>
                <w:szCs w:val="18"/>
              </w:rPr>
              <w:t>开展知识分子联谊工作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29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质量指标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在各个领域贡献了智慧和力量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15</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时效指标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2020年1-12月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成本指标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办公费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3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效益</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left"/>
              <w:rPr>
                <w:rFonts w:eastAsia="仿宋_GB2312"/>
                <w:color w:val="000000"/>
                <w:kern w:val="0"/>
                <w:szCs w:val="21"/>
              </w:rPr>
            </w:pPr>
          </w:p>
          <w:p>
            <w:pPr>
              <w:widowControl/>
              <w:spacing w:line="24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4</w:t>
            </w:r>
            <w:r>
              <w:rPr>
                <w:rFonts w:eastAsia="仿宋_GB2312"/>
                <w:color w:val="000000"/>
                <w:kern w:val="0"/>
                <w:szCs w:val="21"/>
              </w:rPr>
              <w:t>0分）</w:t>
            </w:r>
          </w:p>
          <w:p>
            <w:pPr>
              <w:spacing w:line="24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经济效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社会效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nil"/>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打造为知识分子参政议政、建言献策、发挥作用的重要平台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tabs>
                <w:tab w:val="left" w:pos="286"/>
              </w:tabs>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w:t>
            </w:r>
          </w:p>
        </w:tc>
      </w:tr>
      <w:tr>
        <w:tblPrEx>
          <w:tblCellMar>
            <w:top w:w="0" w:type="dxa"/>
            <w:left w:w="108" w:type="dxa"/>
            <w:bottom w:w="0" w:type="dxa"/>
            <w:right w:w="108" w:type="dxa"/>
          </w:tblCellMar>
        </w:tblPrEx>
        <w:trPr>
          <w:trHeight w:val="98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24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生态效</w:t>
            </w:r>
          </w:p>
          <w:p>
            <w:pPr>
              <w:widowControl/>
              <w:spacing w:line="240" w:lineRule="exact"/>
              <w:jc w:val="center"/>
              <w:rPr>
                <w:rFonts w:eastAsia="仿宋_GB2312"/>
                <w:color w:val="000000"/>
                <w:kern w:val="0"/>
                <w:szCs w:val="21"/>
              </w:rPr>
            </w:pPr>
            <w:r>
              <w:rPr>
                <w:rFonts w:eastAsia="仿宋_GB2312"/>
                <w:color w:val="000000"/>
                <w:kern w:val="0"/>
                <w:szCs w:val="21"/>
              </w:rPr>
              <w:t>益指标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w:t>
            </w:r>
          </w:p>
        </w:tc>
      </w:tr>
      <w:tr>
        <w:tblPrEx>
          <w:tblCellMar>
            <w:top w:w="0" w:type="dxa"/>
            <w:left w:w="108" w:type="dxa"/>
            <w:bottom w:w="0" w:type="dxa"/>
            <w:right w:w="108" w:type="dxa"/>
          </w:tblCellMar>
        </w:tblPrEx>
        <w:trPr>
          <w:trHeight w:val="6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可持续影响指标</w:t>
            </w:r>
          </w:p>
        </w:tc>
        <w:tc>
          <w:tcPr>
            <w:tcW w:w="12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发挥优势，积极作为</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xml:space="preserve"> 建立长效机制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18</w:t>
            </w:r>
          </w:p>
        </w:tc>
        <w:tc>
          <w:tcPr>
            <w:tcW w:w="13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满意度</w:t>
            </w:r>
          </w:p>
          <w:p>
            <w:pPr>
              <w:widowControl/>
              <w:spacing w:line="240" w:lineRule="exact"/>
              <w:jc w:val="center"/>
              <w:rPr>
                <w:rFonts w:eastAsia="仿宋_GB2312"/>
                <w:color w:val="000000"/>
                <w:kern w:val="0"/>
                <w:szCs w:val="21"/>
              </w:rPr>
            </w:pPr>
            <w:r>
              <w:rPr>
                <w:rFonts w:eastAsia="仿宋_GB2312"/>
                <w:color w:val="000000"/>
                <w:kern w:val="0"/>
                <w:szCs w:val="21"/>
              </w:rPr>
              <w:t>指标</w:t>
            </w:r>
          </w:p>
          <w:p>
            <w:pPr>
              <w:widowControl/>
              <w:spacing w:line="24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服务对象满意度指标</w:t>
            </w:r>
          </w:p>
        </w:tc>
        <w:tc>
          <w:tcPr>
            <w:tcW w:w="129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知识分子</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hint="eastAsia" w:eastAsia="仿宋_GB2312"/>
                <w:color w:val="000000"/>
                <w:kern w:val="0"/>
                <w:sz w:val="18"/>
                <w:szCs w:val="18"/>
              </w:rPr>
              <w:t xml:space="preserve"> 满意度95%-100%</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 w:val="18"/>
                <w:szCs w:val="18"/>
              </w:rPr>
            </w:pPr>
            <w:r>
              <w:rPr>
                <w:rFonts w:eastAsia="仿宋_GB2312"/>
                <w:color w:val="000000"/>
                <w:kern w:val="0"/>
                <w:sz w:val="18"/>
                <w:szCs w:val="18"/>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8</w:t>
            </w:r>
          </w:p>
        </w:tc>
        <w:tc>
          <w:tcPr>
            <w:tcW w:w="134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 w:val="18"/>
                <w:szCs w:val="18"/>
              </w:rPr>
            </w:pPr>
            <w:r>
              <w:rPr>
                <w:rFonts w:hint="eastAsia" w:eastAsia="仿宋_GB2312"/>
                <w:color w:val="000000"/>
                <w:kern w:val="0"/>
                <w:sz w:val="18"/>
                <w:szCs w:val="18"/>
              </w:rPr>
              <w:t>　</w:t>
            </w:r>
          </w:p>
        </w:tc>
      </w:tr>
      <w:tr>
        <w:tblPrEx>
          <w:tblCellMar>
            <w:top w:w="0" w:type="dxa"/>
            <w:left w:w="108" w:type="dxa"/>
            <w:bottom w:w="0" w:type="dxa"/>
            <w:right w:w="108" w:type="dxa"/>
          </w:tblCellMar>
        </w:tblPrEx>
        <w:trPr>
          <w:trHeight w:val="340" w:hRule="atLeast"/>
          <w:jc w:val="center"/>
        </w:trPr>
        <w:tc>
          <w:tcPr>
            <w:tcW w:w="695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94</w:t>
            </w:r>
          </w:p>
        </w:tc>
        <w:tc>
          <w:tcPr>
            <w:tcW w:w="134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ind w:firstLine="640" w:firstLineChars="200"/>
        <w:rPr>
          <w:rFonts w:ascii="仿宋" w:hAnsi="仿宋" w:eastAsia="仿宋"/>
          <w:sz w:val="32"/>
          <w:szCs w:val="32"/>
        </w:rPr>
      </w:pPr>
      <w:r>
        <w:rPr>
          <w:rFonts w:hint="eastAsia" w:ascii="仿宋" w:hAnsi="仿宋" w:eastAsia="仿宋"/>
          <w:sz w:val="32"/>
          <w:szCs w:val="32"/>
        </w:rPr>
        <w:t>1.部门职责</w:t>
      </w:r>
    </w:p>
    <w:p>
      <w:pPr>
        <w:ind w:firstLine="640" w:firstLineChars="200"/>
        <w:rPr>
          <w:rFonts w:ascii="仿宋" w:hAnsi="仿宋" w:eastAsia="仿宋"/>
          <w:b/>
          <w:sz w:val="32"/>
          <w:szCs w:val="32"/>
        </w:rPr>
      </w:pPr>
      <w:r>
        <w:rPr>
          <w:rFonts w:hint="eastAsia" w:ascii="仿宋" w:hAnsi="仿宋" w:eastAsia="仿宋"/>
          <w:sz w:val="32"/>
          <w:szCs w:val="32"/>
        </w:rPr>
        <w:t>调查研究和宣传统一战线的理论方针、政策；负责联系各民主党派和无党派代表人士；负责党外人士的政治安排；调查研究并反映我区非公有制经济代表人士的情况；承办区委交办的其他工作。</w:t>
      </w:r>
    </w:p>
    <w:p>
      <w:pPr>
        <w:ind w:firstLine="640" w:firstLineChars="200"/>
        <w:rPr>
          <w:rFonts w:ascii="仿宋" w:hAnsi="仿宋" w:eastAsia="仿宋"/>
          <w:sz w:val="32"/>
          <w:szCs w:val="32"/>
        </w:rPr>
      </w:pPr>
      <w:r>
        <w:rPr>
          <w:rFonts w:hint="eastAsia" w:ascii="仿宋" w:hAnsi="仿宋" w:eastAsia="仿宋"/>
          <w:sz w:val="32"/>
          <w:szCs w:val="32"/>
        </w:rPr>
        <w:t>2.机构设置</w:t>
      </w:r>
    </w:p>
    <w:p>
      <w:pPr>
        <w:widowControl/>
        <w:spacing w:line="600" w:lineRule="exact"/>
        <w:ind w:firstLine="640" w:firstLineChars="200"/>
        <w:jc w:val="left"/>
        <w:rPr>
          <w:rFonts w:ascii="仿宋" w:hAnsi="仿宋" w:eastAsia="仿宋"/>
          <w:kern w:val="0"/>
          <w:sz w:val="32"/>
          <w:szCs w:val="32"/>
        </w:rPr>
      </w:pPr>
      <w:r>
        <w:rPr>
          <w:rFonts w:hint="eastAsia" w:ascii="仿宋" w:hAnsi="仿宋" w:eastAsia="仿宋"/>
          <w:bCs/>
          <w:kern w:val="0"/>
          <w:sz w:val="32"/>
          <w:szCs w:val="32"/>
        </w:rPr>
        <w:t>鹤城区委统战部</w:t>
      </w:r>
      <w:r>
        <w:rPr>
          <w:rFonts w:ascii="仿宋" w:hAnsi="仿宋" w:eastAsia="仿宋"/>
          <w:bCs/>
          <w:kern w:val="0"/>
          <w:sz w:val="32"/>
          <w:szCs w:val="32"/>
        </w:rPr>
        <w:t>单位</w:t>
      </w:r>
      <w:r>
        <w:rPr>
          <w:rFonts w:hint="eastAsia" w:ascii="仿宋" w:hAnsi="仿宋" w:eastAsia="仿宋"/>
          <w:sz w:val="32"/>
          <w:szCs w:val="32"/>
        </w:rPr>
        <w:t>内设4个职能股室，分别为：办公室、干部组、党派经济联络组、非公有制经济和新的社会阶层人士管理办公室（加挂民主党派与党外知识分子管理办公室）。</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1.预算资金使用情况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区财政部门根据年初预算资金下拨足额，项目资金及时到位，我部门按照实际使用情况及时支付。</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2.财务管理情况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我部财务管理制度健全、管理规范，严格执行了财务管理制度。</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我部财务处理及时、会计核算规范。我部结合工作实际，统筹规划，科学管理，专款专用，切实加强内部财务管理，资金使用规范合理，不存在挪用侵占情况，坚持把每分钱用在刀刃上，严禁铺张浪费。</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3.项目管理情况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为切实规范我部专项资金管理，保障资金安全、高效运行，发挥资金使用效益，特制定以下管理制度:</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专项资金实行“专人管理、专户储存、专账核算、专项使用”。</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资金的拨付本着专款专用的原则，严格执行项目资金批准的使用计划和项目批复资料，不准擅自调项、扩项、缩项，更不准拆借、挪用、挤占和随意扣压；资金拨付动向，按不一样专项资金的要求执行，不准任意改变；特殊状况，务必请示。</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严格专项资金初审、审核、审核制度，不准缺项和越程序办理手续，各类专项资金审批程序，以该专项资金审批表所列资料和文件要求为准。</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专项资金报账拨付要附真实、有效、合法的凭证。</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黑体"/>
          <w:sz w:val="32"/>
          <w:szCs w:val="32"/>
        </w:rPr>
      </w:pPr>
      <w:r>
        <w:rPr>
          <w:rFonts w:hint="eastAsia" w:eastAsia="仿宋_GB2312"/>
          <w:sz w:val="32"/>
          <w:szCs w:val="32"/>
        </w:rPr>
        <w:t>通过人力、财力、物力的投放，深入开展调研工作，完成专题调研；整合党派成员资源，实施精准扶贫，定点帮困。关注弱示群体，进一步发挥社会服务传统优势。加强与民营企业人士的联系，积极引导他们参政议政、关注社会、关注家乡、富而思源、扶贫济困。发挥联谊会平台优势，加大对知识分子关怀关爱。对一些有发展前途的知识分子要积极创造条件，有重点地加以培养和锻炼，建立一支政治素质好，专业能力强的后备干部队伍。培养、吸引、举荐新的社会阶层优秀人物，扩大有序政治参与等年度目标，基本完成。</w:t>
      </w:r>
    </w:p>
    <w:p>
      <w:pPr>
        <w:spacing w:line="600" w:lineRule="exact"/>
        <w:ind w:firstLine="640" w:firstLineChars="200"/>
        <w:rPr>
          <w:rFonts w:eastAsia="黑体"/>
          <w:sz w:val="32"/>
          <w:szCs w:val="32"/>
        </w:rPr>
      </w:pPr>
      <w:r>
        <w:rPr>
          <w:rFonts w:eastAsia="黑体"/>
          <w:sz w:val="32"/>
          <w:szCs w:val="32"/>
        </w:rPr>
        <w:t>二、绩效评价工作情况</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（一）前期准备</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我单位对2020年专项资金绩效评价管理工作高度重视，成立了专项资金绩效评估工作小组，由财务牵头，认真制定绩效自评工作报告，其他股室相互配合协调，共同完成2020年专项资金绩效评价管理工作。</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（二）组织实施</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财务根据《专项资金绩效评价共性指标》、《专项资金绩效目标自评表》要求开展专项资金自评工作，对项目经费进行了自评打分，并逐项对照，认真撰写专项资金绩效评价报告，同时认真收集相关资料，确保自评工作真实客观。</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（三）分析评价</w:t>
      </w:r>
    </w:p>
    <w:p>
      <w:pPr>
        <w:pStyle w:val="11"/>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2020年我单位严格按照有关规定使用专项业务经费，资金使用效益良好。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hint="eastAsia" w:eastAsia="仿宋_GB2312"/>
          <w:sz w:val="32"/>
          <w:szCs w:val="32"/>
        </w:rPr>
        <w:t>我单位2020年设立的绩效目标符合部门职责职能，与部门年度任务相对应，职责履行目标完成、质量达标。2020年预算支出绩效自评结果为良好。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仿宋_GB2312"/>
          <w:sz w:val="32"/>
          <w:szCs w:val="32"/>
        </w:rPr>
      </w:pPr>
      <w:r>
        <w:rPr>
          <w:rFonts w:hint="eastAsia" w:eastAsia="仿宋_GB2312"/>
          <w:sz w:val="32"/>
          <w:szCs w:val="32"/>
        </w:rPr>
        <w:t>严格按照进度及时拨付、使用各项专项资金，保证专款专用；对项目预算提前细化，确保项目资金及时发放到位；并按照实际支出情况据实编制决算报表，不虚报、不漏报。</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仿宋_GB2312"/>
          <w:sz w:val="32"/>
          <w:szCs w:val="32"/>
        </w:rPr>
      </w:pPr>
      <w:r>
        <w:rPr>
          <w:rFonts w:hint="eastAsia" w:eastAsia="仿宋_GB2312"/>
          <w:sz w:val="32"/>
          <w:szCs w:val="32"/>
        </w:rPr>
        <w:t>资金及时、足额发放到位，严格按照财政要求拨付使用。</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eastAsia="仿宋_GB2312"/>
          <w:sz w:val="32"/>
          <w:szCs w:val="32"/>
        </w:rPr>
      </w:pPr>
      <w:r>
        <w:rPr>
          <w:rFonts w:hint="eastAsia" w:eastAsia="仿宋_GB2312"/>
          <w:sz w:val="32"/>
          <w:szCs w:val="32"/>
        </w:rPr>
        <w:t>按绩效评价管理要求进行。</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sz w:val="28"/>
          <w:szCs w:val="28"/>
        </w:rPr>
        <w:t>1.经济效益：</w:t>
      </w:r>
      <w:r>
        <w:rPr>
          <w:rFonts w:hint="eastAsia" w:ascii="仿宋_GB2312" w:hAnsi="仿宋" w:eastAsia="仿宋_GB2312"/>
          <w:bCs/>
          <w:sz w:val="32"/>
          <w:szCs w:val="32"/>
        </w:rPr>
        <w:t>加强政策法规对企业的精准推送，</w:t>
      </w:r>
      <w:r>
        <w:rPr>
          <w:rFonts w:hint="eastAsia" w:ascii="仿宋_GB2312" w:hAnsi="仿宋" w:eastAsia="仿宋_GB2312"/>
          <w:sz w:val="32"/>
          <w:szCs w:val="32"/>
        </w:rPr>
        <w:t>着力落实民营企业减税降费政策，</w:t>
      </w:r>
      <w:r>
        <w:rPr>
          <w:rFonts w:hint="eastAsia" w:ascii="仿宋_GB2312" w:hAnsi="仿宋" w:eastAsia="仿宋_GB2312" w:cs="仿宋_GB2312"/>
          <w:color w:val="000000"/>
          <w:sz w:val="32"/>
          <w:szCs w:val="32"/>
        </w:rPr>
        <w:t>全年为企业减负约</w:t>
      </w:r>
      <w:r>
        <w:rPr>
          <w:rFonts w:ascii="仿宋_GB2312" w:hAnsi="仿宋" w:eastAsia="仿宋_GB2312" w:cs="仿宋_GB2312"/>
          <w:color w:val="000000"/>
          <w:sz w:val="32"/>
          <w:szCs w:val="32"/>
        </w:rPr>
        <w:t>2.2</w:t>
      </w:r>
      <w:r>
        <w:rPr>
          <w:rFonts w:hint="eastAsia" w:ascii="仿宋_GB2312" w:hAnsi="仿宋" w:eastAsia="仿宋_GB2312" w:cs="仿宋_GB2312"/>
          <w:color w:val="000000"/>
          <w:sz w:val="32"/>
          <w:szCs w:val="32"/>
        </w:rPr>
        <w:t>亿元。</w:t>
      </w:r>
    </w:p>
    <w:p>
      <w:pPr>
        <w:pStyle w:val="11"/>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sz w:val="28"/>
          <w:szCs w:val="28"/>
        </w:rPr>
        <w:t>2.社会效益：</w:t>
      </w:r>
      <w:r>
        <w:rPr>
          <w:rFonts w:hint="eastAsia" w:ascii="仿宋_GB2312" w:eastAsia="仿宋_GB2312"/>
          <w:sz w:val="32"/>
          <w:szCs w:val="32"/>
        </w:rPr>
        <w:t xml:space="preserve"> 继续聚力社会扶贫工作。一是继续开展“万企帮万村”精准扶贫行动。全区共有77家企业参与“万企帮万村”精准扶贫行动，惠及33个行政村，8353贫困人口，其中，建档立卡贫困村19个，6081人，有贫困户的非贫困村数14个，2272人。产业扶贫项目帮扶总额2867.38万元，帮扶9138人；就业扶贫发放工资总额397.232万元，提供就业岗位419个；公益扶贫捐款捐物总额39万元，帮扶679人。</w:t>
      </w:r>
      <w:r>
        <w:rPr>
          <w:rFonts w:hint="eastAsia" w:ascii="仿宋_GB2312" w:eastAsia="仿宋_GB2312"/>
          <w:b/>
          <w:color w:val="000000" w:themeColor="text1"/>
          <w:sz w:val="32"/>
          <w:szCs w:val="32"/>
        </w:rPr>
        <w:t>二是</w:t>
      </w:r>
      <w:r>
        <w:rPr>
          <w:rFonts w:hint="eastAsia" w:ascii="仿宋_GB2312" w:eastAsia="仿宋_GB2312"/>
          <w:color w:val="000000" w:themeColor="text1"/>
          <w:sz w:val="32"/>
          <w:szCs w:val="32"/>
        </w:rPr>
        <w:t>充分发挥民主党派作用，助力精准扶贫。</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hint="eastAsia" w:eastAsia="仿宋_GB2312"/>
          <w:sz w:val="32"/>
          <w:szCs w:val="32"/>
        </w:rPr>
        <w:t>预算编制不够精准；绩效评价工作涉及面广，制定合理的评价指标体系难度较大，缺乏绩效评价专业知识、评价指标体系无法准确掌握、效益指标难以量化等，项目绩效目标设置不够全面，导致绩效评价工作难以落到实处。</w:t>
      </w:r>
    </w:p>
    <w:p>
      <w:pPr>
        <w:spacing w:line="600" w:lineRule="exact"/>
        <w:ind w:firstLine="640" w:firstLineChars="200"/>
        <w:rPr>
          <w:rFonts w:eastAsia="黑体"/>
          <w:sz w:val="32"/>
          <w:szCs w:val="32"/>
        </w:rPr>
      </w:pPr>
      <w:r>
        <w:rPr>
          <w:rFonts w:eastAsia="黑体"/>
          <w:sz w:val="32"/>
          <w:szCs w:val="32"/>
        </w:rPr>
        <w:t>六、有关建议</w:t>
      </w:r>
    </w:p>
    <w:p>
      <w:pPr>
        <w:pStyle w:val="5"/>
        <w:widowControl/>
        <w:shd w:val="clear" w:color="auto" w:fill="FFFFFF"/>
        <w:spacing w:before="0" w:beforeAutospacing="0" w:after="0" w:afterAutospacing="0" w:line="560" w:lineRule="exact"/>
        <w:ind w:firstLine="640" w:firstLineChars="200"/>
        <w:rPr>
          <w:rFonts w:eastAsia="仿宋_GB2312"/>
          <w:kern w:val="2"/>
          <w:sz w:val="32"/>
          <w:szCs w:val="32"/>
        </w:rPr>
      </w:pPr>
      <w:r>
        <w:rPr>
          <w:rFonts w:hint="eastAsia" w:eastAsia="仿宋_GB2312"/>
          <w:kern w:val="2"/>
          <w:sz w:val="32"/>
          <w:szCs w:val="32"/>
        </w:rPr>
        <w:t>1.科学合理编制预算，严格执行预算。进一步加强机关内部的预算管理意识，严格按照预算编制的相关制度和要求，本着“勤俭节约、保障运转”的原则进行预算的编制；参考上一年的预算执行情况和年度的收支预测、部门重点工作等科学编制预算，编制范围尽可能的全面，不漏项；提高预算编制的科学性、合理性、严谨性和可控性；提高预算编制的精细化、合理化，细化预算编制工作，认真做好预算的编制。</w:t>
      </w:r>
    </w:p>
    <w:p>
      <w:pPr>
        <w:pStyle w:val="5"/>
        <w:widowControl/>
        <w:shd w:val="clear" w:color="auto" w:fill="FFFFFF"/>
        <w:spacing w:before="0" w:beforeAutospacing="0" w:after="0" w:afterAutospacing="0" w:line="560" w:lineRule="exact"/>
        <w:ind w:firstLine="640" w:firstLineChars="200"/>
        <w:rPr>
          <w:rFonts w:eastAsia="仿宋_GB2312"/>
          <w:kern w:val="2"/>
          <w:sz w:val="32"/>
          <w:szCs w:val="32"/>
        </w:rPr>
      </w:pPr>
      <w:r>
        <w:rPr>
          <w:rFonts w:hint="eastAsia" w:eastAsia="仿宋_GB2312"/>
          <w:kern w:val="2"/>
          <w:sz w:val="32"/>
          <w:szCs w:val="32"/>
        </w:rPr>
        <w:t>2.严格预算执行，提高资金使用效率。在执行预算管理过程中，合理、合规、合法的使用财政资金，进一步加强预算支出的审核、跟踪及预算执行情况分析。</w:t>
      </w:r>
    </w:p>
    <w:p>
      <w:pPr>
        <w:pStyle w:val="5"/>
        <w:widowControl/>
        <w:shd w:val="clear" w:color="auto" w:fill="FFFFFF"/>
        <w:spacing w:before="0" w:beforeAutospacing="0" w:after="0" w:afterAutospacing="0" w:line="560" w:lineRule="exact"/>
        <w:ind w:firstLine="640" w:firstLineChars="200"/>
        <w:rPr>
          <w:rFonts w:eastAsia="仿宋_GB2312"/>
          <w:kern w:val="2"/>
          <w:sz w:val="32"/>
          <w:szCs w:val="32"/>
        </w:rPr>
      </w:pPr>
      <w:r>
        <w:rPr>
          <w:rFonts w:hint="eastAsia" w:eastAsia="仿宋_GB2312"/>
          <w:kern w:val="2"/>
          <w:sz w:val="32"/>
          <w:szCs w:val="32"/>
        </w:rPr>
        <w:t>3.进一步加强财务核算工作，严格按照预算口径进行经费支出核算，确保预算口径和核算口径一致，便于预算的执行和预算分析工作的开展。</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hint="eastAsia" w:eastAsia="仿宋_GB2312"/>
          <w:sz w:val="32"/>
          <w:szCs w:val="32"/>
        </w:rPr>
        <w:t>无。</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DC66DF9"/>
    <w:multiLevelType w:val="multilevel"/>
    <w:tmpl w:val="7DC66DF9"/>
    <w:lvl w:ilvl="0" w:tentative="0">
      <w:start w:val="2"/>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717D7"/>
    <w:rsid w:val="000B0765"/>
    <w:rsid w:val="000B57BC"/>
    <w:rsid w:val="000F3EB1"/>
    <w:rsid w:val="00162440"/>
    <w:rsid w:val="00174EBF"/>
    <w:rsid w:val="00174EEF"/>
    <w:rsid w:val="001A127E"/>
    <w:rsid w:val="00247506"/>
    <w:rsid w:val="002558F7"/>
    <w:rsid w:val="0031755D"/>
    <w:rsid w:val="003711D0"/>
    <w:rsid w:val="00377767"/>
    <w:rsid w:val="00377A33"/>
    <w:rsid w:val="003B5CB7"/>
    <w:rsid w:val="003E5114"/>
    <w:rsid w:val="00426627"/>
    <w:rsid w:val="004F1494"/>
    <w:rsid w:val="00534683"/>
    <w:rsid w:val="005833DD"/>
    <w:rsid w:val="00595424"/>
    <w:rsid w:val="005A4AB0"/>
    <w:rsid w:val="00614437"/>
    <w:rsid w:val="006370F0"/>
    <w:rsid w:val="006811E5"/>
    <w:rsid w:val="007B54D9"/>
    <w:rsid w:val="00887C00"/>
    <w:rsid w:val="008A4834"/>
    <w:rsid w:val="008A7D3F"/>
    <w:rsid w:val="008D3DB0"/>
    <w:rsid w:val="008D7141"/>
    <w:rsid w:val="009D4AE4"/>
    <w:rsid w:val="00A045A1"/>
    <w:rsid w:val="00A070E1"/>
    <w:rsid w:val="00A317C9"/>
    <w:rsid w:val="00A335A1"/>
    <w:rsid w:val="00A75C37"/>
    <w:rsid w:val="00AA700A"/>
    <w:rsid w:val="00B364CE"/>
    <w:rsid w:val="00BB6107"/>
    <w:rsid w:val="00BD1C3A"/>
    <w:rsid w:val="00BE0CC0"/>
    <w:rsid w:val="00C25716"/>
    <w:rsid w:val="00C3391C"/>
    <w:rsid w:val="00C344EC"/>
    <w:rsid w:val="00C4552C"/>
    <w:rsid w:val="00C72139"/>
    <w:rsid w:val="00CC4C2C"/>
    <w:rsid w:val="00CD20A2"/>
    <w:rsid w:val="00D10324"/>
    <w:rsid w:val="00DF74B5"/>
    <w:rsid w:val="00E127F9"/>
    <w:rsid w:val="00E50869"/>
    <w:rsid w:val="00EC4A69"/>
    <w:rsid w:val="00F55CD7"/>
    <w:rsid w:val="00FC7FE9"/>
    <w:rsid w:val="022147E5"/>
    <w:rsid w:val="023C58FF"/>
    <w:rsid w:val="023F313C"/>
    <w:rsid w:val="03041867"/>
    <w:rsid w:val="03732B2D"/>
    <w:rsid w:val="03E04055"/>
    <w:rsid w:val="04F0168E"/>
    <w:rsid w:val="05F15B69"/>
    <w:rsid w:val="067E1A28"/>
    <w:rsid w:val="069E0EF1"/>
    <w:rsid w:val="06A263E2"/>
    <w:rsid w:val="06FC303A"/>
    <w:rsid w:val="079D1AEE"/>
    <w:rsid w:val="0A1404FF"/>
    <w:rsid w:val="0A7F76C5"/>
    <w:rsid w:val="0B9116DD"/>
    <w:rsid w:val="0B9B5F70"/>
    <w:rsid w:val="0F51546D"/>
    <w:rsid w:val="0F8A7D64"/>
    <w:rsid w:val="10E42BA9"/>
    <w:rsid w:val="118B1AD4"/>
    <w:rsid w:val="12BE6A1C"/>
    <w:rsid w:val="133C4B4F"/>
    <w:rsid w:val="15CF0857"/>
    <w:rsid w:val="174E6AFA"/>
    <w:rsid w:val="17BF3335"/>
    <w:rsid w:val="18076B36"/>
    <w:rsid w:val="19F548BB"/>
    <w:rsid w:val="1A3337AC"/>
    <w:rsid w:val="1BA105BF"/>
    <w:rsid w:val="1BC66B97"/>
    <w:rsid w:val="1C487E0B"/>
    <w:rsid w:val="1CA01FF8"/>
    <w:rsid w:val="1EB12D31"/>
    <w:rsid w:val="1F061493"/>
    <w:rsid w:val="1F7235C2"/>
    <w:rsid w:val="207A0B51"/>
    <w:rsid w:val="22354DCE"/>
    <w:rsid w:val="22397572"/>
    <w:rsid w:val="224C1A3A"/>
    <w:rsid w:val="23250EE5"/>
    <w:rsid w:val="23F47AB6"/>
    <w:rsid w:val="25527E53"/>
    <w:rsid w:val="262A581B"/>
    <w:rsid w:val="27685FE6"/>
    <w:rsid w:val="2C6A0559"/>
    <w:rsid w:val="2D1961D2"/>
    <w:rsid w:val="2F5053D2"/>
    <w:rsid w:val="2F5A3C07"/>
    <w:rsid w:val="2FC322CF"/>
    <w:rsid w:val="30C009D4"/>
    <w:rsid w:val="3206557B"/>
    <w:rsid w:val="32FF04DE"/>
    <w:rsid w:val="331272F8"/>
    <w:rsid w:val="33565488"/>
    <w:rsid w:val="39254349"/>
    <w:rsid w:val="3AC707DC"/>
    <w:rsid w:val="3E1F33DF"/>
    <w:rsid w:val="40220EBE"/>
    <w:rsid w:val="403D0C81"/>
    <w:rsid w:val="442A70E0"/>
    <w:rsid w:val="453277D6"/>
    <w:rsid w:val="4540516C"/>
    <w:rsid w:val="456E3236"/>
    <w:rsid w:val="45E82DC6"/>
    <w:rsid w:val="49A128F9"/>
    <w:rsid w:val="49D46C2B"/>
    <w:rsid w:val="4A706A4F"/>
    <w:rsid w:val="4D50322A"/>
    <w:rsid w:val="4E844D8B"/>
    <w:rsid w:val="4FBA7799"/>
    <w:rsid w:val="513F5D95"/>
    <w:rsid w:val="527601D2"/>
    <w:rsid w:val="52770443"/>
    <w:rsid w:val="52C63F86"/>
    <w:rsid w:val="57A54A4D"/>
    <w:rsid w:val="57DB762B"/>
    <w:rsid w:val="5ACF2153"/>
    <w:rsid w:val="5B1D0A19"/>
    <w:rsid w:val="5B9C2ACA"/>
    <w:rsid w:val="5BD32BBF"/>
    <w:rsid w:val="5BFD6183"/>
    <w:rsid w:val="5CAF3352"/>
    <w:rsid w:val="5CE878C7"/>
    <w:rsid w:val="5E3D4607"/>
    <w:rsid w:val="5E516B55"/>
    <w:rsid w:val="5E915457"/>
    <w:rsid w:val="5F104B0D"/>
    <w:rsid w:val="615816B3"/>
    <w:rsid w:val="65E66AA0"/>
    <w:rsid w:val="665A5C9F"/>
    <w:rsid w:val="66E47EB9"/>
    <w:rsid w:val="673306C6"/>
    <w:rsid w:val="67852205"/>
    <w:rsid w:val="687053C6"/>
    <w:rsid w:val="6872073F"/>
    <w:rsid w:val="68914B40"/>
    <w:rsid w:val="696861ED"/>
    <w:rsid w:val="6A7D60C2"/>
    <w:rsid w:val="6BB46133"/>
    <w:rsid w:val="6BD35AE7"/>
    <w:rsid w:val="6BE515D1"/>
    <w:rsid w:val="6D7F5532"/>
    <w:rsid w:val="6DE062F2"/>
    <w:rsid w:val="6E9D2A83"/>
    <w:rsid w:val="70245602"/>
    <w:rsid w:val="70C57A21"/>
    <w:rsid w:val="70CB095E"/>
    <w:rsid w:val="713E5DC4"/>
    <w:rsid w:val="7285269E"/>
    <w:rsid w:val="72A46BF0"/>
    <w:rsid w:val="73565566"/>
    <w:rsid w:val="743C2FD1"/>
    <w:rsid w:val="749431D8"/>
    <w:rsid w:val="74C75569"/>
    <w:rsid w:val="77477E52"/>
    <w:rsid w:val="78311C84"/>
    <w:rsid w:val="78C716B1"/>
    <w:rsid w:val="78FF26CC"/>
    <w:rsid w:val="7B342653"/>
    <w:rsid w:val="7B9634FA"/>
    <w:rsid w:val="7BAF0FE6"/>
    <w:rsid w:val="7BDF0E49"/>
    <w:rsid w:val="7C710CC7"/>
    <w:rsid w:val="7CDC7EC8"/>
    <w:rsid w:val="7EA11F21"/>
    <w:rsid w:val="7F813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styleId="1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C13C44-ADA2-4B2C-873F-79A029E0DA6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29</Pages>
  <Words>2814</Words>
  <Characters>16040</Characters>
  <Lines>133</Lines>
  <Paragraphs>37</Paragraphs>
  <TotalTime>38</TotalTime>
  <ScaleCrop>false</ScaleCrop>
  <LinksUpToDate>false</LinksUpToDate>
  <CharactersWithSpaces>18817</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2021-07-01T06:59:20Z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20089AEA5B504A20BCCB6C10931D0DBA</vt:lpwstr>
  </property>
</Properties>
</file>