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</w:t>
      </w:r>
    </w:p>
    <w:p>
      <w:pPr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部门整体支出绩效评价基础数据表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填报单位：怀化市正清路小学</w:t>
      </w:r>
    </w:p>
    <w:tbl>
      <w:tblPr>
        <w:tblStyle w:val="4"/>
        <w:tblW w:w="1031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7"/>
        <w:gridCol w:w="2181"/>
        <w:gridCol w:w="2292"/>
        <w:gridCol w:w="22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3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财政供养人员情况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编制数</w:t>
            </w: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2020年实际在职人数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控制率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</w:t>
            </w:r>
            <w:r>
              <w:rPr>
                <w:rFonts w:ascii="仿宋" w:hAnsi="仿宋" w:eastAsia="仿宋"/>
              </w:rPr>
              <w:t>5</w:t>
            </w: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45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经费控制情况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2019年决算数</w:t>
            </w: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2020年预算数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2020年决算数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三公经费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</w:t>
            </w:r>
            <w:r>
              <w:rPr>
                <w:rFonts w:ascii="仿宋" w:hAnsi="仿宋" w:eastAsia="仿宋"/>
              </w:rPr>
              <w:t>.3</w:t>
            </w: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2.5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1、公务用车购置和维护经费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其中：公车购置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公车运行维护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2、出国经费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3、公务接待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  <w:r>
              <w:rPr>
                <w:rFonts w:ascii="仿宋" w:hAnsi="仿宋" w:eastAsia="仿宋"/>
              </w:rPr>
              <w:t>.5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项目支出：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45.7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08.341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1、业务工作专项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45.7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08.341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2、运行维护专项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…</w:t>
            </w:r>
            <w:r>
              <w:rPr>
                <w:rFonts w:hint="eastAsia" w:ascii="宋体" w:hAnsi="宋体" w:cs="宋体"/>
              </w:rPr>
              <w:t> </w:t>
            </w:r>
            <w:r>
              <w:rPr>
                <w:rFonts w:hint="eastAsia" w:ascii="仿宋" w:hAnsi="仿宋" w:eastAsia="仿宋"/>
              </w:rPr>
              <w:t>…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公用经费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</w:t>
            </w:r>
            <w:r>
              <w:rPr>
                <w:rFonts w:ascii="仿宋" w:hAnsi="仿宋" w:eastAsia="仿宋"/>
              </w:rPr>
              <w:t>6.009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</w:t>
            </w:r>
            <w:r>
              <w:rPr>
                <w:rFonts w:ascii="仿宋" w:hAnsi="仿宋" w:eastAsia="仿宋"/>
              </w:rPr>
              <w:t>9.154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其中：办公经费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</w:t>
            </w:r>
            <w:r>
              <w:rPr>
                <w:rFonts w:ascii="仿宋" w:hAnsi="仿宋" w:eastAsia="仿宋"/>
              </w:rPr>
              <w:t>.146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8</w:t>
            </w:r>
            <w:r>
              <w:rPr>
                <w:rFonts w:ascii="仿宋" w:hAnsi="仿宋" w:eastAsia="仿宋"/>
              </w:rPr>
              <w:t>.517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水费、电费、差旅费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9.5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</w:t>
            </w:r>
            <w:r>
              <w:rPr>
                <w:rFonts w:ascii="仿宋" w:hAnsi="仿宋" w:eastAsia="仿宋"/>
              </w:rPr>
              <w:t>.848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会议费、培训费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</w:t>
            </w:r>
            <w:r>
              <w:rPr>
                <w:rFonts w:ascii="仿宋" w:hAnsi="仿宋" w:eastAsia="仿宋"/>
              </w:rPr>
              <w:t>.039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政府采购金额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— —</w:t>
            </w: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</w:t>
            </w: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部门整体支出预算调整</w:t>
            </w:r>
          </w:p>
        </w:tc>
        <w:tc>
          <w:tcPr>
            <w:tcW w:w="21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— —</w:t>
            </w:r>
          </w:p>
        </w:tc>
        <w:tc>
          <w:tcPr>
            <w:tcW w:w="22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22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rPr>
                <w:rFonts w:ascii="仿宋" w:hAnsi="仿宋" w:eastAsia="仿宋"/>
              </w:rPr>
            </w:pPr>
          </w:p>
        </w:tc>
      </w:tr>
    </w:tbl>
    <w:p>
      <w:pPr>
        <w:spacing w:line="40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说明：“项目支出”需要填报除专项资金和基本支出以外的所有项目情况，包括业务工作项目、运行维护项目等；“公用经费”填报基本支出中的一般商品和服务支出。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CA"/>
    <w:rsid w:val="007E5015"/>
    <w:rsid w:val="007E62F5"/>
    <w:rsid w:val="008C09CA"/>
    <w:rsid w:val="00A30CDB"/>
    <w:rsid w:val="1CE9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388</Characters>
  <Lines>3</Lines>
  <Paragraphs>1</Paragraphs>
  <TotalTime>0</TotalTime>
  <ScaleCrop>false</ScaleCrop>
  <LinksUpToDate>false</LinksUpToDate>
  <CharactersWithSpaces>455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2021-06-16T00:33:00Z</dcterms:created>
  <dc:creator>正 小</dc:creator>
  <cp:lastModifiedBy>Administrator</cp:lastModifiedBy>
  <dcterms:modified xsi:type="dcterms:W3CDTF">2021-06-16T08:46:42Z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CA34D7B797D34F81BEAAE7CE6B41CF6F</vt:lpwstr>
  </property>
</Properties>
</file>