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6"/>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97.5</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lang w:eastAsia="zh-CN"/>
        </w:rPr>
      </w:pPr>
      <w:r>
        <w:rPr>
          <w:rFonts w:hint="eastAsia" w:ascii="仿宋" w:hAnsi="仿宋" w:eastAsia="仿宋"/>
        </w:rPr>
        <w:t>填报单位：</w:t>
      </w:r>
      <w:r>
        <w:rPr>
          <w:rFonts w:hint="eastAsia" w:ascii="仿宋" w:hAnsi="仿宋" w:eastAsia="仿宋"/>
          <w:lang w:eastAsia="zh-CN"/>
        </w:rPr>
        <w:t>怀化市鹤城区城中街道办事处</w:t>
      </w:r>
    </w:p>
    <w:tbl>
      <w:tblPr>
        <w:tblStyle w:val="6"/>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151</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137</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2.95</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2.95</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2.95</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5.5</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93</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363.72</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529.46</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555.88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34.29</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164.19</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16.96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14.2</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23.04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2.17</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27.43</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63.4</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both"/>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方正小标宋_GBK"/>
          <w:sz w:val="32"/>
          <w:szCs w:val="32"/>
        </w:rPr>
      </w:pPr>
    </w:p>
    <w:p>
      <w:pPr>
        <w:pStyle w:val="10"/>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spacing w:line="500" w:lineRule="exact"/>
        <w:ind w:firstLine="560" w:firstLineChars="200"/>
        <w:jc w:val="left"/>
        <w:rPr>
          <w:rFonts w:hint="eastAsia" w:ascii="宋体" w:hAnsi="宋体" w:eastAsia="宋体" w:cs="宋体"/>
          <w:sz w:val="28"/>
          <w:szCs w:val="28"/>
        </w:rPr>
      </w:pPr>
      <w:r>
        <w:rPr>
          <w:rFonts w:hint="eastAsia" w:ascii="宋体" w:hAnsi="宋体" w:eastAsia="宋体" w:cs="宋体"/>
          <w:sz w:val="28"/>
          <w:szCs w:val="28"/>
        </w:rPr>
        <w:t>城中街道办事处在区委、区政府的正确领导下，负责承办政府各职能部门在本辖区开展的各项行政事业性事务、办事处社会经济发展工作、负责落实党中央国务院一系列惠农惠民政策等各项事务；同时，负责并积极做好与办事处群众利益相关的社会保障、劳务输出、社会稳定、计划生育、优抚救济、社区自治及其他公益事业性工作。</w:t>
      </w:r>
    </w:p>
    <w:p>
      <w:pPr>
        <w:spacing w:line="500" w:lineRule="exact"/>
        <w:ind w:firstLine="560" w:firstLineChars="200"/>
        <w:jc w:val="left"/>
        <w:rPr>
          <w:rFonts w:hint="eastAsia" w:ascii="宋体" w:hAnsi="宋体" w:eastAsia="宋体" w:cs="宋体"/>
          <w:sz w:val="28"/>
          <w:szCs w:val="28"/>
        </w:rPr>
      </w:pPr>
      <w:r>
        <w:rPr>
          <w:rFonts w:hint="eastAsia" w:asciiTheme="minorEastAsia" w:hAnsiTheme="minorEastAsia" w:eastAsiaTheme="minorEastAsia"/>
          <w:sz w:val="28"/>
          <w:szCs w:val="28"/>
        </w:rPr>
        <w:t>2020年底在职人员122人</w:t>
      </w:r>
    </w:p>
    <w:p>
      <w:pPr>
        <w:pStyle w:val="10"/>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10"/>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11"/>
        <w:ind w:firstLine="560" w:firstLineChars="200"/>
        <w:rPr>
          <w:rFonts w:hint="eastAsia" w:asciiTheme="minorEastAsia" w:hAnsiTheme="minorEastAsia" w:eastAsiaTheme="minorEastAsia"/>
          <w:sz w:val="28"/>
          <w:szCs w:val="28"/>
        </w:rPr>
      </w:pPr>
      <w:r>
        <w:rPr>
          <w:rFonts w:hint="eastAsia" w:ascii="宋体" w:hAnsi="宋体" w:eastAsia="宋体"/>
          <w:sz w:val="28"/>
          <w:szCs w:val="28"/>
        </w:rPr>
        <w:t>2020年度一般公共预算基本支出</w:t>
      </w:r>
      <w:r>
        <w:rPr>
          <w:rFonts w:hint="eastAsia" w:ascii="宋体" w:hAnsi="宋体" w:eastAsia="宋体"/>
          <w:sz w:val="28"/>
          <w:szCs w:val="28"/>
          <w:lang w:val="en-US" w:eastAsia="zh-CN"/>
        </w:rPr>
        <w:t>2340.18</w:t>
      </w:r>
      <w:r>
        <w:rPr>
          <w:rFonts w:hint="eastAsia" w:ascii="宋体" w:hAnsi="宋体" w:eastAsia="宋体"/>
          <w:sz w:val="28"/>
          <w:szCs w:val="28"/>
        </w:rPr>
        <w:t>万元，主要用于以下方面：一般公共服务（类）支出</w:t>
      </w:r>
      <w:r>
        <w:rPr>
          <w:rFonts w:hint="eastAsia" w:ascii="宋体" w:hAnsi="宋体" w:eastAsia="宋体"/>
          <w:sz w:val="28"/>
          <w:szCs w:val="28"/>
          <w:lang w:val="en-US" w:eastAsia="zh-CN"/>
        </w:rPr>
        <w:t>572.64</w:t>
      </w:r>
      <w:r>
        <w:rPr>
          <w:rFonts w:hint="eastAsia" w:ascii="宋体" w:hAnsi="宋体" w:eastAsia="宋体"/>
          <w:sz w:val="28"/>
          <w:szCs w:val="28"/>
        </w:rPr>
        <w:t>万元，</w:t>
      </w:r>
      <w:r>
        <w:rPr>
          <w:rFonts w:hint="eastAsia" w:ascii="宋体" w:hAnsi="宋体" w:eastAsia="宋体"/>
          <w:color w:val="auto"/>
          <w:sz w:val="28"/>
          <w:szCs w:val="28"/>
        </w:rPr>
        <w:t>占</w:t>
      </w:r>
      <w:r>
        <w:rPr>
          <w:rFonts w:hint="eastAsia" w:ascii="宋体" w:hAnsi="宋体" w:eastAsia="宋体"/>
          <w:color w:val="auto"/>
          <w:sz w:val="28"/>
          <w:szCs w:val="28"/>
          <w:lang w:val="en-US" w:eastAsia="zh-CN"/>
        </w:rPr>
        <w:t>24.47</w:t>
      </w:r>
      <w:r>
        <w:rPr>
          <w:rFonts w:hint="eastAsia" w:ascii="宋体" w:hAnsi="宋体" w:eastAsia="宋体"/>
          <w:color w:val="auto"/>
          <w:sz w:val="28"/>
          <w:szCs w:val="28"/>
        </w:rPr>
        <w:t>%</w:t>
      </w:r>
      <w:r>
        <w:rPr>
          <w:rFonts w:hint="eastAsia" w:ascii="宋体" w:hAnsi="宋体" w:eastAsia="宋体"/>
          <w:sz w:val="28"/>
          <w:szCs w:val="28"/>
        </w:rPr>
        <w:t>，</w:t>
      </w:r>
      <w:r>
        <w:rPr>
          <w:rFonts w:hint="eastAsia" w:ascii="宋体" w:hAnsi="宋体" w:eastAsia="宋体"/>
          <w:sz w:val="28"/>
          <w:szCs w:val="28"/>
          <w:lang w:eastAsia="zh-CN"/>
        </w:rPr>
        <w:t>国防支出</w:t>
      </w:r>
      <w:r>
        <w:rPr>
          <w:rFonts w:hint="eastAsia" w:ascii="宋体" w:hAnsi="宋体" w:eastAsia="宋体"/>
          <w:sz w:val="28"/>
          <w:szCs w:val="28"/>
          <w:lang w:val="en-US" w:eastAsia="zh-CN"/>
        </w:rPr>
        <w:t>1.18万元，占0.05%，</w:t>
      </w:r>
      <w:r>
        <w:rPr>
          <w:rFonts w:hint="eastAsia" w:ascii="宋体" w:hAnsi="宋体" w:eastAsia="宋体"/>
          <w:sz w:val="28"/>
          <w:szCs w:val="28"/>
        </w:rPr>
        <w:t>文化旅游体育与传媒支出</w:t>
      </w:r>
      <w:r>
        <w:rPr>
          <w:rFonts w:hint="eastAsia" w:ascii="宋体" w:hAnsi="宋体" w:eastAsia="宋体"/>
          <w:sz w:val="28"/>
          <w:szCs w:val="28"/>
          <w:lang w:val="en-US" w:eastAsia="zh-CN"/>
        </w:rPr>
        <w:t>1</w:t>
      </w:r>
      <w:r>
        <w:rPr>
          <w:rFonts w:hint="eastAsia" w:ascii="宋体" w:hAnsi="宋体" w:eastAsia="宋体"/>
          <w:sz w:val="28"/>
          <w:szCs w:val="28"/>
        </w:rPr>
        <w:t>万元，占0.</w:t>
      </w:r>
      <w:r>
        <w:rPr>
          <w:rFonts w:hint="eastAsia" w:ascii="宋体" w:hAnsi="宋体" w:eastAsia="宋体"/>
          <w:sz w:val="28"/>
          <w:szCs w:val="28"/>
          <w:lang w:val="en-US" w:eastAsia="zh-CN"/>
        </w:rPr>
        <w:t>04</w:t>
      </w:r>
      <w:r>
        <w:rPr>
          <w:rFonts w:hint="eastAsia" w:ascii="宋体" w:hAnsi="宋体" w:eastAsia="宋体"/>
          <w:sz w:val="28"/>
          <w:szCs w:val="28"/>
        </w:rPr>
        <w:t>%；社会保障和就业支出</w:t>
      </w:r>
      <w:r>
        <w:rPr>
          <w:rFonts w:hint="eastAsia" w:ascii="宋体" w:hAnsi="宋体" w:eastAsia="宋体"/>
          <w:sz w:val="28"/>
          <w:szCs w:val="28"/>
          <w:lang w:val="en-US" w:eastAsia="zh-CN"/>
        </w:rPr>
        <w:t>496.29</w:t>
      </w:r>
      <w:r>
        <w:rPr>
          <w:rFonts w:hint="eastAsia" w:ascii="宋体" w:hAnsi="宋体" w:eastAsia="宋体"/>
          <w:sz w:val="28"/>
          <w:szCs w:val="28"/>
        </w:rPr>
        <w:t>万元，占</w:t>
      </w:r>
      <w:r>
        <w:rPr>
          <w:rFonts w:hint="eastAsia" w:ascii="宋体" w:hAnsi="宋体" w:eastAsia="宋体"/>
          <w:sz w:val="28"/>
          <w:szCs w:val="28"/>
          <w:lang w:val="en-US" w:eastAsia="zh-CN"/>
        </w:rPr>
        <w:t>21.21</w:t>
      </w:r>
      <w:r>
        <w:rPr>
          <w:rFonts w:hint="eastAsia" w:ascii="宋体" w:hAnsi="宋体" w:eastAsia="宋体"/>
          <w:sz w:val="28"/>
          <w:szCs w:val="28"/>
        </w:rPr>
        <w:t>%;卫生健康支出</w:t>
      </w:r>
      <w:r>
        <w:rPr>
          <w:rFonts w:hint="eastAsia" w:ascii="宋体" w:hAnsi="宋体" w:eastAsia="宋体"/>
          <w:sz w:val="28"/>
          <w:szCs w:val="28"/>
          <w:lang w:val="en-US" w:eastAsia="zh-CN"/>
        </w:rPr>
        <w:t>149.26</w:t>
      </w:r>
      <w:r>
        <w:rPr>
          <w:rFonts w:hint="eastAsia" w:ascii="宋体" w:hAnsi="宋体" w:eastAsia="宋体"/>
          <w:sz w:val="28"/>
          <w:szCs w:val="28"/>
        </w:rPr>
        <w:t>万元，占</w:t>
      </w:r>
      <w:r>
        <w:rPr>
          <w:rFonts w:hint="eastAsia" w:ascii="宋体" w:hAnsi="宋体" w:eastAsia="宋体"/>
          <w:sz w:val="28"/>
          <w:szCs w:val="28"/>
          <w:lang w:val="en-US" w:eastAsia="zh-CN"/>
        </w:rPr>
        <w:t>6.38</w:t>
      </w:r>
      <w:r>
        <w:rPr>
          <w:rFonts w:hint="eastAsia" w:ascii="宋体" w:hAnsi="宋体" w:eastAsia="宋体"/>
          <w:sz w:val="28"/>
          <w:szCs w:val="28"/>
        </w:rPr>
        <w:t>%;城乡社区支出</w:t>
      </w:r>
      <w:r>
        <w:rPr>
          <w:rFonts w:hint="eastAsia" w:ascii="宋体" w:hAnsi="宋体" w:eastAsia="宋体"/>
          <w:sz w:val="28"/>
          <w:szCs w:val="28"/>
          <w:lang w:val="en-US" w:eastAsia="zh-CN"/>
        </w:rPr>
        <w:t>967.74</w:t>
      </w:r>
      <w:r>
        <w:rPr>
          <w:rFonts w:hint="eastAsia" w:ascii="宋体" w:hAnsi="宋体" w:eastAsia="宋体"/>
          <w:sz w:val="28"/>
          <w:szCs w:val="28"/>
        </w:rPr>
        <w:t>万元，占4</w:t>
      </w:r>
      <w:r>
        <w:rPr>
          <w:rFonts w:hint="eastAsia" w:ascii="宋体" w:hAnsi="宋体" w:eastAsia="宋体"/>
          <w:sz w:val="28"/>
          <w:szCs w:val="28"/>
          <w:lang w:val="en-US" w:eastAsia="zh-CN"/>
        </w:rPr>
        <w:t>1.35</w:t>
      </w:r>
      <w:r>
        <w:rPr>
          <w:rFonts w:hint="eastAsia" w:ascii="宋体" w:hAnsi="宋体" w:eastAsia="宋体"/>
          <w:sz w:val="28"/>
          <w:szCs w:val="28"/>
        </w:rPr>
        <w:t>%;</w:t>
      </w:r>
      <w:r>
        <w:rPr>
          <w:rFonts w:hint="eastAsia" w:ascii="宋体" w:hAnsi="宋体" w:eastAsia="宋体"/>
          <w:sz w:val="28"/>
          <w:szCs w:val="28"/>
          <w:lang w:eastAsia="zh-CN"/>
        </w:rPr>
        <w:t>农林水支出</w:t>
      </w:r>
      <w:r>
        <w:rPr>
          <w:rFonts w:hint="eastAsia" w:ascii="宋体" w:hAnsi="宋体" w:eastAsia="宋体"/>
          <w:sz w:val="28"/>
          <w:szCs w:val="28"/>
          <w:lang w:val="en-US" w:eastAsia="zh-CN"/>
        </w:rPr>
        <w:t>6.11万元，占0.26%，</w:t>
      </w:r>
      <w:r>
        <w:rPr>
          <w:rFonts w:hint="eastAsia" w:ascii="宋体" w:hAnsi="宋体" w:eastAsia="宋体"/>
          <w:sz w:val="28"/>
          <w:szCs w:val="28"/>
          <w:lang w:eastAsia="zh-CN"/>
        </w:rPr>
        <w:t>其他支出</w:t>
      </w:r>
      <w:r>
        <w:rPr>
          <w:rFonts w:hint="eastAsia" w:ascii="宋体" w:hAnsi="宋体" w:eastAsia="宋体"/>
          <w:sz w:val="28"/>
          <w:szCs w:val="28"/>
          <w:lang w:val="en-US" w:eastAsia="zh-CN"/>
        </w:rPr>
        <w:t>145.96</w:t>
      </w:r>
      <w:r>
        <w:rPr>
          <w:rFonts w:hint="eastAsia" w:ascii="宋体" w:hAnsi="宋体" w:eastAsia="宋体"/>
          <w:sz w:val="28"/>
          <w:szCs w:val="28"/>
        </w:rPr>
        <w:t>万元，占</w:t>
      </w:r>
      <w:r>
        <w:rPr>
          <w:rFonts w:hint="eastAsia" w:ascii="宋体" w:hAnsi="宋体" w:eastAsia="宋体"/>
          <w:sz w:val="28"/>
          <w:szCs w:val="28"/>
          <w:lang w:val="en-US" w:eastAsia="zh-CN"/>
        </w:rPr>
        <w:t>6.24</w:t>
      </w:r>
      <w:r>
        <w:rPr>
          <w:rFonts w:hint="eastAsia" w:ascii="宋体" w:hAnsi="宋体" w:eastAsia="宋体"/>
          <w:sz w:val="28"/>
          <w:szCs w:val="28"/>
        </w:rPr>
        <w:t>%。</w:t>
      </w:r>
    </w:p>
    <w:p>
      <w:pPr>
        <w:pStyle w:val="10"/>
        <w:widowControl/>
        <w:numPr>
          <w:ilvl w:val="0"/>
          <w:numId w:val="2"/>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项目支出情况</w:t>
      </w:r>
    </w:p>
    <w:p>
      <w:pPr>
        <w:widowControl/>
        <w:spacing w:line="600" w:lineRule="exact"/>
        <w:ind w:firstLine="560" w:firstLineChars="200"/>
        <w:jc w:val="left"/>
        <w:rPr>
          <w:rFonts w:ascii="宋体" w:hAnsi="宋体" w:cs="黑体"/>
          <w:color w:val="000000"/>
          <w:kern w:val="0"/>
          <w:sz w:val="28"/>
          <w:szCs w:val="28"/>
        </w:rPr>
      </w:pPr>
      <w:r>
        <w:rPr>
          <w:rFonts w:hint="eastAsia" w:ascii="宋体" w:hAnsi="宋体" w:cs="黑体"/>
          <w:color w:val="000000"/>
          <w:kern w:val="0"/>
          <w:sz w:val="28"/>
          <w:szCs w:val="28"/>
        </w:rPr>
        <w:t>一是，2020年度专项资金安排和使用管理情况如下：1、人大代表平台建设资金，年初预算3万元，2020</w:t>
      </w:r>
      <w:r>
        <w:rPr>
          <w:rFonts w:hint="eastAsia" w:ascii="宋体" w:hAnsi="宋体" w:cs="黑体"/>
          <w:kern w:val="0"/>
          <w:sz w:val="28"/>
          <w:szCs w:val="28"/>
        </w:rPr>
        <w:t>年主要用于人大会议支出</w:t>
      </w:r>
      <w:r>
        <w:rPr>
          <w:rFonts w:hint="eastAsia" w:ascii="宋体" w:hAnsi="宋体" w:cs="黑体"/>
          <w:color w:val="000000"/>
          <w:kern w:val="0"/>
          <w:sz w:val="28"/>
          <w:szCs w:val="28"/>
        </w:rPr>
        <w:t>，日常资料复印等办公支出；</w:t>
      </w:r>
      <w:r>
        <w:rPr>
          <w:rFonts w:hint="eastAsia" w:ascii="宋体" w:hAnsi="宋体" w:cs="黑体"/>
          <w:color w:val="000000"/>
          <w:kern w:val="0"/>
          <w:sz w:val="28"/>
          <w:szCs w:val="28"/>
          <w:lang w:val="en-US" w:eastAsia="zh-CN"/>
        </w:rPr>
        <w:t>2</w:t>
      </w:r>
      <w:r>
        <w:rPr>
          <w:rFonts w:hint="eastAsia" w:ascii="宋体" w:hAnsi="宋体" w:cs="黑体"/>
          <w:color w:val="000000"/>
          <w:kern w:val="0"/>
          <w:sz w:val="28"/>
          <w:szCs w:val="28"/>
        </w:rPr>
        <w:t>、社区服务群众专项资金，年初预算</w:t>
      </w:r>
      <w:r>
        <w:rPr>
          <w:rFonts w:hint="eastAsia" w:ascii="宋体" w:hAnsi="宋体" w:cs="黑体"/>
          <w:color w:val="000000"/>
          <w:kern w:val="0"/>
          <w:sz w:val="28"/>
          <w:szCs w:val="28"/>
          <w:lang w:val="en-US" w:eastAsia="zh-CN"/>
        </w:rPr>
        <w:t>45</w:t>
      </w:r>
      <w:r>
        <w:rPr>
          <w:rFonts w:hint="eastAsia" w:ascii="宋体" w:hAnsi="宋体" w:cs="黑体"/>
          <w:color w:val="000000"/>
          <w:kern w:val="0"/>
          <w:sz w:val="28"/>
          <w:szCs w:val="28"/>
        </w:rPr>
        <w:t>万元，2020年用于保障1</w:t>
      </w:r>
      <w:r>
        <w:rPr>
          <w:rFonts w:hint="eastAsia" w:ascii="宋体" w:hAnsi="宋体" w:cs="黑体"/>
          <w:color w:val="000000"/>
          <w:kern w:val="0"/>
          <w:sz w:val="28"/>
          <w:szCs w:val="28"/>
          <w:lang w:val="en-US" w:eastAsia="zh-CN"/>
        </w:rPr>
        <w:t>5</w:t>
      </w:r>
      <w:r>
        <w:rPr>
          <w:rFonts w:hint="eastAsia" w:ascii="宋体" w:hAnsi="宋体" w:cs="黑体"/>
          <w:color w:val="000000"/>
          <w:kern w:val="0"/>
          <w:sz w:val="28"/>
          <w:szCs w:val="28"/>
        </w:rPr>
        <w:t>个社区服务群众经费，每个社区3万元</w:t>
      </w:r>
      <w:r>
        <w:rPr>
          <w:rFonts w:hint="eastAsia" w:ascii="宋体" w:hAnsi="宋体" w:cs="黑体"/>
          <w:color w:val="000000"/>
          <w:kern w:val="0"/>
          <w:sz w:val="28"/>
          <w:szCs w:val="28"/>
          <w:lang w:eastAsia="zh-CN"/>
        </w:rPr>
        <w:t>，</w:t>
      </w:r>
      <w:r>
        <w:rPr>
          <w:rFonts w:hint="eastAsia" w:ascii="宋体" w:hAnsi="宋体" w:cs="黑体"/>
          <w:color w:val="000000"/>
          <w:kern w:val="0"/>
          <w:sz w:val="28"/>
          <w:szCs w:val="28"/>
          <w:lang w:val="en-US" w:eastAsia="zh-CN"/>
        </w:rPr>
        <w:t>3、中心市场保洁资金年初预算</w:t>
      </w:r>
      <w:bookmarkStart w:id="0" w:name="_GoBack"/>
      <w:bookmarkEnd w:id="0"/>
      <w:r>
        <w:rPr>
          <w:rFonts w:hint="eastAsia" w:ascii="宋体" w:hAnsi="宋体" w:cs="黑体"/>
          <w:color w:val="000000"/>
          <w:kern w:val="0"/>
          <w:sz w:val="28"/>
          <w:szCs w:val="28"/>
          <w:lang w:val="en-US" w:eastAsia="zh-CN"/>
        </w:rPr>
        <w:t>45万元，用于该辖区清扫保洁支出</w:t>
      </w:r>
      <w:r>
        <w:rPr>
          <w:rFonts w:hint="eastAsia" w:ascii="宋体" w:hAnsi="宋体" w:cs="黑体"/>
          <w:color w:val="000000"/>
          <w:kern w:val="0"/>
          <w:sz w:val="28"/>
          <w:szCs w:val="28"/>
        </w:rPr>
        <w:t>。</w:t>
      </w:r>
    </w:p>
    <w:p>
      <w:pPr>
        <w:widowControl/>
        <w:spacing w:line="600" w:lineRule="exact"/>
        <w:ind w:firstLine="560" w:firstLineChars="200"/>
        <w:jc w:val="left"/>
        <w:rPr>
          <w:rFonts w:ascii="宋体" w:hAnsi="宋体" w:cs="黑体"/>
          <w:color w:val="000000"/>
          <w:kern w:val="0"/>
          <w:sz w:val="28"/>
          <w:szCs w:val="28"/>
        </w:rPr>
      </w:pPr>
      <w:r>
        <w:rPr>
          <w:rFonts w:hint="eastAsia" w:ascii="宋体" w:hAnsi="宋体" w:cs="黑体"/>
          <w:color w:val="000000"/>
          <w:kern w:val="0"/>
          <w:sz w:val="28"/>
          <w:szCs w:val="28"/>
        </w:rPr>
        <w:t>二是除专项资金以外无其他项目支出。</w:t>
      </w:r>
    </w:p>
    <w:p>
      <w:pPr>
        <w:pStyle w:val="10"/>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黑体"/>
          <w:sz w:val="32"/>
          <w:szCs w:val="32"/>
          <w:lang w:eastAsia="zh-CN"/>
        </w:rPr>
        <w:t>三、</w:t>
      </w:r>
      <w:r>
        <w:rPr>
          <w:rFonts w:ascii="Times New Roman" w:hAnsi="Times New Roman" w:eastAsia="黑体"/>
          <w:sz w:val="32"/>
          <w:szCs w:val="32"/>
        </w:rPr>
        <w:t>政府性基金预算支出情况</w:t>
      </w:r>
    </w:p>
    <w:p>
      <w:pPr>
        <w:pStyle w:val="12"/>
        <w:widowControl/>
        <w:spacing w:line="600" w:lineRule="exact"/>
        <w:ind w:left="640" w:firstLine="0" w:firstLineChars="0"/>
        <w:jc w:val="left"/>
        <w:rPr>
          <w:rFonts w:ascii="Times New Roman" w:hAnsi="Times New Roman" w:eastAsia="黑体"/>
          <w:sz w:val="32"/>
          <w:szCs w:val="32"/>
        </w:rPr>
      </w:pPr>
      <w:r>
        <w:rPr>
          <w:rFonts w:hint="eastAsia" w:ascii="宋体" w:hAnsi="宋体"/>
          <w:kern w:val="0"/>
          <w:sz w:val="28"/>
          <w:szCs w:val="28"/>
        </w:rPr>
        <w:t>本单位2020年度无政府性基金预算支出。</w:t>
      </w:r>
    </w:p>
    <w:p>
      <w:pPr>
        <w:pStyle w:val="10"/>
        <w:widowControl/>
        <w:numPr>
          <w:ilvl w:val="0"/>
          <w:numId w:val="0"/>
        </w:numPr>
        <w:spacing w:line="600" w:lineRule="exact"/>
        <w:ind w:left="640" w:leftChars="0"/>
        <w:jc w:val="left"/>
        <w:rPr>
          <w:rFonts w:ascii="Times New Roman" w:hAnsi="Times New Roman" w:eastAsia="黑体"/>
          <w:sz w:val="32"/>
          <w:szCs w:val="32"/>
        </w:rPr>
      </w:pPr>
      <w:r>
        <w:rPr>
          <w:rFonts w:hint="eastAsia" w:ascii="Times New Roman" w:hAnsi="Times New Roman" w:eastAsia="黑体"/>
          <w:sz w:val="32"/>
          <w:szCs w:val="32"/>
          <w:lang w:eastAsia="zh-CN"/>
        </w:rPr>
        <w:t>四、</w:t>
      </w:r>
      <w:r>
        <w:rPr>
          <w:rFonts w:ascii="Times New Roman" w:hAnsi="Times New Roman" w:eastAsia="黑体"/>
          <w:sz w:val="32"/>
          <w:szCs w:val="32"/>
        </w:rPr>
        <w:t>国有资本经营预算支出情况</w:t>
      </w:r>
    </w:p>
    <w:p>
      <w:pPr>
        <w:pStyle w:val="12"/>
        <w:widowControl/>
        <w:spacing w:line="600" w:lineRule="exact"/>
        <w:ind w:left="640" w:firstLine="0" w:firstLineChars="0"/>
        <w:jc w:val="left"/>
        <w:rPr>
          <w:rFonts w:ascii="Times New Roman" w:hAnsi="Times New Roman" w:eastAsia="黑体"/>
          <w:sz w:val="32"/>
          <w:szCs w:val="32"/>
        </w:rPr>
      </w:pPr>
      <w:r>
        <w:rPr>
          <w:rFonts w:hint="eastAsia" w:ascii="宋体" w:hAnsi="宋体"/>
          <w:kern w:val="0"/>
          <w:sz w:val="28"/>
          <w:szCs w:val="28"/>
        </w:rPr>
        <w:t>本单位2020年度无</w:t>
      </w:r>
      <w:r>
        <w:rPr>
          <w:rFonts w:hint="eastAsia" w:ascii="宋体" w:hAnsi="宋体"/>
          <w:kern w:val="0"/>
          <w:sz w:val="28"/>
          <w:szCs w:val="28"/>
          <w:lang w:eastAsia="zh-CN"/>
        </w:rPr>
        <w:t>国有资本经营</w:t>
      </w:r>
      <w:r>
        <w:rPr>
          <w:rFonts w:hint="eastAsia" w:ascii="宋体" w:hAnsi="宋体"/>
          <w:kern w:val="0"/>
          <w:sz w:val="28"/>
          <w:szCs w:val="28"/>
        </w:rPr>
        <w:t>预算支出。</w:t>
      </w:r>
    </w:p>
    <w:p>
      <w:pPr>
        <w:pStyle w:val="10"/>
        <w:widowControl/>
        <w:numPr>
          <w:ilvl w:val="0"/>
          <w:numId w:val="3"/>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12"/>
        <w:widowControl/>
        <w:spacing w:line="600" w:lineRule="exact"/>
        <w:ind w:left="640" w:firstLine="0" w:firstLineChars="0"/>
        <w:jc w:val="left"/>
        <w:rPr>
          <w:rFonts w:ascii="Times New Roman" w:hAnsi="Times New Roman" w:eastAsia="黑体"/>
          <w:sz w:val="32"/>
          <w:szCs w:val="32"/>
        </w:rPr>
      </w:pPr>
      <w:r>
        <w:rPr>
          <w:rFonts w:hint="eastAsia" w:ascii="宋体" w:hAnsi="宋体"/>
          <w:kern w:val="0"/>
          <w:sz w:val="28"/>
          <w:szCs w:val="28"/>
        </w:rPr>
        <w:t>本单位2020年度无</w:t>
      </w:r>
      <w:r>
        <w:rPr>
          <w:rFonts w:hint="eastAsia" w:ascii="宋体" w:hAnsi="宋体"/>
          <w:kern w:val="0"/>
          <w:sz w:val="28"/>
          <w:szCs w:val="28"/>
          <w:lang w:eastAsia="zh-CN"/>
        </w:rPr>
        <w:t>社会保险</w:t>
      </w:r>
      <w:r>
        <w:rPr>
          <w:rFonts w:hint="eastAsia" w:ascii="宋体" w:hAnsi="宋体"/>
          <w:kern w:val="0"/>
          <w:sz w:val="28"/>
          <w:szCs w:val="28"/>
        </w:rPr>
        <w:t>基金预算支出。</w:t>
      </w:r>
    </w:p>
    <w:p>
      <w:pPr>
        <w:widowControl/>
        <w:numPr>
          <w:ilvl w:val="0"/>
          <w:numId w:val="3"/>
        </w:numPr>
        <w:spacing w:line="600" w:lineRule="exact"/>
        <w:ind w:left="640" w:leftChars="0" w:firstLine="0" w:firstLineChars="0"/>
        <w:jc w:val="left"/>
        <w:rPr>
          <w:rFonts w:eastAsia="黑体"/>
          <w:sz w:val="32"/>
          <w:szCs w:val="32"/>
        </w:rPr>
      </w:pPr>
      <w:r>
        <w:rPr>
          <w:rFonts w:eastAsia="黑体"/>
          <w:sz w:val="32"/>
          <w:szCs w:val="32"/>
        </w:rPr>
        <w:t>部门整体支出绩效情况</w:t>
      </w:r>
    </w:p>
    <w:p>
      <w:pPr>
        <w:widowControl/>
        <w:spacing w:line="600" w:lineRule="exact"/>
        <w:ind w:firstLine="645"/>
        <w:jc w:val="left"/>
        <w:rPr>
          <w:rFonts w:ascii="宋体" w:hAnsi="宋体"/>
          <w:sz w:val="28"/>
        </w:rPr>
      </w:pPr>
      <w:r>
        <w:rPr>
          <w:rFonts w:ascii="宋体" w:hAnsi="宋体"/>
          <w:kern w:val="0"/>
          <w:sz w:val="28"/>
          <w:szCs w:val="28"/>
        </w:rPr>
        <w:t>本单位20</w:t>
      </w:r>
      <w:r>
        <w:rPr>
          <w:rFonts w:hint="eastAsia" w:ascii="宋体" w:hAnsi="宋体"/>
          <w:kern w:val="0"/>
          <w:sz w:val="28"/>
          <w:szCs w:val="28"/>
        </w:rPr>
        <w:t>20</w:t>
      </w:r>
      <w:r>
        <w:rPr>
          <w:rFonts w:ascii="宋体" w:hAnsi="宋体"/>
          <w:kern w:val="0"/>
          <w:sz w:val="28"/>
          <w:szCs w:val="28"/>
        </w:rPr>
        <w:t>年</w:t>
      </w:r>
      <w:r>
        <w:rPr>
          <w:rFonts w:ascii="宋体" w:hAnsi="宋体"/>
          <w:sz w:val="28"/>
        </w:rPr>
        <w:t>无</w:t>
      </w:r>
      <w:r>
        <w:rPr>
          <w:rFonts w:hint="eastAsia" w:ascii="宋体" w:hAnsi="宋体"/>
          <w:sz w:val="28"/>
        </w:rPr>
        <w:t>政府性基金预算支出、</w:t>
      </w:r>
      <w:r>
        <w:rPr>
          <w:rFonts w:ascii="宋体" w:hAnsi="宋体"/>
          <w:sz w:val="28"/>
        </w:rPr>
        <w:t>国有资本经营预算支出、社会保险基金预算支出，充分利用一般公共预算支出，较好的完成了全年绩效工作目标</w:t>
      </w:r>
      <w:r>
        <w:rPr>
          <w:rFonts w:hint="eastAsia" w:ascii="宋体" w:hAnsi="宋体"/>
          <w:sz w:val="28"/>
        </w:rPr>
        <w:t>：</w:t>
      </w:r>
    </w:p>
    <w:p>
      <w:pPr>
        <w:ind w:firstLine="560" w:firstLineChars="200"/>
        <w:rPr>
          <w:rFonts w:hint="eastAsia" w:ascii="宋体" w:hAnsi="宋体" w:eastAsia="宋体" w:cs="宋体"/>
          <w:b w:val="0"/>
          <w:bCs w:val="0"/>
          <w:sz w:val="28"/>
          <w:szCs w:val="28"/>
        </w:rPr>
      </w:pPr>
      <w:r>
        <w:rPr>
          <w:rFonts w:hint="eastAsia" w:ascii="宋体" w:hAnsi="宋体" w:eastAsia="宋体" w:cs="宋体"/>
          <w:b w:val="0"/>
          <w:bCs w:val="0"/>
          <w:color w:val="auto"/>
          <w:kern w:val="0"/>
          <w:sz w:val="28"/>
          <w:szCs w:val="28"/>
          <w:highlight w:val="none"/>
          <w:lang w:val="en-US" w:eastAsia="zh-CN"/>
        </w:rPr>
        <w:t>1、强基固本，狠抓作风，党的建设纵深推进。</w:t>
      </w:r>
      <w:r>
        <w:rPr>
          <w:rFonts w:hint="eastAsia" w:ascii="宋体" w:hAnsi="宋体" w:eastAsia="宋体" w:cs="宋体"/>
          <w:b w:val="0"/>
          <w:bCs w:val="0"/>
          <w:kern w:val="2"/>
          <w:sz w:val="28"/>
          <w:szCs w:val="28"/>
          <w:highlight w:val="none"/>
          <w:lang w:val="en-US" w:eastAsia="zh-CN" w:bidi="ar-SA"/>
        </w:rPr>
        <w:t>按照习近平总书记“把抓好党建作为最大的政绩”的重要论述，按照“书记抓、抓书记”的要求，抓细抓实抓深党的建设工作。一是聚焦党建责任落实。二是聚焦城市基层党建。三是聚焦意识形态工作。四是聚焦党风廉政建设。</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right="0" w:rightChars="0" w:firstLine="560" w:firstLineChars="200"/>
        <w:jc w:val="both"/>
        <w:textAlignment w:val="auto"/>
        <w:outlineLvl w:val="9"/>
        <w:rPr>
          <w:rFonts w:hint="eastAsia" w:ascii="宋体" w:hAnsi="宋体" w:eastAsia="宋体" w:cs="宋体"/>
          <w:b w:val="0"/>
          <w:bCs w:val="0"/>
          <w:color w:val="auto"/>
          <w:kern w:val="0"/>
          <w:sz w:val="28"/>
          <w:szCs w:val="28"/>
          <w:highlight w:val="none"/>
          <w:lang w:val="en-US" w:eastAsia="zh-CN"/>
        </w:rPr>
      </w:pPr>
      <w:r>
        <w:rPr>
          <w:rFonts w:hint="eastAsia" w:ascii="宋体" w:hAnsi="宋体" w:eastAsia="宋体" w:cs="宋体"/>
          <w:b w:val="0"/>
          <w:bCs w:val="0"/>
          <w:color w:val="auto"/>
          <w:kern w:val="0"/>
          <w:sz w:val="28"/>
          <w:szCs w:val="28"/>
          <w:highlight w:val="none"/>
          <w:lang w:val="en-US" w:eastAsia="zh-CN"/>
        </w:rPr>
        <w:t>凝心聚力，科学施策，疫情防控常态推进。自2020年1月25日以来。街道周密部署，广泛发动，群防群控，扎紧“口袋”，以高度负责的担当精神，挥好三项“硬招式”，坚实周密编织疫情防控网，为人民群众身体健康和生命安全筑起一道坚实防线。一是把使命举过头顶，敢打硬仗向前冲。街道党政班子成员、各社区书记、副书记冲在最前线，广泛发动居民党员，积极组织辖区物业、居民党员、楼栋长、志愿者参与疫情防控工作，充分发挥“口袋战术”的优势，形成了个个都是举旗手，人人都是排雷兵，全员全域齐参战的工作格局。二是把责任抗在肩上，紧编密织防控网。按照“外防输入，内防扩散”的总体要求，街道指挥部专门成立了数据分析组，建立已查实人员情报信息库，按照地域类别和关注级别等进行筛查管理。同时，全力抓好分类推进商户复工复业、分类建立商户复业档案、分类落实疫情防控措施、分类帮扶商户复业整改等“四个分类”，密织商户复业“防疫网”，安全有序推进复产复工。三是把群众放在心中，身体力行解难题。始终想群众之所想，急群众之所急，把人民群众最需要的事办实办好。各小区实施“口袋战术”后，街道社区党员干部职工其上阵，落实专人负责，形成配送链条，创新保障方式，实现直播点单，确保居民群众的物质供应。同时，通过微信沟通交流，积极消除隔离人员的心理障碍，得到了辖区居民群众的充分认可。四是思想行动不松懈，严格落实常态化防控措施。防疫取得阶段性胜利后，街道慎终如始坚持常态化防控，建立健全街道疫情防控分级预警机制，分级做好各类预警状态下的社区疫情防控工作，不定期召开常态化疫情防控联席会议，传达落实市、区、街道常态化疫情防控要求，坚决扛起新冠肺炎疫情防控重大政治责任，全力保障辖区群众的身体健康和生命安全。</w:t>
      </w:r>
    </w:p>
    <w:p>
      <w:pPr>
        <w:pStyle w:val="2"/>
        <w:numPr>
          <w:ilvl w:val="0"/>
          <w:numId w:val="0"/>
        </w:numPr>
        <w:ind w:firstLine="560" w:firstLineChars="200"/>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统筹推进，创新治理，切实维护社会大局稳定。紧紧围绕维护国家政治安全、确保社会大局稳定、促进社会公平正义及保障人民安居乐业“四大任务”，以平安建设为依托，社会综合治理持续优化。一是抓实社会治理创新工作。紧紧围绕省、市、区社会治理创新试点要求,以“一面旗帜”“两个公约”“三项治理”“四支队伍”“五项特色”为重点措施，按照“一年打基础,两年求突破,三年见实效”的整体部署,分年度推进社区实施示范创建。通过成立居民自治委员会、推行“楼长制”等方式，对辖区范围内的“三无小区”平安建设工作进行全面创新管理；通过召开居民大会、清扫环境卫生、整顿车辆乱停乱放等工作，现已达到“小区卫生有人扫、小区事务有人做、小区秩序有人管”。截止目前，已初步建成新街社区的汽零总厂小区，茶园社区的金碧小区，三角坪社区的针织厂小区，芷江路社区的407队家属区的社会治理新模式。二是抓牢扫黑除恶专项斗争工作。深入开展“行业整治深化年”活动,联合相关责任单位对照职能职责,建立问题清单,制定整治方案,明确工作任务,压实工作责任。三是抓紧禁毒工作。</w:t>
      </w:r>
      <w:r>
        <w:rPr>
          <w:rFonts w:hint="eastAsia" w:ascii="宋体" w:hAnsi="宋体" w:eastAsia="宋体" w:cs="宋体"/>
          <w:b w:val="0"/>
          <w:bCs w:val="0"/>
          <w:sz w:val="28"/>
          <w:szCs w:val="28"/>
          <w:highlight w:val="none"/>
          <w:lang w:val="en-US" w:eastAsia="zh-CN"/>
        </w:rPr>
        <w:t>以《禁毒法》和防范新型毒品危害为主要内容，继续深化禁毒宣传活动，切实推动禁毒宣传教育进基层、进学校、进社区、进单位、进家庭、进场所，广泛动员群众参与禁毒工作。</w:t>
      </w:r>
      <w:r>
        <w:rPr>
          <w:rFonts w:hint="eastAsia" w:ascii="宋体" w:hAnsi="宋体" w:eastAsia="宋体" w:cs="宋体"/>
          <w:b w:val="0"/>
          <w:bCs w:val="0"/>
          <w:color w:val="auto"/>
          <w:sz w:val="28"/>
          <w:szCs w:val="28"/>
          <w:highlight w:val="none"/>
          <w:lang w:val="en-US" w:eastAsia="zh-CN"/>
        </w:rPr>
        <w:t>四是抓稳反邪教工作。充分发挥网格员作用，在辖区地毯式巡查反宣品，发现一起，处理一起，有效地遏制了邪教的蔓延。五是抓好综治民调工作。街道联合辖区城中、团结两个派出所对公众安全感、满意度相对较低的辖区治安复杂区域进行9次专项整治，查处涉黄人员、查封涉黄场所，整治效果显著。六抓细防电信诈骗和涉众非吸重点区域整治工作。健全打击治理电信网络新型违法犯罪行动宣传机制，完善工作方案和考评细则，明确目标任务和工作重点,确保了工作全面推进。先后在斜水塘社区、新街社区、步行街广场、新天地广场开展打击治理电信网络新型违法犯罪专项宣传活动，共悬挂横幅23条，宣传展板36块，向居民群众发放宣传资料2100余份。</w:t>
      </w:r>
    </w:p>
    <w:p>
      <w:pPr>
        <w:ind w:firstLine="560" w:firstLineChars="200"/>
        <w:rPr>
          <w:rFonts w:hint="eastAsia" w:ascii="宋体" w:hAnsi="宋体" w:eastAsia="宋体" w:cs="宋体"/>
          <w:b w:val="0"/>
          <w:bCs w:val="0"/>
          <w:sz w:val="28"/>
          <w:szCs w:val="28"/>
        </w:rPr>
      </w:pPr>
      <w:r>
        <w:rPr>
          <w:rFonts w:hint="eastAsia" w:ascii="宋体" w:hAnsi="宋体" w:eastAsia="宋体" w:cs="宋体"/>
          <w:b w:val="0"/>
          <w:bCs w:val="0"/>
          <w:color w:val="auto"/>
          <w:sz w:val="28"/>
          <w:szCs w:val="28"/>
          <w:highlight w:val="none"/>
          <w:lang w:val="en-US" w:eastAsia="zh-CN"/>
        </w:rPr>
        <w:t>4、压实责任，防治结合，安全生产形势持续向好。认真贯彻落实习近平总书记关于安全生产重要论述、重要训词、重要讲话精神，狠抓责任落实、聚焦重点难点、实现精准发力，有力促使全街道安全生产形势稳定可控。一是深入开展专项整治。开展了“安全生产专项整治三年行动”、“打非治违”、“大排查、大管控、大整治”、“冬春季防火集中整治”等专项行动，共检查辖区企业178家，排查发现隐患120余次（处），查处违法违规企业30余家，下达整改通知120余份，关停1家，处罚企业6家。通过采取限期整改、行政处罚、隐患上报等措施，专项整治行动取得了显著的效果，大大减少了事故发生的可能性。二是切实消除安全隐患。先后整改销号了“城中办公大楼化粪池燃爆安全隐患、原中坡园艺厂危墙、鹤城区图书馆家属区围墙隐患”等10个重大安全隐患，消除中心市场3栋外墙瓷砖掉落等一般安全隐患32个，有效防范和遏制了安全事故的发生。三是持续开展宣传教育。扎实开展安全生产宣传教育培训工作，四是扎实做好防溺水安全。认真落实“五个工作机制”，织密织牢防学生溺水“安全防护网”，</w:t>
      </w:r>
    </w:p>
    <w:p>
      <w:pPr>
        <w:ind w:firstLine="560" w:firstLineChars="200"/>
        <w:rPr>
          <w:rFonts w:eastAsia="黑体"/>
          <w:b w:val="0"/>
          <w:bCs w:val="0"/>
          <w:sz w:val="32"/>
          <w:szCs w:val="32"/>
        </w:rPr>
      </w:pPr>
      <w:r>
        <w:rPr>
          <w:rFonts w:hint="eastAsia" w:ascii="宋体" w:hAnsi="宋体" w:eastAsia="宋体" w:cs="宋体"/>
          <w:b w:val="0"/>
          <w:bCs w:val="0"/>
          <w:color w:val="auto"/>
          <w:sz w:val="28"/>
          <w:szCs w:val="28"/>
          <w:highlight w:val="none"/>
          <w:lang w:val="en-US" w:eastAsia="zh-CN"/>
        </w:rPr>
        <w:t>5、顺应民心，惠及民生，社会事务综合服务稳步推进。把保障和改善民生作为振兴发展的重要工作，切实把握新矛盾、满足新需要、回应新期盼，辖区群众的幸福感获得感明显增强。一是真抓实干落实民生政策。</w:t>
      </w:r>
      <w:r>
        <w:rPr>
          <w:rFonts w:hint="eastAsia" w:ascii="宋体" w:hAnsi="宋体" w:eastAsia="宋体" w:cs="宋体"/>
          <w:b w:val="0"/>
          <w:bCs w:val="0"/>
          <w:sz w:val="28"/>
          <w:szCs w:val="28"/>
          <w:highlight w:val="none"/>
          <w:lang w:val="en-US" w:eastAsia="zh-CN"/>
        </w:rPr>
        <w:t>“十三五”期间，多次组织辖区居民参加专项招聘会，提</w:t>
      </w:r>
      <w:r>
        <w:rPr>
          <w:rFonts w:hint="eastAsia" w:ascii="宋体" w:hAnsi="宋体" w:eastAsia="宋体" w:cs="宋体"/>
          <w:sz w:val="28"/>
          <w:szCs w:val="28"/>
          <w:highlight w:val="none"/>
          <w:lang w:val="en-US" w:eastAsia="zh-CN"/>
        </w:rPr>
        <w:t>供就业岗位累计约1268个，帮助13582人实现就业</w:t>
      </w:r>
      <w:r>
        <w:rPr>
          <w:rFonts w:hint="eastAsia" w:ascii="宋体" w:hAnsi="宋体" w:eastAsia="宋体" w:cs="宋体"/>
          <w:sz w:val="28"/>
          <w:szCs w:val="28"/>
          <w:highlight w:val="none"/>
          <w:lang w:eastAsia="zh-CN"/>
        </w:rPr>
        <w:t>；</w:t>
      </w:r>
      <w:r>
        <w:rPr>
          <w:rFonts w:hint="eastAsia" w:ascii="宋体" w:hAnsi="宋体" w:eastAsia="宋体" w:cs="宋体"/>
          <w:sz w:val="28"/>
          <w:szCs w:val="28"/>
          <w:highlight w:val="none"/>
          <w:lang w:val="en-US" w:eastAsia="zh-CN"/>
        </w:rPr>
        <w:t>城镇居民城乡养老保险参保率达到85%以上，实现应保尽保目标，扎实开展辖区16—59周岁人员的续保和新参保工作，参保人员共达15961人，其中居民参保人员4605人，残疾人参保人员331人。同时以社区为平台，广泛宣传，简化程序，方便百姓，使居民医保应保尽保；每年通过“互联网+监督”和审计反馈，对街道低保家庭进行动态管理，严格核减新增人员，目前城中享保494户，819人，每月发放低保金额392650元；积极开展计生家庭优质服务，每一位计生特别扶助家庭制定了联系卡，每月询访一次，每季度走访一次，及时掌握对象的家庭状况。</w:t>
      </w:r>
      <w:r>
        <w:rPr>
          <w:rFonts w:hint="eastAsia" w:ascii="宋体" w:hAnsi="宋体" w:eastAsia="宋体" w:cs="宋体"/>
          <w:b w:val="0"/>
          <w:bCs w:val="0"/>
          <w:color w:val="auto"/>
          <w:sz w:val="28"/>
          <w:szCs w:val="28"/>
          <w:highlight w:val="none"/>
          <w:lang w:val="en-US" w:eastAsia="zh-CN"/>
        </w:rPr>
        <w:t>二是全力以赴做好人口普查。三是真情实意服务退役军人。四是坚决有力落实禁捕退捕。</w:t>
      </w:r>
    </w:p>
    <w:p>
      <w:pPr>
        <w:pStyle w:val="10"/>
        <w:widowControl/>
        <w:numPr>
          <w:ilvl w:val="0"/>
          <w:numId w:val="3"/>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存在的问题及原因分析</w:t>
      </w:r>
    </w:p>
    <w:p>
      <w:pPr>
        <w:widowControl/>
        <w:spacing w:line="600" w:lineRule="exact"/>
        <w:ind w:firstLine="560" w:firstLineChars="200"/>
        <w:jc w:val="left"/>
        <w:rPr>
          <w:rFonts w:ascii="宋体" w:hAnsi="宋体"/>
          <w:sz w:val="28"/>
        </w:rPr>
      </w:pPr>
      <w:r>
        <w:rPr>
          <w:rFonts w:hint="eastAsia" w:ascii="宋体" w:hAnsi="宋体"/>
          <w:sz w:val="28"/>
        </w:rPr>
        <w:t>一般公共服务支出</w:t>
      </w:r>
      <w:r>
        <w:rPr>
          <w:rFonts w:hint="eastAsia" w:ascii="宋体" w:hAnsi="宋体"/>
          <w:sz w:val="28"/>
          <w:szCs w:val="28"/>
          <w:lang w:val="en-US" w:eastAsia="zh-CN"/>
        </w:rPr>
        <w:t>572.64</w:t>
      </w:r>
      <w:r>
        <w:rPr>
          <w:rFonts w:hint="eastAsia" w:ascii="宋体" w:hAnsi="宋体"/>
          <w:sz w:val="28"/>
          <w:szCs w:val="28"/>
        </w:rPr>
        <w:t>万元，比</w:t>
      </w:r>
      <w:r>
        <w:rPr>
          <w:rFonts w:hint="eastAsia" w:ascii="宋体" w:hAnsi="宋体"/>
          <w:sz w:val="28"/>
        </w:rPr>
        <w:t>年初</w:t>
      </w:r>
      <w:r>
        <w:rPr>
          <w:rFonts w:hint="eastAsia" w:ascii="宋体" w:hAnsi="宋体"/>
          <w:sz w:val="28"/>
          <w:lang w:eastAsia="zh-CN"/>
        </w:rPr>
        <w:t>预算</w:t>
      </w:r>
      <w:r>
        <w:rPr>
          <w:rFonts w:hint="eastAsia" w:ascii="宋体" w:hAnsi="宋体"/>
          <w:sz w:val="28"/>
        </w:rPr>
        <w:t>增加</w:t>
      </w:r>
      <w:r>
        <w:rPr>
          <w:rFonts w:hint="eastAsia" w:ascii="宋体" w:hAnsi="宋体"/>
          <w:sz w:val="28"/>
          <w:lang w:val="en-US" w:eastAsia="zh-CN"/>
        </w:rPr>
        <w:t>44.65</w:t>
      </w:r>
      <w:r>
        <w:rPr>
          <w:rFonts w:hint="eastAsia" w:ascii="宋体" w:hAnsi="宋体"/>
          <w:sz w:val="28"/>
        </w:rPr>
        <w:t>万元，主要是社区的公用经费、公积金等支出计入了该功能科目；社会保障就业支出</w:t>
      </w:r>
      <w:r>
        <w:rPr>
          <w:rFonts w:hint="eastAsia" w:ascii="宋体" w:hAnsi="宋体"/>
          <w:sz w:val="28"/>
          <w:lang w:val="en-US" w:eastAsia="zh-CN"/>
        </w:rPr>
        <w:t>496.29</w:t>
      </w:r>
      <w:r>
        <w:rPr>
          <w:rFonts w:hint="eastAsia" w:ascii="宋体" w:hAnsi="宋体"/>
          <w:sz w:val="28"/>
        </w:rPr>
        <w:t>万元，比年初增加</w:t>
      </w:r>
      <w:r>
        <w:rPr>
          <w:rFonts w:hint="eastAsia" w:ascii="宋体" w:hAnsi="宋体"/>
          <w:sz w:val="28"/>
          <w:lang w:val="en-US" w:eastAsia="zh-CN"/>
        </w:rPr>
        <w:t>318.38</w:t>
      </w:r>
      <w:r>
        <w:rPr>
          <w:rFonts w:hint="eastAsia" w:ascii="宋体" w:hAnsi="宋体"/>
          <w:sz w:val="28"/>
        </w:rPr>
        <w:t>万元，主要是社区的</w:t>
      </w:r>
      <w:r>
        <w:rPr>
          <w:rFonts w:hint="eastAsia" w:ascii="宋体" w:hAnsi="宋体"/>
          <w:sz w:val="28"/>
          <w:lang w:val="en-US" w:eastAsia="zh-CN"/>
        </w:rPr>
        <w:t>一部分</w:t>
      </w:r>
      <w:r>
        <w:rPr>
          <w:rFonts w:hint="eastAsia" w:ascii="宋体" w:hAnsi="宋体"/>
          <w:sz w:val="28"/>
        </w:rPr>
        <w:t>公用经费支出统计到了</w:t>
      </w:r>
      <w:r>
        <w:rPr>
          <w:rFonts w:hint="eastAsia" w:ascii="宋体" w:hAnsi="宋体"/>
          <w:sz w:val="28"/>
          <w:lang w:val="en-US" w:eastAsia="zh-CN"/>
        </w:rPr>
        <w:t>该项功能科目</w:t>
      </w:r>
      <w:r>
        <w:rPr>
          <w:rFonts w:hint="eastAsia" w:ascii="宋体" w:hAnsi="宋体"/>
          <w:sz w:val="28"/>
        </w:rPr>
        <w:t>；医疗卫生与计划生育支出1</w:t>
      </w:r>
      <w:r>
        <w:rPr>
          <w:rFonts w:hint="eastAsia" w:ascii="宋体" w:hAnsi="宋体"/>
          <w:sz w:val="28"/>
          <w:lang w:val="en-US" w:eastAsia="zh-CN"/>
        </w:rPr>
        <w:t>49.26</w:t>
      </w:r>
      <w:r>
        <w:rPr>
          <w:rFonts w:hint="eastAsia" w:ascii="宋体" w:hAnsi="宋体"/>
          <w:sz w:val="28"/>
        </w:rPr>
        <w:t>万元，比年初增加</w:t>
      </w:r>
      <w:r>
        <w:rPr>
          <w:rFonts w:hint="eastAsia" w:ascii="宋体" w:hAnsi="宋体"/>
          <w:sz w:val="28"/>
          <w:lang w:val="en-US" w:eastAsia="zh-CN"/>
        </w:rPr>
        <w:t>83.</w:t>
      </w:r>
      <w:r>
        <w:rPr>
          <w:rFonts w:hint="eastAsia" w:ascii="宋体" w:hAnsi="宋体"/>
          <w:sz w:val="28"/>
        </w:rPr>
        <w:t>1万元，主要是由于2020年新冠疫情突发，导致突发公共卫生事件应急处理资金增加；城乡社区支出</w:t>
      </w:r>
      <w:r>
        <w:rPr>
          <w:rFonts w:hint="eastAsia" w:ascii="宋体" w:hAnsi="宋体"/>
          <w:sz w:val="28"/>
          <w:lang w:val="en-US" w:eastAsia="zh-CN"/>
        </w:rPr>
        <w:t>967.74</w:t>
      </w:r>
      <w:r>
        <w:rPr>
          <w:rFonts w:hint="eastAsia" w:ascii="宋体" w:hAnsi="宋体"/>
          <w:sz w:val="28"/>
        </w:rPr>
        <w:t>万元，比年初减少</w:t>
      </w:r>
      <w:r>
        <w:rPr>
          <w:rFonts w:hint="eastAsia" w:ascii="宋体" w:hAnsi="宋体"/>
          <w:sz w:val="28"/>
          <w:lang w:val="en-US" w:eastAsia="zh-CN"/>
        </w:rPr>
        <w:t>197.66</w:t>
      </w:r>
      <w:r>
        <w:rPr>
          <w:rFonts w:hint="eastAsia" w:ascii="宋体" w:hAnsi="宋体"/>
          <w:sz w:val="28"/>
        </w:rPr>
        <w:t>万元，主要是社区的公用经费支出统计到了</w:t>
      </w:r>
      <w:r>
        <w:rPr>
          <w:rFonts w:hint="eastAsia" w:ascii="宋体" w:hAnsi="宋体"/>
          <w:sz w:val="28"/>
          <w:lang w:val="en-US" w:eastAsia="zh-CN"/>
        </w:rPr>
        <w:t>社会保障和就业支出</w:t>
      </w:r>
      <w:r>
        <w:rPr>
          <w:rFonts w:hint="eastAsia" w:ascii="宋体" w:hAnsi="宋体"/>
          <w:sz w:val="28"/>
        </w:rPr>
        <w:t>；</w:t>
      </w:r>
      <w:r>
        <w:rPr>
          <w:rFonts w:hint="eastAsia" w:ascii="宋体" w:hAnsi="宋体"/>
          <w:sz w:val="28"/>
          <w:lang w:val="en-US" w:eastAsia="zh-CN"/>
        </w:rPr>
        <w:t>住房</w:t>
      </w:r>
      <w:r>
        <w:rPr>
          <w:rFonts w:hint="eastAsia" w:ascii="宋体" w:hAnsi="宋体"/>
          <w:sz w:val="28"/>
        </w:rPr>
        <w:t>保障支出</w:t>
      </w:r>
      <w:r>
        <w:rPr>
          <w:rFonts w:hint="eastAsia" w:ascii="宋体" w:hAnsi="宋体"/>
          <w:sz w:val="28"/>
          <w:lang w:val="en-US" w:eastAsia="zh-CN"/>
        </w:rPr>
        <w:t>为0</w:t>
      </w:r>
      <w:r>
        <w:rPr>
          <w:rFonts w:hint="eastAsia" w:ascii="宋体" w:hAnsi="宋体"/>
          <w:sz w:val="28"/>
        </w:rPr>
        <w:t>万元，比年初减少</w:t>
      </w:r>
      <w:r>
        <w:rPr>
          <w:rFonts w:hint="eastAsia" w:ascii="宋体" w:hAnsi="宋体"/>
          <w:sz w:val="28"/>
          <w:lang w:val="en-US" w:eastAsia="zh-CN"/>
        </w:rPr>
        <w:t>99.24</w:t>
      </w:r>
      <w:r>
        <w:rPr>
          <w:rFonts w:hint="eastAsia" w:ascii="宋体" w:hAnsi="宋体"/>
          <w:sz w:val="28"/>
        </w:rPr>
        <w:t>万元，主要是住房公积金支出统计到一般公共服务支出。</w:t>
      </w:r>
    </w:p>
    <w:p>
      <w:pPr>
        <w:pStyle w:val="10"/>
        <w:widowControl/>
        <w:numPr>
          <w:ilvl w:val="0"/>
          <w:numId w:val="0"/>
        </w:numPr>
        <w:spacing w:line="600" w:lineRule="exact"/>
        <w:ind w:left="640" w:leftChars="0"/>
        <w:jc w:val="left"/>
        <w:rPr>
          <w:rFonts w:ascii="Times New Roman" w:hAnsi="Times New Roman" w:eastAsia="黑体"/>
          <w:sz w:val="32"/>
          <w:szCs w:val="32"/>
        </w:rPr>
      </w:pPr>
    </w:p>
    <w:p>
      <w:pPr>
        <w:widowControl/>
        <w:spacing w:line="600" w:lineRule="exact"/>
        <w:ind w:firstLine="640" w:firstLineChars="200"/>
        <w:jc w:val="left"/>
        <w:rPr>
          <w:rFonts w:eastAsia="黑体"/>
          <w:sz w:val="32"/>
          <w:szCs w:val="32"/>
        </w:rPr>
      </w:pPr>
      <w:r>
        <w:rPr>
          <w:rFonts w:eastAsia="黑体"/>
          <w:sz w:val="32"/>
          <w:szCs w:val="32"/>
        </w:rPr>
        <w:t>八、下一步改进措施</w:t>
      </w:r>
    </w:p>
    <w:p>
      <w:pPr>
        <w:widowControl/>
        <w:spacing w:line="600" w:lineRule="exact"/>
        <w:ind w:firstLine="560" w:firstLineChars="200"/>
        <w:jc w:val="left"/>
      </w:pPr>
      <w:r>
        <w:rPr>
          <w:rFonts w:hint="eastAsia" w:ascii="宋体" w:hAnsi="宋体"/>
          <w:sz w:val="28"/>
        </w:rPr>
        <w:t>严格按照年初预算安排资金计划和使用，确保口径一致。</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ascii="宋体" w:hAnsi="宋体"/>
          <w:sz w:val="28"/>
        </w:rPr>
      </w:pPr>
      <w:r>
        <w:rPr>
          <w:rFonts w:hint="eastAsia" w:ascii="宋体" w:hAnsi="宋体"/>
          <w:sz w:val="28"/>
        </w:rPr>
        <w:t>无。</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color w:val="auto"/>
          <w:sz w:val="32"/>
          <w:szCs w:val="32"/>
          <w:shd w:val="clear" w:color="auto" w:fill="auto"/>
        </w:rPr>
        <w:t>报告应包括以下附件</w:t>
      </w:r>
      <w:r>
        <w:rPr>
          <w:rFonts w:eastAsia="仿宋_GB2312"/>
          <w:color w:val="auto"/>
          <w:sz w:val="32"/>
          <w:szCs w:val="32"/>
        </w:rPr>
        <w:t>：</w:t>
      </w:r>
    </w:p>
    <w:p>
      <w:pPr>
        <w:widowControl/>
        <w:spacing w:line="600" w:lineRule="exact"/>
        <w:ind w:firstLine="560" w:firstLineChars="200"/>
        <w:jc w:val="left"/>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1、部门整体支出绩效评价基础数据表</w:t>
      </w:r>
    </w:p>
    <w:p>
      <w:pPr>
        <w:widowControl/>
        <w:spacing w:line="600" w:lineRule="exact"/>
        <w:ind w:firstLine="560" w:firstLineChars="200"/>
        <w:jc w:val="left"/>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2、部门整体支出绩效自评表</w:t>
      </w:r>
    </w:p>
    <w:p>
      <w:pPr>
        <w:widowControl/>
        <w:spacing w:line="600" w:lineRule="exact"/>
        <w:ind w:firstLine="560" w:firstLineChars="200"/>
        <w:jc w:val="left"/>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3、项目支出绩效自评表（每个一级项目支出一张表）</w:t>
      </w:r>
    </w:p>
    <w:p>
      <w:pPr>
        <w:widowControl/>
        <w:spacing w:line="600" w:lineRule="exact"/>
        <w:ind w:firstLine="560" w:firstLineChars="200"/>
        <w:jc w:val="left"/>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4、政府性基金预算支出情况表</w:t>
      </w:r>
    </w:p>
    <w:p>
      <w:pPr>
        <w:widowControl/>
        <w:spacing w:line="600" w:lineRule="exact"/>
        <w:ind w:firstLine="560" w:firstLineChars="200"/>
        <w:jc w:val="left"/>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5、国有资本经营预算支出情况表</w:t>
      </w:r>
    </w:p>
    <w:p>
      <w:pPr>
        <w:widowControl/>
        <w:spacing w:line="600" w:lineRule="exact"/>
        <w:ind w:firstLine="560" w:firstLineChars="200"/>
        <w:jc w:val="left"/>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6、社会保险基金预算支出情况表</w:t>
      </w: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hint="eastAsia" w:eastAsia="仿宋_GB2312"/>
          <w:sz w:val="32"/>
          <w:szCs w:val="32"/>
        </w:rPr>
      </w:pPr>
    </w:p>
    <w:p>
      <w:pPr>
        <w:widowControl/>
        <w:spacing w:line="600" w:lineRule="exact"/>
        <w:ind w:firstLine="640" w:firstLineChars="200"/>
        <w:jc w:val="left"/>
        <w:rPr>
          <w:rFonts w:eastAsia="仿宋_GB2312"/>
          <w:sz w:val="32"/>
          <w:szCs w:val="32"/>
        </w:rPr>
      </w:pPr>
    </w:p>
    <w:p>
      <w:pPr>
        <w:pStyle w:val="2"/>
        <w:ind w:left="0" w:leftChars="0" w:firstLine="0" w:firstLineChars="0"/>
        <w:rPr>
          <w:rFonts w:eastAsia="仿宋_GB2312"/>
          <w:sz w:val="32"/>
          <w:szCs w:val="32"/>
        </w:rPr>
      </w:pPr>
    </w:p>
    <w:p>
      <w:pPr>
        <w:pStyle w:val="2"/>
        <w:rPr>
          <w:rFonts w:eastAsia="仿宋_GB2312"/>
          <w:sz w:val="32"/>
          <w:szCs w:val="32"/>
        </w:rPr>
      </w:pPr>
    </w:p>
    <w:p>
      <w:pPr>
        <w:pStyle w:val="2"/>
        <w:rPr>
          <w:rFonts w:eastAsia="仿宋_GB2312"/>
          <w:sz w:val="32"/>
          <w:szCs w:val="32"/>
        </w:rPr>
      </w:pPr>
    </w:p>
    <w:p>
      <w:pPr>
        <w:pStyle w:val="2"/>
        <w:rPr>
          <w:rFonts w:eastAsia="仿宋_GB2312"/>
          <w:sz w:val="32"/>
          <w:szCs w:val="32"/>
        </w:rPr>
      </w:pPr>
    </w:p>
    <w:p>
      <w:pPr>
        <w:pStyle w:val="2"/>
        <w:rPr>
          <w:rFonts w:eastAsia="仿宋_GB2312"/>
          <w:sz w:val="32"/>
          <w:szCs w:val="32"/>
        </w:rPr>
      </w:pPr>
    </w:p>
    <w:p>
      <w:pPr>
        <w:pStyle w:val="2"/>
        <w:rPr>
          <w:rFonts w:eastAsia="仿宋_GB2312"/>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6"/>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5"/>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10"/>
              <w:numPr>
                <w:ilvl w:val="0"/>
                <w:numId w:val="5"/>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10"/>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8"/>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tbl>
      <w:tblPr>
        <w:tblStyle w:val="6"/>
        <w:tblpPr w:leftFromText="180" w:rightFromText="180" w:vertAnchor="text" w:horzAnchor="page" w:tblpX="653" w:tblpY="388"/>
        <w:tblOverlap w:val="never"/>
        <w:tblW w:w="9999" w:type="dxa"/>
        <w:tblInd w:w="738" w:type="dxa"/>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trPr>
        <w:tc>
          <w:tcPr>
            <w:tcW w:w="9999" w:type="dxa"/>
            <w:gridSpan w:val="9"/>
            <w:tcBorders>
              <w:top w:val="nil"/>
              <w:left w:val="nil"/>
              <w:bottom w:val="nil"/>
              <w:right w:val="nil"/>
            </w:tcBorders>
            <w:vAlign w:val="center"/>
          </w:tcPr>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r>
              <w:rPr>
                <w:rFonts w:hint="eastAsia" w:eastAsia="黑体"/>
                <w:sz w:val="32"/>
                <w:szCs w:val="32"/>
                <w:lang w:val="en-US" w:eastAsia="zh-CN"/>
              </w:rPr>
              <w:t>1</w:t>
            </w:r>
            <w:r>
              <w:rPr>
                <w:rFonts w:hint="eastAsia" w:eastAsia="黑体"/>
                <w:sz w:val="32"/>
                <w:szCs w:val="32"/>
              </w:rPr>
              <w:t>）</w:t>
            </w:r>
          </w:p>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28" w:hRule="atLeast"/>
        </w:trPr>
        <w:tc>
          <w:tcPr>
            <w:tcW w:w="9999" w:type="dxa"/>
            <w:gridSpan w:val="9"/>
            <w:tcBorders>
              <w:top w:val="nil"/>
              <w:left w:val="nil"/>
              <w:bottom w:val="single" w:color="auto" w:sz="4" w:space="0"/>
              <w:right w:val="nil"/>
            </w:tcBorders>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rPr>
              <w:t>2020</w:t>
            </w:r>
            <w:r>
              <w:rPr>
                <w:color w:val="000000"/>
                <w:kern w:val="0"/>
                <w:sz w:val="22"/>
              </w:rPr>
              <w:t>年度）</w:t>
            </w:r>
          </w:p>
        </w:tc>
      </w:tr>
      <w:tr>
        <w:tblPrEx>
          <w:tblCellMar>
            <w:top w:w="0" w:type="dxa"/>
            <w:left w:w="108" w:type="dxa"/>
            <w:bottom w:w="0" w:type="dxa"/>
            <w:right w:w="108" w:type="dxa"/>
          </w:tblCellMar>
        </w:tblPrEx>
        <w:trPr>
          <w:trHeight w:val="585" w:hRule="atLeast"/>
        </w:trPr>
        <w:tc>
          <w:tcPr>
            <w:tcW w:w="1135" w:type="dxa"/>
            <w:tcBorders>
              <w:top w:val="nil"/>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服务群众专项资金</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1135" w:type="dxa"/>
            <w:tcBorders>
              <w:top w:val="nil"/>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城中</w:t>
            </w:r>
            <w:r>
              <w:rPr>
                <w:rFonts w:hint="eastAsia" w:eastAsia="仿宋_GB2312"/>
                <w:color w:val="000000"/>
                <w:kern w:val="0"/>
                <w:szCs w:val="21"/>
              </w:rPr>
              <w:t>街道办事处</w:t>
            </w:r>
          </w:p>
        </w:tc>
        <w:tc>
          <w:tcPr>
            <w:tcW w:w="1134" w:type="dxa"/>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 xml:space="preserve">    </w:t>
            </w:r>
          </w:p>
        </w:tc>
      </w:tr>
      <w:tr>
        <w:tblPrEx>
          <w:tblCellMar>
            <w:top w:w="0" w:type="dxa"/>
            <w:left w:w="108" w:type="dxa"/>
            <w:bottom w:w="0" w:type="dxa"/>
            <w:right w:w="108" w:type="dxa"/>
          </w:tblCellMar>
        </w:tblPrEx>
        <w:trPr>
          <w:trHeight w:val="625" w:hRule="atLeast"/>
        </w:trPr>
        <w:tc>
          <w:tcPr>
            <w:tcW w:w="1135"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13"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rPr>
              <w:t xml:space="preserve">  </w:t>
            </w:r>
            <w:r>
              <w:rPr>
                <w:rFonts w:hint="eastAsia" w:eastAsia="仿宋_GB2312"/>
                <w:color w:val="000000"/>
                <w:kern w:val="0"/>
                <w:szCs w:val="21"/>
                <w:lang w:val="en-US" w:eastAsia="zh-CN"/>
              </w:rPr>
              <w:t>90</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90</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rPr>
              <w:t xml:space="preserve"> </w:t>
            </w:r>
            <w:r>
              <w:rPr>
                <w:rFonts w:hint="eastAsia" w:eastAsia="仿宋_GB2312"/>
                <w:color w:val="000000"/>
                <w:kern w:val="0"/>
                <w:szCs w:val="21"/>
                <w:lang w:val="en-US" w:eastAsia="zh-CN"/>
              </w:rPr>
              <w:t>90</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90</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90</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90</w:t>
            </w:r>
            <w:r>
              <w:rPr>
                <w:rFonts w:eastAsia="仿宋_GB2312"/>
                <w:color w:val="000000"/>
                <w:kern w:val="0"/>
                <w:szCs w:val="21"/>
              </w:rPr>
              <w:t>　</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25" w:hRule="atLeast"/>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 xml:space="preserve">   </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1135" w:type="dxa"/>
            <w:vMerge w:val="restart"/>
            <w:tcBorders>
              <w:top w:val="nil"/>
              <w:left w:val="single" w:color="auto" w:sz="4" w:space="0"/>
              <w:bottom w:val="single" w:color="000000"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保障</w:t>
            </w:r>
            <w:r>
              <w:rPr>
                <w:rFonts w:hint="eastAsia" w:eastAsia="仿宋_GB2312"/>
                <w:color w:val="000000"/>
                <w:kern w:val="0"/>
                <w:szCs w:val="21"/>
                <w:lang w:val="en-US" w:eastAsia="zh-CN"/>
              </w:rPr>
              <w:t>社区</w:t>
            </w:r>
            <w:r>
              <w:rPr>
                <w:rFonts w:hint="eastAsia" w:eastAsia="仿宋_GB2312"/>
                <w:color w:val="000000"/>
                <w:kern w:val="0"/>
                <w:szCs w:val="21"/>
              </w:rPr>
              <w:t>运转开支，有效服务群众</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868" w:hRule="atLeast"/>
        </w:trPr>
        <w:tc>
          <w:tcPr>
            <w:tcW w:w="113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社区运转资金</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90</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90</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社区开支合理性</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开支合理</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合理开支</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12.5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12.5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及时拨付</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及时</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及时</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12.5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12.5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服务群众覆盖面</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全覆盖</w:t>
            </w:r>
          </w:p>
        </w:tc>
        <w:tc>
          <w:tcPr>
            <w:tcW w:w="1134"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全覆盖</w:t>
            </w:r>
          </w:p>
        </w:tc>
        <w:tc>
          <w:tcPr>
            <w:tcW w:w="82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vAlign w:val="center"/>
          </w:tcPr>
          <w:p>
            <w:pPr>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无</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社区工作持续性</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可持续</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可持续</w:t>
            </w:r>
          </w:p>
        </w:tc>
        <w:tc>
          <w:tcPr>
            <w:tcW w:w="82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873"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w:t>
            </w:r>
          </w:p>
        </w:tc>
        <w:tc>
          <w:tcPr>
            <w:tcW w:w="1418" w:type="dxa"/>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1135" w:type="dxa"/>
            <w:vMerge w:val="continue"/>
            <w:tcBorders>
              <w:left w:val="single" w:color="auto" w:sz="4" w:space="0"/>
              <w:right w:val="single" w:color="auto" w:sz="4" w:space="0"/>
            </w:tcBorders>
            <w:vAlign w:val="center"/>
          </w:tcPr>
          <w:p>
            <w:pPr>
              <w:spacing w:line="320" w:lineRule="exact"/>
              <w:jc w:val="left"/>
              <w:rPr>
                <w:rFonts w:eastAsia="仿宋_GB2312"/>
                <w:color w:val="000000"/>
                <w:kern w:val="0"/>
                <w:szCs w:val="21"/>
              </w:rPr>
            </w:pPr>
          </w:p>
        </w:tc>
        <w:tc>
          <w:tcPr>
            <w:tcW w:w="992" w:type="dxa"/>
            <w:tcBorders>
              <w:top w:val="single" w:color="auto" w:sz="4" w:space="0"/>
              <w:left w:val="nil"/>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single" w:color="auto" w:sz="4" w:space="0"/>
              <w:left w:val="nil"/>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群众满意度</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trPr>
        <w:tc>
          <w:tcPr>
            <w:tcW w:w="6880" w:type="dxa"/>
            <w:gridSpan w:val="6"/>
            <w:tcBorders>
              <w:top w:val="single" w:color="auto" w:sz="4" w:space="0"/>
              <w:left w:val="single" w:color="auto" w:sz="4" w:space="0"/>
              <w:bottom w:val="single" w:color="auto" w:sz="4" w:space="0"/>
              <w:right w:val="single" w:color="000000"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690" w:hRule="atLeast"/>
        </w:trPr>
        <w:tc>
          <w:tcPr>
            <w:tcW w:w="9999" w:type="dxa"/>
            <w:gridSpan w:val="9"/>
            <w:tcBorders>
              <w:top w:val="nil"/>
              <w:left w:val="nil"/>
              <w:bottom w:val="nil"/>
              <w:right w:val="nil"/>
            </w:tcBorders>
            <w:shd w:val="clear" w:color="auto" w:fill="auto"/>
            <w:noWrap/>
            <w:vAlign w:val="center"/>
          </w:tcPr>
          <w:p>
            <w:pPr>
              <w:spacing w:beforeLines="50" w:line="320" w:lineRule="exact"/>
              <w:rPr>
                <w:rFonts w:hint="eastAsia" w:eastAsia="仿宋_GB2312"/>
                <w:sz w:val="24"/>
                <w:lang w:eastAsia="zh-CN"/>
              </w:rPr>
            </w:pPr>
            <w:r>
              <w:rPr>
                <w:rFonts w:eastAsia="仿宋_GB2312"/>
                <w:sz w:val="24"/>
              </w:rPr>
              <w:t>填表人：</w:t>
            </w:r>
            <w:r>
              <w:rPr>
                <w:rFonts w:hint="eastAsia" w:eastAsia="仿宋_GB2312"/>
                <w:sz w:val="24"/>
                <w:lang w:val="en-US" w:eastAsia="zh-CN"/>
              </w:rPr>
              <w:t>廖垣晴</w:t>
            </w:r>
            <w:r>
              <w:rPr>
                <w:rFonts w:eastAsia="仿宋_GB2312"/>
                <w:sz w:val="24"/>
              </w:rPr>
              <w:t xml:space="preserve"> 填报日期：</w:t>
            </w:r>
            <w:r>
              <w:rPr>
                <w:rFonts w:hint="eastAsia" w:eastAsia="仿宋_GB2312"/>
                <w:sz w:val="24"/>
              </w:rPr>
              <w:t>2021年6月</w:t>
            </w:r>
            <w:r>
              <w:rPr>
                <w:rFonts w:hint="eastAsia" w:eastAsia="仿宋_GB2312"/>
                <w:sz w:val="24"/>
                <w:lang w:val="en-US" w:eastAsia="zh-CN"/>
              </w:rPr>
              <w:t>2</w:t>
            </w:r>
            <w:r>
              <w:rPr>
                <w:rFonts w:hint="eastAsia" w:eastAsia="仿宋_GB2312"/>
                <w:sz w:val="24"/>
              </w:rPr>
              <w:t>8日</w:t>
            </w:r>
            <w:r>
              <w:rPr>
                <w:rFonts w:eastAsia="仿宋_GB2312"/>
                <w:sz w:val="24"/>
              </w:rPr>
              <w:t xml:space="preserve"> 联系电话：</w:t>
            </w:r>
            <w:r>
              <w:rPr>
                <w:rFonts w:hint="eastAsia" w:eastAsia="仿宋_GB2312"/>
                <w:sz w:val="24"/>
              </w:rPr>
              <w:t>18</w:t>
            </w:r>
            <w:r>
              <w:rPr>
                <w:rFonts w:hint="eastAsia" w:eastAsia="仿宋_GB2312"/>
                <w:sz w:val="24"/>
                <w:lang w:val="en-US" w:eastAsia="zh-CN"/>
              </w:rPr>
              <w:t>897480277</w:t>
            </w:r>
            <w:r>
              <w:rPr>
                <w:rFonts w:eastAsia="仿宋_GB2312"/>
                <w:sz w:val="24"/>
              </w:rPr>
              <w:t xml:space="preserve"> </w:t>
            </w:r>
            <w:r>
              <w:rPr>
                <w:rFonts w:hint="eastAsia" w:eastAsia="仿宋_GB2312"/>
                <w:sz w:val="24"/>
                <w:lang w:val="en-US" w:eastAsia="zh-CN"/>
              </w:rPr>
              <w:t xml:space="preserve"> </w:t>
            </w:r>
            <w:r>
              <w:rPr>
                <w:rFonts w:eastAsia="仿宋_GB2312"/>
                <w:sz w:val="24"/>
              </w:rPr>
              <w:t>单位负责人：</w:t>
            </w:r>
            <w:r>
              <w:rPr>
                <w:rFonts w:hint="eastAsia" w:eastAsia="仿宋_GB2312"/>
                <w:sz w:val="24"/>
                <w:lang w:val="en-US" w:eastAsia="zh-CN"/>
              </w:rPr>
              <w:t>姚敦文</w:t>
            </w:r>
          </w:p>
          <w:p>
            <w:pPr>
              <w:widowControl/>
              <w:spacing w:line="400" w:lineRule="exact"/>
              <w:jc w:val="center"/>
              <w:rPr>
                <w:rFonts w:eastAsia="方正小标宋_GBK"/>
                <w:color w:val="000000"/>
                <w:kern w:val="0"/>
                <w:sz w:val="36"/>
                <w:szCs w:val="36"/>
              </w:rPr>
            </w:pPr>
          </w:p>
        </w:tc>
      </w:tr>
      <w:tr>
        <w:tblPrEx>
          <w:tblCellMar>
            <w:top w:w="0" w:type="dxa"/>
            <w:left w:w="108" w:type="dxa"/>
            <w:bottom w:w="0" w:type="dxa"/>
            <w:right w:w="108" w:type="dxa"/>
          </w:tblCellMar>
        </w:tblPrEx>
        <w:trPr>
          <w:trHeight w:val="80" w:hRule="atLeast"/>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p>
        </w:tc>
      </w:tr>
    </w:tbl>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r>
        <w:rPr>
          <w:rFonts w:eastAsia="楷体_GB2312"/>
          <w:sz w:val="32"/>
          <w:szCs w:val="32"/>
        </w:rPr>
        <w:t>（</w:t>
      </w:r>
      <w:r>
        <w:rPr>
          <w:rFonts w:hint="eastAsia" w:eastAsia="楷体_GB2312"/>
          <w:sz w:val="32"/>
          <w:szCs w:val="32"/>
        </w:rPr>
        <w:t>部门</w:t>
      </w:r>
      <w:r>
        <w:rPr>
          <w:rFonts w:eastAsia="楷体_GB2312"/>
          <w:sz w:val="32"/>
          <w:szCs w:val="32"/>
        </w:rPr>
        <w:t>参考提纲）</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ascii="宋体" w:hAnsi="宋体"/>
          <w:sz w:val="28"/>
        </w:rPr>
      </w:pPr>
      <w:r>
        <w:rPr>
          <w:rFonts w:eastAsia="楷体_GB2312"/>
          <w:b/>
          <w:sz w:val="32"/>
          <w:szCs w:val="32"/>
        </w:rPr>
        <w:t>（一）预算支出概况。</w:t>
      </w:r>
      <w:r>
        <w:rPr>
          <w:rFonts w:hint="eastAsia" w:ascii="宋体" w:hAnsi="宋体"/>
          <w:sz w:val="28"/>
        </w:rPr>
        <w:t>2020年</w:t>
      </w:r>
      <w:r>
        <w:rPr>
          <w:rFonts w:hint="eastAsia" w:ascii="宋体" w:hAnsi="宋体"/>
          <w:sz w:val="28"/>
          <w:lang w:eastAsia="zh-CN"/>
        </w:rPr>
        <w:t>城中</w:t>
      </w:r>
      <w:r>
        <w:rPr>
          <w:rFonts w:hint="eastAsia" w:ascii="宋体" w:hAnsi="宋体"/>
          <w:sz w:val="28"/>
        </w:rPr>
        <w:t>街道办事处预算支出</w:t>
      </w:r>
      <w:r>
        <w:rPr>
          <w:rFonts w:hint="eastAsia" w:ascii="宋体" w:hAnsi="宋体"/>
          <w:sz w:val="28"/>
          <w:lang w:val="en-US" w:eastAsia="zh-CN"/>
        </w:rPr>
        <w:t>2036.7</w:t>
      </w:r>
      <w:r>
        <w:rPr>
          <w:rFonts w:hint="eastAsia" w:ascii="宋体" w:hAnsi="宋体"/>
          <w:sz w:val="28"/>
        </w:rPr>
        <w:t>万元，其中人员支出1</w:t>
      </w:r>
      <w:r>
        <w:rPr>
          <w:rFonts w:hint="eastAsia" w:ascii="宋体" w:hAnsi="宋体"/>
          <w:sz w:val="28"/>
          <w:lang w:val="en-US" w:eastAsia="zh-CN"/>
        </w:rPr>
        <w:t>414.24</w:t>
      </w:r>
      <w:r>
        <w:rPr>
          <w:rFonts w:hint="eastAsia" w:ascii="宋体" w:hAnsi="宋体"/>
          <w:sz w:val="28"/>
        </w:rPr>
        <w:t>万元，公用经费支出</w:t>
      </w:r>
      <w:r>
        <w:rPr>
          <w:rFonts w:hint="eastAsia" w:ascii="宋体" w:hAnsi="宋体"/>
          <w:sz w:val="28"/>
          <w:lang w:val="en-US" w:eastAsia="zh-CN"/>
        </w:rPr>
        <w:t>529.46</w:t>
      </w:r>
      <w:r>
        <w:rPr>
          <w:rFonts w:hint="eastAsia" w:ascii="宋体" w:hAnsi="宋体"/>
          <w:sz w:val="28"/>
        </w:rPr>
        <w:t>万元，项目支出</w:t>
      </w:r>
      <w:r>
        <w:rPr>
          <w:rFonts w:hint="eastAsia" w:ascii="宋体" w:hAnsi="宋体"/>
          <w:sz w:val="28"/>
          <w:lang w:val="en-US" w:eastAsia="zh-CN"/>
        </w:rPr>
        <w:t>93</w:t>
      </w:r>
      <w:r>
        <w:rPr>
          <w:rFonts w:hint="eastAsia" w:ascii="宋体" w:hAnsi="宋体"/>
          <w:sz w:val="28"/>
        </w:rPr>
        <w:t>万元。</w:t>
      </w:r>
    </w:p>
    <w:p>
      <w:pPr>
        <w:spacing w:line="600" w:lineRule="exact"/>
        <w:ind w:firstLine="643" w:firstLineChars="200"/>
        <w:rPr>
          <w:rFonts w:ascii="宋体" w:hAnsi="宋体"/>
          <w:sz w:val="28"/>
        </w:rPr>
      </w:pPr>
      <w:r>
        <w:rPr>
          <w:rFonts w:eastAsia="楷体_GB2312"/>
          <w:b/>
          <w:sz w:val="32"/>
          <w:szCs w:val="32"/>
        </w:rPr>
        <w:t>（二）预算资金使用管理情况。</w:t>
      </w:r>
      <w:r>
        <w:rPr>
          <w:rFonts w:hint="eastAsia" w:ascii="宋体" w:hAnsi="宋体"/>
          <w:sz w:val="28"/>
        </w:rPr>
        <w:t>我街道严格按照年初预算执行。在收到财政下达的各类款项后，按照资金用途，依据预算执行计划，及时拨付各项资金。</w:t>
      </w:r>
    </w:p>
    <w:p>
      <w:pPr>
        <w:spacing w:line="600" w:lineRule="exact"/>
        <w:ind w:firstLine="560" w:firstLineChars="200"/>
        <w:rPr>
          <w:rFonts w:ascii="宋体" w:hAnsi="宋体"/>
          <w:sz w:val="28"/>
        </w:rPr>
      </w:pPr>
      <w:r>
        <w:rPr>
          <w:rFonts w:hint="eastAsia" w:ascii="宋体" w:hAnsi="宋体"/>
          <w:sz w:val="28"/>
        </w:rPr>
        <w:t>针对项目资金，从源头入手，落实责任，完善制度，合理使用，加强监管，注重宣传，确保项目资金的管理使用高效率。一是加强领导，增强责任制意识。二是加强资金管理制度建设。结合单位实际，将各项经济活动划分到具体工作岗位，按照岗位确定任务、职责和权限，贯彻执行所制订的相关财务制度，加强制度执行的监督，使专项资金的财务管理有章可循。三是加强资金支出管理。坚持“专项核算、专人管理、专款专用”的原则，严禁挤占、挪用专项资金。</w:t>
      </w:r>
    </w:p>
    <w:p>
      <w:pPr>
        <w:spacing w:line="600" w:lineRule="exact"/>
        <w:ind w:firstLine="643" w:firstLineChars="200"/>
        <w:rPr>
          <w:rFonts w:eastAsia="仿宋_GB2312"/>
          <w:sz w:val="32"/>
          <w:szCs w:val="32"/>
        </w:rPr>
      </w:pPr>
      <w:r>
        <w:rPr>
          <w:rFonts w:eastAsia="楷体_GB2312"/>
          <w:b/>
          <w:sz w:val="32"/>
          <w:szCs w:val="32"/>
        </w:rPr>
        <w:t>（三）预算支出绩效目标完成程度。</w:t>
      </w:r>
      <w:r>
        <w:rPr>
          <w:rFonts w:hint="eastAsia" w:ascii="宋体" w:hAnsi="宋体"/>
          <w:sz w:val="28"/>
        </w:rPr>
        <w:t>2020年年初预算数为</w:t>
      </w:r>
      <w:r>
        <w:rPr>
          <w:rFonts w:hint="eastAsia" w:ascii="宋体" w:hAnsi="宋体"/>
          <w:sz w:val="28"/>
          <w:lang w:val="en-US" w:eastAsia="zh-CN"/>
        </w:rPr>
        <w:t>2036.7</w:t>
      </w:r>
      <w:r>
        <w:rPr>
          <w:rFonts w:hint="eastAsia" w:ascii="宋体" w:hAnsi="宋体"/>
          <w:sz w:val="28"/>
        </w:rPr>
        <w:t>万元，通过对预算资金合理安排和使用，保障了我街道各项工作的顺利开展，服务了街道辖区居民。</w:t>
      </w:r>
    </w:p>
    <w:p>
      <w:pPr>
        <w:numPr>
          <w:ilvl w:val="0"/>
          <w:numId w:val="1"/>
        </w:numPr>
        <w:spacing w:line="600" w:lineRule="exact"/>
        <w:ind w:left="640" w:leftChars="0" w:firstLine="0" w:firstLineChars="0"/>
        <w:rPr>
          <w:rFonts w:eastAsia="黑体"/>
          <w:sz w:val="32"/>
          <w:szCs w:val="32"/>
        </w:rPr>
      </w:pPr>
      <w:r>
        <w:rPr>
          <w:rFonts w:eastAsia="黑体"/>
          <w:sz w:val="32"/>
          <w:szCs w:val="32"/>
        </w:rPr>
        <w:t>绩效评价工作情况</w:t>
      </w:r>
    </w:p>
    <w:p>
      <w:pPr>
        <w:spacing w:line="600" w:lineRule="exact"/>
        <w:ind w:firstLine="560" w:firstLineChars="200"/>
      </w:pPr>
      <w:r>
        <w:rPr>
          <w:rFonts w:hint="eastAsia" w:ascii="宋体" w:hAnsi="宋体"/>
          <w:sz w:val="28"/>
        </w:rPr>
        <w:t>我街道在预算执行和支出绩效方面，按照规定严格执行，合理安排支出，使财政资金发挥最大效益。</w:t>
      </w:r>
    </w:p>
    <w:p>
      <w:pPr>
        <w:numPr>
          <w:ilvl w:val="0"/>
          <w:numId w:val="1"/>
        </w:numPr>
        <w:spacing w:line="600" w:lineRule="exact"/>
        <w:ind w:left="640" w:leftChars="0" w:firstLine="0" w:firstLineChars="0"/>
        <w:rPr>
          <w:rFonts w:eastAsia="黑体"/>
          <w:sz w:val="32"/>
          <w:szCs w:val="32"/>
        </w:rPr>
      </w:pPr>
      <w:r>
        <w:rPr>
          <w:rFonts w:eastAsia="黑体"/>
          <w:sz w:val="32"/>
          <w:szCs w:val="32"/>
        </w:rPr>
        <w:t>预算支出主要绩效及评价结论</w:t>
      </w:r>
    </w:p>
    <w:p>
      <w:pPr>
        <w:spacing w:line="600" w:lineRule="exact"/>
        <w:ind w:firstLine="420" w:firstLineChars="200"/>
        <w:rPr>
          <w:rFonts w:ascii="宋体" w:hAnsi="宋体"/>
          <w:sz w:val="28"/>
        </w:rPr>
      </w:pPr>
      <w:r>
        <w:rPr>
          <w:rFonts w:hint="eastAsia"/>
          <w:lang w:val="en-US" w:eastAsia="zh-CN"/>
        </w:rPr>
        <w:t xml:space="preserve">   </w:t>
      </w:r>
      <w:r>
        <w:rPr>
          <w:rFonts w:hint="eastAsia" w:ascii="宋体" w:hAnsi="宋体"/>
          <w:sz w:val="28"/>
        </w:rPr>
        <w:t>我街道2020年的基本支出，保障了工作人员的基本工资，确保了基础性工作的运转。</w:t>
      </w:r>
    </w:p>
    <w:p>
      <w:pPr>
        <w:spacing w:line="600" w:lineRule="exact"/>
        <w:ind w:firstLine="560" w:firstLineChars="200"/>
        <w:rPr>
          <w:rFonts w:hint="default" w:eastAsia="仿宋_GB2312"/>
          <w:lang w:val="en-US" w:eastAsia="zh-CN"/>
        </w:rPr>
      </w:pPr>
      <w:r>
        <w:rPr>
          <w:rFonts w:hint="eastAsia" w:ascii="宋体" w:hAnsi="宋体"/>
          <w:sz w:val="28"/>
        </w:rPr>
        <w:t>项目支出中，社区</w:t>
      </w:r>
      <w:r>
        <w:rPr>
          <w:rFonts w:hint="eastAsia" w:ascii="宋体" w:hAnsi="宋体"/>
          <w:sz w:val="28"/>
          <w:lang w:eastAsia="zh-CN"/>
        </w:rPr>
        <w:t>服务群众资金</w:t>
      </w:r>
      <w:r>
        <w:rPr>
          <w:rFonts w:hint="eastAsia" w:ascii="宋体" w:hAnsi="宋体"/>
          <w:sz w:val="28"/>
        </w:rPr>
        <w:t>有效推动了社区工作的基础性开展。</w:t>
      </w:r>
    </w:p>
    <w:p>
      <w:pPr>
        <w:numPr>
          <w:ilvl w:val="0"/>
          <w:numId w:val="1"/>
        </w:numPr>
        <w:spacing w:line="600" w:lineRule="exact"/>
        <w:ind w:left="640" w:leftChars="0" w:firstLine="0" w:firstLineChars="0"/>
        <w:rPr>
          <w:rFonts w:eastAsia="黑体"/>
          <w:sz w:val="32"/>
          <w:szCs w:val="32"/>
        </w:rPr>
      </w:pPr>
      <w:r>
        <w:rPr>
          <w:rFonts w:eastAsia="黑体"/>
          <w:sz w:val="32"/>
          <w:szCs w:val="32"/>
        </w:rPr>
        <w:t>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560" w:firstLineChars="200"/>
        <w:rPr>
          <w:rFonts w:ascii="宋体" w:hAnsi="宋体"/>
          <w:sz w:val="28"/>
        </w:rPr>
      </w:pPr>
      <w:r>
        <w:rPr>
          <w:rFonts w:hint="eastAsia" w:ascii="宋体" w:hAnsi="宋体"/>
          <w:sz w:val="28"/>
        </w:rPr>
        <w:t>按照年初预算绩效目标，合理安排资金的使用。</w:t>
      </w:r>
    </w:p>
    <w:p>
      <w:pPr>
        <w:spacing w:line="600" w:lineRule="exact"/>
        <w:ind w:firstLine="643" w:firstLineChars="200"/>
        <w:rPr>
          <w:rFonts w:eastAsia="楷体_GB2312"/>
          <w:b/>
          <w:sz w:val="32"/>
          <w:szCs w:val="32"/>
        </w:rPr>
      </w:pPr>
      <w:r>
        <w:rPr>
          <w:rFonts w:eastAsia="楷体_GB2312"/>
          <w:b/>
          <w:sz w:val="32"/>
          <w:szCs w:val="32"/>
        </w:rPr>
        <w:t>（二）预算执行过程情况</w:t>
      </w:r>
    </w:p>
    <w:p>
      <w:pPr>
        <w:spacing w:line="600" w:lineRule="exact"/>
        <w:ind w:firstLine="560" w:firstLineChars="200"/>
        <w:rPr>
          <w:rFonts w:ascii="宋体" w:hAnsi="宋体"/>
          <w:sz w:val="28"/>
        </w:rPr>
      </w:pPr>
      <w:r>
        <w:rPr>
          <w:rFonts w:hint="eastAsia" w:ascii="宋体" w:hAnsi="宋体"/>
          <w:sz w:val="28"/>
        </w:rPr>
        <w:t>严格按照资金用途，在预算资金范围内合理支出，强化监督。</w:t>
      </w:r>
    </w:p>
    <w:p>
      <w:pPr>
        <w:spacing w:line="600" w:lineRule="exact"/>
        <w:ind w:firstLine="643" w:firstLineChars="200"/>
        <w:rPr>
          <w:rFonts w:eastAsia="楷体_GB2312"/>
          <w:b/>
          <w:sz w:val="32"/>
          <w:szCs w:val="32"/>
        </w:rPr>
      </w:pPr>
      <w:r>
        <w:rPr>
          <w:rFonts w:eastAsia="楷体_GB2312"/>
          <w:b/>
          <w:sz w:val="32"/>
          <w:szCs w:val="32"/>
        </w:rPr>
        <w:t>（三）预算支出产出情况</w:t>
      </w:r>
    </w:p>
    <w:p>
      <w:pPr>
        <w:spacing w:line="600" w:lineRule="exact"/>
        <w:ind w:firstLine="560" w:firstLineChars="200"/>
        <w:rPr>
          <w:rFonts w:ascii="宋体" w:hAnsi="宋体"/>
          <w:sz w:val="28"/>
        </w:rPr>
      </w:pPr>
      <w:r>
        <w:rPr>
          <w:rFonts w:hint="eastAsia" w:ascii="宋体" w:hAnsi="宋体"/>
          <w:sz w:val="28"/>
        </w:rPr>
        <w:t>通过合理支出，各项资金均取得了一定的产出。基本支出保障街道基本工作运行。项目支出中，人大运行经费支持了人大服务平台建设，举行了人大会议；社区办公经费为社区工作提供资金支持。</w:t>
      </w:r>
    </w:p>
    <w:p>
      <w:pPr>
        <w:spacing w:line="600" w:lineRule="exact"/>
        <w:ind w:firstLine="643" w:firstLineChars="200"/>
        <w:rPr>
          <w:rFonts w:eastAsia="楷体_GB2312"/>
          <w:b/>
          <w:sz w:val="32"/>
          <w:szCs w:val="32"/>
        </w:rPr>
      </w:pPr>
      <w:r>
        <w:rPr>
          <w:rFonts w:eastAsia="楷体_GB2312"/>
          <w:b/>
          <w:sz w:val="32"/>
          <w:szCs w:val="32"/>
        </w:rPr>
        <w:t>（四）预算支出效益情况</w:t>
      </w:r>
    </w:p>
    <w:p>
      <w:pPr>
        <w:spacing w:line="600" w:lineRule="exact"/>
        <w:ind w:firstLine="560" w:firstLineChars="200"/>
      </w:pPr>
      <w:r>
        <w:rPr>
          <w:rFonts w:hint="eastAsia" w:ascii="宋体" w:hAnsi="宋体"/>
          <w:sz w:val="28"/>
        </w:rPr>
        <w:t>通过对预算资金的合理安排、使用，我</w:t>
      </w:r>
      <w:r>
        <w:rPr>
          <w:rFonts w:hint="eastAsia" w:ascii="宋体" w:hAnsi="宋体"/>
          <w:sz w:val="28"/>
          <w:lang w:eastAsia="zh-CN"/>
        </w:rPr>
        <w:t>街道</w:t>
      </w:r>
      <w:r>
        <w:rPr>
          <w:rFonts w:hint="eastAsia" w:ascii="宋体" w:hAnsi="宋体"/>
          <w:sz w:val="28"/>
        </w:rPr>
        <w:t>基本完成了年初绩效目标，通过</w:t>
      </w:r>
      <w:r>
        <w:rPr>
          <w:rFonts w:hint="eastAsia" w:ascii="宋体" w:hAnsi="宋体"/>
          <w:sz w:val="28"/>
          <w:lang w:eastAsia="zh-CN"/>
        </w:rPr>
        <w:t>街道、社区</w:t>
      </w:r>
      <w:r>
        <w:rPr>
          <w:rFonts w:hint="eastAsia" w:ascii="宋体" w:hAnsi="宋体"/>
          <w:sz w:val="28"/>
        </w:rPr>
        <w:t>两级的共同努力，创造了和谐、美丽的城乡环境。</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widowControl/>
        <w:spacing w:before="42" w:after="42" w:line="360" w:lineRule="auto"/>
        <w:ind w:firstLine="570"/>
        <w:jc w:val="left"/>
        <w:rPr>
          <w:rFonts w:ascii="宋体" w:hAnsi="宋体"/>
          <w:sz w:val="28"/>
        </w:rPr>
      </w:pPr>
      <w:r>
        <w:rPr>
          <w:rFonts w:hint="eastAsia" w:ascii="宋体" w:hAnsi="宋体"/>
          <w:sz w:val="28"/>
        </w:rPr>
        <w:t>主要经验及做法：严格遵循财务制度，基本做到专款专用，严格资金审批程序，确保了项目质量，财政资金的安全。</w:t>
      </w:r>
    </w:p>
    <w:p>
      <w:pPr>
        <w:widowControl/>
        <w:spacing w:before="42" w:after="42" w:line="360" w:lineRule="auto"/>
        <w:ind w:firstLine="570"/>
        <w:jc w:val="left"/>
        <w:rPr>
          <w:rFonts w:ascii="宋体" w:hAnsi="宋体"/>
          <w:sz w:val="28"/>
        </w:rPr>
      </w:pPr>
      <w:r>
        <w:rPr>
          <w:rFonts w:hint="eastAsia" w:ascii="宋体" w:hAnsi="宋体"/>
          <w:sz w:val="28"/>
        </w:rPr>
        <w:t>存在的问题：1、预算执行存在偏差；2、固定资产管理水平有待进一步提高 。</w:t>
      </w:r>
    </w:p>
    <w:p>
      <w:pPr>
        <w:spacing w:line="600" w:lineRule="exact"/>
        <w:ind w:firstLine="640" w:firstLineChars="200"/>
        <w:rPr>
          <w:rFonts w:eastAsia="黑体"/>
          <w:sz w:val="32"/>
          <w:szCs w:val="32"/>
        </w:rPr>
      </w:pPr>
      <w:r>
        <w:rPr>
          <w:rFonts w:eastAsia="黑体"/>
          <w:sz w:val="32"/>
          <w:szCs w:val="32"/>
        </w:rPr>
        <w:t>六、有关建议</w:t>
      </w:r>
    </w:p>
    <w:p>
      <w:pPr>
        <w:widowControl/>
        <w:spacing w:before="42" w:after="42" w:line="360" w:lineRule="auto"/>
        <w:ind w:firstLine="570"/>
        <w:jc w:val="left"/>
        <w:rPr>
          <w:rFonts w:ascii="宋体" w:hAnsi="宋体"/>
          <w:sz w:val="28"/>
        </w:rPr>
      </w:pPr>
      <w:r>
        <w:rPr>
          <w:rFonts w:hint="eastAsia" w:ascii="宋体" w:hAnsi="宋体"/>
          <w:sz w:val="28"/>
        </w:rPr>
        <w:t>1、科学合理编制预算，严格执行预算。按照新《预算法》及其实施条例的相关规定，按本部门的发展规划，结合上一年度预算执行情况和本年度预算收支变化因素，科学合理的编制本年度预算方案，避免预算支出与实际执行出现较大偏差情况。</w:t>
      </w:r>
    </w:p>
    <w:p>
      <w:pPr>
        <w:widowControl/>
        <w:spacing w:before="42" w:after="42" w:line="360" w:lineRule="auto"/>
        <w:ind w:firstLine="570"/>
        <w:jc w:val="left"/>
      </w:pPr>
      <w:r>
        <w:rPr>
          <w:rFonts w:hint="eastAsia" w:ascii="宋体" w:hAnsi="宋体"/>
          <w:sz w:val="28"/>
        </w:rPr>
        <w:t>2、严格按照《固定资产管理办法》的规定加强固定资产管理，及时登记、加强资产卡片管理，年终前对各类实物资产进行全面盘点，确保账账、账实相符。</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hint="eastAsia" w:ascii="宋体" w:hAnsi="宋体" w:eastAsia="宋体" w:cs="宋体"/>
          <w:sz w:val="28"/>
          <w:szCs w:val="28"/>
          <w:lang w:eastAsia="zh-CN"/>
        </w:rPr>
      </w:pPr>
      <w:r>
        <w:rPr>
          <w:rFonts w:eastAsia="黑体"/>
          <w:sz w:val="32"/>
          <w:szCs w:val="32"/>
        </w:rPr>
        <w:t xml:space="preserve">    </w:t>
      </w:r>
      <w:r>
        <w:rPr>
          <w:rFonts w:hint="eastAsia" w:ascii="宋体" w:hAnsi="宋体" w:eastAsia="宋体" w:cs="宋体"/>
          <w:sz w:val="28"/>
          <w:szCs w:val="28"/>
          <w:lang w:eastAsia="zh-CN"/>
        </w:rPr>
        <w:t>无。</w:t>
      </w:r>
    </w:p>
    <w:p>
      <w:pPr>
        <w:widowControl/>
        <w:spacing w:line="600" w:lineRule="exact"/>
        <w:ind w:firstLine="645"/>
        <w:jc w:val="left"/>
        <w:rPr>
          <w:rFonts w:ascii="宋体" w:hAnsi="宋体"/>
          <w:sz w:val="28"/>
        </w:rPr>
      </w:pPr>
      <w:r>
        <w:rPr>
          <w:rFonts w:ascii="宋体" w:hAnsi="宋体"/>
          <w:sz w:val="28"/>
        </w:rPr>
        <w:t>报告应包括以下附件：</w:t>
      </w:r>
    </w:p>
    <w:p>
      <w:pPr>
        <w:widowControl/>
        <w:spacing w:line="600" w:lineRule="exact"/>
        <w:ind w:firstLine="645"/>
        <w:jc w:val="left"/>
        <w:rPr>
          <w:rFonts w:ascii="宋体" w:hAnsi="宋体"/>
          <w:sz w:val="28"/>
        </w:rPr>
      </w:pPr>
      <w:r>
        <w:rPr>
          <w:rFonts w:ascii="宋体" w:hAnsi="宋体"/>
          <w:sz w:val="28"/>
        </w:rPr>
        <w:t>1、绩效评价基础数据汇总表</w:t>
      </w:r>
    </w:p>
    <w:p>
      <w:pPr>
        <w:widowControl/>
        <w:spacing w:line="600" w:lineRule="exact"/>
        <w:ind w:firstLine="645"/>
        <w:jc w:val="left"/>
        <w:rPr>
          <w:rFonts w:ascii="宋体" w:hAnsi="宋体"/>
          <w:sz w:val="28"/>
        </w:rPr>
      </w:pPr>
      <w:r>
        <w:rPr>
          <w:rFonts w:ascii="宋体" w:hAnsi="宋体"/>
          <w:sz w:val="28"/>
        </w:rPr>
        <w:t>2、绩效评价指标评分表</w:t>
      </w:r>
    </w:p>
    <w:p>
      <w:pPr>
        <w:widowControl/>
        <w:spacing w:line="600" w:lineRule="exact"/>
        <w:jc w:val="left"/>
        <w:rPr>
          <w:rFonts w:eastAsia="黑体"/>
          <w:sz w:val="32"/>
          <w:szCs w:val="32"/>
        </w:rPr>
      </w:pPr>
      <w:r>
        <w:rPr>
          <w:rFonts w:eastAsia="仿宋_GB2312"/>
          <w:sz w:val="32"/>
          <w:szCs w:val="32"/>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altName w:val="Arial Unicode MS"/>
    <w:panose1 w:val="02010609060101010101"/>
    <w:charset w:val="86"/>
    <w:family w:val="auto"/>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2EF371A"/>
    <w:multiLevelType w:val="singleLevel"/>
    <w:tmpl w:val="C2EF371A"/>
    <w:lvl w:ilvl="0" w:tentative="0">
      <w:start w:val="2"/>
      <w:numFmt w:val="decimal"/>
      <w:suff w:val="nothing"/>
      <w:lvlText w:val="%1、"/>
      <w:lvlJc w:val="left"/>
    </w:lvl>
  </w:abstractNum>
  <w:abstractNum w:abstractNumId="1">
    <w:nsid w:val="1E84B17B"/>
    <w:multiLevelType w:val="singleLevel"/>
    <w:tmpl w:val="1E84B17B"/>
    <w:lvl w:ilvl="0" w:tentative="0">
      <w:start w:val="2"/>
      <w:numFmt w:val="chineseCounting"/>
      <w:suff w:val="nothing"/>
      <w:lvlText w:val="（%1）"/>
      <w:lvlJc w:val="left"/>
      <w:rPr>
        <w:rFonts w:hint="eastAsia"/>
      </w:rPr>
    </w:lvl>
  </w:abstractNum>
  <w:abstractNum w:abstractNumId="2">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3B9E61BB"/>
    <w:multiLevelType w:val="singleLevel"/>
    <w:tmpl w:val="3B9E61BB"/>
    <w:lvl w:ilvl="0" w:tentative="0">
      <w:start w:val="1"/>
      <w:numFmt w:val="chineseCounting"/>
      <w:suff w:val="nothing"/>
      <w:lvlText w:val="%1、"/>
      <w:lvlJc w:val="left"/>
      <w:rPr>
        <w:rFonts w:hint="eastAsia"/>
      </w:rPr>
    </w:lvl>
  </w:abstractNum>
  <w:abstractNum w:abstractNumId="4">
    <w:nsid w:val="3C378634"/>
    <w:multiLevelType w:val="singleLevel"/>
    <w:tmpl w:val="3C378634"/>
    <w:lvl w:ilvl="0" w:tentative="0">
      <w:start w:val="5"/>
      <w:numFmt w:val="chineseCounting"/>
      <w:suff w:val="nothing"/>
      <w:lvlText w:val="%1、"/>
      <w:lvlJc w:val="left"/>
      <w:rPr>
        <w:rFonts w:hint="eastAsia"/>
      </w:rPr>
    </w:lvl>
  </w:abstractNum>
  <w:abstractNum w:abstractNumId="5">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3"/>
  </w:num>
  <w:num w:numId="2">
    <w:abstractNumId w:val="1"/>
  </w:num>
  <w:num w:numId="3">
    <w:abstractNumId w:val="4"/>
  </w:num>
  <w:num w:numId="4">
    <w:abstractNumId w:val="0"/>
  </w:num>
  <w:num w:numId="5">
    <w:abstractNumId w:val="5"/>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9251B"/>
    <w:rsid w:val="000B0765"/>
    <w:rsid w:val="000B57BC"/>
    <w:rsid w:val="00162440"/>
    <w:rsid w:val="00174EEF"/>
    <w:rsid w:val="001A127E"/>
    <w:rsid w:val="002558F7"/>
    <w:rsid w:val="0031755D"/>
    <w:rsid w:val="003711D0"/>
    <w:rsid w:val="00377767"/>
    <w:rsid w:val="00377A33"/>
    <w:rsid w:val="003E5114"/>
    <w:rsid w:val="00426627"/>
    <w:rsid w:val="005833DD"/>
    <w:rsid w:val="00595424"/>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E127F9"/>
    <w:rsid w:val="00E50869"/>
    <w:rsid w:val="00FC7FE9"/>
    <w:rsid w:val="076C76FB"/>
    <w:rsid w:val="0AE1627E"/>
    <w:rsid w:val="16FE6CD2"/>
    <w:rsid w:val="198A25E7"/>
    <w:rsid w:val="199C1D60"/>
    <w:rsid w:val="1B5376CD"/>
    <w:rsid w:val="1CB767F4"/>
    <w:rsid w:val="24E973B7"/>
    <w:rsid w:val="31CB0C17"/>
    <w:rsid w:val="47C84DA9"/>
    <w:rsid w:val="66156BC8"/>
    <w:rsid w:val="71210F83"/>
    <w:rsid w:val="74605AC9"/>
    <w:rsid w:val="78B13631"/>
    <w:rsid w:val="7D752CB1"/>
    <w:rsid w:val="7E7909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pPr>
  </w:style>
  <w:style w:type="paragraph" w:styleId="3">
    <w:name w:val="Body Text Indent"/>
    <w:basedOn w:val="1"/>
    <w:qFormat/>
    <w:uiPriority w:val="0"/>
    <w:pPr>
      <w:ind w:firstLine="640" w:firstLineChars="200"/>
    </w:pPr>
    <w:rPr>
      <w:rFonts w:ascii="仿宋_GB2312" w:eastAsia="仿宋_GB2312"/>
      <w:sz w:val="32"/>
    </w:rPr>
  </w:style>
  <w:style w:type="paragraph" w:styleId="4">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 w:type="paragraph" w:styleId="10">
    <w:name w:val="List Paragraph"/>
    <w:basedOn w:val="1"/>
    <w:qFormat/>
    <w:uiPriority w:val="99"/>
    <w:pPr>
      <w:ind w:firstLine="420" w:firstLineChars="200"/>
    </w:pPr>
    <w:rPr>
      <w:rFonts w:ascii="Calibri" w:hAnsi="Calibri"/>
      <w:szCs w:val="22"/>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customStyle="1" w:styleId="12">
    <w:name w:val="列出段落1"/>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1291</Words>
  <Characters>7361</Characters>
  <Lines>61</Lines>
  <Paragraphs>17</Paragraphs>
  <TotalTime>9</TotalTime>
  <ScaleCrop>false</ScaleCrop>
  <LinksUpToDate>false</LinksUpToDate>
  <CharactersWithSpaces>8635</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2021-06-13T01:11:20Z</cp:lastPrinted>
  <dcterms:modified xsi:type="dcterms:W3CDTF">2021-06-13T01:11:41Z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y fmtid="{D5CDD505-2E9C-101B-9397-08002B2CF9AE}" pid="3" name="ICV">
    <vt:lpwstr>7F5A254C91824748836A3202CFDF02C2</vt:lpwstr>
  </property>
</Properties>
</file>