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7</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85.71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0.25万元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1.1万</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0.25万元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1.1万</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color w:val="auto"/>
              </w:rPr>
            </w:pPr>
            <w:r>
              <w:rPr>
                <w:rFonts w:hint="eastAsia" w:ascii="仿宋" w:hAnsi="仿宋" w:eastAsia="仿宋"/>
                <w:color w:val="auto"/>
              </w:rPr>
              <w:t>56.24万元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color w:val="auto"/>
              </w:rPr>
            </w:pPr>
            <w:r>
              <w:rPr>
                <w:rFonts w:hint="eastAsia" w:ascii="仿宋" w:hAnsi="仿宋" w:eastAsia="仿宋"/>
                <w:color w:val="auto"/>
              </w:rPr>
              <w:t>57万元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color w:val="auto"/>
              </w:rPr>
            </w:pPr>
            <w:r>
              <w:rPr>
                <w:rFonts w:hint="eastAsia" w:ascii="仿宋" w:hAnsi="仿宋" w:eastAsia="仿宋"/>
                <w:color w:val="auto"/>
              </w:rPr>
              <w:t>3</w:t>
            </w:r>
            <w:r>
              <w:rPr>
                <w:rFonts w:hint="eastAsia" w:ascii="仿宋" w:hAnsi="仿宋" w:eastAsia="仿宋"/>
                <w:color w:val="auto"/>
                <w:lang w:val="en-US" w:eastAsia="zh-CN"/>
              </w:rPr>
              <w:t>8</w:t>
            </w:r>
            <w:r>
              <w:rPr>
                <w:rFonts w:hint="eastAsia" w:ascii="仿宋" w:hAnsi="仿宋" w:eastAsia="仿宋"/>
                <w:color w:val="auto"/>
              </w:rPr>
              <w:t>.69万元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color w:val="auto"/>
              </w:rPr>
            </w:pPr>
            <w:r>
              <w:rPr>
                <w:rFonts w:hint="eastAsia" w:ascii="仿宋" w:hAnsi="仿宋" w:eastAsia="仿宋"/>
                <w:color w:val="auto"/>
              </w:rPr>
              <w:t>56.24万元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color w:val="auto"/>
              </w:rPr>
            </w:pPr>
            <w:r>
              <w:rPr>
                <w:rFonts w:hint="eastAsia" w:ascii="仿宋" w:hAnsi="仿宋" w:eastAsia="仿宋"/>
                <w:color w:val="auto"/>
              </w:rPr>
              <w:t>57万元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color w:val="auto"/>
              </w:rPr>
            </w:pPr>
            <w:r>
              <w:rPr>
                <w:rFonts w:hint="eastAsia" w:ascii="仿宋" w:hAnsi="仿宋" w:eastAsia="仿宋"/>
                <w:color w:val="auto"/>
              </w:rPr>
              <w:t>3</w:t>
            </w:r>
            <w:r>
              <w:rPr>
                <w:rFonts w:hint="eastAsia" w:ascii="仿宋" w:hAnsi="仿宋" w:eastAsia="仿宋"/>
                <w:color w:val="auto"/>
                <w:lang w:val="en-US" w:eastAsia="zh-CN"/>
              </w:rPr>
              <w:t>8</w:t>
            </w:r>
            <w:r>
              <w:rPr>
                <w:rFonts w:hint="eastAsia" w:ascii="仿宋" w:hAnsi="仿宋" w:eastAsia="仿宋"/>
                <w:color w:val="auto"/>
              </w:rPr>
              <w:t>.69万元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52.14万元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59.73万元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33.94万元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25.19万元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11.6万元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0.62万元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5万元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3.32万元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9.7万元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spacing w:line="600" w:lineRule="exact"/>
        <w:ind w:firstLine="640" w:firstLineChars="200"/>
        <w:jc w:val="left"/>
        <w:rPr>
          <w:rFonts w:eastAsia="仿宋_GB2312"/>
          <w:sz w:val="32"/>
          <w:szCs w:val="32"/>
        </w:rPr>
      </w:pPr>
      <w:r>
        <w:rPr>
          <w:rFonts w:hint="eastAsia" w:eastAsia="仿宋_GB2312"/>
          <w:sz w:val="32"/>
          <w:szCs w:val="32"/>
        </w:rPr>
        <w:t>鹤城区科协主要工作职责是为科技工作者服务、为创新驱动发展服务、为提高全民科学素质服务、为党和政府科学决策服务，推动开放型、枢纽型、平台型科协组织建设，团结引领广大科技工作者积极进军科技创新，组织开展创新争先行动，促进科技繁荣发展，促进科学普及和推广。</w:t>
      </w:r>
    </w:p>
    <w:p>
      <w:pPr>
        <w:widowControl/>
        <w:spacing w:line="600" w:lineRule="exact"/>
        <w:ind w:firstLine="640" w:firstLineChars="200"/>
        <w:jc w:val="left"/>
        <w:rPr>
          <w:rFonts w:eastAsia="仿宋_GB2312"/>
          <w:sz w:val="32"/>
          <w:szCs w:val="32"/>
        </w:rPr>
      </w:pPr>
      <w:r>
        <w:rPr>
          <w:rFonts w:hint="eastAsia" w:eastAsia="仿宋_GB2312"/>
          <w:sz w:val="32"/>
          <w:szCs w:val="32"/>
        </w:rPr>
        <w:t>科协内设机构包括：内设2个股室，分别为：办公室、科学普及与学会部。科协二级机构2个：科普益民和惠农服务站、科技咨询服务中心。（其中科技咨询服务中心为自收自支单位。）</w:t>
      </w:r>
    </w:p>
    <w:p>
      <w:pPr>
        <w:widowControl/>
        <w:spacing w:line="600" w:lineRule="exact"/>
        <w:ind w:firstLine="640" w:firstLineChars="200"/>
        <w:jc w:val="left"/>
        <w:rPr>
          <w:rFonts w:eastAsia="仿宋_GB2312"/>
          <w:sz w:val="32"/>
          <w:szCs w:val="32"/>
        </w:rPr>
      </w:pPr>
      <w:r>
        <w:rPr>
          <w:rFonts w:hint="eastAsia" w:eastAsia="仿宋_GB2312"/>
          <w:sz w:val="32"/>
          <w:szCs w:val="32"/>
        </w:rPr>
        <w:t>科协现有编制数5名，离退休人员5人。本协会实有人员4人（其中：全额拨款在职人员4人）；科普益民和惠农服务站编制数2名，实有人员2人。2020年科普益民和惠农服务站调入1人（其中：全额拨款在职人员2人）；科技咨询服务中心编制数2名，实有人员3人（其中：自收自支人员3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widowControl/>
        <w:spacing w:line="600" w:lineRule="exact"/>
        <w:ind w:firstLine="640"/>
        <w:rPr>
          <w:rFonts w:ascii="Times New Roman" w:hAnsi="Times New Roman" w:eastAsia="仿宋_GB2312"/>
          <w:sz w:val="32"/>
          <w:szCs w:val="32"/>
        </w:rPr>
      </w:pPr>
      <w:r>
        <w:rPr>
          <w:rFonts w:hint="eastAsia" w:ascii="Times New Roman" w:hAnsi="Times New Roman" w:eastAsia="仿宋_GB2312"/>
          <w:sz w:val="32"/>
          <w:szCs w:val="32"/>
        </w:rPr>
        <w:t>1.收入预算：2020年总收入141.84万元，其中一般公共预算财政拨款收入141.84万元，上年结转0.41万元。</w:t>
      </w:r>
    </w:p>
    <w:p>
      <w:pPr>
        <w:pStyle w:val="8"/>
        <w:widowControl/>
        <w:spacing w:line="600" w:lineRule="exact"/>
        <w:ind w:firstLine="640"/>
        <w:rPr>
          <w:rFonts w:ascii="Times New Roman" w:hAnsi="Times New Roman" w:eastAsia="仿宋_GB2312"/>
          <w:sz w:val="32"/>
          <w:szCs w:val="32"/>
        </w:rPr>
      </w:pPr>
      <w:r>
        <w:rPr>
          <w:rFonts w:hint="eastAsia" w:ascii="Times New Roman" w:hAnsi="Times New Roman" w:eastAsia="仿宋_GB2312"/>
          <w:sz w:val="32"/>
          <w:szCs w:val="32"/>
        </w:rPr>
        <w:t>2.支出预算：2020年总支出141.84万元，其中基本支出141.84万元。（其中人员经费82.11万元，公用经费支出59.73万元。）</w:t>
      </w:r>
    </w:p>
    <w:p>
      <w:pPr>
        <w:pStyle w:val="8"/>
        <w:widowControl/>
        <w:spacing w:line="600" w:lineRule="exact"/>
        <w:ind w:firstLine="640"/>
        <w:rPr>
          <w:rFonts w:ascii="Times New Roman" w:hAnsi="Times New Roman" w:eastAsia="仿宋_GB2312"/>
          <w:sz w:val="32"/>
          <w:szCs w:val="32"/>
        </w:rPr>
      </w:pPr>
      <w:r>
        <w:rPr>
          <w:rFonts w:hint="eastAsia" w:ascii="Times New Roman" w:hAnsi="Times New Roman" w:eastAsia="仿宋_GB2312"/>
          <w:sz w:val="32"/>
          <w:szCs w:val="32"/>
        </w:rPr>
        <w:t>3.“三公经费”增减情况：本年度三公经费支出额为0万元，其中，因公出国（境）费0元，公务用车购置及运行维护费0元，公务接待费0万元，根据中央八项规定及《党政机关厉行节约反对浪费条例》规定，较上年度减少0.25万元。</w:t>
      </w:r>
    </w:p>
    <w:p>
      <w:pPr>
        <w:pStyle w:val="8"/>
        <w:widowControl/>
        <w:spacing w:line="600" w:lineRule="exact"/>
        <w:ind w:firstLine="640"/>
        <w:rPr>
          <w:rFonts w:ascii="Times New Roman" w:hAnsi="Times New Roman" w:eastAsia="仿宋_GB2312"/>
          <w:sz w:val="32"/>
          <w:szCs w:val="32"/>
        </w:rPr>
      </w:pPr>
      <w:r>
        <w:rPr>
          <w:rFonts w:hint="eastAsia" w:ascii="Times New Roman" w:hAnsi="Times New Roman" w:eastAsia="仿宋_GB2312"/>
          <w:sz w:val="32"/>
          <w:szCs w:val="32"/>
        </w:rPr>
        <w:t>4.政府采购执行情况：2020年度政府采购预算为0万元。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ind w:firstLine="640"/>
        <w:rPr>
          <w:rFonts w:ascii="Times New Roman" w:hAnsi="Times New Roman" w:eastAsia="仿宋_GB2312"/>
          <w:sz w:val="32"/>
          <w:szCs w:val="32"/>
        </w:rPr>
      </w:pPr>
      <w:r>
        <w:rPr>
          <w:rFonts w:hint="eastAsia" w:ascii="Times New Roman" w:hAnsi="Times New Roman" w:eastAsia="仿宋_GB2312"/>
          <w:sz w:val="32"/>
          <w:szCs w:val="32"/>
        </w:rPr>
        <w:t>1.项目安排情况：科协2020年度专项资金安排都为业务工作资金。安排有</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个：</w:t>
      </w:r>
      <w:r>
        <w:rPr>
          <w:rFonts w:ascii="Times New Roman" w:hAnsi="Times New Roman" w:eastAsia="仿宋_GB2312"/>
          <w:sz w:val="32"/>
          <w:szCs w:val="32"/>
        </w:rPr>
        <w:t>①</w:t>
      </w:r>
      <w:r>
        <w:rPr>
          <w:rFonts w:hint="eastAsia" w:ascii="Times New Roman" w:hAnsi="Times New Roman" w:eastAsia="仿宋_GB2312"/>
          <w:sz w:val="32"/>
          <w:szCs w:val="32"/>
        </w:rPr>
        <w:t>区科协科普专项经费2</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.09万元。</w:t>
      </w:r>
      <w:r>
        <w:rPr>
          <w:rFonts w:ascii="Times New Roman" w:hAnsi="Times New Roman" w:eastAsia="仿宋_GB2312"/>
          <w:sz w:val="32"/>
          <w:szCs w:val="32"/>
        </w:rPr>
        <w:t>②</w:t>
      </w:r>
      <w:r>
        <w:rPr>
          <w:rFonts w:hint="eastAsia" w:ascii="Times New Roman" w:hAnsi="Times New Roman" w:eastAsia="仿宋_GB2312"/>
          <w:sz w:val="32"/>
          <w:szCs w:val="32"/>
        </w:rPr>
        <w:t>老科协工作经费13.6万元。因老科协在财政局没有独立的财政预算编码，每年老科协的工作经费由财政预算拨入科协账户，由科协再拨付老科协。</w:t>
      </w:r>
    </w:p>
    <w:p>
      <w:pPr>
        <w:pStyle w:val="8"/>
        <w:widowControl/>
        <w:spacing w:line="600" w:lineRule="exact"/>
        <w:ind w:firstLine="640"/>
        <w:rPr>
          <w:rFonts w:ascii="Times New Roman" w:hAnsi="Times New Roman" w:eastAsia="仿宋_GB2312"/>
          <w:color w:val="FF0000"/>
          <w:sz w:val="32"/>
          <w:szCs w:val="32"/>
        </w:rPr>
      </w:pPr>
      <w:r>
        <w:rPr>
          <w:rFonts w:hint="eastAsia" w:ascii="Times New Roman" w:hAnsi="Times New Roman" w:eastAsia="仿宋_GB2312"/>
          <w:sz w:val="32"/>
          <w:szCs w:val="32"/>
        </w:rPr>
        <w:t>2.项目支出使用情况：</w:t>
      </w:r>
      <w:r>
        <w:rPr>
          <w:rFonts w:ascii="Times New Roman" w:hAnsi="Times New Roman" w:eastAsia="仿宋_GB2312"/>
          <w:sz w:val="32"/>
          <w:szCs w:val="32"/>
        </w:rPr>
        <w:t>①</w:t>
      </w:r>
      <w:r>
        <w:rPr>
          <w:rFonts w:hint="eastAsia" w:ascii="Times New Roman" w:hAnsi="Times New Roman" w:eastAsia="仿宋_GB2312"/>
          <w:sz w:val="32"/>
          <w:szCs w:val="32"/>
        </w:rPr>
        <w:t>区科协2020年度年初预算科普专项经费6万元，年底决算2</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.09万元。较年初预算增加1</w:t>
      </w: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.09万元。</w:t>
      </w:r>
      <w:r>
        <w:rPr>
          <w:rFonts w:ascii="Times New Roman" w:hAnsi="Times New Roman" w:eastAsia="仿宋_GB2312"/>
          <w:sz w:val="32"/>
          <w:szCs w:val="32"/>
        </w:rPr>
        <w:t>②</w:t>
      </w:r>
      <w:r>
        <w:rPr>
          <w:rFonts w:hint="eastAsia" w:ascii="Times New Roman" w:hAnsi="Times New Roman" w:eastAsia="仿宋_GB2312"/>
          <w:sz w:val="32"/>
          <w:szCs w:val="32"/>
        </w:rPr>
        <w:t>老科协2020年度年初预算工作经费9.6万元，年底决算13.6万元。较年初预算增加4万元。</w:t>
      </w:r>
      <w:r>
        <w:rPr>
          <w:rFonts w:ascii="Times New Roman" w:hAnsi="Times New Roman" w:eastAsia="仿宋_GB2312"/>
          <w:b w:val="0"/>
          <w:bCs w:val="0"/>
          <w:color w:val="auto"/>
          <w:sz w:val="32"/>
          <w:szCs w:val="32"/>
        </w:rPr>
        <w:t>③</w:t>
      </w:r>
      <w:r>
        <w:rPr>
          <w:rFonts w:hint="eastAsia" w:ascii="Times New Roman" w:hAnsi="Times New Roman" w:eastAsia="仿宋_GB2312"/>
          <w:b w:val="0"/>
          <w:bCs w:val="0"/>
          <w:color w:val="auto"/>
          <w:sz w:val="32"/>
          <w:szCs w:val="32"/>
        </w:rPr>
        <w:t>科技咨询服务中心2020年度年初预算工作经费</w:t>
      </w:r>
      <w:r>
        <w:rPr>
          <w:rFonts w:hint="eastAsia" w:ascii="Times New Roman" w:hAnsi="Times New Roman" w:eastAsia="仿宋_GB2312"/>
          <w:b w:val="0"/>
          <w:bCs w:val="0"/>
          <w:color w:val="auto"/>
          <w:sz w:val="32"/>
          <w:szCs w:val="32"/>
          <w:lang w:val="en-US" w:eastAsia="zh-CN"/>
        </w:rPr>
        <w:t>5</w:t>
      </w:r>
      <w:r>
        <w:rPr>
          <w:rFonts w:hint="eastAsia" w:ascii="Times New Roman" w:hAnsi="Times New Roman" w:eastAsia="仿宋_GB2312"/>
          <w:b w:val="0"/>
          <w:bCs w:val="0"/>
          <w:color w:val="auto"/>
          <w:sz w:val="32"/>
          <w:szCs w:val="32"/>
        </w:rPr>
        <w:t>万元，年底决算0万元。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ascii="Times New Roman" w:hAnsi="Times New Roman" w:eastAsia="仿宋_GB2312"/>
          <w:sz w:val="32"/>
          <w:szCs w:val="32"/>
        </w:rPr>
      </w:pPr>
      <w:r>
        <w:rPr>
          <w:rFonts w:hint="eastAsia" w:ascii="Times New Roman" w:hAnsi="Times New Roman" w:eastAsia="仿宋_GB2312"/>
          <w:sz w:val="32"/>
          <w:szCs w:val="32"/>
        </w:rPr>
        <w:t>区科协无</w:t>
      </w:r>
      <w:r>
        <w:rPr>
          <w:rFonts w:ascii="Times New Roman" w:hAnsi="Times New Roman" w:eastAsia="仿宋_GB2312"/>
          <w:sz w:val="32"/>
          <w:szCs w:val="32"/>
        </w:rPr>
        <w:t>政府性基金预算支出</w:t>
      </w:r>
      <w:r>
        <w:rPr>
          <w:rFonts w:hint="eastAsia" w:ascii="Times New Roman" w:hAnsi="Times New Roman" w:eastAsia="仿宋_GB2312"/>
          <w:sz w:val="32"/>
          <w:szCs w:val="32"/>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8"/>
        <w:widowControl/>
        <w:spacing w:line="600" w:lineRule="exact"/>
        <w:ind w:left="640" w:firstLine="0" w:firstLineChars="0"/>
        <w:jc w:val="left"/>
        <w:rPr>
          <w:rFonts w:ascii="Times New Roman" w:hAnsi="Times New Roman" w:eastAsia="仿宋_GB2312"/>
          <w:sz w:val="32"/>
          <w:szCs w:val="32"/>
        </w:rPr>
      </w:pPr>
      <w:r>
        <w:rPr>
          <w:rFonts w:hint="eastAsia" w:ascii="Times New Roman" w:hAnsi="Times New Roman" w:eastAsia="仿宋_GB2312"/>
          <w:sz w:val="32"/>
          <w:szCs w:val="32"/>
        </w:rPr>
        <w:t>区科协无国有资本经营预算支出。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8"/>
        <w:widowControl/>
        <w:spacing w:line="600" w:lineRule="exact"/>
        <w:ind w:left="640" w:firstLine="0" w:firstLineChars="0"/>
        <w:jc w:val="left"/>
        <w:rPr>
          <w:rFonts w:ascii="Times New Roman" w:hAnsi="Times New Roman" w:eastAsia="仿宋_GB2312"/>
          <w:sz w:val="32"/>
          <w:szCs w:val="32"/>
        </w:rPr>
      </w:pPr>
      <w:r>
        <w:rPr>
          <w:rFonts w:hint="eastAsia" w:ascii="Times New Roman" w:hAnsi="Times New Roman" w:eastAsia="仿宋_GB2312"/>
          <w:sz w:val="32"/>
          <w:szCs w:val="32"/>
        </w:rPr>
        <w:t>区科协无社会保险基金预算支出。</w:t>
      </w:r>
    </w:p>
    <w:p>
      <w:pPr>
        <w:widowControl/>
        <w:spacing w:line="600" w:lineRule="exact"/>
        <w:ind w:left="640"/>
        <w:jc w:val="left"/>
        <w:rPr>
          <w:rFonts w:eastAsia="黑体"/>
          <w:sz w:val="32"/>
          <w:szCs w:val="32"/>
        </w:rPr>
      </w:pPr>
      <w:r>
        <w:rPr>
          <w:rFonts w:hint="eastAsia" w:eastAsia="黑体"/>
          <w:sz w:val="32"/>
          <w:szCs w:val="32"/>
        </w:rPr>
        <w:t>六、</w:t>
      </w:r>
      <w:r>
        <w:rPr>
          <w:rFonts w:eastAsia="黑体"/>
          <w:sz w:val="32"/>
          <w:szCs w:val="32"/>
        </w:rPr>
        <w:t>部门整体支出绩效情况</w:t>
      </w:r>
    </w:p>
    <w:p>
      <w:pPr>
        <w:ind w:firstLine="640" w:firstLineChars="200"/>
        <w:rPr>
          <w:rFonts w:eastAsia="黑体"/>
          <w:sz w:val="32"/>
          <w:szCs w:val="32"/>
        </w:rPr>
      </w:pPr>
      <w:r>
        <w:rPr>
          <w:rFonts w:hint="eastAsia" w:eastAsia="仿宋_GB2312"/>
          <w:sz w:val="32"/>
          <w:szCs w:val="32"/>
        </w:rPr>
        <w:t>2020年，区科协按照“”四本预算”，确立支出绩效目标，在资金到位及时，使用规范的前提下，科协通过制定活动方案、组织领导、年度目标考核等手段，即开展全国科普日活动、青少年创新大赛、科技下乡等活动，通过科普知识的宣传普及，开展城区、农村科学素质行动，促进了市区经济发展，群众的满意度、幸福感得到提升。整体支出绩效较好。</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存在的问题及原因分析</w:t>
      </w:r>
    </w:p>
    <w:p>
      <w:pPr>
        <w:ind w:firstLine="640" w:firstLineChars="200"/>
        <w:rPr>
          <w:rFonts w:eastAsia="仿宋_GB2312"/>
          <w:color w:val="000000"/>
          <w:sz w:val="32"/>
          <w:szCs w:val="32"/>
        </w:rPr>
      </w:pPr>
      <w:r>
        <w:rPr>
          <w:rFonts w:hint="eastAsia" w:eastAsia="仿宋_GB2312"/>
          <w:sz w:val="32"/>
          <w:szCs w:val="32"/>
        </w:rPr>
        <w:t>存在的主要问题是</w:t>
      </w:r>
      <w:r>
        <w:rPr>
          <w:rFonts w:eastAsia="仿宋_GB2312"/>
          <w:color w:val="000000"/>
          <w:sz w:val="32"/>
          <w:szCs w:val="32"/>
        </w:rPr>
        <w:t>预算支出执行偏离绩效目标</w:t>
      </w:r>
      <w:r>
        <w:rPr>
          <w:rFonts w:hint="eastAsia" w:eastAsia="仿宋_GB2312"/>
          <w:color w:val="000000"/>
          <w:sz w:val="32"/>
          <w:szCs w:val="32"/>
        </w:rPr>
        <w:t>。主要原因是：</w:t>
      </w:r>
    </w:p>
    <w:p>
      <w:pPr>
        <w:ind w:firstLine="640" w:firstLineChars="200"/>
        <w:rPr>
          <w:rFonts w:eastAsia="仿宋_GB2312"/>
          <w:sz w:val="32"/>
          <w:szCs w:val="32"/>
        </w:rPr>
      </w:pPr>
      <w:r>
        <w:rPr>
          <w:rFonts w:eastAsia="仿宋_GB2312"/>
          <w:sz w:val="32"/>
          <w:szCs w:val="32"/>
        </w:rPr>
        <w:t>①</w:t>
      </w:r>
      <w:r>
        <w:rPr>
          <w:rFonts w:hint="eastAsia" w:eastAsia="仿宋_GB2312"/>
          <w:sz w:val="32"/>
          <w:szCs w:val="32"/>
        </w:rPr>
        <w:t>区科协2020年度公用经费支出59.73万元，比年初预算数增加25.79万元，增长43.18%。主要原因是：</w:t>
      </w:r>
      <w:r>
        <w:rPr>
          <w:rFonts w:hint="eastAsia" w:eastAsia="仿宋_GB2312"/>
          <w:sz w:val="32"/>
          <w:szCs w:val="32"/>
          <w:lang w:val="en-US" w:eastAsia="zh-CN"/>
        </w:rPr>
        <w:t>1、新冠疫情科普宣传资料增加；2、</w:t>
      </w:r>
      <w:r>
        <w:rPr>
          <w:rFonts w:hint="eastAsia" w:eastAsia="仿宋_GB2312"/>
          <w:sz w:val="32"/>
          <w:szCs w:val="32"/>
        </w:rPr>
        <w:t>单位2020年科协基层组织建设工作专项开支增加。</w:t>
      </w:r>
    </w:p>
    <w:p>
      <w:pPr>
        <w:ind w:firstLine="640" w:firstLineChars="200"/>
        <w:rPr>
          <w:rFonts w:eastAsia="仿宋_GB2312"/>
          <w:sz w:val="32"/>
          <w:szCs w:val="32"/>
        </w:rPr>
      </w:pPr>
      <w:r>
        <w:rPr>
          <w:rFonts w:eastAsia="仿宋_GB2312"/>
          <w:sz w:val="32"/>
          <w:szCs w:val="32"/>
        </w:rPr>
        <w:t>②</w:t>
      </w:r>
      <w:r>
        <w:rPr>
          <w:rFonts w:hint="eastAsia" w:eastAsia="仿宋_GB2312"/>
          <w:sz w:val="32"/>
          <w:szCs w:val="32"/>
        </w:rPr>
        <w:t>区科协2020年度会议费支出0万元，比年初预算数减少5.7万元。主要原因是：没有召开大型会议。</w:t>
      </w:r>
    </w:p>
    <w:p>
      <w:pPr>
        <w:ind w:firstLine="640" w:firstLineChars="200"/>
        <w:rPr>
          <w:rFonts w:eastAsia="仿宋_GB2312"/>
          <w:sz w:val="32"/>
          <w:szCs w:val="32"/>
        </w:rPr>
      </w:pPr>
      <w:r>
        <w:rPr>
          <w:rFonts w:eastAsia="仿宋_GB2312"/>
          <w:sz w:val="32"/>
          <w:szCs w:val="32"/>
        </w:rPr>
        <w:t>③</w:t>
      </w:r>
      <w:r>
        <w:rPr>
          <w:rFonts w:hint="eastAsia" w:eastAsia="仿宋_GB2312"/>
          <w:sz w:val="32"/>
          <w:szCs w:val="32"/>
        </w:rPr>
        <w:t>老科协20</w:t>
      </w:r>
      <w:r>
        <w:rPr>
          <w:rFonts w:hint="eastAsia" w:eastAsia="仿宋_GB2312"/>
          <w:sz w:val="32"/>
          <w:szCs w:val="32"/>
          <w:lang w:val="en-US" w:eastAsia="zh-CN"/>
        </w:rPr>
        <w:t>20</w:t>
      </w:r>
      <w:r>
        <w:rPr>
          <w:rFonts w:hint="eastAsia" w:eastAsia="仿宋_GB2312"/>
          <w:sz w:val="32"/>
          <w:szCs w:val="32"/>
        </w:rPr>
        <w:t>年度年初预算工作经费9.6万元，年底决算13.6万元，较年初预算增加4万元。主要原因是：一是举办2019年全国科普日活动经费2万元，二是老科协纪念全国第五个老科协工作日活动经费2万元。</w:t>
      </w:r>
    </w:p>
    <w:p>
      <w:pPr>
        <w:pStyle w:val="8"/>
        <w:widowControl/>
        <w:spacing w:line="600" w:lineRule="exact"/>
        <w:ind w:firstLine="640"/>
        <w:rPr>
          <w:rFonts w:ascii="黑体" w:hAnsi="黑体" w:eastAsia="黑体" w:cs="黑体"/>
          <w:color w:val="auto"/>
          <w:sz w:val="32"/>
          <w:szCs w:val="32"/>
        </w:rPr>
      </w:pPr>
      <w:r>
        <w:rPr>
          <w:rFonts w:hint="eastAsia" w:ascii="黑体" w:hAnsi="黑体" w:eastAsia="黑体" w:cs="黑体"/>
          <w:color w:val="auto"/>
          <w:sz w:val="32"/>
          <w:szCs w:val="32"/>
        </w:rPr>
        <w:t>④</w:t>
      </w:r>
      <w:r>
        <w:rPr>
          <w:rFonts w:hint="eastAsia" w:ascii="Times New Roman" w:hAnsi="Times New Roman" w:eastAsia="仿宋_GB2312"/>
          <w:color w:val="auto"/>
          <w:sz w:val="32"/>
          <w:szCs w:val="32"/>
        </w:rPr>
        <w:t>科技咨询服务中心2020年度年初预算工作经费</w:t>
      </w:r>
      <w:r>
        <w:rPr>
          <w:rFonts w:hint="eastAsia" w:ascii="Times New Roman" w:hAnsi="Times New Roman" w:eastAsia="仿宋_GB2312"/>
          <w:color w:val="auto"/>
          <w:sz w:val="32"/>
          <w:szCs w:val="32"/>
          <w:lang w:val="en-US" w:eastAsia="zh-CN"/>
        </w:rPr>
        <w:t>5</w:t>
      </w:r>
      <w:r>
        <w:rPr>
          <w:rFonts w:hint="eastAsia" w:ascii="Times New Roman" w:hAnsi="Times New Roman" w:eastAsia="仿宋_GB2312"/>
          <w:color w:val="auto"/>
          <w:sz w:val="32"/>
          <w:szCs w:val="32"/>
        </w:rPr>
        <w:t>万元，年底决算0万元。主要原因是：鹤城区财政经费紧张，未拨款。</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ind w:firstLine="640" w:firstLineChars="200"/>
        <w:rPr>
          <w:rFonts w:eastAsia="仿宋_GB2312"/>
          <w:sz w:val="32"/>
          <w:szCs w:val="32"/>
        </w:rPr>
      </w:pPr>
      <w:r>
        <w:rPr>
          <w:rFonts w:hint="eastAsia" w:eastAsia="仿宋_GB2312"/>
          <w:sz w:val="32"/>
          <w:szCs w:val="32"/>
        </w:rPr>
        <w:t>1.应多加强业务培训，积极学习新的财务知识和财经法规，不断提高财务人员工作能力和工作水平。</w:t>
      </w:r>
    </w:p>
    <w:p>
      <w:pPr>
        <w:ind w:firstLine="640" w:firstLineChars="200"/>
        <w:rPr>
          <w:rFonts w:eastAsia="仿宋_GB2312"/>
          <w:sz w:val="32"/>
          <w:szCs w:val="32"/>
        </w:rPr>
      </w:pPr>
      <w:r>
        <w:rPr>
          <w:rFonts w:hint="eastAsia" w:eastAsia="仿宋_GB2312"/>
          <w:sz w:val="32"/>
          <w:szCs w:val="32"/>
        </w:rPr>
        <w:t>2.应强化绩效管理，切实提高资金使用的安全性、规范性和有效性。</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黑体"/>
          <w:sz w:val="32"/>
          <w:szCs w:val="32"/>
        </w:rPr>
      </w:pPr>
      <w:r>
        <w:rPr>
          <w:rFonts w:hint="eastAsia" w:eastAsia="仿宋_GB2312"/>
          <w:sz w:val="32"/>
          <w:szCs w:val="32"/>
        </w:rPr>
        <w:t>无。</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34"/>
        <w:gridCol w:w="1224"/>
        <w:gridCol w:w="1161"/>
        <w:gridCol w:w="1134"/>
        <w:gridCol w:w="828"/>
        <w:gridCol w:w="960"/>
        <w:gridCol w:w="1331"/>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科普专项资金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2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96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2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57</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r>
              <w:rPr>
                <w:rFonts w:hint="eastAsia" w:eastAsia="仿宋_GB2312"/>
                <w:color w:val="auto"/>
                <w:kern w:val="0"/>
                <w:szCs w:val="21"/>
              </w:rPr>
              <w:t>3</w:t>
            </w:r>
            <w:r>
              <w:rPr>
                <w:rFonts w:hint="eastAsia" w:eastAsia="仿宋_GB2312"/>
                <w:color w:val="auto"/>
                <w:kern w:val="0"/>
                <w:szCs w:val="21"/>
                <w:lang w:val="en-US" w:eastAsia="zh-CN"/>
              </w:rPr>
              <w:t>8</w:t>
            </w:r>
            <w:r>
              <w:rPr>
                <w:rFonts w:hint="eastAsia" w:eastAsia="仿宋_GB2312"/>
                <w:color w:val="auto"/>
                <w:kern w:val="0"/>
                <w:szCs w:val="21"/>
              </w:rPr>
              <w:t>.69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6</w:t>
            </w:r>
            <w:r>
              <w:rPr>
                <w:rFonts w:hint="eastAsia" w:eastAsia="仿宋_GB2312"/>
                <w:color w:val="000000"/>
                <w:kern w:val="0"/>
                <w:szCs w:val="21"/>
              </w:rPr>
              <w:t>7.</w:t>
            </w:r>
            <w:r>
              <w:rPr>
                <w:rFonts w:hint="eastAsia" w:eastAsia="仿宋_GB2312"/>
                <w:color w:val="000000"/>
                <w:kern w:val="0"/>
                <w:szCs w:val="21"/>
                <w:lang w:val="en-US" w:eastAsia="zh-CN"/>
              </w:rPr>
              <w:t>88</w:t>
            </w:r>
            <w:r>
              <w:rPr>
                <w:rFonts w:hint="eastAsia" w:eastAsia="仿宋_GB2312"/>
                <w:color w:val="000000"/>
                <w:kern w:val="0"/>
                <w:szCs w:val="21"/>
              </w:rPr>
              <w:t>%</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2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r>
              <w:rPr>
                <w:rFonts w:hint="eastAsia" w:eastAsia="仿宋_GB2312"/>
                <w:color w:val="auto"/>
                <w:kern w:val="0"/>
                <w:szCs w:val="21"/>
              </w:rPr>
              <w:t>3</w:t>
            </w:r>
            <w:r>
              <w:rPr>
                <w:rFonts w:hint="eastAsia" w:eastAsia="仿宋_GB2312"/>
                <w:color w:val="auto"/>
                <w:kern w:val="0"/>
                <w:szCs w:val="21"/>
                <w:lang w:val="en-US" w:eastAsia="zh-CN"/>
              </w:rPr>
              <w:t>8</w:t>
            </w:r>
            <w:r>
              <w:rPr>
                <w:rFonts w:hint="eastAsia" w:eastAsia="仿宋_GB2312"/>
                <w:color w:val="auto"/>
                <w:kern w:val="0"/>
                <w:szCs w:val="21"/>
              </w:rPr>
              <w:t>.69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bookmarkStart w:id="0" w:name="_GoBack"/>
            <w:bookmarkEnd w:id="0"/>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26"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26"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通过开展全国科普日活动，青少年创新大赛，科技下乡等活动，促进市区经济发展,提高城区、乡镇人口科学文化素质。2.通过在城区开展科普宣传活动，在农村开展百岁村活动、科技下乡活动，城区、乡镇人口科学素质得到提高。3.通过科技咨询活动的开展，乡镇人口科学素质得到提高。</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rPr>
                <w:rFonts w:eastAsia="仿宋_GB2312"/>
                <w:color w:val="000000"/>
                <w:kern w:val="0"/>
                <w:szCs w:val="21"/>
              </w:rPr>
            </w:pPr>
            <w:r>
              <w:rPr>
                <w:rFonts w:eastAsia="仿宋_GB2312"/>
                <w:color w:val="000000"/>
                <w:kern w:val="0"/>
                <w:szCs w:val="21"/>
              </w:rPr>
              <w:t>通过科普知识的宣传普及，促进</w:t>
            </w:r>
            <w:r>
              <w:rPr>
                <w:rFonts w:hint="eastAsia" w:eastAsia="仿宋_GB2312"/>
                <w:color w:val="000000"/>
                <w:kern w:val="0"/>
                <w:szCs w:val="21"/>
              </w:rPr>
              <w:t>了</w:t>
            </w:r>
            <w:r>
              <w:rPr>
                <w:rFonts w:eastAsia="仿宋_GB2312"/>
                <w:color w:val="000000"/>
                <w:kern w:val="0"/>
                <w:szCs w:val="21"/>
              </w:rPr>
              <w:t>市区经济发展,提高</w:t>
            </w:r>
            <w:r>
              <w:rPr>
                <w:rFonts w:hint="eastAsia" w:eastAsia="仿宋_GB2312"/>
                <w:color w:val="000000"/>
                <w:kern w:val="0"/>
                <w:szCs w:val="21"/>
              </w:rPr>
              <w:t>了</w:t>
            </w:r>
            <w:r>
              <w:rPr>
                <w:rFonts w:eastAsia="仿宋_GB2312"/>
                <w:color w:val="000000"/>
                <w:kern w:val="0"/>
                <w:szCs w:val="21"/>
              </w:rPr>
              <w:t>城区、乡镇人口科学文化素质</w:t>
            </w:r>
            <w:r>
              <w:rPr>
                <w:rFonts w:hint="eastAsia" w:eastAsia="仿宋_GB2312"/>
                <w:color w:val="000000"/>
                <w:kern w:val="0"/>
                <w:szCs w:val="21"/>
              </w:rPr>
              <w:t>。</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3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开展科普活动</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因疫情影响，一季度的科普活动开展受影响。</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科普提高率</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开展科普活动</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1—12月</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开展科普日活动</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9月</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3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开展科普活动</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hint="eastAsia" w:eastAsia="仿宋_GB2312"/>
                <w:color w:val="auto"/>
                <w:kern w:val="0"/>
                <w:szCs w:val="21"/>
              </w:rPr>
              <w:t>3</w:t>
            </w:r>
            <w:r>
              <w:rPr>
                <w:rFonts w:hint="eastAsia" w:eastAsia="仿宋_GB2312"/>
                <w:color w:val="auto"/>
                <w:kern w:val="0"/>
                <w:szCs w:val="21"/>
                <w:lang w:val="en-US" w:eastAsia="zh-CN"/>
              </w:rPr>
              <w:t>8</w:t>
            </w:r>
            <w:r>
              <w:rPr>
                <w:rFonts w:hint="eastAsia" w:eastAsia="仿宋_GB2312"/>
                <w:color w:val="auto"/>
                <w:kern w:val="0"/>
                <w:szCs w:val="21"/>
              </w:rPr>
              <w:t>.69万元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hint="eastAsia" w:eastAsia="仿宋_GB2312"/>
                <w:color w:val="auto"/>
                <w:kern w:val="0"/>
                <w:szCs w:val="21"/>
              </w:rPr>
              <w:t>3</w:t>
            </w:r>
            <w:r>
              <w:rPr>
                <w:rFonts w:hint="eastAsia" w:eastAsia="仿宋_GB2312"/>
                <w:color w:val="auto"/>
                <w:kern w:val="0"/>
                <w:szCs w:val="21"/>
                <w:lang w:val="en-US" w:eastAsia="zh-CN"/>
              </w:rPr>
              <w:t>8</w:t>
            </w:r>
            <w:r>
              <w:rPr>
                <w:rFonts w:hint="eastAsia" w:eastAsia="仿宋_GB2312"/>
                <w:color w:val="auto"/>
                <w:kern w:val="0"/>
                <w:szCs w:val="21"/>
              </w:rPr>
              <w:t>.69万元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5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r>
              <w:rPr>
                <w:rFonts w:hint="eastAsia" w:eastAsia="仿宋_GB2312"/>
                <w:color w:val="000000"/>
                <w:kern w:val="0"/>
                <w:szCs w:val="21"/>
              </w:rPr>
              <w:t>开展科普日活动</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rPr>
                <w:rFonts w:eastAsia="仿宋_GB2312"/>
                <w:color w:val="000000"/>
                <w:kern w:val="0"/>
                <w:szCs w:val="21"/>
              </w:rPr>
            </w:pPr>
            <w:r>
              <w:rPr>
                <w:rFonts w:hint="eastAsia" w:eastAsia="仿宋_GB2312"/>
                <w:color w:val="000000"/>
                <w:kern w:val="0"/>
                <w:szCs w:val="21"/>
              </w:rPr>
              <w:t>10</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630" w:firstLineChars="300"/>
              <w:rPr>
                <w:rFonts w:eastAsia="仿宋_GB2312"/>
                <w:color w:val="000000"/>
                <w:kern w:val="0"/>
                <w:szCs w:val="21"/>
              </w:rPr>
            </w:pPr>
          </w:p>
          <w:p>
            <w:pPr>
              <w:widowControl/>
              <w:spacing w:line="320" w:lineRule="exact"/>
              <w:jc w:val="center"/>
              <w:rPr>
                <w:rFonts w:eastAsia="仿宋_GB2312"/>
                <w:color w:val="000000"/>
                <w:kern w:val="0"/>
                <w:szCs w:val="21"/>
              </w:rPr>
            </w:pPr>
            <w:r>
              <w:rPr>
                <w:rFonts w:hint="eastAsia" w:eastAsia="仿宋_GB2312"/>
                <w:color w:val="000000"/>
                <w:kern w:val="0"/>
                <w:szCs w:val="21"/>
              </w:rPr>
              <w:t>10</w:t>
            </w:r>
          </w:p>
          <w:p>
            <w:pPr>
              <w:widowControl/>
              <w:spacing w:line="320" w:lineRule="exact"/>
              <w:jc w:val="center"/>
              <w:rPr>
                <w:rFonts w:eastAsia="仿宋_GB2312"/>
                <w:color w:val="000000"/>
                <w:kern w:val="0"/>
                <w:szCs w:val="21"/>
              </w:rPr>
            </w:pP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3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弘扬科学精神，推广先进技术。</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9000人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10000人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15</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普及科学知识，传播科学思想和科学方法。</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提高全民科学素质</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提高比例</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15</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3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34"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群众满意度</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98%-100%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4"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96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96</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楷体_GB2312"/>
          <w:b/>
          <w:sz w:val="32"/>
          <w:szCs w:val="32"/>
        </w:rPr>
      </w:pPr>
      <w:r>
        <w:rPr>
          <w:rFonts w:hint="eastAsia" w:ascii="仿宋_GB2312" w:hAnsi="仿宋_GB2312" w:eastAsia="仿宋_GB2312" w:cs="仿宋_GB2312"/>
          <w:sz w:val="32"/>
          <w:szCs w:val="32"/>
        </w:rPr>
        <w:t>在区委区政府的坚强领导和市科协的指导下，鹤城区科协坚持以习近平新时代中国特色社会主义思想为指导，全面深化科协系统改革，认真履行“四服务”职责定位，持续推进基层组织体系建设和科普信息化“两融合”建设。</w:t>
      </w:r>
    </w:p>
    <w:p>
      <w:pPr>
        <w:widowControl/>
        <w:numPr>
          <w:ilvl w:val="0"/>
          <w:numId w:val="8"/>
        </w:numPr>
        <w:spacing w:line="600" w:lineRule="exact"/>
        <w:ind w:firstLine="643" w:firstLineChars="200"/>
        <w:rPr>
          <w:rFonts w:eastAsia="楷体_GB2312"/>
          <w:b/>
          <w:sz w:val="32"/>
          <w:szCs w:val="32"/>
        </w:rPr>
      </w:pPr>
      <w:r>
        <w:rPr>
          <w:rFonts w:eastAsia="楷体_GB2312"/>
          <w:b/>
          <w:sz w:val="32"/>
          <w:szCs w:val="32"/>
        </w:rPr>
        <w:t>预算资金使用管理情况。</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科协内设机构包括：内设2个股室，分别为：办公室、科学普及与学会部。科协二级机构2个：科普益民和惠农服务站、科技咨询服务中心。（其中科技咨询服务中心为自收自支单位。）</w:t>
      </w:r>
    </w:p>
    <w:p>
      <w:pPr>
        <w:spacing w:line="600" w:lineRule="exact"/>
        <w:ind w:firstLine="640" w:firstLineChars="200"/>
        <w:rPr>
          <w:rFonts w:eastAsia="仿宋_GB2312"/>
          <w:sz w:val="32"/>
          <w:szCs w:val="32"/>
        </w:rPr>
      </w:pPr>
      <w:r>
        <w:rPr>
          <w:rFonts w:hint="eastAsia" w:eastAsia="仿宋_GB2312"/>
          <w:sz w:val="32"/>
          <w:szCs w:val="32"/>
        </w:rPr>
        <w:t xml:space="preserve">2020年，区科协专项资金到位及时，使用规范，财务处理及时。结合单位实际，落实责任，完善制度，按照岗位确定任务、职责和权限，贯彻执行所制定的相关财务制度，加强制度执行的监督，加强资金支出管理。坚持“专项核算、专人管理、专款专用”的原则，使资金的财务管理有章可循。  </w:t>
      </w:r>
    </w:p>
    <w:p>
      <w:pPr>
        <w:numPr>
          <w:ilvl w:val="0"/>
          <w:numId w:val="8"/>
        </w:numPr>
        <w:spacing w:line="700" w:lineRule="exact"/>
        <w:ind w:firstLine="643" w:firstLineChars="200"/>
        <w:rPr>
          <w:rFonts w:eastAsia="楷体_GB2312"/>
          <w:b/>
          <w:sz w:val="32"/>
          <w:szCs w:val="32"/>
        </w:rPr>
      </w:pPr>
      <w:r>
        <w:rPr>
          <w:rFonts w:eastAsia="楷体_GB2312"/>
          <w:b/>
          <w:sz w:val="32"/>
          <w:szCs w:val="32"/>
        </w:rPr>
        <w:t>预算支出绩效目标完成程度。</w:t>
      </w:r>
    </w:p>
    <w:p>
      <w:pPr>
        <w:spacing w:line="700" w:lineRule="exact"/>
        <w:ind w:firstLine="640" w:firstLineChars="200"/>
        <w:jc w:val="left"/>
        <w:rPr>
          <w:rFonts w:ascii="仿宋_GB2312" w:hAnsi="仿宋_GB2312" w:eastAsia="仿宋_GB2312" w:cs="仿宋_GB2312"/>
          <w:sz w:val="32"/>
          <w:szCs w:val="32"/>
        </w:rPr>
      </w:pPr>
      <w:r>
        <w:rPr>
          <w:rFonts w:eastAsia="仿宋_GB2312"/>
          <w:sz w:val="32"/>
          <w:szCs w:val="32"/>
        </w:rPr>
        <w:t>绩效总目标</w:t>
      </w:r>
      <w:r>
        <w:rPr>
          <w:rFonts w:hint="eastAsia" w:eastAsia="仿宋_GB2312"/>
          <w:sz w:val="32"/>
          <w:szCs w:val="32"/>
        </w:rPr>
        <w:t>：</w:t>
      </w:r>
      <w:r>
        <w:rPr>
          <w:rFonts w:hint="eastAsia" w:eastAsia="楷体_GB2312"/>
          <w:bCs/>
          <w:sz w:val="32"/>
          <w:szCs w:val="32"/>
        </w:rPr>
        <w:t>区科协</w:t>
      </w:r>
      <w:r>
        <w:rPr>
          <w:rFonts w:hint="eastAsia" w:ascii="仿宋_GB2312" w:hAnsi="仿宋_GB2312" w:eastAsia="仿宋_GB2312" w:cs="仿宋_GB2312"/>
          <w:sz w:val="32"/>
          <w:szCs w:val="32"/>
        </w:rPr>
        <w:t>全面深化科协系统改革，认真履行“四服务”职责定位，持续推进基层组织体系建设和科普信息化“两融合”建设。</w:t>
      </w:r>
    </w:p>
    <w:p>
      <w:pPr>
        <w:spacing w:line="700" w:lineRule="exact"/>
        <w:ind w:firstLine="640" w:firstLineChars="200"/>
        <w:rPr>
          <w:rFonts w:ascii="仿宋_GB2312" w:hAnsi="仿宋_GB2312" w:eastAsia="仿宋_GB2312" w:cs="仿宋_GB2312"/>
          <w:sz w:val="32"/>
          <w:szCs w:val="32"/>
        </w:rPr>
      </w:pPr>
      <w:r>
        <w:rPr>
          <w:rFonts w:eastAsia="仿宋_GB2312"/>
          <w:sz w:val="32"/>
          <w:szCs w:val="32"/>
        </w:rPr>
        <w:t>实现的产出情况</w:t>
      </w:r>
      <w:r>
        <w:rPr>
          <w:rFonts w:hint="eastAsia" w:eastAsia="仿宋_GB2312"/>
          <w:sz w:val="32"/>
          <w:szCs w:val="32"/>
        </w:rPr>
        <w:t>：2020年，区科协</w:t>
      </w:r>
      <w:r>
        <w:rPr>
          <w:rFonts w:hint="eastAsia" w:ascii="仿宋_GB2312" w:hAnsi="仿宋_GB2312" w:eastAsia="仿宋_GB2312" w:cs="仿宋_GB2312"/>
          <w:sz w:val="32"/>
          <w:szCs w:val="32"/>
        </w:rPr>
        <w:t>认真组织“科技三下乡”、科技周、科普日等大型活动，促进科普工作有效开。</w:t>
      </w:r>
    </w:p>
    <w:p>
      <w:pPr>
        <w:spacing w:line="700" w:lineRule="exact"/>
        <w:ind w:firstLine="640" w:firstLineChars="200"/>
        <w:rPr>
          <w:rFonts w:ascii="仿宋_GB2312" w:hAnsi="仿宋_GB2312" w:eastAsia="仿宋_GB2312" w:cs="仿宋_GB2312"/>
          <w:sz w:val="32"/>
          <w:szCs w:val="32"/>
        </w:rPr>
      </w:pPr>
      <w:r>
        <w:rPr>
          <w:rFonts w:eastAsia="仿宋_GB2312"/>
          <w:sz w:val="32"/>
          <w:szCs w:val="32"/>
        </w:rPr>
        <w:t>取得的效益情况</w:t>
      </w:r>
      <w:r>
        <w:rPr>
          <w:rFonts w:hint="eastAsia" w:eastAsia="仿宋_GB2312"/>
          <w:sz w:val="32"/>
          <w:szCs w:val="32"/>
        </w:rPr>
        <w:t>：</w:t>
      </w:r>
      <w:r>
        <w:rPr>
          <w:rFonts w:hint="eastAsia" w:ascii="仿宋_GB2312" w:hAnsi="仿宋_GB2312" w:eastAsia="仿宋_GB2312" w:cs="仿宋_GB2312"/>
          <w:sz w:val="32"/>
          <w:szCs w:val="32"/>
        </w:rPr>
        <w:t>通过面向广大人民群众普及科学知识，倡导科学方法，产生了良好的效果，获得人民群众一致好评。在全区形成了浓厚的科学氛围。</w:t>
      </w:r>
    </w:p>
    <w:p>
      <w:pPr>
        <w:numPr>
          <w:ilvl w:val="0"/>
          <w:numId w:val="1"/>
        </w:numPr>
        <w:spacing w:line="600" w:lineRule="exact"/>
        <w:ind w:left="640"/>
        <w:rPr>
          <w:rFonts w:eastAsia="黑体"/>
          <w:sz w:val="32"/>
          <w:szCs w:val="32"/>
        </w:rPr>
      </w:pPr>
      <w:r>
        <w:rPr>
          <w:rFonts w:eastAsia="黑体"/>
          <w:sz w:val="32"/>
          <w:szCs w:val="32"/>
        </w:rPr>
        <w:t>绩效评价工作情况</w:t>
      </w:r>
    </w:p>
    <w:p>
      <w:pPr>
        <w:spacing w:line="700" w:lineRule="exact"/>
        <w:ind w:firstLine="640" w:firstLineChars="200"/>
        <w:rPr>
          <w:rFonts w:eastAsia="仿宋_GB2312"/>
          <w:sz w:val="32"/>
          <w:szCs w:val="32"/>
        </w:rPr>
      </w:pPr>
      <w:r>
        <w:rPr>
          <w:rFonts w:hint="eastAsia" w:eastAsia="仿宋_GB2312"/>
          <w:sz w:val="32"/>
          <w:szCs w:val="32"/>
        </w:rPr>
        <w:t>区科协领导高度重视绩效评价工作，由专人负责；按照评价要求和项目特点，科学制定评价方法和指标；按照“三重一大”的要求做到各部门层层把关，相互监督。</w:t>
      </w:r>
    </w:p>
    <w:p>
      <w:pPr>
        <w:numPr>
          <w:ilvl w:val="0"/>
          <w:numId w:val="1"/>
        </w:numPr>
        <w:spacing w:line="700" w:lineRule="exact"/>
        <w:ind w:left="640"/>
        <w:rPr>
          <w:rFonts w:eastAsia="黑体"/>
          <w:sz w:val="32"/>
          <w:szCs w:val="32"/>
        </w:rPr>
      </w:pPr>
      <w:r>
        <w:rPr>
          <w:rFonts w:eastAsia="黑体"/>
          <w:sz w:val="32"/>
          <w:szCs w:val="32"/>
        </w:rPr>
        <w:t>预算支出主要绩效及评价结论</w:t>
      </w:r>
    </w:p>
    <w:p>
      <w:pPr>
        <w:spacing w:line="700" w:lineRule="exact"/>
        <w:ind w:firstLine="640" w:firstLineChars="200"/>
        <w:rPr>
          <w:rFonts w:eastAsia="仿宋_GB2312"/>
          <w:sz w:val="32"/>
          <w:szCs w:val="32"/>
        </w:rPr>
      </w:pPr>
      <w:r>
        <w:rPr>
          <w:rFonts w:hint="eastAsia" w:eastAsia="仿宋_GB2312"/>
          <w:sz w:val="32"/>
          <w:szCs w:val="32"/>
        </w:rPr>
        <w:t>通过科普宣传活动的开展，城区、乡镇人口素质得到提高，促进市区经济发展，群众的满意度、幸福感得到提升，自我评价较好。预算绩效自评96分。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eastAsia="仿宋_GB2312"/>
          <w:sz w:val="32"/>
          <w:szCs w:val="32"/>
        </w:rPr>
        <w:t>科协严格执行相关法律法规及项目管理制度，项目公示制。</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700" w:lineRule="exact"/>
        <w:ind w:firstLine="640" w:firstLineChars="200"/>
        <w:rPr>
          <w:rFonts w:eastAsia="仿宋_GB2312"/>
          <w:sz w:val="32"/>
          <w:szCs w:val="32"/>
        </w:rPr>
      </w:pPr>
      <w:r>
        <w:rPr>
          <w:rFonts w:hint="eastAsia" w:eastAsia="仿宋_GB2312"/>
          <w:sz w:val="32"/>
          <w:szCs w:val="32"/>
        </w:rPr>
        <w:t>强化绩效理念，提高财政资金使用效益，在预算执行中严格接受财政部门的监管。</w:t>
      </w:r>
    </w:p>
    <w:p>
      <w:pPr>
        <w:spacing w:line="600" w:lineRule="exact"/>
        <w:ind w:left="420" w:leftChars="200" w:firstLine="321" w:firstLineChars="100"/>
        <w:rPr>
          <w:rFonts w:eastAsia="楷体_GB2312"/>
          <w:b/>
          <w:sz w:val="32"/>
          <w:szCs w:val="32"/>
        </w:rPr>
      </w:pPr>
      <w:r>
        <w:rPr>
          <w:rFonts w:hint="eastAsia" w:eastAsia="楷体_GB2312"/>
          <w:b/>
          <w:sz w:val="32"/>
          <w:szCs w:val="32"/>
        </w:rPr>
        <w:t>（三）</w:t>
      </w:r>
      <w:r>
        <w:rPr>
          <w:rFonts w:eastAsia="楷体_GB2312"/>
          <w:b/>
          <w:sz w:val="32"/>
          <w:szCs w:val="32"/>
        </w:rPr>
        <w:t>预算支出产出情况</w:t>
      </w:r>
    </w:p>
    <w:p>
      <w:pPr>
        <w:spacing w:line="600" w:lineRule="exact"/>
        <w:ind w:left="420" w:leftChars="200" w:firstLine="640" w:firstLineChars="200"/>
        <w:rPr>
          <w:rFonts w:eastAsia="楷体_GB2312"/>
          <w:b/>
          <w:sz w:val="32"/>
          <w:szCs w:val="32"/>
        </w:rPr>
      </w:pPr>
      <w:r>
        <w:rPr>
          <w:rFonts w:hint="eastAsia" w:ascii="仿宋_GB2312" w:hAnsi="仿宋_GB2312" w:eastAsia="仿宋_GB2312" w:cs="仿宋_GB2312"/>
          <w:sz w:val="32"/>
          <w:szCs w:val="32"/>
        </w:rPr>
        <w:t>鹤城区科协充分利用自身优势，组织相关学会技术人员继续实施科普宣传，增强了发展动力，为市区经济发展提供了坚强有力的智力保障。</w:t>
      </w:r>
    </w:p>
    <w:p>
      <w:pPr>
        <w:spacing w:line="700" w:lineRule="exact"/>
        <w:ind w:left="420" w:leftChars="200" w:firstLine="321" w:firstLineChars="100"/>
        <w:rPr>
          <w:rFonts w:eastAsia="楷体_GB2312"/>
          <w:b/>
          <w:sz w:val="32"/>
          <w:szCs w:val="32"/>
        </w:rPr>
      </w:pPr>
      <w:r>
        <w:rPr>
          <w:rFonts w:hint="eastAsia" w:eastAsia="楷体_GB2312"/>
          <w:b/>
          <w:sz w:val="32"/>
          <w:szCs w:val="32"/>
        </w:rPr>
        <w:t>（四）</w:t>
      </w:r>
      <w:r>
        <w:rPr>
          <w:rFonts w:eastAsia="楷体_GB2312"/>
          <w:b/>
          <w:sz w:val="32"/>
          <w:szCs w:val="32"/>
        </w:rPr>
        <w:t>预算支出效益情况</w:t>
      </w:r>
    </w:p>
    <w:p>
      <w:pPr>
        <w:spacing w:line="700" w:lineRule="exact"/>
        <w:ind w:left="420" w:leftChars="200" w:firstLine="640" w:firstLineChars="200"/>
        <w:rPr>
          <w:rFonts w:eastAsia="楷体_GB2312"/>
          <w:b/>
          <w:sz w:val="32"/>
          <w:szCs w:val="32"/>
        </w:rPr>
      </w:pPr>
      <w:r>
        <w:rPr>
          <w:rFonts w:hint="eastAsia" w:ascii="仿宋_GB2312" w:hAnsi="仿宋_GB2312" w:eastAsia="仿宋_GB2312" w:cs="仿宋_GB2312"/>
          <w:sz w:val="32"/>
          <w:szCs w:val="32"/>
        </w:rPr>
        <w:t>广泛宣传科学文化成果，展示鹤城区科协的良好形象，扩大科普工作社会影响。</w:t>
      </w:r>
    </w:p>
    <w:p>
      <w:pPr>
        <w:spacing w:line="600" w:lineRule="exact"/>
        <w:ind w:left="640" w:firstLine="320" w:firstLineChars="100"/>
        <w:rPr>
          <w:rFonts w:eastAsia="黑体"/>
          <w:sz w:val="32"/>
          <w:szCs w:val="32"/>
        </w:rPr>
      </w:pPr>
      <w:r>
        <w:rPr>
          <w:rFonts w:hint="eastAsia" w:eastAsia="黑体"/>
          <w:sz w:val="32"/>
          <w:szCs w:val="32"/>
        </w:rPr>
        <w:t>五、</w:t>
      </w:r>
      <w:r>
        <w:rPr>
          <w:rFonts w:eastAsia="黑体"/>
          <w:sz w:val="32"/>
          <w:szCs w:val="32"/>
        </w:rPr>
        <w:t>主要经验及做法、存在的问题及原因分析</w:t>
      </w:r>
    </w:p>
    <w:p>
      <w:pPr>
        <w:spacing w:line="70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主要经验及做法：严格遵循把财政资金使用好、管理好的宗旨，基本做到了专款专用，严格资金审批程序，确保了项目质量，及财政资金的安全。</w:t>
      </w:r>
    </w:p>
    <w:p>
      <w:pPr>
        <w:spacing w:line="70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存在的问题：</w:t>
      </w:r>
    </w:p>
    <w:p>
      <w:pPr>
        <w:spacing w:line="70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1.对绩效评价工作的认识和重视程度还有待加强。</w:t>
      </w:r>
    </w:p>
    <w:p>
      <w:pPr>
        <w:spacing w:line="70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2.绩效评价工作与科协业务工作衔接结合还有待进一步加强。</w:t>
      </w:r>
    </w:p>
    <w:p>
      <w:pPr>
        <w:spacing w:line="60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pPr>
        <w:spacing w:line="600" w:lineRule="exact"/>
        <w:ind w:firstLine="640" w:firstLineChars="200"/>
        <w:rPr>
          <w:rFonts w:eastAsia="仿宋_GB2312"/>
          <w:sz w:val="32"/>
          <w:szCs w:val="32"/>
        </w:rPr>
      </w:pPr>
      <w:r>
        <w:rPr>
          <w:rFonts w:hint="eastAsia" w:ascii="仿宋_GB2312" w:hAnsi="仿宋_GB2312" w:eastAsia="仿宋_GB2312" w:cs="仿宋_GB2312"/>
          <w:sz w:val="32"/>
          <w:szCs w:val="32"/>
        </w:rPr>
        <w:t>建议组织财务人员和部门工作人员预算、绩效工作培训，加强预算、绩效管理意识</w:t>
      </w:r>
      <w:r>
        <w:rPr>
          <w:rFonts w:hint="eastAsia" w:eastAsia="仿宋_GB2312"/>
          <w:sz w:val="32"/>
          <w:szCs w:val="32"/>
        </w:rPr>
        <w:t>。</w:t>
      </w:r>
    </w:p>
    <w:p>
      <w:pPr>
        <w:spacing w:line="600" w:lineRule="exact"/>
        <w:ind w:firstLine="640" w:firstLineChars="200"/>
        <w:rPr>
          <w:rFonts w:eastAsia="黑体"/>
          <w:sz w:val="32"/>
          <w:szCs w:val="32"/>
        </w:rPr>
      </w:pPr>
      <w:r>
        <w:rPr>
          <w:rFonts w:eastAsia="黑体"/>
          <w:sz w:val="32"/>
          <w:szCs w:val="32"/>
        </w:rPr>
        <w:t>七、其他需要说明的问题</w:t>
      </w:r>
    </w:p>
    <w:p>
      <w:pPr>
        <w:spacing w:line="600" w:lineRule="exact"/>
        <w:ind w:firstLine="640" w:firstLineChars="200"/>
        <w:rPr>
          <w:rFonts w:eastAsia="仿宋_GB2312"/>
          <w:sz w:val="32"/>
          <w:szCs w:val="32"/>
        </w:rPr>
      </w:pPr>
      <w:r>
        <w:rPr>
          <w:rFonts w:hint="eastAsia" w:eastAsia="仿宋_GB2312"/>
          <w:sz w:val="32"/>
          <w:szCs w:val="32"/>
        </w:rPr>
        <w:t>无。</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SimSun-ExtB"/>
    <w:panose1 w:val="00000000000000000000"/>
    <w:charset w:val="86"/>
    <w:family w:val="script"/>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D49E84"/>
    <w:multiLevelType w:val="singleLevel"/>
    <w:tmpl w:val="8CD49E84"/>
    <w:lvl w:ilvl="0" w:tentative="0">
      <w:start w:val="2"/>
      <w:numFmt w:val="chineseCounting"/>
      <w:suff w:val="nothing"/>
      <w:lvlText w:val="（%1）"/>
      <w:lvlJc w:val="left"/>
      <w:rPr>
        <w:rFonts w:hint="eastAsia"/>
      </w:rPr>
    </w:lvl>
  </w:abstractNum>
  <w:abstractNum w:abstractNumId="1">
    <w:nsid w:val="B474F9D4"/>
    <w:multiLevelType w:val="singleLevel"/>
    <w:tmpl w:val="B474F9D4"/>
    <w:lvl w:ilvl="0" w:tentative="0">
      <w:start w:val="1"/>
      <w:numFmt w:val="chineseCounting"/>
      <w:suff w:val="nothing"/>
      <w:lvlText w:val="%1、"/>
      <w:lvlJc w:val="left"/>
      <w:rPr>
        <w:rFonts w:hint="eastAsia"/>
      </w:rPr>
    </w:lvl>
  </w:abstractNum>
  <w:abstractNum w:abstractNumId="2">
    <w:nsid w:val="052BC555"/>
    <w:multiLevelType w:val="singleLevel"/>
    <w:tmpl w:val="052BC555"/>
    <w:lvl w:ilvl="0" w:tentative="0">
      <w:start w:val="8"/>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659521C5"/>
    <w:multiLevelType w:val="singleLevel"/>
    <w:tmpl w:val="659521C5"/>
    <w:lvl w:ilvl="0" w:tentative="0">
      <w:start w:val="7"/>
      <w:numFmt w:val="chineseCounting"/>
      <w:suff w:val="nothing"/>
      <w:lvlText w:val="%1、"/>
      <w:lvlJc w:val="left"/>
      <w:rPr>
        <w:rFonts w:hint="eastAsia"/>
      </w:r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6"/>
  </w:num>
  <w:num w:numId="3">
    <w:abstractNumId w:val="2"/>
  </w:num>
  <w:num w:numId="4">
    <w:abstractNumId w:val="4"/>
  </w:num>
  <w:num w:numId="5">
    <w:abstractNumId w:val="3"/>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0EA3"/>
    <w:rsid w:val="008D7141"/>
    <w:rsid w:val="009D4AE4"/>
    <w:rsid w:val="00A045A1"/>
    <w:rsid w:val="00A070E1"/>
    <w:rsid w:val="00A317C9"/>
    <w:rsid w:val="00A75C37"/>
    <w:rsid w:val="00AA700A"/>
    <w:rsid w:val="00B267AB"/>
    <w:rsid w:val="00B364CE"/>
    <w:rsid w:val="00B50668"/>
    <w:rsid w:val="00BB6107"/>
    <w:rsid w:val="00BD1C3A"/>
    <w:rsid w:val="00C25716"/>
    <w:rsid w:val="00C3391C"/>
    <w:rsid w:val="00C344EC"/>
    <w:rsid w:val="00C4552C"/>
    <w:rsid w:val="00C72139"/>
    <w:rsid w:val="00CC4C2C"/>
    <w:rsid w:val="00CD20A2"/>
    <w:rsid w:val="00D10324"/>
    <w:rsid w:val="00E127F9"/>
    <w:rsid w:val="00E50869"/>
    <w:rsid w:val="00F34492"/>
    <w:rsid w:val="00F55CD7"/>
    <w:rsid w:val="00FC7FE9"/>
    <w:rsid w:val="0286107E"/>
    <w:rsid w:val="06374F46"/>
    <w:rsid w:val="075E0D11"/>
    <w:rsid w:val="08A16B0C"/>
    <w:rsid w:val="09965291"/>
    <w:rsid w:val="0BAB6B6A"/>
    <w:rsid w:val="0CB967D6"/>
    <w:rsid w:val="0E1C5B92"/>
    <w:rsid w:val="0E451133"/>
    <w:rsid w:val="130758D8"/>
    <w:rsid w:val="133C4B4F"/>
    <w:rsid w:val="14880F7D"/>
    <w:rsid w:val="1760213A"/>
    <w:rsid w:val="17B54097"/>
    <w:rsid w:val="185D5750"/>
    <w:rsid w:val="1B541DB7"/>
    <w:rsid w:val="1BD37B1F"/>
    <w:rsid w:val="1FF07554"/>
    <w:rsid w:val="20733656"/>
    <w:rsid w:val="23160D1D"/>
    <w:rsid w:val="23AA1814"/>
    <w:rsid w:val="27E37B6D"/>
    <w:rsid w:val="2AB05307"/>
    <w:rsid w:val="2B977B69"/>
    <w:rsid w:val="30F57556"/>
    <w:rsid w:val="33557D7C"/>
    <w:rsid w:val="392F3C66"/>
    <w:rsid w:val="3E517C7A"/>
    <w:rsid w:val="3E7678D2"/>
    <w:rsid w:val="40F13321"/>
    <w:rsid w:val="42480609"/>
    <w:rsid w:val="46DC183A"/>
    <w:rsid w:val="4AD311D0"/>
    <w:rsid w:val="4C0B51DF"/>
    <w:rsid w:val="4DD97A74"/>
    <w:rsid w:val="4DE156E8"/>
    <w:rsid w:val="4F0358C4"/>
    <w:rsid w:val="502A579B"/>
    <w:rsid w:val="52F155AE"/>
    <w:rsid w:val="57055896"/>
    <w:rsid w:val="59A0411E"/>
    <w:rsid w:val="5AE308A4"/>
    <w:rsid w:val="5D7541AF"/>
    <w:rsid w:val="5EE93737"/>
    <w:rsid w:val="64371DE0"/>
    <w:rsid w:val="660A4E82"/>
    <w:rsid w:val="673A7B10"/>
    <w:rsid w:val="69EC79CD"/>
    <w:rsid w:val="6A4112CB"/>
    <w:rsid w:val="6BE515D1"/>
    <w:rsid w:val="6F2A5B90"/>
    <w:rsid w:val="7B191A4D"/>
    <w:rsid w:val="7CD16A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20</Pages>
  <Words>1666</Words>
  <Characters>9501</Characters>
  <Lines>79</Lines>
  <Paragraphs>22</Paragraphs>
  <TotalTime>46</TotalTime>
  <ScaleCrop>false</ScaleCrop>
  <LinksUpToDate>false</LinksUpToDate>
  <CharactersWithSpaces>11145</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2021-06-16T07:01:00Z</dcterms:created>
  <dc:creator>AutoBVT</dc:creator>
  <cp:lastModifiedBy>Administrator</cp:lastModifiedBy>
  <cp:lastPrinted>2021-06-09T02:04:00Z</cp:lastPrinted>
  <dcterms:modified xsi:type="dcterms:W3CDTF">2021-06-28T08:03:30Z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049E71E4537C4ACEA7657BDF0C0F5725</vt:lpwstr>
  </property>
</Properties>
</file>