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left"/>
        <w:rPr>
          <w:rFonts w:eastAsia="仿宋_GB2312"/>
          <w:sz w:val="32"/>
          <w:szCs w:val="32"/>
        </w:rPr>
      </w:pPr>
      <w:r>
        <w:rPr>
          <w:rFonts w:eastAsia="黑体"/>
          <w:sz w:val="32"/>
          <w:szCs w:val="32"/>
        </w:rPr>
        <w:t>附件1</w:t>
      </w:r>
    </w:p>
    <w:p>
      <w:pPr>
        <w:spacing w:beforeLines="50" w:afterLines="50"/>
        <w:jc w:val="center"/>
        <w:rPr>
          <w:rFonts w:eastAsia="方正小标宋_GBK"/>
          <w:bCs/>
          <w:sz w:val="36"/>
          <w:szCs w:val="36"/>
        </w:rPr>
      </w:pPr>
      <w:r>
        <w:rPr>
          <w:rFonts w:eastAsia="方正小标宋_GBK"/>
          <w:bCs/>
          <w:sz w:val="36"/>
          <w:szCs w:val="36"/>
        </w:rPr>
        <w:t>部门整体支出绩效评价共性指标框架</w:t>
      </w:r>
    </w:p>
    <w:tbl>
      <w:tblPr>
        <w:tblStyle w:val="8"/>
        <w:tblW w:w="10581"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666"/>
        <w:gridCol w:w="866"/>
        <w:gridCol w:w="951"/>
        <w:gridCol w:w="2908"/>
        <w:gridCol w:w="4252"/>
        <w:gridCol w:w="9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861" w:hRule="atLeast"/>
          <w:tblHeader/>
          <w:jc w:val="center"/>
        </w:trPr>
        <w:tc>
          <w:tcPr>
            <w:tcW w:w="666"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一级</w:t>
            </w:r>
            <w:r>
              <w:rPr>
                <w:rFonts w:hint="eastAsia" w:ascii="仿宋_GB2312" w:eastAsia="仿宋_GB2312"/>
                <w:b/>
                <w:bCs/>
                <w:szCs w:val="21"/>
              </w:rPr>
              <w:br w:type="textWrapping"/>
            </w:r>
            <w:r>
              <w:rPr>
                <w:rFonts w:hint="eastAsia" w:ascii="仿宋_GB2312" w:eastAsia="仿宋_GB2312"/>
                <w:b/>
                <w:bCs/>
                <w:szCs w:val="21"/>
              </w:rPr>
              <w:t>指标</w:t>
            </w:r>
          </w:p>
        </w:tc>
        <w:tc>
          <w:tcPr>
            <w:tcW w:w="866" w:type="dxa"/>
            <w:shd w:val="clear" w:color="auto" w:fill="auto"/>
            <w:tcMar>
              <w:top w:w="10" w:type="dxa"/>
              <w:left w:w="10" w:type="dxa"/>
              <w:bottom w:w="0" w:type="dxa"/>
              <w:right w:w="10" w:type="dxa"/>
            </w:tcMar>
            <w:vAlign w:val="center"/>
          </w:tcPr>
          <w:p>
            <w:pPr>
              <w:ind w:right="-174" w:rightChars="-83"/>
              <w:jc w:val="center"/>
              <w:rPr>
                <w:rFonts w:ascii="仿宋_GB2312" w:eastAsia="仿宋_GB2312"/>
                <w:b/>
                <w:bCs/>
                <w:szCs w:val="21"/>
              </w:rPr>
            </w:pPr>
            <w:r>
              <w:rPr>
                <w:rFonts w:hint="eastAsia" w:ascii="仿宋_GB2312" w:eastAsia="仿宋_GB2312"/>
                <w:b/>
                <w:bCs/>
                <w:szCs w:val="21"/>
              </w:rPr>
              <w:t>二级</w:t>
            </w:r>
          </w:p>
          <w:p>
            <w:pPr>
              <w:ind w:right="-174" w:rightChars="-83"/>
              <w:jc w:val="center"/>
              <w:rPr>
                <w:rFonts w:ascii="仿宋_GB2312" w:eastAsia="仿宋_GB2312"/>
                <w:b/>
                <w:bCs/>
                <w:szCs w:val="21"/>
              </w:rPr>
            </w:pPr>
            <w:r>
              <w:rPr>
                <w:rFonts w:hint="eastAsia" w:ascii="仿宋_GB2312" w:eastAsia="仿宋_GB2312"/>
                <w:b/>
                <w:bCs/>
                <w:szCs w:val="21"/>
              </w:rPr>
              <w:t>指标</w:t>
            </w:r>
          </w:p>
        </w:tc>
        <w:tc>
          <w:tcPr>
            <w:tcW w:w="951"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三级</w:t>
            </w:r>
          </w:p>
          <w:p>
            <w:pPr>
              <w:jc w:val="center"/>
              <w:rPr>
                <w:rFonts w:ascii="仿宋_GB2312" w:eastAsia="仿宋_GB2312"/>
                <w:b/>
                <w:bCs/>
                <w:szCs w:val="21"/>
              </w:rPr>
            </w:pPr>
            <w:r>
              <w:rPr>
                <w:rFonts w:hint="eastAsia" w:ascii="仿宋_GB2312" w:eastAsia="仿宋_GB2312"/>
                <w:b/>
                <w:bCs/>
                <w:szCs w:val="21"/>
              </w:rPr>
              <w:t>指标</w:t>
            </w:r>
          </w:p>
        </w:tc>
        <w:tc>
          <w:tcPr>
            <w:tcW w:w="2908" w:type="dxa"/>
            <w:shd w:val="clear" w:color="auto" w:fill="auto"/>
            <w:tcMar>
              <w:top w:w="10" w:type="dxa"/>
              <w:left w:w="10" w:type="dxa"/>
              <w:bottom w:w="0" w:type="dxa"/>
              <w:right w:w="10" w:type="dxa"/>
            </w:tcMar>
            <w:vAlign w:val="center"/>
          </w:tcPr>
          <w:p>
            <w:pPr>
              <w:ind w:left="105" w:leftChars="50" w:right="105" w:rightChars="50"/>
              <w:jc w:val="center"/>
              <w:rPr>
                <w:rFonts w:ascii="仿宋_GB2312" w:eastAsia="仿宋_GB2312"/>
                <w:b/>
                <w:bCs/>
                <w:szCs w:val="21"/>
              </w:rPr>
            </w:pPr>
            <w:r>
              <w:rPr>
                <w:rFonts w:hint="eastAsia" w:ascii="仿宋_GB2312" w:eastAsia="仿宋_GB2312"/>
                <w:b/>
                <w:bCs/>
                <w:szCs w:val="21"/>
              </w:rPr>
              <w:t>评分及标准</w:t>
            </w:r>
          </w:p>
        </w:tc>
        <w:tc>
          <w:tcPr>
            <w:tcW w:w="4252" w:type="dxa"/>
            <w:shd w:val="clear" w:color="auto" w:fill="auto"/>
            <w:tcMar>
              <w:top w:w="10" w:type="dxa"/>
              <w:left w:w="10" w:type="dxa"/>
              <w:bottom w:w="0" w:type="dxa"/>
              <w:right w:w="10" w:type="dxa"/>
            </w:tcMar>
            <w:vAlign w:val="center"/>
          </w:tcPr>
          <w:p>
            <w:pPr>
              <w:ind w:left="105" w:leftChars="50" w:right="105" w:rightChars="50"/>
              <w:jc w:val="center"/>
              <w:rPr>
                <w:rFonts w:ascii="仿宋_GB2312" w:eastAsia="仿宋_GB2312"/>
                <w:b/>
                <w:bCs/>
                <w:szCs w:val="21"/>
              </w:rPr>
            </w:pPr>
            <w:r>
              <w:rPr>
                <w:rFonts w:hint="eastAsia" w:ascii="仿宋_GB2312" w:eastAsia="仿宋_GB2312"/>
                <w:b/>
                <w:bCs/>
                <w:szCs w:val="21"/>
              </w:rPr>
              <w:t>指标说明</w:t>
            </w:r>
          </w:p>
        </w:tc>
        <w:tc>
          <w:tcPr>
            <w:tcW w:w="938" w:type="dxa"/>
            <w:vAlign w:val="center"/>
          </w:tcPr>
          <w:p>
            <w:pPr>
              <w:ind w:left="105" w:leftChars="50" w:right="105" w:rightChars="50"/>
              <w:jc w:val="center"/>
              <w:rPr>
                <w:rFonts w:ascii="仿宋_GB2312" w:eastAsia="仿宋_GB2312"/>
                <w:b/>
                <w:bCs/>
                <w:szCs w:val="21"/>
              </w:rPr>
            </w:pPr>
            <w:r>
              <w:rPr>
                <w:rFonts w:hint="eastAsia" w:ascii="仿宋_GB2312" w:eastAsia="仿宋_GB2312"/>
                <w:b/>
                <w:bCs/>
                <w:szCs w:val="21"/>
              </w:rPr>
              <w:t>自评分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667" w:hRule="atLeast"/>
          <w:jc w:val="center"/>
        </w:trPr>
        <w:tc>
          <w:tcPr>
            <w:tcW w:w="6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投   入 （20分）</w:t>
            </w: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目标</w:t>
            </w:r>
            <w:r>
              <w:rPr>
                <w:rFonts w:hint="eastAsia" w:ascii="仿宋_GB2312" w:eastAsia="仿宋_GB2312"/>
                <w:szCs w:val="21"/>
              </w:rPr>
              <w:br w:type="textWrapping"/>
            </w:r>
            <w:r>
              <w:rPr>
                <w:rFonts w:hint="eastAsia" w:ascii="仿宋_GB2312" w:eastAsia="仿宋_GB2312"/>
                <w:szCs w:val="21"/>
              </w:rPr>
              <w:t>设定  （14分）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绩效目标</w:t>
            </w:r>
          </w:p>
          <w:p>
            <w:pPr>
              <w:spacing w:line="320" w:lineRule="exact"/>
              <w:jc w:val="center"/>
              <w:rPr>
                <w:rFonts w:ascii="仿宋_GB2312" w:eastAsia="仿宋_GB2312"/>
                <w:szCs w:val="21"/>
              </w:rPr>
            </w:pPr>
            <w:r>
              <w:rPr>
                <w:rFonts w:hint="eastAsia" w:ascii="仿宋_GB2312" w:eastAsia="仿宋_GB2312"/>
                <w:szCs w:val="21"/>
              </w:rPr>
              <w:t>合理性 （6分）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每项指标评价要点加2分。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是否符合国家法律法规、国民经济和社会发展总体规划2分</w:t>
            </w:r>
            <w:r>
              <w:rPr>
                <w:rFonts w:hint="eastAsia" w:ascii="仿宋_GB2312" w:hAnsi="宋体" w:eastAsia="仿宋_GB2312" w:cs="宋体"/>
                <w:szCs w:val="21"/>
              </w:rPr>
              <w:t>②</w:t>
            </w:r>
            <w:r>
              <w:rPr>
                <w:rFonts w:hint="eastAsia" w:ascii="仿宋_GB2312" w:eastAsia="仿宋_GB2312"/>
                <w:szCs w:val="21"/>
              </w:rPr>
              <w:t>是否符合部门“三定”方案确定的职责2分</w:t>
            </w:r>
            <w:r>
              <w:rPr>
                <w:rFonts w:hint="eastAsia" w:ascii="仿宋_GB2312" w:hAnsi="宋体" w:eastAsia="仿宋_GB2312" w:cs="宋体"/>
                <w:szCs w:val="21"/>
              </w:rPr>
              <w:t>③</w:t>
            </w:r>
            <w:r>
              <w:rPr>
                <w:rFonts w:hint="eastAsia" w:ascii="仿宋_GB2312" w:eastAsia="仿宋_GB2312"/>
                <w:szCs w:val="21"/>
              </w:rPr>
              <w:t>是否符合部门制定的中长期实施规划2分</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387"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绩效指标</w:t>
            </w:r>
          </w:p>
          <w:p>
            <w:pPr>
              <w:spacing w:line="320" w:lineRule="exact"/>
              <w:jc w:val="center"/>
              <w:rPr>
                <w:rFonts w:ascii="仿宋_GB2312" w:eastAsia="仿宋_GB2312"/>
                <w:szCs w:val="21"/>
              </w:rPr>
            </w:pPr>
            <w:r>
              <w:rPr>
                <w:rFonts w:hint="eastAsia" w:ascii="仿宋_GB2312" w:eastAsia="仿宋_GB2312"/>
                <w:szCs w:val="21"/>
              </w:rPr>
              <w:t>明确性 （8分）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每项指标评价要点加2分。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是否将部门整体的绩效目标细化分解为具体的工作任务2分；</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 xml:space="preserve">是否通过清晰、可衡量的指标值予以体现。    </w:t>
            </w:r>
            <w:r>
              <w:rPr>
                <w:rFonts w:hint="eastAsia" w:ascii="仿宋_GB2312" w:hAnsi="宋体" w:eastAsia="仿宋_GB2312" w:cs="宋体"/>
                <w:szCs w:val="21"/>
              </w:rPr>
              <w:t>③</w:t>
            </w:r>
            <w:r>
              <w:rPr>
                <w:rFonts w:hint="eastAsia" w:ascii="仿宋_GB2312" w:eastAsia="仿宋_GB2312"/>
                <w:szCs w:val="21"/>
              </w:rPr>
              <w:t>是否与部门年度的任务数或计划数相对应2分；</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是否与本年度部门预算资金相匹配2分。</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110"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预算</w:t>
            </w:r>
            <w:r>
              <w:rPr>
                <w:rFonts w:hint="eastAsia" w:ascii="仿宋_GB2312" w:eastAsia="仿宋_GB2312"/>
                <w:szCs w:val="21"/>
              </w:rPr>
              <w:br w:type="textWrapping"/>
            </w:r>
            <w:r>
              <w:rPr>
                <w:rFonts w:hint="eastAsia" w:ascii="仿宋_GB2312" w:eastAsia="仿宋_GB2312"/>
                <w:szCs w:val="21"/>
              </w:rPr>
              <w:t>配置</w:t>
            </w:r>
          </w:p>
          <w:p>
            <w:pPr>
              <w:spacing w:line="320" w:lineRule="exact"/>
              <w:jc w:val="center"/>
              <w:rPr>
                <w:rFonts w:ascii="仿宋_GB2312" w:eastAsia="仿宋_GB2312"/>
                <w:szCs w:val="21"/>
              </w:rPr>
            </w:pPr>
            <w:r>
              <w:rPr>
                <w:rFonts w:hint="eastAsia" w:ascii="仿宋_GB2312" w:eastAsia="仿宋_GB2312"/>
                <w:szCs w:val="21"/>
              </w:rPr>
              <w:t>（6分）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在职人员</w:t>
            </w:r>
          </w:p>
          <w:p>
            <w:pPr>
              <w:spacing w:line="320" w:lineRule="exact"/>
              <w:jc w:val="center"/>
              <w:rPr>
                <w:rFonts w:ascii="仿宋_GB2312" w:eastAsia="仿宋_GB2312"/>
                <w:szCs w:val="21"/>
              </w:rPr>
            </w:pPr>
            <w:r>
              <w:rPr>
                <w:rFonts w:hint="eastAsia" w:ascii="仿宋_GB2312" w:eastAsia="仿宋_GB2312"/>
                <w:szCs w:val="21"/>
              </w:rPr>
              <w:t>控制率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以100%为标准，在职人员控制率≤100%，计2分；每超过一个百分点扣0.5分，扣完为止。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在职人员控制率=（在职人员数/编制数）×100%。</w:t>
            </w:r>
            <w:r>
              <w:rPr>
                <w:rFonts w:hint="eastAsia" w:ascii="仿宋_GB2312" w:eastAsia="仿宋_GB2312"/>
                <w:szCs w:val="21"/>
              </w:rPr>
              <w:br w:type="textWrapping"/>
            </w:r>
            <w:r>
              <w:rPr>
                <w:rFonts w:hint="eastAsia" w:ascii="仿宋_GB2312" w:eastAsia="仿宋_GB2312"/>
                <w:szCs w:val="21"/>
              </w:rPr>
              <w:t>在职人员数：部门实际在职人数，以财政部确定的部门决算编制口径为准。</w:t>
            </w:r>
            <w:r>
              <w:rPr>
                <w:rFonts w:hint="eastAsia" w:ascii="仿宋_GB2312" w:eastAsia="仿宋_GB2312"/>
                <w:szCs w:val="21"/>
              </w:rPr>
              <w:br w:type="textWrapping"/>
            </w:r>
            <w:r>
              <w:rPr>
                <w:rFonts w:hint="eastAsia" w:ascii="仿宋_GB2312" w:eastAsia="仿宋_GB2312"/>
                <w:szCs w:val="21"/>
              </w:rPr>
              <w:t>编制数：机构编制部门核定批复的部门的人员编制数。</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829"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“三公经费”</w:t>
            </w:r>
          </w:p>
          <w:p>
            <w:pPr>
              <w:spacing w:line="320" w:lineRule="exact"/>
              <w:jc w:val="center"/>
              <w:rPr>
                <w:rFonts w:ascii="仿宋_GB2312" w:eastAsia="仿宋_GB2312"/>
                <w:szCs w:val="21"/>
              </w:rPr>
            </w:pPr>
            <w:r>
              <w:rPr>
                <w:rFonts w:hint="eastAsia" w:ascii="仿宋_GB2312" w:eastAsia="仿宋_GB2312"/>
                <w:szCs w:val="21"/>
              </w:rPr>
              <w:t>变动率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“三公经费”变动率为0，计5分；“三公经费”＞0，每超过一个百分点扣1分，扣完为止。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“三公经费”变动率=[（本年度“三公经费”总额-上年度“三公经费”总额）/上年度“三公经费”总额]×100%。</w:t>
            </w:r>
            <w:r>
              <w:rPr>
                <w:rFonts w:hint="eastAsia" w:ascii="仿宋_GB2312" w:eastAsia="仿宋_GB2312"/>
                <w:szCs w:val="21"/>
              </w:rPr>
              <w:br w:type="textWrapping"/>
            </w:r>
            <w:r>
              <w:rPr>
                <w:rFonts w:hint="eastAsia" w:ascii="仿宋_GB2312" w:eastAsia="仿宋_GB2312"/>
                <w:szCs w:val="21"/>
              </w:rPr>
              <w:t>“三公经费”：年度预算安排的因公出国（境）费、公务车辆购置及运行费和公务招待费。</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861"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重点支出</w:t>
            </w:r>
          </w:p>
          <w:p>
            <w:pPr>
              <w:spacing w:line="320" w:lineRule="exact"/>
              <w:jc w:val="center"/>
              <w:rPr>
                <w:rFonts w:ascii="仿宋_GB2312" w:eastAsia="仿宋_GB2312"/>
                <w:szCs w:val="21"/>
              </w:rPr>
            </w:pPr>
            <w:r>
              <w:rPr>
                <w:rFonts w:hint="eastAsia" w:ascii="仿宋_GB2312" w:eastAsia="仿宋_GB2312"/>
                <w:szCs w:val="21"/>
              </w:rPr>
              <w:t>安排率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“重点支出安排率” ＞50%，计2分，每下降一个百分点扣0.5分，扣完为止。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重点支出安排率=（重点预算支出/预算总支出）×100%。</w:t>
            </w:r>
            <w:r>
              <w:rPr>
                <w:rFonts w:hint="eastAsia" w:ascii="仿宋_GB2312" w:eastAsia="仿宋_GB2312"/>
                <w:szCs w:val="21"/>
              </w:rPr>
              <w:br w:type="textWrapping"/>
            </w:r>
            <w:r>
              <w:rPr>
                <w:rFonts w:hint="eastAsia" w:ascii="仿宋_GB2312" w:eastAsia="仿宋_GB2312"/>
                <w:szCs w:val="21"/>
              </w:rPr>
              <w:t>重点预算支出：部门年度预算安排的，与本部门履职和发展密切相关、具有明显社会和经济影响、党委政府关心或社会比较关注的预算支出支出总额。</w:t>
            </w:r>
            <w:r>
              <w:rPr>
                <w:rFonts w:hint="eastAsia" w:ascii="仿宋_GB2312" w:eastAsia="仿宋_GB2312"/>
                <w:szCs w:val="21"/>
              </w:rPr>
              <w:br w:type="textWrapping"/>
            </w:r>
            <w:r>
              <w:rPr>
                <w:rFonts w:hint="eastAsia" w:ascii="仿宋_GB2312" w:eastAsia="仿宋_GB2312"/>
                <w:szCs w:val="21"/>
              </w:rPr>
              <w:t>预算总支出：部门年度预算安排的预算支出支出总额。</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660" w:hRule="atLeast"/>
          <w:jc w:val="center"/>
        </w:trPr>
        <w:tc>
          <w:tcPr>
            <w:tcW w:w="6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过</w:t>
            </w:r>
          </w:p>
          <w:p>
            <w:pPr>
              <w:spacing w:line="320" w:lineRule="exact"/>
              <w:jc w:val="center"/>
              <w:rPr>
                <w:rFonts w:ascii="仿宋_GB2312" w:eastAsia="仿宋_GB2312"/>
                <w:szCs w:val="21"/>
              </w:rPr>
            </w:pPr>
            <w:r>
              <w:rPr>
                <w:rFonts w:hint="eastAsia" w:ascii="仿宋_GB2312" w:eastAsia="仿宋_GB2312"/>
                <w:szCs w:val="21"/>
              </w:rPr>
              <w:t>程</w:t>
            </w:r>
          </w:p>
          <w:p>
            <w:pPr>
              <w:spacing w:line="320" w:lineRule="exact"/>
              <w:jc w:val="center"/>
              <w:rPr>
                <w:rFonts w:ascii="仿宋_GB2312" w:eastAsia="仿宋_GB2312"/>
                <w:szCs w:val="21"/>
              </w:rPr>
            </w:pPr>
            <w:r>
              <w:rPr>
                <w:rFonts w:hint="eastAsia" w:ascii="仿宋_GB2312" w:eastAsia="仿宋_GB2312"/>
                <w:szCs w:val="21"/>
              </w:rPr>
              <w:t>（40分）</w:t>
            </w: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预算</w:t>
            </w:r>
            <w:r>
              <w:rPr>
                <w:rFonts w:hint="eastAsia" w:ascii="仿宋_GB2312" w:eastAsia="仿宋_GB2312"/>
                <w:szCs w:val="21"/>
              </w:rPr>
              <w:br w:type="textWrapping"/>
            </w:r>
            <w:r>
              <w:rPr>
                <w:rFonts w:hint="eastAsia" w:ascii="仿宋_GB2312" w:eastAsia="仿宋_GB2312"/>
                <w:szCs w:val="21"/>
              </w:rPr>
              <w:t>执行 （26分）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预算</w:t>
            </w:r>
          </w:p>
          <w:p>
            <w:pPr>
              <w:spacing w:line="320" w:lineRule="exact"/>
              <w:jc w:val="center"/>
              <w:rPr>
                <w:rFonts w:ascii="仿宋_GB2312" w:eastAsia="仿宋_GB2312"/>
                <w:szCs w:val="21"/>
              </w:rPr>
            </w:pPr>
            <w:r>
              <w:rPr>
                <w:rFonts w:hint="eastAsia" w:ascii="仿宋_GB2312" w:eastAsia="仿宋_GB2312"/>
                <w:szCs w:val="21"/>
              </w:rPr>
              <w:t>执行率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100%计满分，每低于1%扣1分，扣完为止。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预算执行率=（预算执行数/预算数）×100%。</w:t>
            </w:r>
            <w:r>
              <w:rPr>
                <w:rFonts w:hint="eastAsia" w:ascii="仿宋_GB2312" w:eastAsia="仿宋_GB2312"/>
                <w:szCs w:val="21"/>
              </w:rPr>
              <w:br w:type="textWrapping"/>
            </w:r>
            <w:r>
              <w:rPr>
                <w:rFonts w:hint="eastAsia" w:ascii="仿宋_GB2312" w:eastAsia="仿宋_GB2312"/>
                <w:szCs w:val="21"/>
              </w:rPr>
              <w:t>预算执行数：部门本年度实际完成的预算数。</w:t>
            </w:r>
            <w:r>
              <w:rPr>
                <w:rFonts w:hint="eastAsia" w:ascii="仿宋_GB2312" w:eastAsia="仿宋_GB2312"/>
                <w:szCs w:val="21"/>
              </w:rPr>
              <w:br w:type="textWrapping"/>
            </w:r>
            <w:r>
              <w:rPr>
                <w:rFonts w:hint="eastAsia" w:ascii="仿宋_GB2312" w:eastAsia="仿宋_GB2312"/>
                <w:szCs w:val="21"/>
              </w:rPr>
              <w:t>预算数：财政部门批复的本年度部门预算数。</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378"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预算</w:t>
            </w:r>
          </w:p>
          <w:p>
            <w:pPr>
              <w:spacing w:line="320" w:lineRule="exact"/>
              <w:jc w:val="center"/>
              <w:rPr>
                <w:rFonts w:ascii="仿宋_GB2312" w:eastAsia="仿宋_GB2312"/>
                <w:szCs w:val="21"/>
              </w:rPr>
            </w:pPr>
            <w:r>
              <w:rPr>
                <w:rFonts w:hint="eastAsia" w:ascii="仿宋_GB2312" w:eastAsia="仿宋_GB2312"/>
                <w:szCs w:val="21"/>
              </w:rPr>
              <w:t>调整率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100%计满分，每下降5%扣1分，扣完为止。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预算调整率=（预算调整数/预算数）×100%。</w:t>
            </w:r>
            <w:r>
              <w:rPr>
                <w:rFonts w:hint="eastAsia" w:ascii="仿宋_GB2312" w:eastAsia="仿宋_GB2312"/>
                <w:szCs w:val="21"/>
              </w:rPr>
              <w:br w:type="textWrapping"/>
            </w:r>
            <w:r>
              <w:rPr>
                <w:rFonts w:hint="eastAsia" w:ascii="仿宋_GB2312" w:eastAsia="仿宋_GB2312"/>
                <w:szCs w:val="21"/>
              </w:rPr>
              <w:t>预算调整数：部门在本年度内涉及预算的追加、追减或结构调整的资金总和（因落实国家政策、发生不可抗力、上级部门或本级党委政府临时交办而产生的调整除外）。</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819"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支付</w:t>
            </w:r>
          </w:p>
          <w:p>
            <w:pPr>
              <w:spacing w:line="320" w:lineRule="exact"/>
              <w:jc w:val="center"/>
              <w:rPr>
                <w:rFonts w:ascii="仿宋_GB2312" w:eastAsia="仿宋_GB2312"/>
                <w:szCs w:val="21"/>
              </w:rPr>
            </w:pPr>
            <w:r>
              <w:rPr>
                <w:rFonts w:hint="eastAsia" w:ascii="仿宋_GB2312" w:eastAsia="仿宋_GB2312"/>
                <w:szCs w:val="21"/>
              </w:rPr>
              <w:t>进度率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100%计满分，每低于5%扣1分，扣完为止。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支付进度率=（实际支付进度/既定支付进度）×100%。</w:t>
            </w:r>
            <w:r>
              <w:rPr>
                <w:rFonts w:hint="eastAsia" w:ascii="仿宋_GB2312" w:eastAsia="仿宋_GB2312"/>
                <w:szCs w:val="21"/>
              </w:rPr>
              <w:br w:type="textWrapping"/>
            </w:r>
            <w:r>
              <w:rPr>
                <w:rFonts w:hint="eastAsia" w:ascii="仿宋_GB2312" w:eastAsia="仿宋_GB2312"/>
                <w:szCs w:val="21"/>
              </w:rPr>
              <w:t>实际支付进度：部门在某一时点的支出预算执行总数与年度支出预算数的比率。</w:t>
            </w:r>
            <w:r>
              <w:rPr>
                <w:rFonts w:hint="eastAsia" w:ascii="仿宋_GB2312" w:eastAsia="仿宋_GB2312"/>
                <w:szCs w:val="21"/>
              </w:rPr>
              <w:br w:type="textWrapping"/>
            </w:r>
            <w:r>
              <w:rPr>
                <w:rFonts w:hint="eastAsia" w:ascii="仿宋_GB2312" w:eastAsia="仿宋_GB2312"/>
                <w:szCs w:val="21"/>
              </w:rPr>
              <w:t>既定支付进度：由部门在申报部门整体绩效目标时，参照序时支付进度、前三年支付进度、本级部门平均支付进度水平等确定的，在某一时点应达到的支付进度（比率）。</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399" w:hRule="atLeast"/>
          <w:jc w:val="center"/>
        </w:trPr>
        <w:tc>
          <w:tcPr>
            <w:tcW w:w="666" w:type="dxa"/>
            <w:vMerge w:val="continue"/>
            <w:shd w:val="clear" w:color="auto" w:fill="auto"/>
            <w:tcMar>
              <w:top w:w="10" w:type="dxa"/>
              <w:left w:w="10" w:type="dxa"/>
              <w:bottom w:w="0" w:type="dxa"/>
              <w:right w:w="10" w:type="dxa"/>
            </w:tcMar>
            <w:textDirection w:val="tbRlV"/>
            <w:vAlign w:val="center"/>
          </w:tcPr>
          <w:p>
            <w:pPr>
              <w:spacing w:line="320" w:lineRule="exact"/>
              <w:jc w:val="center"/>
              <w:rPr>
                <w:rFonts w:ascii="仿宋_GB2312" w:eastAsia="仿宋_GB2312"/>
                <w:szCs w:val="21"/>
              </w:rPr>
            </w:pPr>
          </w:p>
        </w:tc>
        <w:tc>
          <w:tcPr>
            <w:tcW w:w="866" w:type="dxa"/>
            <w:vMerge w:val="continue"/>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结转</w:t>
            </w:r>
          </w:p>
          <w:p>
            <w:pPr>
              <w:spacing w:line="320" w:lineRule="exact"/>
              <w:jc w:val="center"/>
              <w:rPr>
                <w:rFonts w:ascii="仿宋_GB2312" w:eastAsia="仿宋_GB2312"/>
                <w:szCs w:val="21"/>
              </w:rPr>
            </w:pPr>
            <w:r>
              <w:rPr>
                <w:rFonts w:hint="eastAsia" w:ascii="仿宋_GB2312" w:eastAsia="仿宋_GB2312"/>
                <w:szCs w:val="21"/>
              </w:rPr>
              <w:t>结余率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0%计满分，每超过5%扣1分，扣完为止。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结转结余率=结转结余总额/支出预算数×100%。</w:t>
            </w:r>
            <w:r>
              <w:rPr>
                <w:rFonts w:hint="eastAsia" w:ascii="仿宋_GB2312" w:eastAsia="仿宋_GB2312"/>
                <w:szCs w:val="21"/>
              </w:rPr>
              <w:br w:type="textWrapping"/>
            </w:r>
            <w:r>
              <w:rPr>
                <w:rFonts w:hint="eastAsia" w:ascii="仿宋_GB2312" w:eastAsia="仿宋_GB2312"/>
                <w:szCs w:val="21"/>
              </w:rPr>
              <w:t>结转结余总额：部门本年度的结转资金与结余资金之和（以决算数为准）。</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817"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结转结余</w:t>
            </w:r>
          </w:p>
          <w:p>
            <w:pPr>
              <w:spacing w:line="320" w:lineRule="exact"/>
              <w:jc w:val="center"/>
              <w:rPr>
                <w:rFonts w:ascii="仿宋_GB2312" w:eastAsia="仿宋_GB2312"/>
                <w:szCs w:val="21"/>
              </w:rPr>
            </w:pPr>
            <w:r>
              <w:rPr>
                <w:rFonts w:hint="eastAsia" w:ascii="仿宋_GB2312" w:eastAsia="仿宋_GB2312"/>
                <w:szCs w:val="21"/>
              </w:rPr>
              <w:t>变动率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0%计满分，每超过5%扣1分，扣完为止。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结转结余变动率=[（本年度累计结转结余资金总额-上年度累计结转结余资金总额）/上年度累计结转结余资金总额]×100%。</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829"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公用经费</w:t>
            </w:r>
          </w:p>
          <w:p>
            <w:pPr>
              <w:spacing w:line="320" w:lineRule="exact"/>
              <w:jc w:val="center"/>
              <w:rPr>
                <w:rFonts w:ascii="仿宋_GB2312" w:eastAsia="仿宋_GB2312"/>
                <w:szCs w:val="21"/>
              </w:rPr>
            </w:pPr>
            <w:r>
              <w:rPr>
                <w:rFonts w:hint="eastAsia" w:ascii="仿宋_GB2312" w:eastAsia="仿宋_GB2312"/>
                <w:szCs w:val="21"/>
              </w:rPr>
              <w:t>控制率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100%以下（含）计满分，每超出1%扣1分，扣完为止。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公用经费控制率=（实际支出公用经费总额/预算安排公用经费总额）×100%。</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944" w:hRule="atLeast"/>
          <w:jc w:val="center"/>
        </w:trPr>
        <w:tc>
          <w:tcPr>
            <w:tcW w:w="666" w:type="dxa"/>
            <w:vMerge w:val="restart"/>
            <w:shd w:val="clear" w:color="auto" w:fill="auto"/>
            <w:vAlign w:val="center"/>
          </w:tcPr>
          <w:p>
            <w:pPr>
              <w:spacing w:line="320" w:lineRule="exact"/>
              <w:jc w:val="center"/>
              <w:rPr>
                <w:rFonts w:ascii="仿宋_GB2312" w:eastAsia="仿宋_GB2312"/>
                <w:szCs w:val="21"/>
              </w:rPr>
            </w:pPr>
            <w:r>
              <w:rPr>
                <w:rFonts w:hint="eastAsia" w:ascii="仿宋_GB2312" w:eastAsia="仿宋_GB2312"/>
                <w:szCs w:val="21"/>
              </w:rPr>
              <w:t>过</w:t>
            </w:r>
          </w:p>
          <w:p>
            <w:pPr>
              <w:spacing w:line="320" w:lineRule="exact"/>
              <w:jc w:val="center"/>
              <w:rPr>
                <w:rFonts w:ascii="仿宋_GB2312" w:eastAsia="仿宋_GB2312"/>
                <w:szCs w:val="21"/>
              </w:rPr>
            </w:pPr>
            <w:r>
              <w:rPr>
                <w:rFonts w:hint="eastAsia" w:ascii="仿宋_GB2312" w:eastAsia="仿宋_GB2312"/>
                <w:szCs w:val="21"/>
              </w:rPr>
              <w:t>程  （40分）</w:t>
            </w:r>
          </w:p>
        </w:tc>
        <w:tc>
          <w:tcPr>
            <w:tcW w:w="866" w:type="dxa"/>
            <w:vMerge w:val="restart"/>
            <w:vAlign w:val="center"/>
          </w:tcPr>
          <w:p>
            <w:pPr>
              <w:spacing w:line="320" w:lineRule="exact"/>
              <w:jc w:val="center"/>
              <w:rPr>
                <w:rFonts w:ascii="仿宋_GB2312" w:eastAsia="仿宋_GB2312"/>
                <w:szCs w:val="21"/>
              </w:rPr>
            </w:pPr>
            <w:r>
              <w:rPr>
                <w:rFonts w:hint="eastAsia" w:ascii="仿宋_GB2312" w:eastAsia="仿宋_GB2312"/>
                <w:szCs w:val="21"/>
              </w:rPr>
              <w:t>预算</w:t>
            </w:r>
            <w:r>
              <w:rPr>
                <w:rFonts w:hint="eastAsia" w:ascii="仿宋_GB2312" w:eastAsia="仿宋_GB2312"/>
                <w:szCs w:val="21"/>
              </w:rPr>
              <w:br w:type="textWrapping"/>
            </w:r>
            <w:r>
              <w:rPr>
                <w:rFonts w:hint="eastAsia" w:ascii="仿宋_GB2312" w:eastAsia="仿宋_GB2312"/>
                <w:szCs w:val="21"/>
              </w:rPr>
              <w:t>执行 （26分）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“三公经费”控制率（3分）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100%以下（含）计满分，每超出1%扣1分，扣完为止。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“三公经费”控制率=（“三公经费”实际支出数/“三公经费”预算安排数）×100%。</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098"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政府采购</w:t>
            </w:r>
          </w:p>
          <w:p>
            <w:pPr>
              <w:spacing w:line="320" w:lineRule="exact"/>
              <w:jc w:val="center"/>
              <w:rPr>
                <w:rFonts w:ascii="仿宋_GB2312" w:eastAsia="仿宋_GB2312"/>
                <w:szCs w:val="21"/>
              </w:rPr>
            </w:pPr>
            <w:r>
              <w:rPr>
                <w:rFonts w:hint="eastAsia" w:ascii="仿宋_GB2312" w:eastAsia="仿宋_GB2312"/>
                <w:szCs w:val="21"/>
              </w:rPr>
              <w:t>执行率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100%计满分，每超过（降低）5%扣1分，扣完为止。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政府采购执行率=（实际政府采购金额/政府采购预算数）×100%；</w:t>
            </w:r>
            <w:r>
              <w:rPr>
                <w:rFonts w:hint="eastAsia" w:ascii="仿宋_GB2312" w:eastAsia="仿宋_GB2312"/>
                <w:szCs w:val="21"/>
              </w:rPr>
              <w:br w:type="textWrapping"/>
            </w:r>
            <w:r>
              <w:rPr>
                <w:rFonts w:hint="eastAsia" w:ascii="仿宋_GB2312" w:eastAsia="仿宋_GB2312"/>
                <w:szCs w:val="21"/>
              </w:rPr>
              <w:t xml:space="preserve">政府采购预算：采购机关根据事业发展计划和行政任务编制的、并经过规定程序批准的年度政府采购计划。 </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398"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p>
          <w:p>
            <w:pPr>
              <w:spacing w:line="320" w:lineRule="exact"/>
              <w:jc w:val="center"/>
              <w:rPr>
                <w:rFonts w:ascii="仿宋_GB2312" w:eastAsia="仿宋_GB2312"/>
                <w:szCs w:val="21"/>
              </w:rPr>
            </w:pPr>
            <w:r>
              <w:rPr>
                <w:rFonts w:hint="eastAsia" w:ascii="仿宋_GB2312" w:eastAsia="仿宋_GB2312"/>
                <w:szCs w:val="21"/>
              </w:rPr>
              <w:t>预算</w:t>
            </w:r>
          </w:p>
          <w:p>
            <w:pPr>
              <w:spacing w:line="320" w:lineRule="exact"/>
              <w:jc w:val="center"/>
              <w:rPr>
                <w:rFonts w:ascii="仿宋_GB2312" w:eastAsia="仿宋_GB2312"/>
                <w:szCs w:val="21"/>
              </w:rPr>
            </w:pPr>
            <w:r>
              <w:rPr>
                <w:rFonts w:hint="eastAsia" w:ascii="仿宋_GB2312" w:eastAsia="仿宋_GB2312"/>
                <w:szCs w:val="21"/>
              </w:rPr>
              <w:t>管理  （8分）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管理制度</w:t>
            </w:r>
          </w:p>
          <w:p>
            <w:pPr>
              <w:spacing w:line="320" w:lineRule="exact"/>
              <w:jc w:val="center"/>
              <w:rPr>
                <w:rFonts w:ascii="仿宋_GB2312" w:eastAsia="仿宋_GB2312"/>
                <w:szCs w:val="21"/>
              </w:rPr>
            </w:pPr>
            <w:r>
              <w:rPr>
                <w:rFonts w:hint="eastAsia" w:ascii="仿宋_GB2312" w:eastAsia="仿宋_GB2312"/>
                <w:szCs w:val="21"/>
              </w:rPr>
              <w:t>健全性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1.有内部财务管理制度，会计核算制度等管理制度，0.5分；2.有本部门厉行节约制度，0.5分；3.相关管理制度合法、合规、完整，0.5分；4.相关管理制度得到有效执行，0.5分。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是否已制定或具有预算资金管理办法、内部财务管理制度、会计核算制度等管理制度；</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相关管理制度是否合法、合规、完整；</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相关管理制度是否得到有效执行。</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509"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资金使用</w:t>
            </w:r>
          </w:p>
          <w:p>
            <w:pPr>
              <w:spacing w:line="320" w:lineRule="exact"/>
              <w:jc w:val="center"/>
              <w:rPr>
                <w:rFonts w:ascii="仿宋_GB2312" w:eastAsia="仿宋_GB2312"/>
                <w:szCs w:val="21"/>
              </w:rPr>
            </w:pPr>
            <w:r>
              <w:rPr>
                <w:rFonts w:hint="eastAsia" w:ascii="仿宋_GB2312" w:eastAsia="仿宋_GB2312"/>
                <w:szCs w:val="21"/>
              </w:rPr>
              <w:t>合规性 （2分）</w:t>
            </w:r>
          </w:p>
        </w:tc>
        <w:tc>
          <w:tcPr>
            <w:tcW w:w="2908" w:type="dxa"/>
            <w:shd w:val="clear" w:color="auto" w:fill="auto"/>
            <w:tcMar>
              <w:top w:w="10" w:type="dxa"/>
              <w:left w:w="10" w:type="dxa"/>
              <w:bottom w:w="0" w:type="dxa"/>
              <w:right w:w="10" w:type="dxa"/>
            </w:tcMar>
            <w:vAlign w:val="center"/>
          </w:tcPr>
          <w:p>
            <w:pPr>
              <w:spacing w:line="300" w:lineRule="exact"/>
              <w:rPr>
                <w:rFonts w:ascii="仿宋_GB2312" w:eastAsia="仿宋_GB2312"/>
                <w:szCs w:val="21"/>
              </w:rPr>
            </w:pPr>
            <w:r>
              <w:rPr>
                <w:rFonts w:hint="eastAsia" w:ascii="仿宋_GB2312" w:eastAsia="仿宋_GB2312"/>
                <w:szCs w:val="21"/>
              </w:rPr>
              <w:t>1.支出符合国家财经法规和财务管理制度规定以及有关专项资金管理办法的规定；2.资金拨付有完整的审批程序和手续；3.项目支出按规定经过评估论证；4.支出符合部门预算批复的用途；5.资金使用无截留、挤占、挪用、虚列支出等情况。</w:t>
            </w:r>
          </w:p>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以上情况每出现一例不符合要求的扣0.5分，扣完为止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是否符合国家财经法规和财务管理制度规定以及有关预算支出管理办法的规定；</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资金的拨付是否有完整的审批程序和手续；</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预算支出的重大开支是否经过评估论证；</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是否符合部门预算批复的用途；</w:t>
            </w:r>
            <w:r>
              <w:rPr>
                <w:rFonts w:hint="eastAsia" w:ascii="仿宋_GB2312" w:eastAsia="仿宋_GB2312"/>
                <w:szCs w:val="21"/>
              </w:rPr>
              <w:br w:type="textWrapping"/>
            </w:r>
            <w:r>
              <w:rPr>
                <w:rFonts w:hint="eastAsia" w:ascii="仿宋_GB2312" w:hAnsi="宋体" w:eastAsia="仿宋_GB2312" w:cs="宋体"/>
                <w:szCs w:val="21"/>
              </w:rPr>
              <w:t>⑤</w:t>
            </w:r>
            <w:r>
              <w:rPr>
                <w:rFonts w:hint="eastAsia" w:ascii="仿宋_GB2312" w:eastAsia="仿宋_GB2312"/>
                <w:szCs w:val="21"/>
              </w:rPr>
              <w:t>是否存在截留、挤占、挪用、虚列支出等情况。</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813"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预决算信</w:t>
            </w:r>
          </w:p>
          <w:p>
            <w:pPr>
              <w:spacing w:line="320" w:lineRule="exact"/>
              <w:jc w:val="center"/>
              <w:rPr>
                <w:rFonts w:ascii="仿宋_GB2312" w:eastAsia="仿宋_GB2312"/>
                <w:szCs w:val="21"/>
              </w:rPr>
            </w:pPr>
            <w:r>
              <w:rPr>
                <w:rFonts w:hint="eastAsia" w:ascii="仿宋_GB2312" w:eastAsia="仿宋_GB2312"/>
                <w:szCs w:val="21"/>
              </w:rPr>
              <w:t>息公开性（2分）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rPr>
                <w:rFonts w:ascii="仿宋_GB2312" w:eastAsia="仿宋_GB2312"/>
                <w:szCs w:val="21"/>
              </w:rPr>
            </w:pPr>
            <w:r>
              <w:rPr>
                <w:rFonts w:hint="eastAsia" w:ascii="仿宋_GB2312" w:eastAsia="仿宋_GB2312"/>
                <w:szCs w:val="21"/>
              </w:rPr>
              <w:t>部门预算、执行、决算、监督、绩效等管理相关的信息未公开，每一项扣0.5分，扣完为止。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是否按规定内容公开预决算信息；</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是否按规定时限公开预决算信息。</w:t>
            </w:r>
            <w:r>
              <w:rPr>
                <w:rFonts w:hint="eastAsia" w:ascii="仿宋_GB2312" w:eastAsia="仿宋_GB2312"/>
                <w:szCs w:val="21"/>
              </w:rPr>
              <w:br w:type="textWrapping"/>
            </w:r>
            <w:r>
              <w:rPr>
                <w:rFonts w:hint="eastAsia" w:ascii="仿宋_GB2312" w:eastAsia="仿宋_GB2312"/>
                <w:szCs w:val="21"/>
              </w:rPr>
              <w:t>预决算信息是指与部门预算、执行、决算、监督、绩效等管理相关的信息。</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802" w:hRule="atLeast"/>
          <w:jc w:val="center"/>
        </w:trPr>
        <w:tc>
          <w:tcPr>
            <w:tcW w:w="666" w:type="dxa"/>
            <w:vMerge w:val="restart"/>
            <w:shd w:val="clear" w:color="auto" w:fill="auto"/>
            <w:vAlign w:val="center"/>
          </w:tcPr>
          <w:p>
            <w:pPr>
              <w:spacing w:line="320" w:lineRule="exact"/>
              <w:jc w:val="center"/>
              <w:rPr>
                <w:rFonts w:ascii="仿宋_GB2312" w:eastAsia="仿宋_GB2312"/>
                <w:szCs w:val="21"/>
              </w:rPr>
            </w:pPr>
            <w:r>
              <w:rPr>
                <w:rFonts w:hint="eastAsia" w:ascii="仿宋_GB2312" w:eastAsia="仿宋_GB2312"/>
                <w:szCs w:val="21"/>
              </w:rPr>
              <w:t>过</w:t>
            </w:r>
          </w:p>
          <w:p>
            <w:pPr>
              <w:spacing w:line="320" w:lineRule="exact"/>
              <w:jc w:val="center"/>
              <w:rPr>
                <w:rFonts w:ascii="仿宋_GB2312" w:eastAsia="仿宋_GB2312"/>
                <w:szCs w:val="21"/>
              </w:rPr>
            </w:pPr>
            <w:r>
              <w:rPr>
                <w:rFonts w:hint="eastAsia" w:ascii="仿宋_GB2312" w:eastAsia="仿宋_GB2312"/>
                <w:szCs w:val="21"/>
              </w:rPr>
              <w:t>程  （40分）</w:t>
            </w:r>
          </w:p>
        </w:tc>
        <w:tc>
          <w:tcPr>
            <w:tcW w:w="866" w:type="dxa"/>
            <w:shd w:val="clear" w:color="auto" w:fill="auto"/>
            <w:vAlign w:val="center"/>
          </w:tcPr>
          <w:p>
            <w:pPr>
              <w:spacing w:line="320" w:lineRule="exact"/>
              <w:jc w:val="center"/>
              <w:rPr>
                <w:rFonts w:ascii="仿宋_GB2312" w:eastAsia="仿宋_GB2312"/>
                <w:szCs w:val="21"/>
              </w:rPr>
            </w:pPr>
            <w:r>
              <w:rPr>
                <w:rFonts w:hint="eastAsia" w:ascii="仿宋_GB2312" w:eastAsia="仿宋_GB2312"/>
                <w:szCs w:val="21"/>
              </w:rPr>
              <w:t>预算</w:t>
            </w:r>
          </w:p>
          <w:p>
            <w:pPr>
              <w:spacing w:line="320" w:lineRule="exact"/>
              <w:jc w:val="center"/>
              <w:rPr>
                <w:rFonts w:ascii="仿宋_GB2312" w:eastAsia="仿宋_GB2312"/>
                <w:szCs w:val="21"/>
              </w:rPr>
            </w:pPr>
            <w:r>
              <w:rPr>
                <w:rFonts w:hint="eastAsia" w:ascii="仿宋_GB2312" w:eastAsia="仿宋_GB2312"/>
                <w:szCs w:val="21"/>
              </w:rPr>
              <w:t>管理   （8分）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基础信息</w:t>
            </w:r>
          </w:p>
          <w:p>
            <w:pPr>
              <w:spacing w:line="320" w:lineRule="exact"/>
              <w:jc w:val="center"/>
              <w:rPr>
                <w:rFonts w:ascii="仿宋_GB2312" w:eastAsia="仿宋_GB2312"/>
                <w:szCs w:val="21"/>
              </w:rPr>
            </w:pPr>
            <w:r>
              <w:rPr>
                <w:rFonts w:hint="eastAsia" w:ascii="仿宋_GB2312" w:eastAsia="仿宋_GB2312"/>
                <w:szCs w:val="21"/>
              </w:rPr>
              <w:t>完善性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部门基础信息是否完善，缺一项扣0.5分，扣完为止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基础数据信息和会计信息资料是否真实；</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基础数据信息和会计信息资料是否完整；</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基础数据信息和会计信息资料是否准确。</w:t>
            </w:r>
          </w:p>
        </w:tc>
        <w:tc>
          <w:tcPr>
            <w:tcW w:w="938" w:type="dxa"/>
            <w:vAlign w:val="center"/>
          </w:tcPr>
          <w:p>
            <w:pPr>
              <w:spacing w:line="320" w:lineRule="exact"/>
              <w:ind w:left="105" w:leftChars="50" w:right="105" w:rightChars="50"/>
              <w:jc w:val="center"/>
              <w:rPr>
                <w:rFonts w:hint="eastAsia" w:ascii="仿宋_GB2312" w:eastAsia="仿宋_GB2312"/>
                <w:szCs w:val="21"/>
                <w:lang w:eastAsia="zh-CN"/>
              </w:rPr>
            </w:pPr>
            <w:r>
              <w:rPr>
                <w:rFonts w:hint="eastAsia" w:ascii="仿宋_GB2312" w:eastAsia="仿宋_GB2312"/>
                <w:szCs w:val="21"/>
                <w:lang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219" w:hRule="atLeast"/>
          <w:jc w:val="center"/>
        </w:trPr>
        <w:tc>
          <w:tcPr>
            <w:tcW w:w="666" w:type="dxa"/>
            <w:vMerge w:val="continue"/>
            <w:shd w:val="clear" w:color="auto" w:fill="auto"/>
            <w:tcMar>
              <w:top w:w="10" w:type="dxa"/>
              <w:left w:w="10" w:type="dxa"/>
              <w:bottom w:w="0" w:type="dxa"/>
              <w:right w:w="10" w:type="dxa"/>
            </w:tcMar>
            <w:textDirection w:val="tbRlV"/>
            <w:vAlign w:val="center"/>
          </w:tcPr>
          <w:p>
            <w:pPr>
              <w:spacing w:line="320" w:lineRule="exact"/>
              <w:jc w:val="center"/>
              <w:rPr>
                <w:rFonts w:ascii="仿宋_GB2312" w:eastAsia="仿宋_GB2312"/>
                <w:szCs w:val="21"/>
              </w:rPr>
            </w:pP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资产</w:t>
            </w:r>
            <w:r>
              <w:rPr>
                <w:rFonts w:hint="eastAsia" w:ascii="仿宋_GB2312" w:eastAsia="仿宋_GB2312"/>
                <w:szCs w:val="21"/>
              </w:rPr>
              <w:br w:type="textWrapping"/>
            </w:r>
            <w:r>
              <w:rPr>
                <w:rFonts w:hint="eastAsia" w:ascii="仿宋_GB2312" w:eastAsia="仿宋_GB2312"/>
                <w:szCs w:val="21"/>
              </w:rPr>
              <w:t>管理  （6分）</w:t>
            </w:r>
          </w:p>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管理制度</w:t>
            </w:r>
          </w:p>
          <w:p>
            <w:pPr>
              <w:spacing w:line="320" w:lineRule="exact"/>
              <w:jc w:val="center"/>
              <w:rPr>
                <w:rFonts w:ascii="仿宋_GB2312" w:eastAsia="仿宋_GB2312"/>
                <w:szCs w:val="21"/>
              </w:rPr>
            </w:pPr>
            <w:r>
              <w:rPr>
                <w:rFonts w:hint="eastAsia" w:ascii="仿宋_GB2312" w:eastAsia="仿宋_GB2312"/>
                <w:szCs w:val="21"/>
              </w:rPr>
              <w:t>健全性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部门有加强资产管理、规范资产管理行为而制定的管理制度的计1分；有效执行相关文件的计1分。反之不计分。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 xml:space="preserve">是否已制定或具有资产管理制度；           </w:t>
            </w:r>
            <w:r>
              <w:rPr>
                <w:rFonts w:hint="eastAsia" w:ascii="仿宋_GB2312" w:hAnsi="宋体" w:eastAsia="仿宋_GB2312" w:cs="宋体"/>
                <w:szCs w:val="21"/>
              </w:rPr>
              <w:t>②</w:t>
            </w:r>
            <w:r>
              <w:rPr>
                <w:rFonts w:hint="eastAsia" w:ascii="仿宋_GB2312" w:eastAsia="仿宋_GB2312"/>
                <w:szCs w:val="21"/>
              </w:rPr>
              <w:t>相关资金管理制度是否合法、合规、完整；</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相关资产管理制度是否得到有效执行。</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837"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资产管理</w:t>
            </w:r>
          </w:p>
          <w:p>
            <w:pPr>
              <w:spacing w:line="320" w:lineRule="exact"/>
              <w:jc w:val="center"/>
              <w:rPr>
                <w:rFonts w:ascii="仿宋_GB2312" w:eastAsia="仿宋_GB2312"/>
                <w:szCs w:val="21"/>
              </w:rPr>
            </w:pPr>
            <w:r>
              <w:rPr>
                <w:rFonts w:hint="eastAsia" w:ascii="仿宋_GB2312" w:eastAsia="仿宋_GB2312"/>
                <w:szCs w:val="21"/>
              </w:rPr>
              <w:t>安全性 （2分）</w:t>
            </w:r>
          </w:p>
        </w:tc>
        <w:tc>
          <w:tcPr>
            <w:tcW w:w="2908" w:type="dxa"/>
            <w:shd w:val="clear" w:color="auto" w:fill="auto"/>
            <w:tcMar>
              <w:top w:w="10" w:type="dxa"/>
              <w:left w:w="10" w:type="dxa"/>
              <w:bottom w:w="0" w:type="dxa"/>
              <w:right w:w="10" w:type="dxa"/>
            </w:tcMar>
            <w:vAlign w:val="center"/>
          </w:tcPr>
          <w:p>
            <w:pPr>
              <w:tabs>
                <w:tab w:val="left" w:pos="761"/>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部门的资产是否保存完整、使用合规、配置合理、处置规范、收入及时足额上缴计满分，每一项不达标扣0.5分，扣完为止。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资产保存是否完整；</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资产配置是否合理；</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资产处置是否规范；</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资产账务管理是否合规，是否帐实相符；</w:t>
            </w:r>
            <w:r>
              <w:rPr>
                <w:rFonts w:hint="eastAsia" w:ascii="仿宋_GB2312" w:eastAsia="仿宋_GB2312"/>
                <w:szCs w:val="21"/>
              </w:rPr>
              <w:br w:type="textWrapping"/>
            </w:r>
            <w:r>
              <w:rPr>
                <w:rFonts w:hint="eastAsia" w:ascii="仿宋_GB2312" w:hAnsi="宋体" w:eastAsia="仿宋_GB2312" w:cs="宋体"/>
                <w:szCs w:val="21"/>
              </w:rPr>
              <w:t>⑤</w:t>
            </w:r>
            <w:r>
              <w:rPr>
                <w:rFonts w:hint="eastAsia" w:ascii="仿宋_GB2312" w:eastAsia="仿宋_GB2312"/>
                <w:szCs w:val="21"/>
              </w:rPr>
              <w:t>资产是否有偿使用及处置收入及时足额上缴。</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995" w:hRule="atLeast"/>
          <w:jc w:val="center"/>
        </w:trPr>
        <w:tc>
          <w:tcPr>
            <w:tcW w:w="666" w:type="dxa"/>
            <w:vMerge w:val="continue"/>
            <w:shd w:val="clear" w:color="auto" w:fill="auto"/>
            <w:vAlign w:val="center"/>
          </w:tcPr>
          <w:p>
            <w:pPr>
              <w:spacing w:line="320" w:lineRule="exact"/>
              <w:rPr>
                <w:rFonts w:ascii="仿宋_GB2312" w:eastAsia="仿宋_GB2312"/>
                <w:szCs w:val="21"/>
              </w:rPr>
            </w:pPr>
          </w:p>
        </w:tc>
        <w:tc>
          <w:tcPr>
            <w:tcW w:w="866" w:type="dxa"/>
            <w:vMerge w:val="continue"/>
            <w:shd w:val="clear" w:color="auto" w:fill="auto"/>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固定资产</w:t>
            </w:r>
          </w:p>
          <w:p>
            <w:pPr>
              <w:spacing w:line="320" w:lineRule="exact"/>
              <w:jc w:val="center"/>
              <w:rPr>
                <w:rFonts w:ascii="仿宋_GB2312" w:eastAsia="仿宋_GB2312"/>
                <w:szCs w:val="21"/>
              </w:rPr>
            </w:pPr>
            <w:r>
              <w:rPr>
                <w:rFonts w:hint="eastAsia" w:ascii="仿宋_GB2312" w:eastAsia="仿宋_GB2312"/>
                <w:szCs w:val="21"/>
              </w:rPr>
              <w:t>利用率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100%计满分，每降低5%扣1分，扣完为止。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固定资产利用率=（实际在用固定资产总额/所有固定资产总额）×100%。</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799" w:hRule="atLeast"/>
          <w:jc w:val="center"/>
        </w:trPr>
        <w:tc>
          <w:tcPr>
            <w:tcW w:w="666"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产出（20分）</w:t>
            </w:r>
          </w:p>
        </w:tc>
        <w:tc>
          <w:tcPr>
            <w:tcW w:w="866"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职责</w:t>
            </w:r>
            <w:r>
              <w:rPr>
                <w:rFonts w:hint="eastAsia" w:ascii="仿宋_GB2312" w:eastAsia="仿宋_GB2312"/>
                <w:szCs w:val="21"/>
              </w:rPr>
              <w:br w:type="textWrapping"/>
            </w:r>
            <w:r>
              <w:rPr>
                <w:rFonts w:hint="eastAsia" w:ascii="仿宋_GB2312" w:eastAsia="仿宋_GB2312"/>
                <w:szCs w:val="21"/>
              </w:rPr>
              <w:t>履行 （20分）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实际</w:t>
            </w:r>
          </w:p>
          <w:p>
            <w:pPr>
              <w:spacing w:line="320" w:lineRule="exact"/>
              <w:jc w:val="center"/>
              <w:rPr>
                <w:rFonts w:ascii="仿宋_GB2312" w:eastAsia="仿宋_GB2312"/>
                <w:szCs w:val="21"/>
              </w:rPr>
            </w:pPr>
            <w:r>
              <w:rPr>
                <w:rFonts w:hint="eastAsia" w:ascii="仿宋_GB2312" w:eastAsia="仿宋_GB2312"/>
                <w:szCs w:val="21"/>
              </w:rPr>
              <w:t>完成率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100%计满分，每超过1%扣1分，扣完为止。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实际完成率=（实际完成工作数/计划工作数）×100%。</w:t>
            </w:r>
            <w:r>
              <w:rPr>
                <w:rFonts w:hint="eastAsia" w:ascii="仿宋_GB2312" w:eastAsia="仿宋_GB2312"/>
                <w:szCs w:val="21"/>
              </w:rPr>
              <w:br w:type="textWrapping"/>
            </w:r>
            <w:r>
              <w:rPr>
                <w:rFonts w:hint="eastAsia" w:ascii="仿宋_GB2312" w:eastAsia="仿宋_GB2312"/>
                <w:szCs w:val="21"/>
              </w:rPr>
              <w:t>实际完成工作数：一定时期（年度或规划期）内部门实际完成工作任务的数量。</w:t>
            </w:r>
            <w:r>
              <w:rPr>
                <w:rFonts w:hint="eastAsia" w:ascii="仿宋_GB2312" w:eastAsia="仿宋_GB2312"/>
                <w:szCs w:val="21"/>
              </w:rPr>
              <w:br w:type="textWrapping"/>
            </w:r>
            <w:r>
              <w:rPr>
                <w:rFonts w:hint="eastAsia" w:ascii="仿宋_GB2312" w:eastAsia="仿宋_GB2312"/>
                <w:szCs w:val="21"/>
              </w:rPr>
              <w:t>计划工作数：部门整体绩效目标确定的一定时期（年度或规划期）内预计完成工作任务的数量。</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635" w:hRule="atLeast"/>
          <w:jc w:val="center"/>
        </w:trPr>
        <w:tc>
          <w:tcPr>
            <w:tcW w:w="666" w:type="dxa"/>
            <w:vMerge w:val="restart"/>
            <w:vAlign w:val="center"/>
          </w:tcPr>
          <w:p>
            <w:pPr>
              <w:spacing w:line="320" w:lineRule="exact"/>
              <w:jc w:val="center"/>
              <w:rPr>
                <w:rFonts w:ascii="仿宋_GB2312" w:eastAsia="仿宋_GB2312"/>
                <w:szCs w:val="21"/>
              </w:rPr>
            </w:pPr>
            <w:r>
              <w:rPr>
                <w:rFonts w:hint="eastAsia" w:ascii="仿宋_GB2312" w:eastAsia="仿宋_GB2312"/>
                <w:szCs w:val="21"/>
              </w:rPr>
              <w:t>产</w:t>
            </w:r>
          </w:p>
          <w:p>
            <w:pPr>
              <w:spacing w:line="320" w:lineRule="exact"/>
              <w:jc w:val="center"/>
              <w:rPr>
                <w:rFonts w:ascii="仿宋_GB2312" w:eastAsia="仿宋_GB2312"/>
                <w:szCs w:val="21"/>
              </w:rPr>
            </w:pPr>
            <w:r>
              <w:rPr>
                <w:rFonts w:hint="eastAsia" w:ascii="仿宋_GB2312" w:eastAsia="仿宋_GB2312"/>
                <w:szCs w:val="21"/>
              </w:rPr>
              <w:t>出</w:t>
            </w:r>
          </w:p>
          <w:p>
            <w:pPr>
              <w:spacing w:line="320" w:lineRule="exact"/>
              <w:jc w:val="center"/>
              <w:rPr>
                <w:rFonts w:ascii="仿宋_GB2312" w:eastAsia="仿宋_GB2312"/>
                <w:szCs w:val="21"/>
              </w:rPr>
            </w:pPr>
            <w:r>
              <w:rPr>
                <w:rFonts w:hint="eastAsia" w:ascii="仿宋_GB2312" w:eastAsia="仿宋_GB2312"/>
                <w:szCs w:val="21"/>
              </w:rPr>
              <w:t>（20分）</w:t>
            </w:r>
          </w:p>
        </w:tc>
        <w:tc>
          <w:tcPr>
            <w:tcW w:w="866" w:type="dxa"/>
            <w:vMerge w:val="restart"/>
            <w:vAlign w:val="center"/>
          </w:tcPr>
          <w:p>
            <w:pPr>
              <w:spacing w:line="320" w:lineRule="exact"/>
              <w:jc w:val="center"/>
              <w:rPr>
                <w:rFonts w:ascii="仿宋_GB2312" w:eastAsia="仿宋_GB2312"/>
                <w:szCs w:val="21"/>
              </w:rPr>
            </w:pPr>
            <w:r>
              <w:rPr>
                <w:rFonts w:hint="eastAsia" w:ascii="仿宋_GB2312" w:eastAsia="仿宋_GB2312"/>
                <w:szCs w:val="21"/>
              </w:rPr>
              <w:t>职责</w:t>
            </w:r>
            <w:r>
              <w:rPr>
                <w:rFonts w:hint="eastAsia" w:ascii="仿宋_GB2312" w:eastAsia="仿宋_GB2312"/>
                <w:szCs w:val="21"/>
              </w:rPr>
              <w:br w:type="textWrapping"/>
            </w:r>
            <w:r>
              <w:rPr>
                <w:rFonts w:hint="eastAsia" w:ascii="仿宋_GB2312" w:eastAsia="仿宋_GB2312"/>
                <w:szCs w:val="21"/>
              </w:rPr>
              <w:t>履行 （20分）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完成</w:t>
            </w:r>
          </w:p>
          <w:p>
            <w:pPr>
              <w:spacing w:line="320" w:lineRule="exact"/>
              <w:jc w:val="center"/>
              <w:rPr>
                <w:rFonts w:ascii="仿宋_GB2312" w:eastAsia="仿宋_GB2312"/>
                <w:szCs w:val="21"/>
              </w:rPr>
            </w:pPr>
            <w:r>
              <w:rPr>
                <w:rFonts w:hint="eastAsia" w:ascii="仿宋_GB2312" w:eastAsia="仿宋_GB2312"/>
                <w:szCs w:val="21"/>
              </w:rPr>
              <w:t>及时率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100%以下（含）计满分，每超出1%扣1分，扣完为止。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完成及时率=（及时完成实际工作数/计划工作数）×100%。</w:t>
            </w:r>
            <w:r>
              <w:rPr>
                <w:rFonts w:hint="eastAsia" w:ascii="仿宋_GB2312" w:eastAsia="仿宋_GB2312"/>
                <w:szCs w:val="21"/>
              </w:rPr>
              <w:br w:type="textWrapping"/>
            </w:r>
            <w:r>
              <w:rPr>
                <w:rFonts w:hint="eastAsia" w:ascii="仿宋_GB2312" w:eastAsia="仿宋_GB2312"/>
                <w:szCs w:val="21"/>
              </w:rPr>
              <w:t>及时完成实际工作数：部门按照整体绩效目标确定的时限实际完成的工作任务数量。</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737"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质量</w:t>
            </w:r>
          </w:p>
          <w:p>
            <w:pPr>
              <w:spacing w:line="320" w:lineRule="exact"/>
              <w:jc w:val="center"/>
              <w:rPr>
                <w:rFonts w:ascii="仿宋_GB2312" w:eastAsia="仿宋_GB2312"/>
                <w:szCs w:val="21"/>
              </w:rPr>
            </w:pPr>
            <w:r>
              <w:rPr>
                <w:rFonts w:hint="eastAsia" w:ascii="仿宋_GB2312" w:eastAsia="仿宋_GB2312"/>
                <w:szCs w:val="21"/>
              </w:rPr>
              <w:t>达标率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100%计满分，每超过1%扣1分，扣完为止。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质量达标率=（质量达标实际工作数/计划工作数）×100%。</w:t>
            </w:r>
            <w:r>
              <w:rPr>
                <w:rFonts w:hint="eastAsia" w:ascii="仿宋_GB2312" w:eastAsia="仿宋_GB2312"/>
                <w:szCs w:val="21"/>
              </w:rPr>
              <w:br w:type="textWrapping"/>
            </w:r>
            <w:r>
              <w:rPr>
                <w:rFonts w:hint="eastAsia" w:ascii="仿宋_GB2312" w:eastAsia="仿宋_GB2312"/>
                <w:szCs w:val="21"/>
              </w:rPr>
              <w:t>质量达标实际工作数：一定时期（年度或规划期）内部门实际完成工作数中达到部门绩效目标要求（绩效标准值）的工作任务数量。</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470"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重点工作</w:t>
            </w:r>
          </w:p>
          <w:p>
            <w:pPr>
              <w:spacing w:line="320" w:lineRule="exact"/>
              <w:jc w:val="center"/>
              <w:rPr>
                <w:rFonts w:ascii="仿宋_GB2312" w:eastAsia="仿宋_GB2312"/>
                <w:szCs w:val="21"/>
              </w:rPr>
            </w:pPr>
            <w:r>
              <w:rPr>
                <w:rFonts w:hint="eastAsia" w:ascii="仿宋_GB2312" w:eastAsia="仿宋_GB2312"/>
                <w:szCs w:val="21"/>
              </w:rPr>
              <w:t>办结率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根据绩效办2020年对各部门为民办实事和部门重点工程与重点工作考核分数折算。该项得分=（绩效办对应部分考核得分）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重点工作办结率=（重点工作实际完成数/交办或下达数）×100%。</w:t>
            </w:r>
            <w:r>
              <w:rPr>
                <w:rFonts w:hint="eastAsia" w:ascii="仿宋_GB2312" w:eastAsia="仿宋_GB2312"/>
                <w:szCs w:val="21"/>
              </w:rPr>
              <w:br w:type="textWrapping"/>
            </w:r>
            <w:r>
              <w:rPr>
                <w:rFonts w:hint="eastAsia" w:ascii="仿宋_GB2312" w:eastAsia="仿宋_GB2312"/>
                <w:szCs w:val="21"/>
              </w:rPr>
              <w:t>重点工作是指党委、政府、人大、相关部门交办或下达的工作任务。</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35" w:hRule="atLeast"/>
          <w:jc w:val="center"/>
        </w:trPr>
        <w:tc>
          <w:tcPr>
            <w:tcW w:w="6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效</w:t>
            </w:r>
          </w:p>
          <w:p>
            <w:pPr>
              <w:spacing w:line="320" w:lineRule="exact"/>
              <w:jc w:val="center"/>
              <w:rPr>
                <w:rFonts w:ascii="仿宋_GB2312" w:eastAsia="仿宋_GB2312"/>
                <w:szCs w:val="21"/>
              </w:rPr>
            </w:pPr>
            <w:r>
              <w:rPr>
                <w:rFonts w:hint="eastAsia" w:ascii="仿宋_GB2312" w:eastAsia="仿宋_GB2312"/>
                <w:szCs w:val="21"/>
              </w:rPr>
              <w:t>果</w:t>
            </w:r>
          </w:p>
          <w:p>
            <w:pPr>
              <w:spacing w:line="320" w:lineRule="exact"/>
              <w:jc w:val="center"/>
              <w:rPr>
                <w:rFonts w:ascii="仿宋_GB2312" w:eastAsia="仿宋_GB2312"/>
                <w:szCs w:val="21"/>
              </w:rPr>
            </w:pPr>
            <w:r>
              <w:rPr>
                <w:rFonts w:hint="eastAsia" w:ascii="仿宋_GB2312" w:eastAsia="仿宋_GB2312"/>
                <w:szCs w:val="21"/>
              </w:rPr>
              <w:t>（20分）</w:t>
            </w: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履职</w:t>
            </w:r>
            <w:r>
              <w:rPr>
                <w:rFonts w:hint="eastAsia" w:ascii="仿宋_GB2312" w:eastAsia="仿宋_GB2312"/>
                <w:szCs w:val="21"/>
              </w:rPr>
              <w:br w:type="textWrapping"/>
            </w:r>
            <w:r>
              <w:rPr>
                <w:rFonts w:hint="eastAsia" w:ascii="仿宋_GB2312" w:eastAsia="仿宋_GB2312"/>
                <w:szCs w:val="21"/>
              </w:rPr>
              <w:t>效益 （20分）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经济效益（5分）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部门履行职责对经济发展所带来的直接或间接影响。</w:t>
            </w:r>
          </w:p>
        </w:tc>
        <w:tc>
          <w:tcPr>
            <w:tcW w:w="4252" w:type="dxa"/>
            <w:vMerge w:val="restart"/>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此三项指标为设置部门整体支出绩效评价指标时必须考虑的共性要素，可根据部门实际并结合部门整体支出绩效目标设立情况有选择的进行设置，并将其细化为相应的个性化指标。</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35"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社会效益（5分）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部门履行职责对社会发展所带来的直接或间接影响。</w:t>
            </w:r>
          </w:p>
        </w:tc>
        <w:tc>
          <w:tcPr>
            <w:tcW w:w="4252" w:type="dxa"/>
            <w:vMerge w:val="continue"/>
            <w:vAlign w:val="center"/>
          </w:tcPr>
          <w:p>
            <w:pPr>
              <w:spacing w:line="320" w:lineRule="exact"/>
              <w:ind w:left="105" w:leftChars="50" w:right="105" w:rightChars="50"/>
              <w:rPr>
                <w:rFonts w:ascii="仿宋_GB2312" w:eastAsia="仿宋_GB2312"/>
                <w:szCs w:val="21"/>
              </w:rPr>
            </w:pP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35"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生态效益（5分）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部门履行职责对生态环境所带来的直接或间接影响。</w:t>
            </w:r>
          </w:p>
        </w:tc>
        <w:tc>
          <w:tcPr>
            <w:tcW w:w="4252" w:type="dxa"/>
            <w:vMerge w:val="continue"/>
            <w:vAlign w:val="center"/>
          </w:tcPr>
          <w:p>
            <w:pPr>
              <w:spacing w:line="320" w:lineRule="exact"/>
              <w:ind w:left="105" w:leftChars="50" w:right="105" w:rightChars="50"/>
              <w:rPr>
                <w:rFonts w:ascii="仿宋_GB2312" w:eastAsia="仿宋_GB2312"/>
                <w:szCs w:val="21"/>
              </w:rPr>
            </w:pP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312"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社会公众</w:t>
            </w:r>
          </w:p>
          <w:p>
            <w:pPr>
              <w:spacing w:line="320" w:lineRule="exact"/>
              <w:jc w:val="center"/>
              <w:rPr>
                <w:rFonts w:ascii="仿宋_GB2312" w:eastAsia="仿宋_GB2312"/>
                <w:szCs w:val="21"/>
              </w:rPr>
            </w:pPr>
            <w:r>
              <w:rPr>
                <w:rFonts w:hint="eastAsia" w:ascii="仿宋_GB2312" w:eastAsia="仿宋_GB2312"/>
                <w:szCs w:val="21"/>
              </w:rPr>
              <w:t>或服务对</w:t>
            </w:r>
          </w:p>
          <w:p>
            <w:pPr>
              <w:spacing w:line="320" w:lineRule="exact"/>
              <w:jc w:val="center"/>
              <w:rPr>
                <w:rFonts w:ascii="仿宋_GB2312" w:eastAsia="仿宋_GB2312"/>
                <w:szCs w:val="21"/>
              </w:rPr>
            </w:pPr>
            <w:r>
              <w:rPr>
                <w:rFonts w:hint="eastAsia" w:ascii="仿宋_GB2312" w:eastAsia="仿宋_GB2312"/>
                <w:szCs w:val="21"/>
              </w:rPr>
              <w:t>象满意度（5分）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社会公众或部门的服务对象对部门履职效果的满意程度。</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社会公众或服务对象是指部门履行职责而影响到的部门、群体或个人。一般采取社会调查的方式。</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312" w:hRule="atLeast"/>
          <w:jc w:val="center"/>
        </w:trPr>
        <w:tc>
          <w:tcPr>
            <w:tcW w:w="9643" w:type="dxa"/>
            <w:gridSpan w:val="5"/>
            <w:vAlign w:val="center"/>
          </w:tcPr>
          <w:p>
            <w:pPr>
              <w:spacing w:line="320" w:lineRule="exact"/>
              <w:ind w:left="105" w:leftChars="50" w:right="105" w:rightChars="50"/>
              <w:jc w:val="center"/>
              <w:rPr>
                <w:rFonts w:ascii="仿宋_GB2312" w:eastAsia="仿宋_GB2312"/>
                <w:szCs w:val="21"/>
              </w:rPr>
            </w:pPr>
          </w:p>
        </w:tc>
        <w:tc>
          <w:tcPr>
            <w:tcW w:w="938" w:type="dxa"/>
            <w:vAlign w:val="center"/>
          </w:tcPr>
          <w:p>
            <w:pPr>
              <w:spacing w:line="320" w:lineRule="exact"/>
              <w:ind w:left="105" w:leftChars="50" w:right="105" w:rightChars="50"/>
              <w:jc w:val="center"/>
              <w:rPr>
                <w:rFonts w:hint="default" w:ascii="仿宋_GB2312" w:eastAsia="仿宋_GB2312"/>
                <w:szCs w:val="21"/>
                <w:lang w:val="en-US" w:eastAsia="zh-CN"/>
              </w:rPr>
            </w:pPr>
            <w:bookmarkStart w:id="0" w:name="_GoBack"/>
            <w:bookmarkEnd w:id="0"/>
            <w:r>
              <w:rPr>
                <w:rFonts w:hint="eastAsia" w:ascii="仿宋_GB2312" w:eastAsia="仿宋_GB2312"/>
                <w:szCs w:val="21"/>
                <w:lang w:val="en-US" w:eastAsia="zh-CN"/>
              </w:rPr>
              <w:t>96.5</w:t>
            </w:r>
          </w:p>
        </w:tc>
      </w:tr>
    </w:tbl>
    <w:p>
      <w:pPr/>
    </w:p>
    <w:p>
      <w:pPr>
        <w:widowControl/>
        <w:jc w:val="left"/>
      </w:pPr>
      <w:r>
        <w:br w:type="page"/>
      </w:r>
    </w:p>
    <w:p>
      <w:pPr>
        <w:widowControl/>
        <w:jc w:val="left"/>
        <w:rPr>
          <w:rFonts w:eastAsia="仿宋_GB2312"/>
          <w:sz w:val="32"/>
          <w:szCs w:val="32"/>
        </w:rPr>
      </w:pPr>
      <w:r>
        <w:rPr>
          <w:rFonts w:eastAsia="黑体"/>
          <w:sz w:val="32"/>
          <w:szCs w:val="32"/>
        </w:rPr>
        <w:t>附件</w:t>
      </w:r>
      <w:r>
        <w:rPr>
          <w:rFonts w:hint="eastAsia" w:eastAsia="黑体"/>
          <w:sz w:val="32"/>
          <w:szCs w:val="32"/>
        </w:rPr>
        <w:t>2</w:t>
      </w:r>
    </w:p>
    <w:p>
      <w:pPr>
        <w:jc w:val="center"/>
        <w:rPr>
          <w:rFonts w:ascii="仿宋" w:hAnsi="仿宋" w:eastAsia="仿宋"/>
          <w:b/>
          <w:bCs/>
          <w:sz w:val="44"/>
          <w:szCs w:val="44"/>
        </w:rPr>
      </w:pPr>
      <w:r>
        <w:rPr>
          <w:rFonts w:hint="eastAsia" w:ascii="仿宋" w:hAnsi="仿宋" w:eastAsia="仿宋"/>
          <w:b/>
          <w:bCs/>
          <w:sz w:val="44"/>
          <w:szCs w:val="44"/>
        </w:rPr>
        <w:t>部门整体支出绩效评价基础数据表</w:t>
      </w:r>
    </w:p>
    <w:p>
      <w:pPr>
        <w:rPr>
          <w:rFonts w:hint="eastAsia" w:ascii="仿宋" w:hAnsi="仿宋" w:eastAsia="仿宋"/>
          <w:lang w:eastAsia="zh-CN"/>
        </w:rPr>
      </w:pPr>
      <w:r>
        <w:rPr>
          <w:rFonts w:hint="eastAsia" w:ascii="仿宋" w:hAnsi="仿宋" w:eastAsia="仿宋"/>
        </w:rPr>
        <w:t>填报单位：怀化市</w:t>
      </w:r>
      <w:r>
        <w:rPr>
          <w:rFonts w:hint="eastAsia" w:ascii="仿宋" w:hAnsi="仿宋" w:eastAsia="仿宋"/>
          <w:lang w:eastAsia="zh-CN"/>
        </w:rPr>
        <w:t>贺家田小学</w:t>
      </w:r>
    </w:p>
    <w:tbl>
      <w:tblPr>
        <w:tblStyle w:val="8"/>
        <w:tblW w:w="10314" w:type="dxa"/>
        <w:jc w:val="cente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3597"/>
        <w:gridCol w:w="2181"/>
        <w:gridCol w:w="2292"/>
        <w:gridCol w:w="2244"/>
      </w:tblGrid>
      <w:tr>
        <w:tblPrEx>
          <w:tblLayout w:type="fixed"/>
          <w:tblCellMar>
            <w:top w:w="0" w:type="dxa"/>
            <w:left w:w="108" w:type="dxa"/>
            <w:bottom w:w="0" w:type="dxa"/>
            <w:right w:w="108" w:type="dxa"/>
          </w:tblCellMar>
        </w:tblPrEx>
        <w:trPr>
          <w:trHeight w:val="452" w:hRule="atLeast"/>
          <w:jc w:val="center"/>
        </w:trPr>
        <w:tc>
          <w:tcPr>
            <w:tcW w:w="3597" w:type="dxa"/>
            <w:vMerge w:val="restart"/>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财政供养人员情况</w:t>
            </w: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编制数</w:t>
            </w:r>
          </w:p>
        </w:tc>
        <w:tc>
          <w:tcPr>
            <w:tcW w:w="2292"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2020年实际在职人数</w:t>
            </w:r>
          </w:p>
        </w:tc>
        <w:tc>
          <w:tcPr>
            <w:tcW w:w="2244"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控制率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9" w:hRule="atLeast"/>
          <w:jc w:val="center"/>
        </w:trPr>
        <w:tc>
          <w:tcPr>
            <w:tcW w:w="3597"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440" w:lineRule="exact"/>
              <w:jc w:val="left"/>
              <w:rPr>
                <w:rFonts w:ascii="仿宋" w:hAnsi="仿宋" w:eastAsia="仿宋"/>
              </w:rPr>
            </w:pP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hint="default" w:ascii="仿宋" w:hAnsi="仿宋" w:eastAsia="仿宋"/>
                <w:lang w:val="en-US" w:eastAsia="zh-CN"/>
              </w:rPr>
            </w:pPr>
            <w:r>
              <w:rPr>
                <w:rFonts w:hint="eastAsia" w:ascii="仿宋" w:hAnsi="仿宋" w:eastAsia="仿宋"/>
                <w:lang w:val="en-US" w:eastAsia="zh-CN"/>
              </w:rPr>
              <w:t>15</w:t>
            </w:r>
          </w:p>
        </w:tc>
        <w:tc>
          <w:tcPr>
            <w:tcW w:w="2292" w:type="dxa"/>
            <w:tcBorders>
              <w:top w:val="single" w:color="000000" w:sz="4" w:space="0"/>
              <w:left w:val="nil"/>
              <w:bottom w:val="single" w:color="000000" w:sz="4" w:space="0"/>
              <w:right w:val="single" w:color="000000" w:sz="4" w:space="0"/>
            </w:tcBorders>
            <w:vAlign w:val="center"/>
          </w:tcPr>
          <w:p>
            <w:pPr>
              <w:spacing w:line="440" w:lineRule="exact"/>
              <w:jc w:val="center"/>
              <w:rPr>
                <w:rFonts w:hint="default" w:ascii="仿宋" w:hAnsi="仿宋" w:eastAsia="仿宋"/>
                <w:lang w:val="en-US" w:eastAsia="zh-CN"/>
              </w:rPr>
            </w:pPr>
            <w:r>
              <w:rPr>
                <w:rFonts w:hint="eastAsia" w:ascii="仿宋" w:hAnsi="仿宋" w:eastAsia="仿宋"/>
                <w:lang w:val="en-US" w:eastAsia="zh-CN"/>
              </w:rPr>
              <w:t>17</w:t>
            </w:r>
          </w:p>
        </w:tc>
        <w:tc>
          <w:tcPr>
            <w:tcW w:w="2244"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lang w:val="en-US" w:eastAsia="zh-CN"/>
              </w:rPr>
              <w:t>88</w:t>
            </w:r>
            <w:r>
              <w:rPr>
                <w:rFonts w:hint="eastAsia" w:ascii="仿宋" w:hAnsi="仿宋" w:eastAsia="仿宋"/>
              </w:rPr>
              <w:t>%</w:t>
            </w:r>
          </w:p>
        </w:tc>
      </w:tr>
      <w:tr>
        <w:tblPrEx>
          <w:tblLayout w:type="fixed"/>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经费控制情况</w:t>
            </w: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2019年决算数</w:t>
            </w:r>
          </w:p>
        </w:tc>
        <w:tc>
          <w:tcPr>
            <w:tcW w:w="2292"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2020年预算数</w:t>
            </w:r>
          </w:p>
        </w:tc>
        <w:tc>
          <w:tcPr>
            <w:tcW w:w="2244"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2020年决算数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29"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三公经费</w:t>
            </w:r>
          </w:p>
        </w:tc>
        <w:tc>
          <w:tcPr>
            <w:tcW w:w="2181"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r>
              <w:rPr>
                <w:rFonts w:hint="eastAsia" w:ascii="仿宋" w:hAnsi="仿宋" w:eastAsia="仿宋"/>
              </w:rPr>
              <w:t>0.3万元</w:t>
            </w:r>
          </w:p>
        </w:tc>
        <w:tc>
          <w:tcPr>
            <w:tcW w:w="2292"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r>
              <w:rPr>
                <w:rFonts w:hint="eastAsia" w:ascii="仿宋" w:hAnsi="仿宋" w:eastAsia="仿宋"/>
              </w:rPr>
              <w:t>0.3万元</w:t>
            </w: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r>
              <w:rPr>
                <w:rFonts w:hint="eastAsia" w:ascii="仿宋" w:hAnsi="仿宋" w:eastAsia="仿宋"/>
              </w:rPr>
              <w:t>0.</w:t>
            </w:r>
            <w:r>
              <w:rPr>
                <w:rFonts w:hint="eastAsia" w:ascii="仿宋" w:hAnsi="仿宋" w:eastAsia="仿宋"/>
                <w:lang w:val="en-US" w:eastAsia="zh-CN"/>
              </w:rPr>
              <w:t>3</w:t>
            </w:r>
            <w:r>
              <w:rPr>
                <w:rFonts w:hint="eastAsia" w:ascii="仿宋" w:hAnsi="仿宋" w:eastAsia="仿宋"/>
              </w:rPr>
              <w:t>万元</w:t>
            </w:r>
          </w:p>
        </w:tc>
      </w:tr>
      <w:tr>
        <w:tblPrEx>
          <w:tblLayout w:type="fixed"/>
          <w:tblCellMar>
            <w:top w:w="0" w:type="dxa"/>
            <w:left w:w="108" w:type="dxa"/>
            <w:bottom w:w="0" w:type="dxa"/>
            <w:right w:w="108" w:type="dxa"/>
          </w:tblCellMar>
        </w:tblPrEx>
        <w:trPr>
          <w:trHeight w:val="449"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1、公务用车购置和维护经费</w:t>
            </w:r>
          </w:p>
        </w:tc>
        <w:tc>
          <w:tcPr>
            <w:tcW w:w="2181"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r>
              <w:rPr>
                <w:rFonts w:hint="eastAsia" w:ascii="仿宋" w:hAnsi="仿宋" w:eastAsia="仿宋"/>
              </w:rPr>
              <w:t>0</w:t>
            </w:r>
          </w:p>
        </w:tc>
        <w:tc>
          <w:tcPr>
            <w:tcW w:w="2292"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r>
              <w:rPr>
                <w:rFonts w:hint="eastAsia" w:ascii="仿宋" w:hAnsi="仿宋" w:eastAsia="仿宋"/>
              </w:rPr>
              <w:t>0</w:t>
            </w: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r>
              <w:rPr>
                <w:rFonts w:hint="eastAsia" w:ascii="仿宋" w:hAnsi="仿宋" w:eastAsia="仿宋"/>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40"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其中：公车购置</w:t>
            </w:r>
          </w:p>
        </w:tc>
        <w:tc>
          <w:tcPr>
            <w:tcW w:w="2181"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r>
              <w:rPr>
                <w:rFonts w:hint="eastAsia" w:ascii="仿宋" w:hAnsi="仿宋" w:eastAsia="仿宋"/>
              </w:rPr>
              <w:t>0</w:t>
            </w:r>
          </w:p>
        </w:tc>
        <w:tc>
          <w:tcPr>
            <w:tcW w:w="2292"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r>
              <w:rPr>
                <w:rFonts w:hint="eastAsia" w:ascii="仿宋" w:hAnsi="仿宋" w:eastAsia="仿宋"/>
              </w:rPr>
              <w:t>0</w:t>
            </w: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r>
              <w:rPr>
                <w:rFonts w:hint="eastAsia" w:ascii="仿宋" w:hAnsi="仿宋" w:eastAsia="仿宋"/>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公车运行维护</w:t>
            </w:r>
          </w:p>
        </w:tc>
        <w:tc>
          <w:tcPr>
            <w:tcW w:w="2181"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r>
              <w:rPr>
                <w:rFonts w:hint="eastAsia" w:ascii="仿宋" w:hAnsi="仿宋" w:eastAsia="仿宋"/>
              </w:rPr>
              <w:t>0</w:t>
            </w:r>
          </w:p>
        </w:tc>
        <w:tc>
          <w:tcPr>
            <w:tcW w:w="2292"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r>
              <w:rPr>
                <w:rFonts w:hint="eastAsia" w:ascii="仿宋" w:hAnsi="仿宋" w:eastAsia="仿宋"/>
              </w:rPr>
              <w:t>0</w:t>
            </w: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r>
              <w:rPr>
                <w:rFonts w:hint="eastAsia" w:ascii="仿宋" w:hAnsi="仿宋" w:eastAsia="仿宋"/>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2、出国经费</w:t>
            </w:r>
          </w:p>
        </w:tc>
        <w:tc>
          <w:tcPr>
            <w:tcW w:w="2181"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r>
              <w:rPr>
                <w:rFonts w:hint="eastAsia" w:ascii="仿宋" w:hAnsi="仿宋" w:eastAsia="仿宋"/>
              </w:rPr>
              <w:t>0</w:t>
            </w:r>
          </w:p>
        </w:tc>
        <w:tc>
          <w:tcPr>
            <w:tcW w:w="2292"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r>
              <w:rPr>
                <w:rFonts w:hint="eastAsia" w:ascii="仿宋" w:hAnsi="仿宋" w:eastAsia="仿宋"/>
              </w:rPr>
              <w:t>0</w:t>
            </w: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r>
              <w:rPr>
                <w:rFonts w:hint="eastAsia" w:ascii="仿宋" w:hAnsi="仿宋" w:eastAsia="仿宋"/>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3、公务接待</w:t>
            </w:r>
          </w:p>
        </w:tc>
        <w:tc>
          <w:tcPr>
            <w:tcW w:w="2181"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r>
              <w:rPr>
                <w:rFonts w:hint="eastAsia" w:ascii="仿宋" w:hAnsi="仿宋" w:eastAsia="仿宋"/>
              </w:rPr>
              <w:t>0</w:t>
            </w:r>
          </w:p>
        </w:tc>
        <w:tc>
          <w:tcPr>
            <w:tcW w:w="2292"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r>
              <w:rPr>
                <w:rFonts w:hint="eastAsia" w:ascii="仿宋" w:hAnsi="仿宋" w:eastAsia="仿宋"/>
              </w:rPr>
              <w:t>0</w:t>
            </w: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r>
              <w:rPr>
                <w:rFonts w:hint="eastAsia" w:ascii="仿宋" w:hAnsi="仿宋" w:eastAsia="仿宋"/>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76"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项目支出：</w:t>
            </w:r>
          </w:p>
        </w:tc>
        <w:tc>
          <w:tcPr>
            <w:tcW w:w="2181"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r>
              <w:rPr>
                <w:rFonts w:hint="eastAsia" w:ascii="仿宋" w:hAnsi="仿宋" w:eastAsia="仿宋"/>
              </w:rPr>
              <w:t>0</w:t>
            </w:r>
          </w:p>
        </w:tc>
        <w:tc>
          <w:tcPr>
            <w:tcW w:w="2292" w:type="dxa"/>
            <w:tcBorders>
              <w:top w:val="single" w:color="000000" w:sz="4" w:space="0"/>
              <w:left w:val="nil"/>
              <w:bottom w:val="single" w:color="000000" w:sz="4" w:space="0"/>
              <w:right w:val="single" w:color="000000" w:sz="4" w:space="0"/>
            </w:tcBorders>
          </w:tcPr>
          <w:p>
            <w:pPr>
              <w:pStyle w:val="11"/>
              <w:spacing w:line="440" w:lineRule="exact"/>
              <w:ind w:left="420" w:firstLine="0" w:firstLineChars="0"/>
              <w:jc w:val="center"/>
              <w:rPr>
                <w:rFonts w:ascii="仿宋" w:hAnsi="仿宋" w:eastAsia="仿宋"/>
              </w:rPr>
            </w:pPr>
            <w:r>
              <w:rPr>
                <w:rFonts w:hint="eastAsia" w:ascii="仿宋" w:hAnsi="仿宋" w:eastAsia="仿宋"/>
                <w:lang w:val="en-US" w:eastAsia="zh-CN"/>
              </w:rPr>
              <w:t>39.46</w:t>
            </w:r>
            <w:r>
              <w:rPr>
                <w:rFonts w:hint="eastAsia" w:ascii="仿宋" w:hAnsi="仿宋" w:eastAsia="仿宋"/>
              </w:rPr>
              <w:t>万元</w:t>
            </w:r>
          </w:p>
        </w:tc>
        <w:tc>
          <w:tcPr>
            <w:tcW w:w="2244" w:type="dxa"/>
            <w:tcBorders>
              <w:top w:val="single" w:color="000000" w:sz="4" w:space="0"/>
              <w:left w:val="nil"/>
              <w:bottom w:val="single" w:color="000000" w:sz="4" w:space="0"/>
              <w:right w:val="single" w:color="000000" w:sz="4" w:space="0"/>
            </w:tcBorders>
          </w:tcPr>
          <w:p>
            <w:pPr>
              <w:pStyle w:val="11"/>
              <w:spacing w:line="440" w:lineRule="exact"/>
              <w:ind w:left="420" w:firstLine="0" w:firstLineChars="0"/>
              <w:rPr>
                <w:rFonts w:hint="default" w:ascii="仿宋" w:hAnsi="仿宋" w:eastAsia="仿宋"/>
                <w:lang w:val="en-US" w:eastAsia="zh-CN"/>
              </w:rPr>
            </w:pPr>
            <w:r>
              <w:rPr>
                <w:rFonts w:hint="eastAsia" w:ascii="仿宋" w:hAnsi="仿宋" w:eastAsia="仿宋"/>
                <w:lang w:val="en-US" w:eastAsia="zh-CN"/>
              </w:rPr>
              <w:t>39.46</w:t>
            </w:r>
            <w:r>
              <w:rPr>
                <w:rFonts w:hint="eastAsia" w:ascii="仿宋" w:hAnsi="仿宋" w:eastAsia="仿宋"/>
              </w:rPr>
              <w:t>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1、业务工作专项</w:t>
            </w:r>
          </w:p>
        </w:tc>
        <w:tc>
          <w:tcPr>
            <w:tcW w:w="2181"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r>
              <w:rPr>
                <w:rFonts w:hint="eastAsia" w:ascii="仿宋" w:hAnsi="仿宋" w:eastAsia="仿宋"/>
              </w:rPr>
              <w:t>0</w:t>
            </w:r>
          </w:p>
        </w:tc>
        <w:tc>
          <w:tcPr>
            <w:tcW w:w="2292"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r>
              <w:rPr>
                <w:rFonts w:hint="eastAsia" w:ascii="仿宋" w:hAnsi="仿宋" w:eastAsia="仿宋"/>
              </w:rPr>
              <w:t>0</w:t>
            </w: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r>
              <w:rPr>
                <w:rFonts w:hint="eastAsia" w:ascii="仿宋" w:hAnsi="仿宋" w:eastAsia="仿宋"/>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2、运行维护专项</w:t>
            </w:r>
          </w:p>
        </w:tc>
        <w:tc>
          <w:tcPr>
            <w:tcW w:w="2181"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r>
              <w:rPr>
                <w:rFonts w:hint="eastAsia" w:ascii="仿宋" w:hAnsi="仿宋" w:eastAsia="仿宋"/>
              </w:rPr>
              <w:t>0</w:t>
            </w:r>
          </w:p>
        </w:tc>
        <w:tc>
          <w:tcPr>
            <w:tcW w:w="2292"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r>
              <w:rPr>
                <w:rFonts w:hint="eastAsia" w:ascii="仿宋" w:hAnsi="仿宋" w:eastAsia="仿宋"/>
              </w:rPr>
              <w:t>0</w:t>
            </w: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r>
              <w:rPr>
                <w:rFonts w:hint="eastAsia" w:ascii="仿宋" w:hAnsi="仿宋" w:eastAsia="仿宋"/>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w:t>
            </w:r>
            <w:r>
              <w:rPr>
                <w:rFonts w:hint="eastAsia" w:ascii="宋体" w:hAnsi="宋体" w:cs="宋体"/>
              </w:rPr>
              <w:t> </w:t>
            </w:r>
            <w:r>
              <w:rPr>
                <w:rFonts w:hint="eastAsia" w:ascii="仿宋" w:hAnsi="仿宋" w:eastAsia="仿宋"/>
              </w:rPr>
              <w:t>…</w:t>
            </w:r>
          </w:p>
        </w:tc>
        <w:tc>
          <w:tcPr>
            <w:tcW w:w="2181"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r>
              <w:rPr>
                <w:rFonts w:hint="eastAsia" w:ascii="仿宋" w:hAnsi="仿宋" w:eastAsia="仿宋"/>
              </w:rPr>
              <w:t>0</w:t>
            </w:r>
          </w:p>
        </w:tc>
        <w:tc>
          <w:tcPr>
            <w:tcW w:w="2292"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r>
              <w:rPr>
                <w:rFonts w:hint="eastAsia" w:ascii="仿宋" w:hAnsi="仿宋" w:eastAsia="仿宋"/>
              </w:rPr>
              <w:t>0</w:t>
            </w: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r>
              <w:rPr>
                <w:rFonts w:hint="eastAsia" w:ascii="仿宋" w:hAnsi="仿宋" w:eastAsia="仿宋"/>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公用经费</w:t>
            </w:r>
          </w:p>
        </w:tc>
        <w:tc>
          <w:tcPr>
            <w:tcW w:w="2181"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r>
              <w:rPr>
                <w:rFonts w:hint="eastAsia" w:ascii="仿宋" w:hAnsi="仿宋" w:eastAsia="仿宋"/>
                <w:lang w:val="en-US" w:eastAsia="zh-CN"/>
              </w:rPr>
              <w:t>22.23</w:t>
            </w:r>
            <w:r>
              <w:rPr>
                <w:rFonts w:hint="eastAsia" w:ascii="仿宋" w:hAnsi="仿宋" w:eastAsia="仿宋"/>
              </w:rPr>
              <w:t>万元</w:t>
            </w:r>
          </w:p>
        </w:tc>
        <w:tc>
          <w:tcPr>
            <w:tcW w:w="2292" w:type="dxa"/>
            <w:tcBorders>
              <w:top w:val="single" w:color="000000" w:sz="4" w:space="0"/>
              <w:left w:val="nil"/>
              <w:bottom w:val="single" w:color="000000" w:sz="4" w:space="0"/>
              <w:right w:val="single" w:color="000000" w:sz="4" w:space="0"/>
            </w:tcBorders>
          </w:tcPr>
          <w:p>
            <w:pPr>
              <w:spacing w:line="440" w:lineRule="exact"/>
              <w:ind w:firstLine="420" w:firstLineChars="200"/>
              <w:jc w:val="center"/>
              <w:rPr>
                <w:rFonts w:ascii="仿宋" w:hAnsi="仿宋" w:eastAsia="仿宋"/>
              </w:rPr>
            </w:pPr>
            <w:r>
              <w:rPr>
                <w:rFonts w:hint="eastAsia" w:ascii="仿宋" w:hAnsi="仿宋" w:eastAsia="仿宋"/>
                <w:lang w:val="en-US" w:eastAsia="zh-CN"/>
              </w:rPr>
              <w:t>14.61</w:t>
            </w:r>
            <w:r>
              <w:rPr>
                <w:rFonts w:hint="eastAsia" w:ascii="仿宋" w:hAnsi="仿宋" w:eastAsia="仿宋"/>
              </w:rPr>
              <w:t>万元</w:t>
            </w: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r>
              <w:rPr>
                <w:rFonts w:hint="eastAsia" w:ascii="仿宋" w:hAnsi="仿宋" w:eastAsia="仿宋"/>
                <w:lang w:val="en-US" w:eastAsia="zh-CN"/>
              </w:rPr>
              <w:t>14.61</w:t>
            </w:r>
            <w:r>
              <w:rPr>
                <w:rFonts w:hint="eastAsia" w:ascii="仿宋" w:hAnsi="仿宋" w:eastAsia="仿宋"/>
              </w:rPr>
              <w:t>万元</w:t>
            </w:r>
          </w:p>
        </w:tc>
      </w:tr>
      <w:tr>
        <w:tblPrEx>
          <w:tblLayout w:type="fixed"/>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其中：办公经费</w:t>
            </w:r>
          </w:p>
        </w:tc>
        <w:tc>
          <w:tcPr>
            <w:tcW w:w="2181"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r>
              <w:rPr>
                <w:rFonts w:hint="eastAsia" w:ascii="仿宋" w:hAnsi="仿宋" w:eastAsia="仿宋"/>
                <w:lang w:val="en-US" w:eastAsia="zh-CN"/>
              </w:rPr>
              <w:t>5.89</w:t>
            </w:r>
            <w:r>
              <w:rPr>
                <w:rFonts w:hint="eastAsia" w:ascii="仿宋" w:hAnsi="仿宋" w:eastAsia="仿宋"/>
              </w:rPr>
              <w:t>万元</w:t>
            </w:r>
          </w:p>
        </w:tc>
        <w:tc>
          <w:tcPr>
            <w:tcW w:w="2292" w:type="dxa"/>
            <w:tcBorders>
              <w:top w:val="single" w:color="000000" w:sz="4" w:space="0"/>
              <w:left w:val="nil"/>
              <w:bottom w:val="single" w:color="000000" w:sz="4" w:space="0"/>
              <w:right w:val="single" w:color="000000" w:sz="4" w:space="0"/>
            </w:tcBorders>
          </w:tcPr>
          <w:p>
            <w:pPr>
              <w:spacing w:line="440" w:lineRule="exact"/>
              <w:ind w:firstLine="420" w:firstLineChars="200"/>
              <w:jc w:val="center"/>
              <w:rPr>
                <w:rFonts w:ascii="仿宋" w:hAnsi="仿宋" w:eastAsia="仿宋"/>
              </w:rPr>
            </w:pPr>
            <w:r>
              <w:rPr>
                <w:rFonts w:hint="eastAsia" w:ascii="仿宋" w:hAnsi="仿宋" w:eastAsia="仿宋"/>
                <w:lang w:val="en-US" w:eastAsia="zh-CN"/>
              </w:rPr>
              <w:t>1.38</w:t>
            </w:r>
            <w:r>
              <w:rPr>
                <w:rFonts w:hint="eastAsia" w:ascii="仿宋" w:hAnsi="仿宋" w:eastAsia="仿宋"/>
              </w:rPr>
              <w:t>万元</w:t>
            </w: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r>
              <w:rPr>
                <w:rFonts w:hint="eastAsia" w:ascii="仿宋" w:hAnsi="仿宋" w:eastAsia="仿宋"/>
                <w:lang w:val="en-US" w:eastAsia="zh-CN"/>
              </w:rPr>
              <w:t>1.38</w:t>
            </w:r>
            <w:r>
              <w:rPr>
                <w:rFonts w:hint="eastAsia" w:ascii="仿宋" w:hAnsi="仿宋" w:eastAsia="仿宋"/>
              </w:rPr>
              <w:t>万元</w:t>
            </w:r>
          </w:p>
        </w:tc>
      </w:tr>
      <w:tr>
        <w:tblPrEx>
          <w:tblLayout w:type="fixed"/>
          <w:tblCellMar>
            <w:top w:w="0" w:type="dxa"/>
            <w:left w:w="108" w:type="dxa"/>
            <w:bottom w:w="0" w:type="dxa"/>
            <w:right w:w="108" w:type="dxa"/>
          </w:tblCellMar>
        </w:tblPrEx>
        <w:trPr>
          <w:trHeight w:val="476"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水费、电费、差旅费</w:t>
            </w:r>
          </w:p>
        </w:tc>
        <w:tc>
          <w:tcPr>
            <w:tcW w:w="2181"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r>
              <w:rPr>
                <w:rFonts w:hint="eastAsia" w:ascii="仿宋" w:hAnsi="仿宋" w:eastAsia="仿宋"/>
                <w:lang w:val="en-US" w:eastAsia="zh-CN"/>
              </w:rPr>
              <w:t>4</w:t>
            </w:r>
            <w:r>
              <w:rPr>
                <w:rFonts w:hint="eastAsia" w:ascii="仿宋" w:hAnsi="仿宋" w:eastAsia="仿宋"/>
              </w:rPr>
              <w:t>万元</w:t>
            </w:r>
          </w:p>
        </w:tc>
        <w:tc>
          <w:tcPr>
            <w:tcW w:w="2292" w:type="dxa"/>
            <w:tcBorders>
              <w:top w:val="single" w:color="000000" w:sz="4" w:space="0"/>
              <w:left w:val="nil"/>
              <w:bottom w:val="single" w:color="000000" w:sz="4" w:space="0"/>
              <w:right w:val="single" w:color="000000" w:sz="4" w:space="0"/>
            </w:tcBorders>
          </w:tcPr>
          <w:p>
            <w:pPr>
              <w:spacing w:line="440" w:lineRule="exact"/>
              <w:ind w:firstLine="420" w:firstLineChars="200"/>
              <w:jc w:val="center"/>
              <w:rPr>
                <w:rFonts w:ascii="仿宋" w:hAnsi="仿宋" w:eastAsia="仿宋"/>
              </w:rPr>
            </w:pPr>
            <w:r>
              <w:rPr>
                <w:rFonts w:hint="eastAsia" w:ascii="仿宋" w:hAnsi="仿宋" w:eastAsia="仿宋"/>
                <w:lang w:val="en-US" w:eastAsia="zh-CN"/>
              </w:rPr>
              <w:t>3.65</w:t>
            </w:r>
            <w:r>
              <w:rPr>
                <w:rFonts w:hint="eastAsia" w:ascii="仿宋" w:hAnsi="仿宋" w:eastAsia="仿宋"/>
              </w:rPr>
              <w:t>万元</w:t>
            </w: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r>
              <w:rPr>
                <w:rFonts w:hint="eastAsia" w:ascii="仿宋" w:hAnsi="仿宋" w:eastAsia="仿宋"/>
                <w:lang w:val="en-US" w:eastAsia="zh-CN"/>
              </w:rPr>
              <w:t>3.65</w:t>
            </w:r>
            <w:r>
              <w:rPr>
                <w:rFonts w:hint="eastAsia" w:ascii="仿宋" w:hAnsi="仿宋" w:eastAsia="仿宋"/>
              </w:rPr>
              <w:t>万元</w:t>
            </w:r>
          </w:p>
        </w:tc>
      </w:tr>
      <w:tr>
        <w:tblPrEx>
          <w:tblLayout w:type="fixed"/>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会议费、培训费</w:t>
            </w:r>
          </w:p>
        </w:tc>
        <w:tc>
          <w:tcPr>
            <w:tcW w:w="2181"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r>
              <w:rPr>
                <w:rFonts w:hint="eastAsia" w:ascii="仿宋" w:hAnsi="仿宋" w:eastAsia="仿宋"/>
                <w:lang w:val="en-US" w:eastAsia="zh-CN"/>
              </w:rPr>
              <w:t>1</w:t>
            </w:r>
            <w:r>
              <w:rPr>
                <w:rFonts w:hint="eastAsia" w:ascii="仿宋" w:hAnsi="仿宋" w:eastAsia="仿宋"/>
              </w:rPr>
              <w:t>万元</w:t>
            </w:r>
          </w:p>
        </w:tc>
        <w:tc>
          <w:tcPr>
            <w:tcW w:w="2292" w:type="dxa"/>
            <w:tcBorders>
              <w:top w:val="single" w:color="000000" w:sz="4" w:space="0"/>
              <w:left w:val="nil"/>
              <w:bottom w:val="single" w:color="000000" w:sz="4" w:space="0"/>
              <w:right w:val="single" w:color="000000" w:sz="4" w:space="0"/>
            </w:tcBorders>
          </w:tcPr>
          <w:p>
            <w:pPr>
              <w:spacing w:line="440" w:lineRule="exact"/>
              <w:ind w:firstLine="525" w:firstLineChars="250"/>
              <w:jc w:val="center"/>
              <w:rPr>
                <w:rFonts w:ascii="仿宋" w:hAnsi="仿宋" w:eastAsia="仿宋"/>
              </w:rPr>
            </w:pPr>
            <w:r>
              <w:rPr>
                <w:rFonts w:hint="eastAsia" w:ascii="仿宋" w:hAnsi="仿宋" w:eastAsia="仿宋"/>
                <w:lang w:val="en-US" w:eastAsia="zh-CN"/>
              </w:rPr>
              <w:t>2.5</w:t>
            </w:r>
            <w:r>
              <w:rPr>
                <w:rFonts w:hint="eastAsia" w:ascii="仿宋" w:hAnsi="仿宋" w:eastAsia="仿宋"/>
              </w:rPr>
              <w:t>万元</w:t>
            </w: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r>
              <w:rPr>
                <w:rFonts w:hint="eastAsia" w:ascii="仿宋" w:hAnsi="仿宋" w:eastAsia="仿宋"/>
                <w:lang w:val="en-US" w:eastAsia="zh-CN"/>
              </w:rPr>
              <w:t>2.5</w:t>
            </w:r>
            <w:r>
              <w:rPr>
                <w:rFonts w:hint="eastAsia" w:ascii="仿宋" w:hAnsi="仿宋" w:eastAsia="仿宋"/>
              </w:rPr>
              <w:t>万元</w:t>
            </w:r>
          </w:p>
        </w:tc>
      </w:tr>
      <w:tr>
        <w:tblPrEx>
          <w:tblLayout w:type="fixed"/>
          <w:tblCellMar>
            <w:top w:w="0" w:type="dxa"/>
            <w:left w:w="108" w:type="dxa"/>
            <w:bottom w:w="0" w:type="dxa"/>
            <w:right w:w="108" w:type="dxa"/>
          </w:tblCellMar>
        </w:tblPrEx>
        <w:trPr>
          <w:trHeight w:val="405"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政府采购金额</w:t>
            </w: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 —</w:t>
            </w:r>
          </w:p>
        </w:tc>
        <w:tc>
          <w:tcPr>
            <w:tcW w:w="2292"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69"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部门整体支出预算调整</w:t>
            </w: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 —</w:t>
            </w:r>
          </w:p>
        </w:tc>
        <w:tc>
          <w:tcPr>
            <w:tcW w:w="2292"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r>
    </w:tbl>
    <w:p>
      <w:pPr>
        <w:spacing w:line="400" w:lineRule="exact"/>
        <w:rPr>
          <w:rFonts w:ascii="仿宋" w:hAnsi="仿宋" w:eastAsia="仿宋"/>
        </w:rPr>
      </w:pPr>
      <w:r>
        <w:rPr>
          <w:rFonts w:hint="eastAsia" w:ascii="仿宋" w:hAnsi="仿宋" w:eastAsia="仿宋"/>
        </w:rPr>
        <w:t>说明：“项目支出”需要填报除专项资金和基本支出以外的所有项目情况，包括业务工作项目、运行维护项目等；“公用经费”填报基本支出中的一般商品和服务支出。</w:t>
      </w:r>
    </w:p>
    <w:p>
      <w:pPr/>
    </w:p>
    <w:p>
      <w:pPr/>
    </w:p>
    <w:p>
      <w:pPr/>
    </w:p>
    <w:p>
      <w:pPr/>
    </w:p>
    <w:p>
      <w:pPr/>
    </w:p>
    <w:p>
      <w:pPr/>
    </w:p>
    <w:p>
      <w:pPr/>
    </w:p>
    <w:p>
      <w:pPr>
        <w:widowControl/>
        <w:spacing w:line="600" w:lineRule="exact"/>
        <w:jc w:val="left"/>
        <w:rPr>
          <w:rFonts w:eastAsia="黑体"/>
          <w:kern w:val="0"/>
          <w:sz w:val="32"/>
          <w:szCs w:val="32"/>
        </w:rPr>
      </w:pPr>
      <w:r>
        <w:rPr>
          <w:rFonts w:eastAsia="黑体"/>
          <w:kern w:val="0"/>
          <w:sz w:val="32"/>
          <w:szCs w:val="32"/>
        </w:rPr>
        <w:t>附件</w:t>
      </w:r>
      <w:r>
        <w:rPr>
          <w:rFonts w:hint="eastAsia" w:eastAsia="黑体"/>
          <w:kern w:val="0"/>
          <w:sz w:val="32"/>
          <w:szCs w:val="32"/>
        </w:rPr>
        <w:t>3</w:t>
      </w:r>
    </w:p>
    <w:p>
      <w:pPr>
        <w:widowControl/>
        <w:spacing w:line="600" w:lineRule="exact"/>
        <w:jc w:val="left"/>
        <w:rPr>
          <w:rFonts w:eastAsia="黑体"/>
          <w:kern w:val="0"/>
          <w:sz w:val="32"/>
          <w:szCs w:val="32"/>
        </w:rPr>
      </w:pPr>
    </w:p>
    <w:p>
      <w:pPr>
        <w:spacing w:line="600" w:lineRule="exact"/>
        <w:jc w:val="center"/>
        <w:rPr>
          <w:rFonts w:asciiTheme="minorEastAsia" w:hAnsiTheme="minorEastAsia" w:eastAsiaTheme="minorEastAsia"/>
          <w:sz w:val="36"/>
          <w:szCs w:val="36"/>
        </w:rPr>
      </w:pPr>
      <w:r>
        <w:rPr>
          <w:rFonts w:hint="eastAsia" w:asciiTheme="minorEastAsia" w:hAnsiTheme="minorEastAsia" w:eastAsiaTheme="minorEastAsia"/>
          <w:sz w:val="36"/>
          <w:szCs w:val="36"/>
          <w:lang w:eastAsia="zh-CN"/>
        </w:rPr>
        <w:t>贺家田小学</w:t>
      </w:r>
      <w:r>
        <w:rPr>
          <w:rFonts w:asciiTheme="minorEastAsia" w:hAnsiTheme="minorEastAsia" w:eastAsiaTheme="minorEastAsia"/>
          <w:sz w:val="36"/>
          <w:szCs w:val="36"/>
        </w:rPr>
        <w:t>整体支出绩效评价报告</w:t>
      </w:r>
    </w:p>
    <w:p>
      <w:pPr>
        <w:spacing w:line="600" w:lineRule="exact"/>
        <w:jc w:val="center"/>
        <w:rPr>
          <w:rFonts w:asciiTheme="minorEastAsia" w:hAnsiTheme="minorEastAsia" w:eastAsiaTheme="minorEastAsia"/>
          <w:sz w:val="32"/>
          <w:szCs w:val="32"/>
        </w:rPr>
      </w:pPr>
    </w:p>
    <w:p>
      <w:pPr>
        <w:pStyle w:val="11"/>
        <w:widowControl/>
        <w:numPr>
          <w:ilvl w:val="0"/>
          <w:numId w:val="1"/>
        </w:numPr>
        <w:spacing w:line="600" w:lineRule="exact"/>
        <w:ind w:firstLineChars="0"/>
        <w:rPr>
          <w:rFonts w:ascii="Times New Roman" w:hAnsi="Times New Roman" w:eastAsia="黑体"/>
          <w:sz w:val="32"/>
          <w:szCs w:val="32"/>
        </w:rPr>
      </w:pPr>
      <w:r>
        <w:rPr>
          <w:rFonts w:ascii="Times New Roman" w:hAnsi="Times New Roman" w:eastAsia="黑体"/>
          <w:sz w:val="32"/>
          <w:szCs w:val="32"/>
        </w:rPr>
        <w:t>部门、单位基本情况</w:t>
      </w:r>
    </w:p>
    <w:p>
      <w:pPr>
        <w:spacing w:line="600" w:lineRule="exact"/>
        <w:ind w:firstLine="700" w:firstLineChars="250"/>
        <w:rPr>
          <w:rFonts w:ascii="宋体" w:hAnsi="宋体" w:cs="仿宋"/>
          <w:b w:val="0"/>
          <w:sz w:val="30"/>
          <w:szCs w:val="30"/>
        </w:rPr>
      </w:pPr>
      <w:r>
        <w:rPr>
          <w:rFonts w:hint="eastAsia" w:cs="仿宋" w:asciiTheme="minorEastAsia" w:hAnsiTheme="minorEastAsia" w:eastAsiaTheme="minorEastAsia"/>
          <w:sz w:val="28"/>
          <w:szCs w:val="28"/>
        </w:rPr>
        <w:t>怀化市贺家田</w:t>
      </w:r>
      <w:r>
        <w:rPr>
          <w:rFonts w:hint="eastAsia" w:cs="仿宋" w:asciiTheme="minorEastAsia" w:hAnsiTheme="minorEastAsia" w:eastAsiaTheme="minorEastAsia"/>
          <w:sz w:val="28"/>
          <w:szCs w:val="28"/>
          <w:lang w:eastAsia="zh-CN"/>
        </w:rPr>
        <w:t>小学</w:t>
      </w:r>
      <w:r>
        <w:rPr>
          <w:rFonts w:hint="eastAsia" w:cs="仿宋" w:asciiTheme="minorEastAsia" w:hAnsiTheme="minorEastAsia" w:eastAsiaTheme="minorEastAsia"/>
          <w:sz w:val="28"/>
          <w:szCs w:val="28"/>
        </w:rPr>
        <w:t>是全额拨款的事业单位，主要工作职责：全面贯彻党的教育方针，落实九年义务教育各项政策，保障学生受教育的各项权利，维护教师职工各项权益。</w:t>
      </w:r>
      <w:r>
        <w:rPr>
          <w:rFonts w:hint="eastAsia" w:asciiTheme="minorEastAsia" w:hAnsiTheme="minorEastAsia" w:eastAsiaTheme="minorEastAsia"/>
          <w:bCs/>
          <w:kern w:val="0"/>
          <w:sz w:val="28"/>
          <w:szCs w:val="28"/>
        </w:rPr>
        <w:t>内设机构设置： 9</w:t>
      </w:r>
      <w:r>
        <w:rPr>
          <w:rFonts w:hint="eastAsia" w:cs="仿宋" w:asciiTheme="minorEastAsia" w:hAnsiTheme="minorEastAsia" w:eastAsiaTheme="minorEastAsia"/>
          <w:sz w:val="28"/>
          <w:szCs w:val="28"/>
        </w:rPr>
        <w:t>个职能处室：学校办公室、校长室、工会、党支部、总务处、教务处、德育处、教研室、财务室。</w:t>
      </w:r>
    </w:p>
    <w:p>
      <w:pPr>
        <w:widowControl/>
        <w:spacing w:line="600" w:lineRule="exact"/>
        <w:ind w:firstLine="960" w:firstLineChars="300"/>
        <w:rPr>
          <w:rFonts w:eastAsia="黑体"/>
          <w:sz w:val="32"/>
          <w:szCs w:val="32"/>
        </w:rPr>
      </w:pPr>
      <w:r>
        <w:rPr>
          <w:rFonts w:hint="eastAsia" w:eastAsia="黑体"/>
          <w:sz w:val="32"/>
          <w:szCs w:val="32"/>
        </w:rPr>
        <w:t>二、</w:t>
      </w:r>
      <w:r>
        <w:rPr>
          <w:rFonts w:eastAsia="黑体"/>
          <w:sz w:val="32"/>
          <w:szCs w:val="32"/>
        </w:rPr>
        <w:t>一般公共预算支出情况</w:t>
      </w:r>
    </w:p>
    <w:p>
      <w:pPr>
        <w:pStyle w:val="11"/>
        <w:widowControl/>
        <w:spacing w:line="600" w:lineRule="exact"/>
        <w:ind w:left="640" w:firstLine="0" w:firstLineChars="0"/>
        <w:rPr>
          <w:rFonts w:ascii="Times New Roman" w:hAnsi="Times New Roman" w:eastAsia="黑体"/>
          <w:sz w:val="32"/>
          <w:szCs w:val="32"/>
        </w:rPr>
      </w:pPr>
      <w:r>
        <w:rPr>
          <w:rFonts w:hint="eastAsia" w:ascii="Times New Roman" w:hAnsi="Times New Roman" w:eastAsia="黑体"/>
          <w:sz w:val="32"/>
          <w:szCs w:val="32"/>
        </w:rPr>
        <w:t>（一）</w:t>
      </w:r>
      <w:r>
        <w:rPr>
          <w:rFonts w:ascii="Times New Roman" w:hAnsi="Times New Roman" w:eastAsia="黑体"/>
          <w:sz w:val="32"/>
          <w:szCs w:val="32"/>
        </w:rPr>
        <w:t>基本支出情况</w:t>
      </w:r>
    </w:p>
    <w:p>
      <w:pPr>
        <w:widowControl/>
        <w:spacing w:line="600" w:lineRule="exact"/>
        <w:ind w:firstLine="280" w:firstLineChars="100"/>
        <w:rPr>
          <w:rFonts w:ascii="Times New Roman" w:hAnsi="Times New Roman" w:eastAsia="黑体"/>
          <w:sz w:val="32"/>
          <w:szCs w:val="32"/>
        </w:rPr>
      </w:pPr>
      <w:r>
        <w:rPr>
          <w:rFonts w:hint="eastAsia" w:cs="宋体" w:asciiTheme="minorEastAsia" w:hAnsiTheme="minorEastAsia" w:eastAsiaTheme="minorEastAsia"/>
          <w:sz w:val="28"/>
          <w:szCs w:val="28"/>
        </w:rPr>
        <w:t>20</w:t>
      </w:r>
      <w:r>
        <w:rPr>
          <w:rFonts w:hint="eastAsia" w:cs="宋体" w:asciiTheme="minorEastAsia" w:hAnsiTheme="minorEastAsia" w:eastAsiaTheme="minorEastAsia"/>
          <w:sz w:val="28"/>
          <w:szCs w:val="28"/>
          <w:lang w:val="en-US" w:eastAsia="zh-CN"/>
        </w:rPr>
        <w:t>20</w:t>
      </w:r>
      <w:r>
        <w:rPr>
          <w:rFonts w:hint="eastAsia" w:cs="宋体" w:asciiTheme="minorEastAsia" w:hAnsiTheme="minorEastAsia" w:eastAsiaTheme="minorEastAsia"/>
          <w:sz w:val="28"/>
          <w:szCs w:val="28"/>
        </w:rPr>
        <w:t>年总支出为</w:t>
      </w:r>
      <w:r>
        <w:rPr>
          <w:rFonts w:hint="eastAsia" w:cs="宋体" w:asciiTheme="minorEastAsia" w:hAnsiTheme="minorEastAsia" w:eastAsiaTheme="minorEastAsia"/>
          <w:sz w:val="28"/>
          <w:szCs w:val="28"/>
          <w:lang w:val="en-US" w:eastAsia="zh-CN"/>
        </w:rPr>
        <w:t>289.17</w:t>
      </w:r>
      <w:r>
        <w:rPr>
          <w:rFonts w:hint="eastAsia" w:cs="宋体" w:asciiTheme="minorEastAsia" w:hAnsiTheme="minorEastAsia" w:eastAsiaTheme="minorEastAsia"/>
          <w:sz w:val="28"/>
          <w:szCs w:val="28"/>
        </w:rPr>
        <w:t>万元，其中：人员经费支出</w:t>
      </w:r>
      <w:r>
        <w:rPr>
          <w:rFonts w:hint="eastAsia" w:cs="宋体" w:asciiTheme="minorEastAsia" w:hAnsiTheme="minorEastAsia" w:eastAsiaTheme="minorEastAsia"/>
          <w:sz w:val="28"/>
          <w:szCs w:val="28"/>
          <w:lang w:val="en-US" w:eastAsia="zh-CN"/>
        </w:rPr>
        <w:t>274.55</w:t>
      </w:r>
      <w:r>
        <w:rPr>
          <w:rFonts w:hint="eastAsia" w:cs="宋体" w:asciiTheme="minorEastAsia" w:hAnsiTheme="minorEastAsia" w:eastAsiaTheme="minorEastAsia"/>
          <w:sz w:val="28"/>
          <w:szCs w:val="28"/>
        </w:rPr>
        <w:t>万元，日常公用经费</w:t>
      </w:r>
      <w:r>
        <w:rPr>
          <w:rFonts w:hint="eastAsia" w:cs="宋体" w:asciiTheme="minorEastAsia" w:hAnsiTheme="minorEastAsia" w:eastAsiaTheme="minorEastAsia"/>
          <w:sz w:val="28"/>
          <w:szCs w:val="28"/>
          <w:lang w:val="en-US" w:eastAsia="zh-CN"/>
        </w:rPr>
        <w:t>14.61</w:t>
      </w:r>
      <w:r>
        <w:rPr>
          <w:rFonts w:hint="eastAsia" w:cs="宋体" w:asciiTheme="minorEastAsia" w:hAnsiTheme="minorEastAsia" w:eastAsiaTheme="minorEastAsia"/>
          <w:sz w:val="28"/>
          <w:szCs w:val="28"/>
        </w:rPr>
        <w:t>万元，</w:t>
      </w:r>
    </w:p>
    <w:p>
      <w:pPr>
        <w:pStyle w:val="11"/>
        <w:widowControl/>
        <w:spacing w:line="600" w:lineRule="exact"/>
        <w:ind w:left="640" w:firstLine="0" w:firstLineChars="0"/>
        <w:rPr>
          <w:rFonts w:ascii="Times New Roman" w:hAnsi="Times New Roman" w:eastAsia="黑体"/>
          <w:sz w:val="32"/>
          <w:szCs w:val="32"/>
        </w:rPr>
      </w:pPr>
      <w:r>
        <w:rPr>
          <w:rFonts w:hint="eastAsia" w:ascii="Times New Roman" w:hAnsi="Times New Roman" w:eastAsia="黑体"/>
          <w:sz w:val="32"/>
          <w:szCs w:val="32"/>
        </w:rPr>
        <w:t>（二）</w:t>
      </w:r>
      <w:r>
        <w:rPr>
          <w:rFonts w:ascii="Times New Roman" w:hAnsi="Times New Roman" w:eastAsia="黑体"/>
          <w:sz w:val="32"/>
          <w:szCs w:val="32"/>
        </w:rPr>
        <w:t>项目支出情况</w:t>
      </w:r>
    </w:p>
    <w:p>
      <w:pPr>
        <w:pStyle w:val="11"/>
        <w:widowControl/>
        <w:spacing w:line="600" w:lineRule="exact"/>
        <w:ind w:left="640" w:firstLine="0" w:firstLineChars="0"/>
        <w:jc w:val="left"/>
        <w:rPr>
          <w:rFonts w:hint="eastAsia" w:eastAsia="仿宋_GB2312"/>
          <w:sz w:val="32"/>
          <w:szCs w:val="32"/>
          <w:lang w:val="en-US" w:eastAsia="zh-CN"/>
        </w:rPr>
      </w:pPr>
      <w:r>
        <w:rPr>
          <w:rFonts w:hint="eastAsia" w:eastAsia="仿宋_GB2312"/>
          <w:sz w:val="32"/>
          <w:szCs w:val="32"/>
          <w:lang w:eastAsia="zh-CN"/>
        </w:rPr>
        <w:t>项目支出为</w:t>
      </w:r>
      <w:r>
        <w:rPr>
          <w:rFonts w:hint="eastAsia" w:eastAsia="仿宋_GB2312"/>
          <w:sz w:val="32"/>
          <w:szCs w:val="32"/>
          <w:lang w:val="en-US" w:eastAsia="zh-CN"/>
        </w:rPr>
        <w:t>39.46万元，其中包括营养午餐15.08万元，乡镇补贴9.096万元，校车费2.4万元，人才津贴7.92万元，保安费4.968万元。</w:t>
      </w:r>
    </w:p>
    <w:p>
      <w:pPr>
        <w:pStyle w:val="11"/>
        <w:widowControl/>
        <w:spacing w:line="600" w:lineRule="exact"/>
        <w:ind w:left="640" w:firstLine="0" w:firstLineChars="0"/>
        <w:jc w:val="left"/>
        <w:rPr>
          <w:rFonts w:ascii="Times New Roman" w:hAnsi="Times New Roman" w:eastAsia="黑体"/>
          <w:sz w:val="32"/>
          <w:szCs w:val="32"/>
        </w:rPr>
      </w:pPr>
      <w:r>
        <w:rPr>
          <w:rFonts w:hint="eastAsia" w:ascii="Times New Roman" w:hAnsi="Times New Roman" w:eastAsia="黑体"/>
          <w:sz w:val="32"/>
          <w:szCs w:val="32"/>
        </w:rPr>
        <w:t>三、</w:t>
      </w:r>
      <w:r>
        <w:rPr>
          <w:rFonts w:ascii="Times New Roman" w:hAnsi="Times New Roman" w:eastAsia="黑体"/>
          <w:sz w:val="32"/>
          <w:szCs w:val="32"/>
        </w:rPr>
        <w:t>政府性基金预算支出情况</w:t>
      </w:r>
    </w:p>
    <w:p>
      <w:pPr>
        <w:pStyle w:val="11"/>
        <w:widowControl/>
        <w:spacing w:line="600" w:lineRule="exact"/>
        <w:ind w:left="640" w:firstLine="480" w:firstLineChars="150"/>
        <w:jc w:val="left"/>
        <w:rPr>
          <w:rFonts w:ascii="Times New Roman" w:hAnsi="Times New Roman" w:eastAsia="黑体"/>
          <w:sz w:val="32"/>
          <w:szCs w:val="32"/>
        </w:rPr>
      </w:pPr>
      <w:r>
        <w:rPr>
          <w:rFonts w:hint="eastAsia" w:ascii="Times New Roman" w:hAnsi="Times New Roman" w:eastAsia="黑体"/>
          <w:sz w:val="32"/>
          <w:szCs w:val="32"/>
        </w:rPr>
        <w:t>无</w:t>
      </w:r>
    </w:p>
    <w:p>
      <w:pPr>
        <w:pStyle w:val="11"/>
        <w:widowControl/>
        <w:spacing w:line="600" w:lineRule="exact"/>
        <w:ind w:left="640" w:firstLine="0" w:firstLineChars="0"/>
        <w:jc w:val="left"/>
        <w:rPr>
          <w:rFonts w:ascii="Times New Roman" w:hAnsi="Times New Roman" w:eastAsia="黑体"/>
          <w:sz w:val="32"/>
          <w:szCs w:val="32"/>
        </w:rPr>
      </w:pPr>
      <w:r>
        <w:rPr>
          <w:rFonts w:hint="eastAsia" w:ascii="Times New Roman" w:hAnsi="Times New Roman" w:eastAsia="黑体"/>
          <w:sz w:val="32"/>
          <w:szCs w:val="32"/>
        </w:rPr>
        <w:t>四、</w:t>
      </w:r>
      <w:r>
        <w:rPr>
          <w:rFonts w:ascii="Times New Roman" w:hAnsi="Times New Roman" w:eastAsia="黑体"/>
          <w:sz w:val="32"/>
          <w:szCs w:val="32"/>
        </w:rPr>
        <w:t>国有资本经营预算支出情况</w:t>
      </w:r>
    </w:p>
    <w:p>
      <w:pPr>
        <w:pStyle w:val="11"/>
        <w:widowControl/>
        <w:spacing w:line="600" w:lineRule="exact"/>
        <w:ind w:left="640" w:firstLine="480" w:firstLineChars="150"/>
        <w:jc w:val="left"/>
        <w:rPr>
          <w:rFonts w:ascii="Times New Roman" w:hAnsi="Times New Roman" w:eastAsia="黑体"/>
          <w:sz w:val="32"/>
          <w:szCs w:val="32"/>
        </w:rPr>
      </w:pPr>
      <w:r>
        <w:rPr>
          <w:rFonts w:hint="eastAsia" w:ascii="Times New Roman" w:hAnsi="Times New Roman" w:eastAsia="黑体"/>
          <w:sz w:val="32"/>
          <w:szCs w:val="32"/>
        </w:rPr>
        <w:t>无</w:t>
      </w:r>
    </w:p>
    <w:p>
      <w:pPr>
        <w:pStyle w:val="11"/>
        <w:widowControl/>
        <w:spacing w:line="600" w:lineRule="exact"/>
        <w:ind w:left="640" w:firstLine="0" w:firstLineChars="0"/>
        <w:jc w:val="left"/>
        <w:rPr>
          <w:rFonts w:ascii="Times New Roman" w:hAnsi="Times New Roman" w:eastAsia="黑体"/>
          <w:sz w:val="32"/>
          <w:szCs w:val="32"/>
        </w:rPr>
      </w:pPr>
      <w:r>
        <w:rPr>
          <w:rFonts w:hint="eastAsia" w:ascii="Times New Roman" w:hAnsi="Times New Roman" w:eastAsia="黑体"/>
          <w:sz w:val="32"/>
          <w:szCs w:val="32"/>
        </w:rPr>
        <w:t>五、</w:t>
      </w:r>
      <w:r>
        <w:rPr>
          <w:rFonts w:ascii="Times New Roman" w:hAnsi="Times New Roman" w:eastAsia="黑体"/>
          <w:sz w:val="32"/>
          <w:szCs w:val="32"/>
        </w:rPr>
        <w:t>社会保险基金预算支出情况</w:t>
      </w:r>
    </w:p>
    <w:p>
      <w:pPr>
        <w:widowControl/>
        <w:spacing w:line="600" w:lineRule="exact"/>
        <w:ind w:firstLine="960" w:firstLineChars="300"/>
        <w:jc w:val="left"/>
        <w:rPr>
          <w:rFonts w:asciiTheme="majorEastAsia" w:hAnsiTheme="majorEastAsia" w:eastAsiaTheme="majorEastAsia"/>
          <w:sz w:val="32"/>
          <w:szCs w:val="32"/>
        </w:rPr>
      </w:pPr>
      <w:r>
        <w:rPr>
          <w:rFonts w:hint="eastAsia" w:asciiTheme="majorEastAsia" w:hAnsiTheme="majorEastAsia" w:eastAsiaTheme="majorEastAsia"/>
          <w:color w:val="000000"/>
          <w:sz w:val="32"/>
          <w:szCs w:val="32"/>
        </w:rPr>
        <w:t>2020年度财政拨款社会保险基金总支出215107.68元。</w:t>
      </w:r>
    </w:p>
    <w:p>
      <w:pPr>
        <w:widowControl/>
        <w:spacing w:line="600" w:lineRule="exact"/>
        <w:ind w:firstLine="645"/>
        <w:jc w:val="left"/>
        <w:rPr>
          <w:rFonts w:eastAsia="黑体"/>
          <w:sz w:val="32"/>
          <w:szCs w:val="32"/>
        </w:rPr>
      </w:pPr>
      <w:r>
        <w:rPr>
          <w:rFonts w:eastAsia="黑体"/>
          <w:sz w:val="32"/>
          <w:szCs w:val="32"/>
        </w:rPr>
        <w:t>六、部门整体支出绩效情况</w:t>
      </w:r>
    </w:p>
    <w:p>
      <w:pPr>
        <w:widowControl/>
        <w:spacing w:line="600" w:lineRule="exact"/>
        <w:ind w:firstLine="960" w:firstLineChars="300"/>
        <w:jc w:val="left"/>
        <w:rPr>
          <w:rFonts w:asciiTheme="majorEastAsia" w:hAnsiTheme="majorEastAsia" w:eastAsiaTheme="majorEastAsia"/>
          <w:sz w:val="32"/>
          <w:szCs w:val="32"/>
        </w:rPr>
      </w:pPr>
      <w:r>
        <w:rPr>
          <w:rFonts w:hint="eastAsia" w:ascii="仿宋" w:hAnsi="仿宋" w:eastAsia="仿宋"/>
          <w:sz w:val="32"/>
          <w:szCs w:val="32"/>
        </w:rPr>
        <w:t>2</w:t>
      </w:r>
      <w:r>
        <w:rPr>
          <w:rFonts w:hint="eastAsia" w:asciiTheme="majorEastAsia" w:hAnsiTheme="majorEastAsia" w:eastAsiaTheme="majorEastAsia"/>
          <w:sz w:val="32"/>
          <w:szCs w:val="32"/>
        </w:rPr>
        <w:t>020年，我单位积极履职，强化管理，较好地完成了年度工作目标。通过加强预算收支管理，不断建立健全内部管理制度，梳理内部管理流程，部门整体支出管理水平得到提升。</w:t>
      </w:r>
    </w:p>
    <w:p>
      <w:pPr>
        <w:widowControl/>
        <w:spacing w:line="600" w:lineRule="exact"/>
        <w:ind w:firstLine="640" w:firstLineChars="200"/>
        <w:jc w:val="left"/>
        <w:rPr>
          <w:rFonts w:eastAsia="黑体"/>
          <w:sz w:val="32"/>
          <w:szCs w:val="32"/>
        </w:rPr>
      </w:pPr>
      <w:r>
        <w:rPr>
          <w:rFonts w:hint="eastAsia" w:eastAsia="黑体"/>
          <w:sz w:val="32"/>
          <w:szCs w:val="32"/>
        </w:rPr>
        <w:t>七、</w:t>
      </w:r>
      <w:r>
        <w:rPr>
          <w:rFonts w:eastAsia="黑体"/>
          <w:sz w:val="32"/>
          <w:szCs w:val="32"/>
        </w:rPr>
        <w:t>存在的问题及原因分析</w:t>
      </w:r>
    </w:p>
    <w:p>
      <w:pPr>
        <w:widowControl/>
        <w:spacing w:line="600" w:lineRule="exact"/>
        <w:ind w:firstLine="640" w:firstLineChars="200"/>
        <w:jc w:val="left"/>
        <w:rPr>
          <w:rFonts w:asciiTheme="majorEastAsia" w:hAnsiTheme="majorEastAsia" w:eastAsiaTheme="majorEastAsia"/>
          <w:sz w:val="32"/>
          <w:szCs w:val="32"/>
        </w:rPr>
      </w:pPr>
      <w:r>
        <w:rPr>
          <w:rFonts w:hint="eastAsia" w:asciiTheme="majorEastAsia" w:hAnsiTheme="majorEastAsia" w:eastAsiaTheme="majorEastAsia"/>
          <w:color w:val="333333"/>
          <w:sz w:val="32"/>
          <w:szCs w:val="32"/>
        </w:rPr>
        <w:t>财政预算与学校实际开支存在偏差，如年终各部门要求学校必须订阅报刊杂志，需购买的一些保险险种等均不在预算内。加上现代化设备的使用率提高，致使水电费的支出成倍增长，</w:t>
      </w:r>
      <w:r>
        <w:rPr>
          <w:rFonts w:hint="eastAsia" w:asciiTheme="majorEastAsia" w:hAnsiTheme="majorEastAsia" w:eastAsiaTheme="majorEastAsia"/>
          <w:color w:val="000000"/>
          <w:spacing w:val="-2"/>
          <w:sz w:val="32"/>
          <w:szCs w:val="32"/>
        </w:rPr>
        <w:t>每年的公用经费根据单位上年底的在职在编人数和经费标准核定金额，不包括当年正式招聘入职但未进编的人数，公用经费存在缺口，</w:t>
      </w:r>
      <w:r>
        <w:rPr>
          <w:rFonts w:hint="eastAsia" w:asciiTheme="majorEastAsia" w:hAnsiTheme="majorEastAsia" w:eastAsiaTheme="majorEastAsia"/>
          <w:color w:val="333333"/>
          <w:sz w:val="32"/>
          <w:szCs w:val="32"/>
        </w:rPr>
        <w:t>以致经费比较紧张。另外财政预算资金到位比较迟缓，各项目经费支付较滞后。</w:t>
      </w:r>
      <w:r>
        <w:rPr>
          <w:rFonts w:hint="eastAsia" w:asciiTheme="majorEastAsia" w:hAnsiTheme="majorEastAsia" w:eastAsiaTheme="majorEastAsia"/>
          <w:color w:val="000000"/>
          <w:sz w:val="32"/>
          <w:szCs w:val="32"/>
        </w:rPr>
        <w:t>学校没有专门的财务人员，都是由本校教师兼职，没有专业的财务知识，但现在对财务工作要求越来越规范，导致我校的财务管理工作开展起来有一定的难度。  </w:t>
      </w:r>
    </w:p>
    <w:p>
      <w:pPr>
        <w:widowControl/>
        <w:spacing w:line="600" w:lineRule="exact"/>
        <w:ind w:firstLine="480" w:firstLineChars="150"/>
        <w:jc w:val="left"/>
        <w:rPr>
          <w:rFonts w:eastAsia="黑体"/>
          <w:sz w:val="32"/>
          <w:szCs w:val="32"/>
        </w:rPr>
      </w:pPr>
      <w:r>
        <w:rPr>
          <w:rFonts w:eastAsia="黑体"/>
          <w:sz w:val="32"/>
          <w:szCs w:val="32"/>
        </w:rPr>
        <w:t>八、下一步改进措施</w:t>
      </w:r>
    </w:p>
    <w:p>
      <w:pPr>
        <w:pStyle w:val="5"/>
        <w:spacing w:before="0" w:beforeAutospacing="0" w:after="0" w:afterAutospacing="0" w:line="570" w:lineRule="atLeast"/>
        <w:ind w:firstLine="640"/>
        <w:jc w:val="both"/>
        <w:rPr>
          <w:rFonts w:asciiTheme="majorEastAsia" w:hAnsiTheme="majorEastAsia" w:eastAsiaTheme="majorEastAsia"/>
          <w:color w:val="333333"/>
        </w:rPr>
      </w:pPr>
      <w:r>
        <w:rPr>
          <w:rFonts w:hint="eastAsia" w:asciiTheme="majorEastAsia" w:hAnsiTheme="majorEastAsia" w:eastAsiaTheme="majorEastAsia"/>
          <w:color w:val="333333"/>
          <w:sz w:val="32"/>
          <w:szCs w:val="32"/>
        </w:rPr>
        <w:t>切实做好预算编制工作，做好本单位情况调查，仔细测算部门资金需求，努力使预算资金合理。进一步建立健全财务制度，规范财务管理，加强绩效评价管理评价的可操作性，对相关业务人员进行相关培训，以提高业务知识水平。</w:t>
      </w:r>
    </w:p>
    <w:p>
      <w:pPr>
        <w:widowControl/>
        <w:spacing w:line="600" w:lineRule="exact"/>
        <w:ind w:firstLine="480" w:firstLineChars="150"/>
        <w:jc w:val="left"/>
        <w:rPr>
          <w:rFonts w:eastAsia="黑体"/>
          <w:sz w:val="32"/>
          <w:szCs w:val="32"/>
        </w:rPr>
      </w:pPr>
      <w:r>
        <w:rPr>
          <w:rFonts w:eastAsia="黑体"/>
          <w:sz w:val="32"/>
          <w:szCs w:val="32"/>
        </w:rPr>
        <w:t>九、其他需要说明的情况</w:t>
      </w:r>
    </w:p>
    <w:p>
      <w:pPr>
        <w:widowControl/>
        <w:spacing w:line="600" w:lineRule="exact"/>
        <w:ind w:firstLine="480" w:firstLineChars="150"/>
        <w:jc w:val="left"/>
        <w:rPr>
          <w:rFonts w:eastAsia="黑体"/>
          <w:sz w:val="32"/>
          <w:szCs w:val="32"/>
        </w:rPr>
      </w:pPr>
      <w:r>
        <w:rPr>
          <w:rFonts w:hint="eastAsia" w:eastAsia="黑体"/>
          <w:sz w:val="32"/>
          <w:szCs w:val="32"/>
        </w:rPr>
        <w:t>无</w:t>
      </w:r>
    </w:p>
    <w:p>
      <w:pPr>
        <w:widowControl/>
        <w:spacing w:line="600" w:lineRule="exact"/>
        <w:ind w:firstLine="645"/>
        <w:jc w:val="left"/>
        <w:rPr>
          <w:rFonts w:eastAsia="仿宋_GB2312"/>
          <w:sz w:val="32"/>
          <w:szCs w:val="32"/>
        </w:rPr>
      </w:pPr>
      <w:r>
        <w:rPr>
          <w:rFonts w:eastAsia="仿宋_GB2312"/>
          <w:sz w:val="32"/>
          <w:szCs w:val="32"/>
        </w:rPr>
        <w:t>报告应包括以下附件：</w:t>
      </w:r>
    </w:p>
    <w:p>
      <w:pPr>
        <w:widowControl/>
        <w:spacing w:line="600" w:lineRule="exact"/>
        <w:ind w:firstLine="640" w:firstLineChars="200"/>
        <w:jc w:val="left"/>
        <w:rPr>
          <w:rFonts w:eastAsia="仿宋_GB2312"/>
          <w:sz w:val="32"/>
          <w:szCs w:val="32"/>
        </w:rPr>
      </w:pPr>
      <w:r>
        <w:rPr>
          <w:rFonts w:eastAsia="仿宋_GB2312"/>
          <w:sz w:val="32"/>
          <w:szCs w:val="32"/>
        </w:rPr>
        <w:t>1、部门整体支出绩效评价基础数据表</w:t>
      </w:r>
    </w:p>
    <w:p>
      <w:pPr>
        <w:widowControl/>
        <w:spacing w:line="600" w:lineRule="exact"/>
        <w:ind w:firstLine="640" w:firstLineChars="200"/>
        <w:jc w:val="left"/>
        <w:rPr>
          <w:rFonts w:eastAsia="仿宋_GB2312"/>
          <w:sz w:val="32"/>
          <w:szCs w:val="32"/>
        </w:rPr>
      </w:pPr>
      <w:r>
        <w:rPr>
          <w:rFonts w:eastAsia="仿宋_GB2312"/>
          <w:sz w:val="32"/>
          <w:szCs w:val="32"/>
        </w:rPr>
        <w:t>2、部门整体支出绩效自评表</w:t>
      </w:r>
    </w:p>
    <w:p>
      <w:pPr>
        <w:widowControl/>
        <w:spacing w:line="600" w:lineRule="exact"/>
        <w:ind w:firstLine="640" w:firstLineChars="200"/>
        <w:jc w:val="left"/>
        <w:rPr>
          <w:rFonts w:eastAsia="仿宋_GB2312"/>
          <w:sz w:val="32"/>
          <w:szCs w:val="32"/>
        </w:rPr>
      </w:pPr>
      <w:r>
        <w:rPr>
          <w:rFonts w:eastAsia="仿宋_GB2312"/>
          <w:sz w:val="32"/>
          <w:szCs w:val="32"/>
        </w:rPr>
        <w:t>3、项目支出绩效自评表（每个一级项目支出一张表）</w:t>
      </w:r>
    </w:p>
    <w:p>
      <w:pPr>
        <w:widowControl/>
        <w:spacing w:line="600" w:lineRule="exact"/>
        <w:ind w:firstLine="640" w:firstLineChars="200"/>
        <w:jc w:val="left"/>
        <w:rPr>
          <w:rFonts w:eastAsia="仿宋_GB2312"/>
          <w:sz w:val="32"/>
          <w:szCs w:val="32"/>
        </w:rPr>
      </w:pPr>
      <w:r>
        <w:rPr>
          <w:rFonts w:eastAsia="仿宋_GB2312"/>
          <w:sz w:val="32"/>
          <w:szCs w:val="32"/>
        </w:rPr>
        <w:t>4、政府性基金预算支出情况表</w:t>
      </w:r>
    </w:p>
    <w:p>
      <w:pPr>
        <w:widowControl/>
        <w:spacing w:line="600" w:lineRule="exact"/>
        <w:ind w:firstLine="640" w:firstLineChars="200"/>
        <w:jc w:val="left"/>
        <w:rPr>
          <w:rFonts w:eastAsia="仿宋_GB2312"/>
          <w:sz w:val="32"/>
          <w:szCs w:val="32"/>
        </w:rPr>
      </w:pPr>
      <w:r>
        <w:rPr>
          <w:rFonts w:eastAsia="仿宋_GB2312"/>
          <w:sz w:val="32"/>
          <w:szCs w:val="32"/>
        </w:rPr>
        <w:t>5、国有资本经营预算支出情况表</w:t>
      </w:r>
    </w:p>
    <w:p>
      <w:pPr>
        <w:widowControl/>
        <w:spacing w:line="600" w:lineRule="exact"/>
        <w:ind w:firstLine="640" w:firstLineChars="200"/>
        <w:jc w:val="left"/>
        <w:rPr>
          <w:rFonts w:eastAsia="仿宋_GB2312"/>
          <w:sz w:val="32"/>
          <w:szCs w:val="32"/>
        </w:rPr>
      </w:pPr>
      <w:r>
        <w:rPr>
          <w:rFonts w:eastAsia="仿宋_GB2312"/>
          <w:sz w:val="32"/>
          <w:szCs w:val="32"/>
        </w:rPr>
        <w:t>6、社会保险基金预算支出情况表</w:t>
      </w: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spacing w:line="400" w:lineRule="exact"/>
        <w:rPr>
          <w:rFonts w:eastAsia="黑体"/>
          <w:sz w:val="32"/>
          <w:szCs w:val="32"/>
        </w:rPr>
      </w:pPr>
    </w:p>
    <w:p>
      <w:pPr>
        <w:spacing w:afterLines="50" w:line="400" w:lineRule="exact"/>
        <w:jc w:val="center"/>
        <w:rPr>
          <w:rFonts w:asciiTheme="minorEastAsia" w:hAnsiTheme="minorEastAsia" w:eastAsiaTheme="minorEastAsia"/>
          <w:bCs/>
          <w:sz w:val="36"/>
          <w:szCs w:val="36"/>
        </w:rPr>
      </w:pPr>
      <w:r>
        <w:rPr>
          <w:rFonts w:asciiTheme="minorEastAsia" w:hAnsiTheme="minorEastAsia" w:eastAsiaTheme="minorEastAsia"/>
          <w:bCs/>
          <w:sz w:val="36"/>
          <w:szCs w:val="36"/>
        </w:rPr>
        <w:t>预算支出绩效评价共性指标体系框架</w:t>
      </w:r>
    </w:p>
    <w:p>
      <w:pPr>
        <w:spacing w:afterLines="50" w:line="400" w:lineRule="exact"/>
        <w:jc w:val="center"/>
        <w:rPr>
          <w:rFonts w:hint="eastAsia" w:asciiTheme="minorEastAsia" w:hAnsiTheme="minorEastAsia" w:eastAsiaTheme="minorEastAsia"/>
          <w:bCs/>
          <w:sz w:val="36"/>
          <w:szCs w:val="36"/>
          <w:lang w:eastAsia="zh-CN"/>
        </w:rPr>
      </w:pPr>
      <w:r>
        <w:rPr>
          <w:rFonts w:hint="eastAsia" w:asciiTheme="minorEastAsia" w:hAnsiTheme="minorEastAsia" w:eastAsiaTheme="minorEastAsia"/>
          <w:bCs/>
          <w:sz w:val="36"/>
          <w:szCs w:val="36"/>
          <w:lang w:eastAsia="zh-CN"/>
        </w:rPr>
        <w:t>贺家田小学</w:t>
      </w:r>
    </w:p>
    <w:tbl>
      <w:tblPr>
        <w:tblStyle w:val="8"/>
        <w:tblW w:w="9933"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777"/>
        <w:gridCol w:w="674"/>
        <w:gridCol w:w="1071"/>
        <w:gridCol w:w="1975"/>
        <w:gridCol w:w="4482"/>
        <w:gridCol w:w="954"/>
      </w:tblGrid>
      <w:tr>
        <w:tblPrEx>
          <w:tblLayout w:type="fixed"/>
          <w:tblCellMar>
            <w:top w:w="0" w:type="dxa"/>
            <w:left w:w="0" w:type="dxa"/>
            <w:bottom w:w="0" w:type="dxa"/>
            <w:right w:w="0" w:type="dxa"/>
          </w:tblCellMar>
        </w:tblPrEx>
        <w:trPr>
          <w:trHeight w:val="454" w:hRule="atLeast"/>
          <w:tblHeader/>
          <w:jc w:val="center"/>
        </w:trPr>
        <w:tc>
          <w:tcPr>
            <w:tcW w:w="777"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一级</w:t>
            </w:r>
            <w:r>
              <w:rPr>
                <w:rFonts w:hint="eastAsia" w:ascii="仿宋_GB2312" w:eastAsia="仿宋_GB2312"/>
                <w:b/>
                <w:bCs/>
                <w:szCs w:val="21"/>
              </w:rPr>
              <w:br w:type="textWrapping"/>
            </w:r>
            <w:r>
              <w:rPr>
                <w:rFonts w:hint="eastAsia" w:ascii="仿宋_GB2312" w:eastAsia="仿宋_GB2312"/>
                <w:b/>
                <w:bCs/>
                <w:szCs w:val="21"/>
              </w:rPr>
              <w:t>指标</w:t>
            </w:r>
          </w:p>
        </w:tc>
        <w:tc>
          <w:tcPr>
            <w:tcW w:w="674"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二级</w:t>
            </w:r>
            <w:r>
              <w:rPr>
                <w:rFonts w:hint="eastAsia" w:ascii="仿宋_GB2312" w:eastAsia="仿宋_GB2312"/>
                <w:b/>
                <w:bCs/>
                <w:szCs w:val="21"/>
              </w:rPr>
              <w:br w:type="textWrapping"/>
            </w:r>
            <w:r>
              <w:rPr>
                <w:rFonts w:hint="eastAsia" w:ascii="仿宋_GB2312" w:eastAsia="仿宋_GB2312"/>
                <w:b/>
                <w:bCs/>
                <w:szCs w:val="21"/>
              </w:rPr>
              <w:t>指标</w:t>
            </w:r>
          </w:p>
        </w:tc>
        <w:tc>
          <w:tcPr>
            <w:tcW w:w="1071"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三级指标</w:t>
            </w:r>
          </w:p>
        </w:tc>
        <w:tc>
          <w:tcPr>
            <w:tcW w:w="1975"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评分及标准</w:t>
            </w:r>
          </w:p>
        </w:tc>
        <w:tc>
          <w:tcPr>
            <w:tcW w:w="4482"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指标说明</w:t>
            </w:r>
          </w:p>
        </w:tc>
        <w:tc>
          <w:tcPr>
            <w:tcW w:w="954" w:type="dxa"/>
            <w:vAlign w:val="center"/>
          </w:tcPr>
          <w:p>
            <w:pPr>
              <w:jc w:val="center"/>
              <w:rPr>
                <w:rFonts w:ascii="仿宋_GB2312" w:eastAsia="仿宋_GB2312"/>
                <w:b/>
                <w:bCs/>
                <w:szCs w:val="21"/>
              </w:rPr>
            </w:pPr>
            <w:r>
              <w:rPr>
                <w:rFonts w:hint="eastAsia" w:ascii="仿宋_GB2312" w:eastAsia="仿宋_GB2312"/>
                <w:b/>
                <w:bCs/>
                <w:szCs w:val="21"/>
              </w:rPr>
              <w:t>自评分</w:t>
            </w:r>
          </w:p>
        </w:tc>
      </w:tr>
      <w:tr>
        <w:tblPrEx>
          <w:tblLayout w:type="fixed"/>
          <w:tblCellMar>
            <w:top w:w="0" w:type="dxa"/>
            <w:left w:w="0" w:type="dxa"/>
            <w:bottom w:w="0" w:type="dxa"/>
            <w:right w:w="0" w:type="dxa"/>
          </w:tblCellMar>
        </w:tblPrEx>
        <w:trPr>
          <w:trHeight w:val="454" w:hRule="atLeast"/>
          <w:jc w:val="center"/>
        </w:trPr>
        <w:tc>
          <w:tcPr>
            <w:tcW w:w="777" w:type="dxa"/>
            <w:vMerge w:val="restart"/>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决</w:t>
            </w:r>
          </w:p>
          <w:p>
            <w:pPr>
              <w:jc w:val="center"/>
              <w:rPr>
                <w:rFonts w:ascii="仿宋_GB2312" w:eastAsia="仿宋_GB2312"/>
                <w:szCs w:val="21"/>
              </w:rPr>
            </w:pPr>
            <w:r>
              <w:rPr>
                <w:rFonts w:hint="eastAsia" w:ascii="仿宋_GB2312" w:eastAsia="仿宋_GB2312"/>
                <w:szCs w:val="21"/>
              </w:rPr>
              <w:t>策 （10）</w:t>
            </w:r>
          </w:p>
        </w:tc>
        <w:tc>
          <w:tcPr>
            <w:tcW w:w="674" w:type="dxa"/>
            <w:vMerge w:val="restart"/>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预算支出决策</w:t>
            </w:r>
          </w:p>
          <w:p>
            <w:pPr>
              <w:jc w:val="center"/>
              <w:rPr>
                <w:rFonts w:ascii="仿宋_GB2312" w:eastAsia="仿宋_GB2312"/>
                <w:szCs w:val="21"/>
              </w:rPr>
            </w:pPr>
            <w:r>
              <w:rPr>
                <w:rFonts w:hint="eastAsia" w:ascii="仿宋_GB2312" w:eastAsia="仿宋_GB2312"/>
                <w:szCs w:val="21"/>
              </w:rPr>
              <w:t>（项目立项）（4）</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预算支出决策（项目立项）依据</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充分性 （2分）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决策（立项）是否符合国家相关法律法规、国民经济发展规划和相关政策；</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决策（立项）是否符合行业发展规划和政策要求；</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决策（立项）是否与部门职责范围相符，属于部门履职所需；</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预算支出是否属于公共财政支持范围，是否符合中央、地方事权支出责任划分原则；</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⑤</w:t>
            </w:r>
            <w:r>
              <w:rPr>
                <w:rFonts w:hint="eastAsia" w:ascii="仿宋_GB2312" w:eastAsia="仿宋_GB2312"/>
                <w:szCs w:val="21"/>
              </w:rPr>
              <w:t>预算支出是否与相关部门同类预算支出或部门内部相关预算支出重复。</w:t>
            </w:r>
          </w:p>
        </w:tc>
        <w:tc>
          <w:tcPr>
            <w:tcW w:w="954" w:type="dxa"/>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365" w:hRule="atLeast"/>
          <w:jc w:val="center"/>
        </w:trPr>
        <w:tc>
          <w:tcPr>
            <w:tcW w:w="777" w:type="dxa"/>
            <w:vMerge w:val="continue"/>
            <w:shd w:val="clear" w:color="auto" w:fill="auto"/>
            <w:tcMar>
              <w:top w:w="10" w:type="dxa"/>
              <w:left w:w="10" w:type="dxa"/>
              <w:bottom w:w="0" w:type="dxa"/>
              <w:right w:w="10" w:type="dxa"/>
            </w:tcMar>
            <w:textDirection w:val="tbRlV"/>
            <w:vAlign w:val="center"/>
          </w:tcPr>
          <w:p>
            <w:pPr>
              <w:jc w:val="center"/>
              <w:rPr>
                <w:rFonts w:ascii="仿宋_GB2312" w:eastAsia="仿宋_GB2312"/>
                <w:szCs w:val="21"/>
              </w:rPr>
            </w:pPr>
          </w:p>
        </w:tc>
        <w:tc>
          <w:tcPr>
            <w:tcW w:w="674" w:type="dxa"/>
            <w:vMerge w:val="continue"/>
            <w:shd w:val="clear" w:color="auto" w:fill="auto"/>
            <w:tcMar>
              <w:top w:w="10" w:type="dxa"/>
              <w:left w:w="10" w:type="dxa"/>
              <w:bottom w:w="0" w:type="dxa"/>
              <w:right w:w="10" w:type="dxa"/>
            </w:tcMar>
            <w:vAlign w:val="center"/>
          </w:tcPr>
          <w:p>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决策（立项）程序规范性</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（2分）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pStyle w:val="11"/>
              <w:numPr>
                <w:ilvl w:val="0"/>
                <w:numId w:val="2"/>
              </w:numPr>
              <w:spacing w:line="260" w:lineRule="exact"/>
              <w:ind w:firstLineChars="0"/>
              <w:rPr>
                <w:rFonts w:ascii="仿宋_GB2312" w:eastAsia="仿宋_GB2312"/>
                <w:szCs w:val="21"/>
              </w:rPr>
            </w:pPr>
            <w:r>
              <w:rPr>
                <w:rFonts w:hint="eastAsia" w:ascii="仿宋_GB2312" w:eastAsia="仿宋_GB2312"/>
                <w:szCs w:val="21"/>
              </w:rPr>
              <w:t>预算支出是否按照规定的程序申请设立；</w:t>
            </w:r>
          </w:p>
          <w:p>
            <w:pPr>
              <w:pStyle w:val="11"/>
              <w:numPr>
                <w:ilvl w:val="0"/>
                <w:numId w:val="2"/>
              </w:numPr>
              <w:spacing w:line="260" w:lineRule="exact"/>
              <w:ind w:firstLineChars="0"/>
              <w:rPr>
                <w:rFonts w:ascii="仿宋_GB2312" w:eastAsia="仿宋_GB2312"/>
                <w:szCs w:val="21"/>
              </w:rPr>
            </w:pPr>
            <w:r>
              <w:rPr>
                <w:rFonts w:hint="eastAsia" w:ascii="仿宋_GB2312" w:eastAsia="仿宋_GB2312"/>
                <w:szCs w:val="21"/>
              </w:rPr>
              <w:t>审批文件、材料是否符合相关要求；</w:t>
            </w:r>
          </w:p>
          <w:p>
            <w:pPr>
              <w:spacing w:line="260" w:lineRule="exact"/>
              <w:ind w:left="105" w:left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事前是否已经过必要的可行性研究、专家论证、风险评估、绩效评估、集体决策。</w:t>
            </w:r>
          </w:p>
        </w:tc>
        <w:tc>
          <w:tcPr>
            <w:tcW w:w="954" w:type="dxa"/>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473"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restart"/>
            <w:shd w:val="clear" w:color="auto" w:fill="auto"/>
            <w:vAlign w:val="center"/>
          </w:tcPr>
          <w:p>
            <w:pPr>
              <w:jc w:val="center"/>
              <w:rPr>
                <w:rFonts w:ascii="仿宋_GB2312" w:eastAsia="仿宋_GB2312"/>
                <w:szCs w:val="21"/>
              </w:rPr>
            </w:pPr>
            <w:r>
              <w:rPr>
                <w:rFonts w:hint="eastAsia" w:ascii="仿宋_GB2312" w:eastAsia="仿宋_GB2312"/>
                <w:szCs w:val="21"/>
              </w:rPr>
              <w:t>绩效</w:t>
            </w:r>
          </w:p>
          <w:p>
            <w:pPr>
              <w:jc w:val="center"/>
              <w:rPr>
                <w:rFonts w:ascii="仿宋_GB2312" w:eastAsia="仿宋_GB2312"/>
                <w:szCs w:val="21"/>
              </w:rPr>
            </w:pPr>
            <w:r>
              <w:rPr>
                <w:rFonts w:hint="eastAsia" w:ascii="仿宋_GB2312" w:eastAsia="仿宋_GB2312"/>
                <w:szCs w:val="21"/>
              </w:rPr>
              <w:t>目标（3）</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绩效目标</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合理性 （2分）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spacing w:line="260" w:lineRule="exact"/>
              <w:ind w:left="105" w:leftChars="50" w:right="105" w:rightChars="50"/>
              <w:rPr>
                <w:rFonts w:ascii="仿宋_GB2312" w:eastAsia="仿宋_GB2312"/>
                <w:szCs w:val="21"/>
              </w:rPr>
            </w:pPr>
            <w:r>
              <w:rPr>
                <w:rFonts w:hint="eastAsia" w:ascii="仿宋_GB2312" w:eastAsia="仿宋_GB2312"/>
                <w:szCs w:val="21"/>
              </w:rPr>
              <w:t>（如未设定预算绩效目标，也可考核其他工作任务目标）</w:t>
            </w:r>
          </w:p>
          <w:p>
            <w:pPr>
              <w:pStyle w:val="11"/>
              <w:numPr>
                <w:ilvl w:val="0"/>
                <w:numId w:val="3"/>
              </w:numPr>
              <w:spacing w:line="260" w:lineRule="exact"/>
              <w:ind w:right="105" w:rightChars="50" w:firstLineChars="0"/>
              <w:rPr>
                <w:rFonts w:ascii="仿宋_GB2312" w:eastAsia="仿宋_GB2312"/>
                <w:szCs w:val="21"/>
              </w:rPr>
            </w:pPr>
            <w:r>
              <w:rPr>
                <w:rFonts w:hint="eastAsia" w:ascii="仿宋_GB2312" w:eastAsia="仿宋_GB2312"/>
                <w:szCs w:val="21"/>
              </w:rPr>
              <w:t>预算支出是否有绩效目标；</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②</w:t>
            </w:r>
            <w:r>
              <w:rPr>
                <w:rFonts w:hint="eastAsia" w:ascii="仿宋_GB2312" w:eastAsia="仿宋_GB2312"/>
                <w:szCs w:val="21"/>
              </w:rPr>
              <w:t>预算支出绩效目标与实际工作内容是否具有相关性；</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预算支出预期产出效益和效果是否符合正常的业绩水平；是否与预算确定的预算支出投资额或资金量相匹配。</w:t>
            </w:r>
          </w:p>
        </w:tc>
        <w:tc>
          <w:tcPr>
            <w:tcW w:w="954" w:type="dxa"/>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continue"/>
            <w:shd w:val="clear" w:color="auto" w:fill="auto"/>
            <w:vAlign w:val="center"/>
          </w:tcPr>
          <w:p>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绩效指标</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明确性 （1分）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是否将预算支出绩效目标细化分解为具体的绩效指标；</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是否通过清晰、可衡量的指标值体现。</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是否与预算支出目标任务数相对应。</w:t>
            </w:r>
          </w:p>
        </w:tc>
        <w:tc>
          <w:tcPr>
            <w:tcW w:w="954" w:type="dxa"/>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restart"/>
            <w:shd w:val="clear" w:color="auto" w:fill="auto"/>
            <w:vAlign w:val="center"/>
          </w:tcPr>
          <w:p>
            <w:pPr>
              <w:jc w:val="center"/>
              <w:rPr>
                <w:rFonts w:ascii="仿宋_GB2312" w:eastAsia="仿宋_GB2312"/>
                <w:szCs w:val="21"/>
              </w:rPr>
            </w:pPr>
            <w:r>
              <w:rPr>
                <w:rFonts w:hint="eastAsia" w:ascii="仿宋_GB2312" w:eastAsia="仿宋_GB2312"/>
                <w:szCs w:val="21"/>
              </w:rPr>
              <w:t>资金</w:t>
            </w:r>
          </w:p>
          <w:p>
            <w:pPr>
              <w:jc w:val="center"/>
              <w:rPr>
                <w:rFonts w:ascii="仿宋_GB2312" w:eastAsia="仿宋_GB2312"/>
                <w:szCs w:val="21"/>
              </w:rPr>
            </w:pPr>
            <w:r>
              <w:rPr>
                <w:rFonts w:hint="eastAsia" w:ascii="仿宋_GB2312" w:eastAsia="仿宋_GB2312"/>
                <w:szCs w:val="21"/>
              </w:rPr>
              <w:t>投入（3）</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预算编制</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科学性 （2分）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pStyle w:val="11"/>
              <w:numPr>
                <w:ilvl w:val="0"/>
                <w:numId w:val="4"/>
              </w:numPr>
              <w:spacing w:line="260" w:lineRule="exact"/>
              <w:ind w:right="105" w:rightChars="50" w:firstLineChars="0"/>
              <w:rPr>
                <w:rFonts w:ascii="仿宋_GB2312" w:eastAsia="仿宋_GB2312"/>
                <w:szCs w:val="21"/>
              </w:rPr>
            </w:pPr>
            <w:r>
              <w:rPr>
                <w:rFonts w:hint="eastAsia" w:ascii="仿宋_GB2312" w:eastAsia="仿宋_GB2312"/>
                <w:szCs w:val="21"/>
              </w:rPr>
              <w:t>预算编制是否经过科学论证；</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②</w:t>
            </w:r>
            <w:r>
              <w:rPr>
                <w:rFonts w:hint="eastAsia" w:ascii="仿宋_GB2312" w:eastAsia="仿宋_GB2312"/>
                <w:szCs w:val="21"/>
              </w:rPr>
              <w:t>预算内容与支出内容是否匹配；</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预算额度测算依据是否充分，是否按照标准编制；</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④</w:t>
            </w:r>
            <w:r>
              <w:rPr>
                <w:rFonts w:hint="eastAsia" w:ascii="仿宋_GB2312" w:eastAsia="仿宋_GB2312"/>
                <w:szCs w:val="21"/>
              </w:rPr>
              <w:t>预算确定的预算支出投资额或资金量是否与工作任务相匹配1分。</w:t>
            </w:r>
          </w:p>
        </w:tc>
        <w:tc>
          <w:tcPr>
            <w:tcW w:w="954" w:type="dxa"/>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continue"/>
            <w:shd w:val="clear" w:color="auto" w:fill="auto"/>
            <w:vAlign w:val="center"/>
          </w:tcPr>
          <w:p>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资金分配</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合理性 （1分）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pStyle w:val="11"/>
              <w:numPr>
                <w:ilvl w:val="0"/>
                <w:numId w:val="5"/>
              </w:numPr>
              <w:spacing w:line="260" w:lineRule="exact"/>
              <w:ind w:right="105" w:rightChars="50" w:firstLineChars="0"/>
              <w:rPr>
                <w:rFonts w:ascii="仿宋_GB2312" w:eastAsia="仿宋_GB2312"/>
                <w:szCs w:val="21"/>
              </w:rPr>
            </w:pPr>
            <w:r>
              <w:rPr>
                <w:rFonts w:hint="eastAsia" w:ascii="仿宋_GB2312" w:eastAsia="仿宋_GB2312"/>
                <w:szCs w:val="21"/>
              </w:rPr>
              <w:t>预算资金分配依据是否充分；</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②</w:t>
            </w:r>
            <w:r>
              <w:rPr>
                <w:rFonts w:hint="eastAsia" w:ascii="仿宋_GB2312" w:eastAsia="仿宋_GB2312"/>
                <w:szCs w:val="21"/>
              </w:rPr>
              <w:t>资金分配额度是否合理，与项目实施单位或地方实际是否相适应。</w:t>
            </w:r>
          </w:p>
        </w:tc>
        <w:tc>
          <w:tcPr>
            <w:tcW w:w="954" w:type="dxa"/>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542" w:hRule="atLeast"/>
          <w:jc w:val="center"/>
        </w:trPr>
        <w:tc>
          <w:tcPr>
            <w:tcW w:w="777" w:type="dxa"/>
            <w:vMerge w:val="restart"/>
            <w:shd w:val="clear" w:color="auto" w:fill="auto"/>
            <w:vAlign w:val="center"/>
          </w:tcPr>
          <w:p>
            <w:pPr>
              <w:jc w:val="center"/>
              <w:rPr>
                <w:rFonts w:ascii="仿宋_GB2312" w:eastAsia="仿宋_GB2312"/>
                <w:szCs w:val="21"/>
              </w:rPr>
            </w:pPr>
            <w:r>
              <w:rPr>
                <w:rFonts w:hint="eastAsia" w:ascii="仿宋_GB2312" w:eastAsia="仿宋_GB2312"/>
                <w:szCs w:val="21"/>
              </w:rPr>
              <w:t>过</w:t>
            </w:r>
          </w:p>
          <w:p>
            <w:pPr>
              <w:jc w:val="center"/>
              <w:rPr>
                <w:rFonts w:ascii="仿宋_GB2312" w:eastAsia="仿宋_GB2312"/>
                <w:szCs w:val="21"/>
              </w:rPr>
            </w:pPr>
          </w:p>
          <w:p>
            <w:pPr>
              <w:jc w:val="center"/>
              <w:rPr>
                <w:rFonts w:ascii="仿宋_GB2312" w:eastAsia="仿宋_GB2312"/>
                <w:szCs w:val="21"/>
              </w:rPr>
            </w:pPr>
          </w:p>
          <w:p>
            <w:pPr>
              <w:jc w:val="center"/>
              <w:rPr>
                <w:rFonts w:ascii="仿宋_GB2312" w:eastAsia="仿宋_GB2312"/>
                <w:szCs w:val="21"/>
              </w:rPr>
            </w:pPr>
            <w:r>
              <w:rPr>
                <w:rFonts w:hint="eastAsia" w:ascii="仿宋_GB2312" w:eastAsia="仿宋_GB2312"/>
                <w:szCs w:val="21"/>
              </w:rPr>
              <w:t>程  （20）</w:t>
            </w:r>
          </w:p>
        </w:tc>
        <w:tc>
          <w:tcPr>
            <w:tcW w:w="674" w:type="dxa"/>
            <w:vMerge w:val="restart"/>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资金</w:t>
            </w:r>
            <w:r>
              <w:rPr>
                <w:rFonts w:hint="eastAsia" w:ascii="仿宋_GB2312" w:eastAsia="仿宋_GB2312"/>
                <w:szCs w:val="21"/>
              </w:rPr>
              <w:br w:type="textWrapping"/>
            </w:r>
            <w:r>
              <w:rPr>
                <w:rFonts w:hint="eastAsia" w:ascii="仿宋_GB2312" w:eastAsia="仿宋_GB2312"/>
                <w:szCs w:val="21"/>
              </w:rPr>
              <w:t>管理（10）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资金</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到位率</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（3分）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资金到位率100%计满分，每下降5个百分点扣1分，扣完为止。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资金到位率=（实际到位资金/预算资金）×100%。</w:t>
            </w:r>
            <w:r>
              <w:rPr>
                <w:rFonts w:hint="eastAsia" w:ascii="仿宋_GB2312" w:eastAsia="仿宋_GB2312"/>
                <w:szCs w:val="21"/>
              </w:rPr>
              <w:br w:type="textWrapping"/>
            </w:r>
            <w:r>
              <w:rPr>
                <w:rFonts w:hint="eastAsia" w:ascii="仿宋_GB2312" w:eastAsia="仿宋_GB2312"/>
                <w:szCs w:val="21"/>
              </w:rPr>
              <w:t>实际到位资金：一定时期（本年度或预算支出期）内落实到具体预算支出的资金。</w:t>
            </w:r>
            <w:r>
              <w:rPr>
                <w:rFonts w:hint="eastAsia" w:ascii="仿宋_GB2312" w:eastAsia="仿宋_GB2312"/>
                <w:szCs w:val="21"/>
              </w:rPr>
              <w:br w:type="textWrapping"/>
            </w:r>
            <w:r>
              <w:rPr>
                <w:rFonts w:hint="eastAsia" w:ascii="仿宋_GB2312" w:eastAsia="仿宋_GB2312"/>
                <w:szCs w:val="21"/>
              </w:rPr>
              <w:t>预算资金：一定时期（本年度或预算支出期）内预算安排到具体预算支出的资金。</w:t>
            </w:r>
          </w:p>
        </w:tc>
        <w:tc>
          <w:tcPr>
            <w:tcW w:w="954" w:type="dxa"/>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265" w:hRule="atLeast"/>
          <w:jc w:val="center"/>
        </w:trPr>
        <w:tc>
          <w:tcPr>
            <w:tcW w:w="777" w:type="dxa"/>
            <w:vMerge w:val="continue"/>
            <w:shd w:val="clear" w:color="auto" w:fill="auto"/>
            <w:vAlign w:val="center"/>
          </w:tcPr>
          <w:p>
            <w:pPr>
              <w:jc w:val="center"/>
              <w:rPr>
                <w:rFonts w:ascii="仿宋_GB2312" w:eastAsia="仿宋_GB2312"/>
                <w:szCs w:val="21"/>
              </w:rPr>
            </w:pPr>
          </w:p>
        </w:tc>
        <w:tc>
          <w:tcPr>
            <w:tcW w:w="674" w:type="dxa"/>
            <w:vMerge w:val="continue"/>
            <w:shd w:val="clear" w:color="auto" w:fill="auto"/>
            <w:tcMar>
              <w:top w:w="10" w:type="dxa"/>
              <w:left w:w="10" w:type="dxa"/>
              <w:bottom w:w="0" w:type="dxa"/>
              <w:right w:w="10" w:type="dxa"/>
            </w:tcMar>
            <w:vAlign w:val="center"/>
          </w:tcPr>
          <w:p>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预算</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执行率 （3分）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100%计满分，每下降5个百分点扣1分，扣完为止。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预算执行率=（实际支出资金/实际到位资金）×100%。</w:t>
            </w:r>
          </w:p>
          <w:p>
            <w:pPr>
              <w:spacing w:line="260" w:lineRule="exact"/>
              <w:ind w:left="105" w:leftChars="50" w:right="105" w:rightChars="50"/>
              <w:rPr>
                <w:rFonts w:ascii="仿宋_GB2312" w:eastAsia="仿宋_GB2312"/>
                <w:szCs w:val="21"/>
              </w:rPr>
            </w:pPr>
            <w:r>
              <w:rPr>
                <w:rFonts w:hint="eastAsia" w:ascii="仿宋_GB2312" w:eastAsia="仿宋_GB2312"/>
                <w:szCs w:val="21"/>
              </w:rPr>
              <w:t>实际支出资金：一定时期（本年度或预算支出期）内预算支出实际拨付的资金。</w:t>
            </w:r>
          </w:p>
        </w:tc>
        <w:tc>
          <w:tcPr>
            <w:tcW w:w="954" w:type="dxa"/>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jc w:val="center"/>
              <w:rPr>
                <w:rFonts w:ascii="仿宋_GB2312" w:eastAsia="仿宋_GB2312"/>
                <w:szCs w:val="21"/>
              </w:rPr>
            </w:pPr>
          </w:p>
        </w:tc>
        <w:tc>
          <w:tcPr>
            <w:tcW w:w="674" w:type="dxa"/>
            <w:vMerge w:val="continue"/>
            <w:shd w:val="clear" w:color="auto" w:fill="auto"/>
            <w:vAlign w:val="center"/>
          </w:tcPr>
          <w:p>
            <w:pP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资金使用</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合规性 （4分）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①</w:t>
            </w:r>
            <w:r>
              <w:rPr>
                <w:rFonts w:hint="eastAsia" w:ascii="仿宋_GB2312" w:eastAsia="仿宋_GB2312"/>
                <w:szCs w:val="21"/>
              </w:rPr>
              <w:t>是否符合国家财经法规和财务管理制度以及有关专项资金管理办法的规定；</w:t>
            </w:r>
          </w:p>
          <w:p>
            <w:pPr>
              <w:spacing w:line="260" w:lineRule="exact"/>
              <w:ind w:right="105" w:rightChars="50" w:firstLine="105" w:firstLineChars="50"/>
              <w:rPr>
                <w:rFonts w:ascii="仿宋_GB2312" w:eastAsia="仿宋_GB2312"/>
                <w:szCs w:val="21"/>
              </w:rPr>
            </w:pPr>
            <w:r>
              <w:rPr>
                <w:rFonts w:hint="eastAsia" w:ascii="仿宋_GB2312" w:hAnsi="宋体" w:eastAsia="仿宋_GB2312" w:cs="宋体"/>
                <w:szCs w:val="21"/>
              </w:rPr>
              <w:t>②</w:t>
            </w:r>
            <w:r>
              <w:rPr>
                <w:rFonts w:hint="eastAsia" w:ascii="仿宋_GB2312" w:eastAsia="仿宋_GB2312"/>
                <w:szCs w:val="21"/>
              </w:rPr>
              <w:t>资金的拨付是否有完整的审批程序和手续；</w:t>
            </w:r>
          </w:p>
          <w:p>
            <w:pPr>
              <w:spacing w:line="260" w:lineRule="exact"/>
              <w:ind w:right="105" w:rightChars="50" w:firstLine="105" w:firstLine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是否符合预算支出预算批复或合同规定的用途；</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④</w:t>
            </w:r>
            <w:r>
              <w:rPr>
                <w:rFonts w:hint="eastAsia" w:ascii="仿宋_GB2312" w:eastAsia="仿宋_GB2312"/>
                <w:szCs w:val="21"/>
              </w:rPr>
              <w:t>是否存在截留、挤占、挪用、虐列支出等情况。</w:t>
            </w:r>
          </w:p>
        </w:tc>
        <w:tc>
          <w:tcPr>
            <w:tcW w:w="954" w:type="dxa"/>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454" w:hRule="atLeast"/>
          <w:jc w:val="center"/>
        </w:trPr>
        <w:tc>
          <w:tcPr>
            <w:tcW w:w="777" w:type="dxa"/>
            <w:vMerge w:val="continue"/>
            <w:shd w:val="clear" w:color="auto" w:fill="auto"/>
            <w:tcMar>
              <w:top w:w="10" w:type="dxa"/>
              <w:left w:w="10" w:type="dxa"/>
              <w:bottom w:w="0" w:type="dxa"/>
              <w:right w:w="10" w:type="dxa"/>
            </w:tcMar>
            <w:textDirection w:val="tbRlV"/>
            <w:vAlign w:val="center"/>
          </w:tcPr>
          <w:p>
            <w:pPr>
              <w:jc w:val="center"/>
              <w:rPr>
                <w:rFonts w:ascii="仿宋_GB2312" w:eastAsia="仿宋_GB2312"/>
                <w:szCs w:val="21"/>
              </w:rPr>
            </w:pPr>
          </w:p>
        </w:tc>
        <w:tc>
          <w:tcPr>
            <w:tcW w:w="674" w:type="dxa"/>
            <w:vMerge w:val="restart"/>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组织</w:t>
            </w:r>
          </w:p>
          <w:p>
            <w:pPr>
              <w:jc w:val="center"/>
              <w:rPr>
                <w:rFonts w:ascii="仿宋_GB2312" w:eastAsia="仿宋_GB2312"/>
                <w:szCs w:val="21"/>
              </w:rPr>
            </w:pPr>
            <w:r>
              <w:rPr>
                <w:rFonts w:hint="eastAsia" w:ascii="仿宋_GB2312" w:eastAsia="仿宋_GB2312"/>
                <w:szCs w:val="21"/>
              </w:rPr>
              <w:t>实施（10）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管理制度</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健全性 （5分）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按指标说明评价要点，每缺一项扣3分，扣完为止。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是否已制定或具有相应的业务管理制度；</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财务和业务管理制度是否合法、合规、完整。</w:t>
            </w:r>
          </w:p>
        </w:tc>
        <w:tc>
          <w:tcPr>
            <w:tcW w:w="954" w:type="dxa"/>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continue"/>
            <w:shd w:val="clear" w:color="auto" w:fill="auto"/>
            <w:vAlign w:val="center"/>
          </w:tcPr>
          <w:p>
            <w:pP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制度执行</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有效性 （5分）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按指标说明评价要点，每缺一项扣3分，扣完为止。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是否遵守相关法律法规和相关管理规定；</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预算支出调整及支出调整手续是否完备；</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预算支出合同书、验收报告、技术鉴定等资料是否齐全并及时归档；</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预算支出实施的人员条件、场地设备、信息支撑等是否落实到位。</w:t>
            </w:r>
          </w:p>
        </w:tc>
        <w:tc>
          <w:tcPr>
            <w:tcW w:w="954" w:type="dxa"/>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781" w:hRule="atLeast"/>
          <w:jc w:val="center"/>
        </w:trPr>
        <w:tc>
          <w:tcPr>
            <w:tcW w:w="777" w:type="dxa"/>
            <w:vMerge w:val="restart"/>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 xml:space="preserve">产   </w:t>
            </w:r>
          </w:p>
          <w:p>
            <w:pPr>
              <w:jc w:val="center"/>
              <w:rPr>
                <w:rFonts w:ascii="仿宋_GB2312" w:eastAsia="仿宋_GB2312"/>
                <w:szCs w:val="21"/>
              </w:rPr>
            </w:pPr>
            <w:r>
              <w:rPr>
                <w:rFonts w:hint="eastAsia" w:ascii="仿宋_GB2312" w:eastAsia="仿宋_GB2312"/>
                <w:szCs w:val="21"/>
              </w:rPr>
              <w:t>出 （40）</w:t>
            </w:r>
          </w:p>
        </w:tc>
        <w:tc>
          <w:tcPr>
            <w:tcW w:w="674" w:type="dxa"/>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产出</w:t>
            </w:r>
          </w:p>
          <w:p>
            <w:pPr>
              <w:jc w:val="center"/>
              <w:rPr>
                <w:rFonts w:ascii="仿宋_GB2312" w:eastAsia="仿宋_GB2312"/>
                <w:szCs w:val="21"/>
              </w:rPr>
            </w:pPr>
            <w:r>
              <w:rPr>
                <w:rFonts w:hint="eastAsia" w:ascii="仿宋_GB2312" w:eastAsia="仿宋_GB2312"/>
                <w:szCs w:val="21"/>
              </w:rPr>
              <w:t>数量（10）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实际</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完成率 （10分）</w:t>
            </w:r>
          </w:p>
        </w:tc>
        <w:tc>
          <w:tcPr>
            <w:tcW w:w="1975"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100%计满分，每下降1%扣1分，扣完为止。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实际完成率=（实际产出数/计划产出数）×100%。</w:t>
            </w:r>
            <w:r>
              <w:rPr>
                <w:rFonts w:hint="eastAsia" w:ascii="仿宋_GB2312" w:eastAsia="仿宋_GB2312"/>
                <w:szCs w:val="21"/>
              </w:rPr>
              <w:br w:type="textWrapping"/>
            </w:r>
            <w:r>
              <w:rPr>
                <w:rFonts w:hint="eastAsia" w:ascii="仿宋_GB2312" w:eastAsia="仿宋_GB2312"/>
                <w:szCs w:val="21"/>
              </w:rPr>
              <w:t>实际产出数：一定时期（本年度或预算支出期）内预算支出实际产出的产品或提供的服务数量。</w:t>
            </w:r>
            <w:r>
              <w:rPr>
                <w:rFonts w:hint="eastAsia" w:ascii="仿宋_GB2312" w:eastAsia="仿宋_GB2312"/>
                <w:szCs w:val="21"/>
              </w:rPr>
              <w:br w:type="textWrapping"/>
            </w:r>
            <w:r>
              <w:rPr>
                <w:rFonts w:hint="eastAsia" w:ascii="仿宋_GB2312" w:eastAsia="仿宋_GB2312"/>
                <w:szCs w:val="21"/>
              </w:rPr>
              <w:t>计划产出数：预算支出绩效目标确定的在一定时期（本年度或预算支出期）内计划产出的产品或提供的服务数量。</w:t>
            </w:r>
          </w:p>
        </w:tc>
        <w:tc>
          <w:tcPr>
            <w:tcW w:w="954" w:type="dxa"/>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104" w:hRule="atLeast"/>
          <w:jc w:val="center"/>
        </w:trPr>
        <w:tc>
          <w:tcPr>
            <w:tcW w:w="777" w:type="dxa"/>
            <w:vMerge w:val="continue"/>
            <w:shd w:val="clear" w:color="auto" w:fill="auto"/>
            <w:tcMar>
              <w:top w:w="10" w:type="dxa"/>
              <w:left w:w="10" w:type="dxa"/>
              <w:bottom w:w="0" w:type="dxa"/>
              <w:right w:w="10" w:type="dxa"/>
            </w:tcMar>
            <w:textDirection w:val="tbRlV"/>
            <w:vAlign w:val="center"/>
          </w:tcPr>
          <w:p>
            <w:pPr>
              <w:jc w:val="center"/>
              <w:rPr>
                <w:rFonts w:ascii="仿宋_GB2312" w:eastAsia="仿宋_GB2312"/>
                <w:szCs w:val="21"/>
              </w:rPr>
            </w:pPr>
          </w:p>
        </w:tc>
        <w:tc>
          <w:tcPr>
            <w:tcW w:w="674" w:type="dxa"/>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产出</w:t>
            </w:r>
          </w:p>
          <w:p>
            <w:pPr>
              <w:jc w:val="center"/>
              <w:rPr>
                <w:rFonts w:ascii="仿宋_GB2312" w:eastAsia="仿宋_GB2312"/>
                <w:szCs w:val="21"/>
              </w:rPr>
            </w:pPr>
            <w:r>
              <w:rPr>
                <w:rFonts w:hint="eastAsia" w:ascii="仿宋_GB2312" w:eastAsia="仿宋_GB2312"/>
                <w:szCs w:val="21"/>
              </w:rPr>
              <w:t>质量（10）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质量</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达标率 （10分）</w:t>
            </w:r>
          </w:p>
        </w:tc>
        <w:tc>
          <w:tcPr>
            <w:tcW w:w="1975"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100%计满分，每下降1%扣1分，扣完为止。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质量达标率=（质量达标产出数/实际产出数）×100%。</w:t>
            </w:r>
            <w:r>
              <w:rPr>
                <w:rFonts w:hint="eastAsia" w:ascii="仿宋_GB2312" w:eastAsia="仿宋_GB2312"/>
                <w:szCs w:val="21"/>
              </w:rPr>
              <w:br w:type="textWrapping"/>
            </w:r>
            <w:r>
              <w:rPr>
                <w:rFonts w:hint="eastAsia" w:ascii="仿宋_GB2312" w:eastAsia="仿宋_GB2312"/>
                <w:szCs w:val="21"/>
              </w:rPr>
              <w:t>质量达标产出数：一定时期（本年度或预算支出期）内实际达到既定质量标准的产品或服务数量。既定质量标准是指预算支出实施单位设立绩效目标时依据计划标准、行业标准、历史标准或其他标准而设定的绩效指标值。</w:t>
            </w:r>
          </w:p>
        </w:tc>
        <w:tc>
          <w:tcPr>
            <w:tcW w:w="954" w:type="dxa"/>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255" w:hRule="atLeast"/>
          <w:jc w:val="center"/>
        </w:trPr>
        <w:tc>
          <w:tcPr>
            <w:tcW w:w="777" w:type="dxa"/>
            <w:vMerge w:val="continue"/>
            <w:shd w:val="clear" w:color="auto" w:fill="auto"/>
            <w:vAlign w:val="center"/>
          </w:tcPr>
          <w:p>
            <w:pPr>
              <w:rPr>
                <w:rFonts w:ascii="仿宋_GB2312" w:eastAsia="仿宋_GB2312"/>
                <w:szCs w:val="21"/>
              </w:rPr>
            </w:pPr>
          </w:p>
        </w:tc>
        <w:tc>
          <w:tcPr>
            <w:tcW w:w="674" w:type="dxa"/>
            <w:shd w:val="clear" w:color="auto" w:fill="auto"/>
            <w:vAlign w:val="center"/>
          </w:tcPr>
          <w:p>
            <w:pPr>
              <w:jc w:val="center"/>
              <w:rPr>
                <w:rFonts w:ascii="仿宋_GB2312" w:eastAsia="仿宋_GB2312"/>
                <w:szCs w:val="21"/>
              </w:rPr>
            </w:pPr>
            <w:r>
              <w:rPr>
                <w:rFonts w:hint="eastAsia" w:ascii="仿宋_GB2312" w:eastAsia="仿宋_GB2312"/>
                <w:szCs w:val="21"/>
              </w:rPr>
              <w:t>产出</w:t>
            </w:r>
          </w:p>
          <w:p>
            <w:pPr>
              <w:jc w:val="center"/>
              <w:rPr>
                <w:rFonts w:ascii="仿宋_GB2312" w:eastAsia="仿宋_GB2312"/>
                <w:szCs w:val="21"/>
              </w:rPr>
            </w:pPr>
            <w:r>
              <w:rPr>
                <w:rFonts w:hint="eastAsia" w:ascii="仿宋_GB2312" w:eastAsia="仿宋_GB2312"/>
                <w:szCs w:val="21"/>
              </w:rPr>
              <w:t>时效（10）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完成</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及时性 （10分）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达到绩效目标完成时间计5分，超过30%的不计分。</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实际完成时间：预算支出实施单位完成该预算支出实际所耗用的时间。</w:t>
            </w:r>
            <w:r>
              <w:rPr>
                <w:rFonts w:hint="eastAsia" w:ascii="仿宋_GB2312" w:eastAsia="仿宋_GB2312"/>
                <w:szCs w:val="21"/>
              </w:rPr>
              <w:br w:type="textWrapping"/>
            </w:r>
            <w:r>
              <w:rPr>
                <w:rFonts w:hint="eastAsia" w:ascii="仿宋_GB2312" w:eastAsia="仿宋_GB2312"/>
                <w:szCs w:val="21"/>
              </w:rPr>
              <w:t>计划完成时间：按照预算支出实施计划或相关规定完成该预算支出所需的时间。</w:t>
            </w:r>
          </w:p>
        </w:tc>
        <w:tc>
          <w:tcPr>
            <w:tcW w:w="954" w:type="dxa"/>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454" w:hRule="atLeast"/>
          <w:jc w:val="center"/>
        </w:trPr>
        <w:tc>
          <w:tcPr>
            <w:tcW w:w="777" w:type="dxa"/>
            <w:shd w:val="clear" w:color="auto" w:fill="auto"/>
            <w:vAlign w:val="center"/>
          </w:tcPr>
          <w:p>
            <w:pPr>
              <w:ind w:left="113"/>
              <w:jc w:val="center"/>
              <w:rPr>
                <w:rFonts w:ascii="仿宋_GB2312" w:eastAsia="仿宋_GB2312"/>
                <w:szCs w:val="21"/>
              </w:rPr>
            </w:pPr>
            <w:r>
              <w:rPr>
                <w:rFonts w:hint="eastAsia" w:ascii="仿宋_GB2312" w:eastAsia="仿宋_GB2312"/>
                <w:szCs w:val="21"/>
              </w:rPr>
              <w:t>产   出 （40）</w:t>
            </w:r>
          </w:p>
        </w:tc>
        <w:tc>
          <w:tcPr>
            <w:tcW w:w="674" w:type="dxa"/>
            <w:shd w:val="clear" w:color="auto" w:fill="auto"/>
            <w:vAlign w:val="center"/>
          </w:tcPr>
          <w:p>
            <w:pPr>
              <w:jc w:val="center"/>
              <w:rPr>
                <w:rFonts w:ascii="仿宋_GB2312" w:eastAsia="仿宋_GB2312"/>
                <w:szCs w:val="21"/>
              </w:rPr>
            </w:pPr>
            <w:r>
              <w:rPr>
                <w:rFonts w:hint="eastAsia" w:ascii="仿宋_GB2312" w:eastAsia="仿宋_GB2312"/>
                <w:szCs w:val="21"/>
              </w:rPr>
              <w:t>产出</w:t>
            </w:r>
          </w:p>
          <w:p>
            <w:pPr>
              <w:jc w:val="center"/>
              <w:rPr>
                <w:rFonts w:ascii="仿宋_GB2312" w:eastAsia="仿宋_GB2312"/>
                <w:szCs w:val="21"/>
              </w:rPr>
            </w:pPr>
            <w:r>
              <w:rPr>
                <w:rFonts w:hint="eastAsia" w:ascii="仿宋_GB2312" w:eastAsia="仿宋_GB2312"/>
                <w:szCs w:val="21"/>
              </w:rPr>
              <w:t>成本（10）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成本</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节约率 （10分）</w:t>
            </w:r>
          </w:p>
        </w:tc>
        <w:tc>
          <w:tcPr>
            <w:tcW w:w="1975"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100%计满分，每下降5个百分点扣2分，扣完为止。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成本节约率=[（计划成本-实际成本）/计划成本]×100%。</w:t>
            </w:r>
            <w:r>
              <w:rPr>
                <w:rFonts w:hint="eastAsia" w:ascii="仿宋_GB2312" w:eastAsia="仿宋_GB2312"/>
                <w:szCs w:val="21"/>
              </w:rPr>
              <w:br w:type="textWrapping"/>
            </w:r>
            <w:r>
              <w:rPr>
                <w:rFonts w:hint="eastAsia" w:ascii="仿宋_GB2312" w:eastAsia="仿宋_GB2312"/>
                <w:szCs w:val="21"/>
              </w:rPr>
              <w:t>实际成本：预算支出实施单位如期、保质、保量完成既定工作目标实际所耗费的支出。</w:t>
            </w:r>
            <w:r>
              <w:rPr>
                <w:rFonts w:hint="eastAsia" w:ascii="仿宋_GB2312" w:eastAsia="仿宋_GB2312"/>
                <w:szCs w:val="21"/>
              </w:rPr>
              <w:br w:type="textWrapping"/>
            </w:r>
            <w:r>
              <w:rPr>
                <w:rFonts w:hint="eastAsia" w:ascii="仿宋_GB2312" w:eastAsia="仿宋_GB2312"/>
                <w:szCs w:val="21"/>
              </w:rPr>
              <w:t>计划成本：预算支出实施单位为完成工作目标计划安排的支出，一般以预算支出预算为参考。</w:t>
            </w:r>
          </w:p>
        </w:tc>
        <w:tc>
          <w:tcPr>
            <w:tcW w:w="954" w:type="dxa"/>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454" w:hRule="atLeast"/>
          <w:jc w:val="center"/>
        </w:trPr>
        <w:tc>
          <w:tcPr>
            <w:tcW w:w="777" w:type="dxa"/>
            <w:vMerge w:val="restart"/>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效</w:t>
            </w:r>
          </w:p>
          <w:p>
            <w:pPr>
              <w:jc w:val="center"/>
              <w:rPr>
                <w:rFonts w:ascii="仿宋_GB2312" w:eastAsia="仿宋_GB2312"/>
                <w:szCs w:val="21"/>
              </w:rPr>
            </w:pPr>
            <w:r>
              <w:rPr>
                <w:rFonts w:hint="eastAsia" w:ascii="仿宋_GB2312" w:eastAsia="仿宋_GB2312"/>
                <w:szCs w:val="21"/>
              </w:rPr>
              <w:t>益</w:t>
            </w:r>
          </w:p>
          <w:p>
            <w:pPr>
              <w:jc w:val="center"/>
              <w:rPr>
                <w:rFonts w:ascii="仿宋_GB2312" w:eastAsia="仿宋_GB2312"/>
                <w:szCs w:val="21"/>
              </w:rPr>
            </w:pPr>
            <w:r>
              <w:rPr>
                <w:rFonts w:hint="eastAsia" w:ascii="仿宋_GB2312" w:eastAsia="仿宋_GB2312"/>
                <w:szCs w:val="21"/>
              </w:rPr>
              <w:t>（30）</w:t>
            </w:r>
          </w:p>
        </w:tc>
        <w:tc>
          <w:tcPr>
            <w:tcW w:w="674" w:type="dxa"/>
            <w:vMerge w:val="restart"/>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预算支出</w:t>
            </w:r>
            <w:r>
              <w:rPr>
                <w:rFonts w:hint="eastAsia" w:ascii="仿宋_GB2312" w:eastAsia="仿宋_GB2312"/>
                <w:szCs w:val="21"/>
              </w:rPr>
              <w:br w:type="textWrapping"/>
            </w:r>
            <w:r>
              <w:rPr>
                <w:rFonts w:hint="eastAsia" w:ascii="仿宋_GB2312" w:eastAsia="仿宋_GB2312"/>
                <w:szCs w:val="21"/>
              </w:rPr>
              <w:t>效益（30）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实施效益（20分）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达到绩效目标完成时间计5分，少于60%的不计分。</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预算支出实施所产生的社会效益、经济效益、生态效益、可持续影响等。可根据预算支出实际情况有选择地设置和细化。</w:t>
            </w:r>
          </w:p>
        </w:tc>
        <w:tc>
          <w:tcPr>
            <w:tcW w:w="954" w:type="dxa"/>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continue"/>
            <w:shd w:val="clear" w:color="auto" w:fill="auto"/>
            <w:vAlign w:val="center"/>
          </w:tcPr>
          <w:p>
            <w:pP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社会公众</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或服务对</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象满意度（10分）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100%计满分，每下降五个百分点扣2分，扣完为止。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社会公众或服务对象是指因该预算支出实施而受到影响的部门、群体或个人。一般采取社会调查的方式。</w:t>
            </w:r>
          </w:p>
        </w:tc>
        <w:tc>
          <w:tcPr>
            <w:tcW w:w="954" w:type="dxa"/>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454" w:hRule="atLeast"/>
          <w:jc w:val="center"/>
        </w:trPr>
        <w:tc>
          <w:tcPr>
            <w:tcW w:w="777" w:type="dxa"/>
            <w:shd w:val="clear" w:color="auto" w:fill="auto"/>
            <w:vAlign w:val="center"/>
          </w:tcPr>
          <w:p>
            <w:pPr>
              <w:rPr>
                <w:rFonts w:ascii="仿宋_GB2312" w:eastAsia="仿宋_GB2312"/>
                <w:szCs w:val="21"/>
              </w:rPr>
            </w:pPr>
          </w:p>
        </w:tc>
        <w:tc>
          <w:tcPr>
            <w:tcW w:w="674" w:type="dxa"/>
            <w:shd w:val="clear" w:color="auto" w:fill="auto"/>
            <w:vAlign w:val="center"/>
          </w:tcPr>
          <w:p>
            <w:pP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hint="eastAsia" w:ascii="仿宋_GB2312" w:eastAsia="仿宋_GB2312"/>
                <w:szCs w:val="21"/>
              </w:rPr>
            </w:pP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hint="eastAsia" w:ascii="仿宋_GB2312" w:eastAsia="仿宋_GB2312"/>
                <w:szCs w:val="21"/>
              </w:rPr>
            </w:pP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hint="eastAsia" w:ascii="仿宋_GB2312" w:eastAsia="仿宋_GB2312"/>
                <w:szCs w:val="21"/>
              </w:rPr>
            </w:pP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87</w:t>
            </w:r>
          </w:p>
        </w:tc>
      </w:tr>
    </w:tbl>
    <w:p>
      <w:pPr>
        <w:widowControl/>
        <w:spacing w:line="600" w:lineRule="exact"/>
        <w:jc w:val="left"/>
        <w:rPr>
          <w:rFonts w:hint="eastAsia"/>
        </w:rPr>
      </w:pPr>
    </w:p>
    <w:p>
      <w:pPr>
        <w:widowControl/>
        <w:spacing w:line="600" w:lineRule="exact"/>
        <w:jc w:val="left"/>
        <w:rPr>
          <w:rFonts w:hint="eastAsia"/>
        </w:rPr>
      </w:pPr>
    </w:p>
    <w:p>
      <w:pPr>
        <w:widowControl/>
        <w:spacing w:line="600" w:lineRule="exact"/>
        <w:jc w:val="left"/>
        <w:rPr>
          <w:rFonts w:hint="eastAsia"/>
        </w:rPr>
      </w:pPr>
    </w:p>
    <w:p>
      <w:pPr>
        <w:widowControl/>
        <w:spacing w:line="600" w:lineRule="exact"/>
        <w:jc w:val="left"/>
        <w:rPr>
          <w:rFonts w:hint="eastAsia"/>
        </w:rPr>
      </w:pPr>
    </w:p>
    <w:p>
      <w:pPr>
        <w:widowControl/>
        <w:spacing w:line="600" w:lineRule="exact"/>
        <w:jc w:val="left"/>
        <w:rPr>
          <w:rFonts w:hint="eastAsia"/>
        </w:rPr>
      </w:pPr>
    </w:p>
    <w:p>
      <w:pPr>
        <w:widowControl/>
        <w:spacing w:line="600" w:lineRule="exact"/>
        <w:jc w:val="left"/>
        <w:rPr>
          <w:rFonts w:hint="eastAsia"/>
        </w:rPr>
      </w:pPr>
    </w:p>
    <w:p>
      <w:pPr>
        <w:widowControl/>
        <w:spacing w:line="600" w:lineRule="exact"/>
        <w:jc w:val="left"/>
        <w:rPr>
          <w:rFonts w:hint="eastAsia"/>
        </w:rPr>
      </w:pPr>
    </w:p>
    <w:p>
      <w:pPr>
        <w:widowControl/>
        <w:spacing w:line="600" w:lineRule="exact"/>
        <w:jc w:val="left"/>
        <w:rPr>
          <w:rFonts w:hint="eastAsia"/>
        </w:rPr>
      </w:pPr>
    </w:p>
    <w:p>
      <w:pPr>
        <w:widowControl/>
        <w:spacing w:line="600" w:lineRule="exact"/>
        <w:jc w:val="left"/>
        <w:rPr>
          <w:rFonts w:hint="eastAsia"/>
        </w:rPr>
      </w:pPr>
    </w:p>
    <w:p>
      <w:pPr>
        <w:widowControl/>
        <w:spacing w:line="600" w:lineRule="exact"/>
        <w:jc w:val="left"/>
        <w:rPr>
          <w:rFonts w:hint="eastAsia"/>
        </w:rPr>
      </w:pPr>
    </w:p>
    <w:p>
      <w:pPr>
        <w:widowControl/>
        <w:spacing w:line="600" w:lineRule="exact"/>
        <w:jc w:val="left"/>
        <w:rPr>
          <w:rFonts w:hint="eastAsia"/>
        </w:rPr>
      </w:pPr>
    </w:p>
    <w:p>
      <w:pPr>
        <w:widowControl/>
        <w:spacing w:line="600" w:lineRule="exact"/>
        <w:jc w:val="left"/>
        <w:rPr>
          <w:rFonts w:hint="eastAsia"/>
        </w:rPr>
      </w:pPr>
    </w:p>
    <w:p>
      <w:pPr>
        <w:widowControl/>
        <w:spacing w:line="600" w:lineRule="exact"/>
        <w:jc w:val="left"/>
        <w:rPr>
          <w:rFonts w:hint="eastAsia"/>
        </w:rPr>
      </w:pPr>
    </w:p>
    <w:p>
      <w:pPr>
        <w:widowControl/>
        <w:spacing w:line="600" w:lineRule="exact"/>
        <w:jc w:val="left"/>
        <w:rPr>
          <w:rFonts w:hint="eastAsia"/>
        </w:rPr>
      </w:pPr>
    </w:p>
    <w:p>
      <w:pPr>
        <w:widowControl/>
        <w:spacing w:line="600" w:lineRule="exact"/>
        <w:jc w:val="left"/>
        <w:rPr>
          <w:rFonts w:hint="eastAsia"/>
        </w:rPr>
      </w:pPr>
    </w:p>
    <w:p>
      <w:pPr>
        <w:widowControl/>
        <w:spacing w:line="600" w:lineRule="exact"/>
        <w:jc w:val="left"/>
        <w:rPr>
          <w:rFonts w:hint="eastAsia"/>
        </w:rPr>
      </w:pPr>
    </w:p>
    <w:p>
      <w:pPr>
        <w:widowControl/>
        <w:spacing w:line="600" w:lineRule="exact"/>
        <w:jc w:val="left"/>
        <w:rPr>
          <w:rFonts w:eastAsia="仿宋_GB2312"/>
          <w:sz w:val="32"/>
          <w:szCs w:val="32"/>
        </w:rPr>
      </w:pPr>
      <w:r>
        <w:rPr>
          <w:rFonts w:eastAsia="黑体"/>
          <w:sz w:val="32"/>
          <w:szCs w:val="32"/>
        </w:rPr>
        <w:t>附件</w:t>
      </w:r>
      <w:r>
        <w:rPr>
          <w:rFonts w:hint="eastAsia" w:eastAsia="黑体"/>
          <w:sz w:val="32"/>
          <w:szCs w:val="32"/>
        </w:rPr>
        <w:t>4-2</w:t>
      </w:r>
    </w:p>
    <w:tbl>
      <w:tblPr>
        <w:tblStyle w:val="8"/>
        <w:tblW w:w="9999" w:type="dxa"/>
        <w:jc w:val="center"/>
        <w:tblInd w:w="0" w:type="dxa"/>
        <w:tblLayout w:type="fixed"/>
        <w:tblCellMar>
          <w:top w:w="0" w:type="dxa"/>
          <w:left w:w="108" w:type="dxa"/>
          <w:bottom w:w="0" w:type="dxa"/>
          <w:right w:w="108" w:type="dxa"/>
        </w:tblCellMar>
      </w:tblPr>
      <w:tblGrid>
        <w:gridCol w:w="1135"/>
        <w:gridCol w:w="992"/>
        <w:gridCol w:w="1261"/>
        <w:gridCol w:w="1224"/>
        <w:gridCol w:w="1134"/>
        <w:gridCol w:w="1134"/>
        <w:gridCol w:w="828"/>
        <w:gridCol w:w="873"/>
        <w:gridCol w:w="1418"/>
      </w:tblGrid>
      <w:tr>
        <w:tblPrEx>
          <w:tblLayout w:type="fixed"/>
          <w:tblCellMar>
            <w:top w:w="0" w:type="dxa"/>
            <w:left w:w="108" w:type="dxa"/>
            <w:bottom w:w="0" w:type="dxa"/>
            <w:right w:w="108" w:type="dxa"/>
          </w:tblCellMar>
        </w:tblPrEx>
        <w:trPr>
          <w:trHeight w:val="690" w:hRule="atLeast"/>
          <w:jc w:val="center"/>
        </w:trPr>
        <w:tc>
          <w:tcPr>
            <w:tcW w:w="9999" w:type="dxa"/>
            <w:gridSpan w:val="9"/>
            <w:tcBorders>
              <w:top w:val="nil"/>
              <w:left w:val="nil"/>
              <w:bottom w:val="nil"/>
              <w:right w:val="nil"/>
            </w:tcBorders>
            <w:shd w:val="clear" w:color="auto" w:fill="auto"/>
            <w:vAlign w:val="center"/>
          </w:tcPr>
          <w:p>
            <w:pPr>
              <w:spacing w:line="600" w:lineRule="exact"/>
              <w:rPr>
                <w:rFonts w:eastAsia="黑体"/>
                <w:sz w:val="32"/>
                <w:szCs w:val="32"/>
              </w:rPr>
            </w:pPr>
            <w:r>
              <w:rPr>
                <w:rFonts w:eastAsia="黑体"/>
                <w:sz w:val="32"/>
                <w:szCs w:val="32"/>
              </w:rPr>
              <w:t>附件</w:t>
            </w:r>
            <w:r>
              <w:rPr>
                <w:rFonts w:hint="eastAsia" w:eastAsia="黑体"/>
                <w:sz w:val="32"/>
                <w:szCs w:val="32"/>
              </w:rPr>
              <w:t>4-2</w:t>
            </w:r>
          </w:p>
          <w:p>
            <w:pPr>
              <w:widowControl/>
              <w:spacing w:line="400" w:lineRule="exact"/>
              <w:jc w:val="center"/>
              <w:rPr>
                <w:rFonts w:eastAsia="方正小标宋_GBK"/>
                <w:color w:val="000000"/>
                <w:kern w:val="0"/>
                <w:sz w:val="36"/>
                <w:szCs w:val="36"/>
              </w:rPr>
            </w:pPr>
            <w:r>
              <w:rPr>
                <w:rFonts w:eastAsia="方正小标宋_GBK"/>
                <w:color w:val="000000"/>
                <w:kern w:val="0"/>
                <w:sz w:val="36"/>
                <w:szCs w:val="36"/>
              </w:rPr>
              <w:t>预算支出绩效自评表</w:t>
            </w:r>
          </w:p>
        </w:tc>
      </w:tr>
      <w:tr>
        <w:tblPrEx>
          <w:tblLayout w:type="fixed"/>
          <w:tblCellMar>
            <w:top w:w="0" w:type="dxa"/>
            <w:left w:w="108" w:type="dxa"/>
            <w:bottom w:w="0" w:type="dxa"/>
            <w:right w:w="108" w:type="dxa"/>
          </w:tblCellMar>
        </w:tblPrEx>
        <w:trPr>
          <w:trHeight w:val="270" w:hRule="atLeast"/>
          <w:jc w:val="center"/>
        </w:trPr>
        <w:tc>
          <w:tcPr>
            <w:tcW w:w="9999" w:type="dxa"/>
            <w:gridSpan w:val="9"/>
            <w:tcBorders>
              <w:top w:val="nil"/>
              <w:left w:val="nil"/>
              <w:bottom w:val="single" w:color="auto" w:sz="4" w:space="0"/>
              <w:right w:val="nil"/>
            </w:tcBorders>
            <w:shd w:val="clear" w:color="auto" w:fill="auto"/>
            <w:vAlign w:val="center"/>
          </w:tcPr>
          <w:p>
            <w:pPr>
              <w:widowControl/>
              <w:spacing w:line="320" w:lineRule="exact"/>
              <w:jc w:val="center"/>
              <w:rPr>
                <w:color w:val="000000"/>
                <w:kern w:val="0"/>
                <w:sz w:val="22"/>
              </w:rPr>
            </w:pPr>
            <w:r>
              <w:rPr>
                <w:color w:val="000000"/>
                <w:kern w:val="0"/>
                <w:sz w:val="22"/>
              </w:rPr>
              <w:t xml:space="preserve">（   </w:t>
            </w:r>
            <w:r>
              <w:rPr>
                <w:rFonts w:hint="eastAsia"/>
                <w:color w:val="000000"/>
                <w:kern w:val="0"/>
                <w:sz w:val="22"/>
              </w:rPr>
              <w:t>2020</w:t>
            </w:r>
            <w:r>
              <w:rPr>
                <w:color w:val="000000"/>
                <w:kern w:val="0"/>
                <w:sz w:val="22"/>
              </w:rPr>
              <w:t>年度）</w:t>
            </w:r>
          </w:p>
        </w:tc>
      </w:tr>
      <w:tr>
        <w:tblPrEx>
          <w:tblLayout w:type="fixed"/>
          <w:tblCellMar>
            <w:top w:w="0" w:type="dxa"/>
            <w:left w:w="108" w:type="dxa"/>
            <w:bottom w:w="0" w:type="dxa"/>
            <w:right w:w="108" w:type="dxa"/>
          </w:tblCellMar>
        </w:tblPrEx>
        <w:trPr>
          <w:trHeight w:val="585" w:hRule="atLeast"/>
          <w:jc w:val="center"/>
        </w:trPr>
        <w:tc>
          <w:tcPr>
            <w:tcW w:w="1135" w:type="dxa"/>
            <w:tcBorders>
              <w:top w:val="nil"/>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项目支</w:t>
            </w:r>
          </w:p>
          <w:p>
            <w:pPr>
              <w:widowControl/>
              <w:spacing w:line="320" w:lineRule="exact"/>
              <w:jc w:val="center"/>
              <w:rPr>
                <w:rFonts w:eastAsia="仿宋_GB2312"/>
                <w:color w:val="000000"/>
                <w:kern w:val="0"/>
                <w:szCs w:val="21"/>
              </w:rPr>
            </w:pPr>
            <w:r>
              <w:rPr>
                <w:rFonts w:eastAsia="仿宋_GB2312"/>
                <w:color w:val="000000"/>
                <w:kern w:val="0"/>
                <w:szCs w:val="21"/>
              </w:rPr>
              <w:t>出名称</w:t>
            </w:r>
          </w:p>
        </w:tc>
        <w:tc>
          <w:tcPr>
            <w:tcW w:w="8864" w:type="dxa"/>
            <w:gridSpan w:val="8"/>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　专项业务费用类</w:t>
            </w:r>
          </w:p>
        </w:tc>
      </w:tr>
      <w:tr>
        <w:tblPrEx>
          <w:tblLayout w:type="fixed"/>
          <w:tblCellMar>
            <w:top w:w="0" w:type="dxa"/>
            <w:left w:w="108" w:type="dxa"/>
            <w:bottom w:w="0" w:type="dxa"/>
            <w:right w:w="108" w:type="dxa"/>
          </w:tblCellMar>
        </w:tblPrEx>
        <w:trPr>
          <w:trHeight w:val="340" w:hRule="atLeast"/>
          <w:jc w:val="center"/>
        </w:trPr>
        <w:tc>
          <w:tcPr>
            <w:tcW w:w="1135" w:type="dxa"/>
            <w:tcBorders>
              <w:top w:val="nil"/>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主管部门</w:t>
            </w:r>
          </w:p>
        </w:tc>
        <w:tc>
          <w:tcPr>
            <w:tcW w:w="4611"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怀化市鹤城区教育局</w:t>
            </w:r>
          </w:p>
        </w:tc>
        <w:tc>
          <w:tcPr>
            <w:tcW w:w="1134" w:type="dxa"/>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实施单位</w:t>
            </w:r>
          </w:p>
        </w:tc>
        <w:tc>
          <w:tcPr>
            <w:tcW w:w="3119" w:type="dxa"/>
            <w:gridSpan w:val="3"/>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怀化市</w:t>
            </w:r>
            <w:r>
              <w:rPr>
                <w:rFonts w:hint="eastAsia" w:eastAsia="仿宋_GB2312"/>
                <w:color w:val="000000"/>
                <w:kern w:val="0"/>
                <w:szCs w:val="21"/>
                <w:lang w:eastAsia="zh-CN"/>
              </w:rPr>
              <w:t>贺家田小学</w:t>
            </w:r>
          </w:p>
        </w:tc>
      </w:tr>
      <w:tr>
        <w:tblPrEx>
          <w:tblLayout w:type="fixed"/>
          <w:tblCellMar>
            <w:top w:w="0" w:type="dxa"/>
            <w:left w:w="108" w:type="dxa"/>
            <w:bottom w:w="0" w:type="dxa"/>
            <w:right w:w="108" w:type="dxa"/>
          </w:tblCellMar>
        </w:tblPrEx>
        <w:trPr>
          <w:trHeight w:val="340" w:hRule="atLeast"/>
          <w:jc w:val="center"/>
        </w:trPr>
        <w:tc>
          <w:tcPr>
            <w:tcW w:w="1135" w:type="dxa"/>
            <w:vMerge w:val="restart"/>
            <w:tcBorders>
              <w:top w:val="nil"/>
              <w:left w:val="single" w:color="auto" w:sz="4" w:space="0"/>
              <w:bottom w:val="single" w:color="000000"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项目资金</w:t>
            </w:r>
            <w:r>
              <w:rPr>
                <w:rFonts w:eastAsia="仿宋_GB2312"/>
                <w:color w:val="000000"/>
                <w:kern w:val="0"/>
                <w:szCs w:val="21"/>
              </w:rPr>
              <w:br w:type="textWrapping"/>
            </w:r>
            <w:r>
              <w:rPr>
                <w:rFonts w:eastAsia="仿宋_GB2312"/>
                <w:color w:val="000000"/>
                <w:kern w:val="0"/>
                <w:szCs w:val="21"/>
              </w:rPr>
              <w:t>（万元）</w:t>
            </w: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年初预算数</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全年预算数</w:t>
            </w:r>
          </w:p>
        </w:tc>
        <w:tc>
          <w:tcPr>
            <w:tcW w:w="1134"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全年执行数</w:t>
            </w:r>
          </w:p>
        </w:tc>
        <w:tc>
          <w:tcPr>
            <w:tcW w:w="828"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分值</w:t>
            </w:r>
          </w:p>
        </w:tc>
        <w:tc>
          <w:tcPr>
            <w:tcW w:w="873"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执行率</w:t>
            </w:r>
          </w:p>
        </w:tc>
        <w:tc>
          <w:tcPr>
            <w:tcW w:w="1418"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得分</w:t>
            </w:r>
          </w:p>
        </w:tc>
      </w:tr>
      <w:tr>
        <w:tblPrEx>
          <w:tblLayout w:type="fixed"/>
          <w:tblCellMar>
            <w:top w:w="0" w:type="dxa"/>
            <w:left w:w="108" w:type="dxa"/>
            <w:bottom w:w="0" w:type="dxa"/>
            <w:right w:w="108" w:type="dxa"/>
          </w:tblCellMar>
        </w:tblPrEx>
        <w:trPr>
          <w:trHeight w:val="472"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年度资金总额　</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39.46</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39.46</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39.49</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10</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100%</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10</w:t>
            </w:r>
          </w:p>
        </w:tc>
      </w:tr>
      <w:tr>
        <w:tblPrEx>
          <w:tblLayout w:type="fixed"/>
          <w:tblCellMar>
            <w:top w:w="0" w:type="dxa"/>
            <w:left w:w="108" w:type="dxa"/>
            <w:bottom w:w="0" w:type="dxa"/>
            <w:right w:w="108" w:type="dxa"/>
          </w:tblCellMar>
        </w:tblPrEx>
        <w:trPr>
          <w:trHeight w:val="538"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其中：当年财政拨款　</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33.47</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33.47</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33.47</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Layout w:type="fixed"/>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ind w:firstLine="630" w:firstLineChars="300"/>
              <w:jc w:val="left"/>
              <w:rPr>
                <w:rFonts w:eastAsia="仿宋_GB2312"/>
                <w:color w:val="000000"/>
                <w:kern w:val="0"/>
                <w:szCs w:val="21"/>
              </w:rPr>
            </w:pPr>
            <w:r>
              <w:rPr>
                <w:rFonts w:eastAsia="仿宋_GB2312"/>
                <w:color w:val="000000"/>
                <w:kern w:val="0"/>
                <w:szCs w:val="21"/>
              </w:rPr>
              <w:t>上年结转资金　</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Layout w:type="fixed"/>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ind w:firstLine="630" w:firstLineChars="300"/>
              <w:jc w:val="left"/>
              <w:rPr>
                <w:rFonts w:eastAsia="仿宋_GB2312"/>
                <w:color w:val="000000"/>
                <w:kern w:val="0"/>
                <w:szCs w:val="21"/>
              </w:rPr>
            </w:pPr>
            <w:r>
              <w:rPr>
                <w:rFonts w:eastAsia="仿宋_GB2312"/>
                <w:color w:val="000000"/>
                <w:kern w:val="0"/>
                <w:szCs w:val="21"/>
              </w:rPr>
              <w:t>其他资金</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5.99</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5.99</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Layout w:type="fixed"/>
          <w:tblCellMar>
            <w:top w:w="0" w:type="dxa"/>
            <w:left w:w="108" w:type="dxa"/>
            <w:bottom w:w="0" w:type="dxa"/>
            <w:right w:w="108" w:type="dxa"/>
          </w:tblCellMar>
        </w:tblPrEx>
        <w:trPr>
          <w:trHeight w:val="340" w:hRule="atLeast"/>
          <w:jc w:val="center"/>
        </w:trPr>
        <w:tc>
          <w:tcPr>
            <w:tcW w:w="1135" w:type="dxa"/>
            <w:vMerge w:val="restart"/>
            <w:tcBorders>
              <w:top w:val="nil"/>
              <w:left w:val="single" w:color="auto" w:sz="4" w:space="0"/>
              <w:bottom w:val="single" w:color="000000"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年度总</w:t>
            </w:r>
          </w:p>
          <w:p>
            <w:pPr>
              <w:widowControl/>
              <w:spacing w:line="320" w:lineRule="exact"/>
              <w:jc w:val="center"/>
              <w:rPr>
                <w:rFonts w:eastAsia="仿宋_GB2312"/>
                <w:color w:val="000000"/>
                <w:kern w:val="0"/>
                <w:szCs w:val="21"/>
              </w:rPr>
            </w:pPr>
            <w:r>
              <w:rPr>
                <w:rFonts w:eastAsia="仿宋_GB2312"/>
                <w:color w:val="000000"/>
                <w:kern w:val="0"/>
                <w:szCs w:val="21"/>
              </w:rPr>
              <w:t>体目标</w:t>
            </w:r>
          </w:p>
        </w:tc>
        <w:tc>
          <w:tcPr>
            <w:tcW w:w="4611" w:type="dxa"/>
            <w:gridSpan w:val="4"/>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预期目标</w:t>
            </w:r>
          </w:p>
        </w:tc>
        <w:tc>
          <w:tcPr>
            <w:tcW w:w="4253"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实际完成情况　</w:t>
            </w:r>
          </w:p>
        </w:tc>
      </w:tr>
      <w:tr>
        <w:tblPrEx>
          <w:tblLayout w:type="fixed"/>
          <w:tblCellMar>
            <w:top w:w="0" w:type="dxa"/>
            <w:left w:w="108" w:type="dxa"/>
            <w:bottom w:w="0" w:type="dxa"/>
            <w:right w:w="108" w:type="dxa"/>
          </w:tblCellMar>
        </w:tblPrEx>
        <w:trPr>
          <w:trHeight w:val="715" w:hRule="atLeast"/>
          <w:jc w:val="center"/>
        </w:trPr>
        <w:tc>
          <w:tcPr>
            <w:tcW w:w="113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p>
        </w:tc>
        <w:tc>
          <w:tcPr>
            <w:tcW w:w="4611" w:type="dxa"/>
            <w:gridSpan w:val="4"/>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按计划高标准完成2020年度学生营养餐正常进行，确保保安的工资发放及校园的安全。</w:t>
            </w:r>
          </w:p>
        </w:tc>
        <w:tc>
          <w:tcPr>
            <w:tcW w:w="4253"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高标准完成2020年度学生营养餐正常进行，确保保安的工资发放及校园的安全。</w:t>
            </w:r>
          </w:p>
        </w:tc>
      </w:tr>
      <w:tr>
        <w:tblPrEx>
          <w:tblLayout w:type="fixed"/>
          <w:tblCellMar>
            <w:top w:w="0" w:type="dxa"/>
            <w:left w:w="108" w:type="dxa"/>
            <w:bottom w:w="0" w:type="dxa"/>
            <w:right w:w="108" w:type="dxa"/>
          </w:tblCellMar>
        </w:tblPrEx>
        <w:trPr>
          <w:trHeight w:val="868" w:hRule="atLeast"/>
          <w:jc w:val="center"/>
        </w:trPr>
        <w:tc>
          <w:tcPr>
            <w:tcW w:w="1135" w:type="dxa"/>
            <w:vMerge w:val="restart"/>
            <w:tcBorders>
              <w:top w:val="single" w:color="auto" w:sz="4" w:space="0"/>
              <w:left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绩</w:t>
            </w:r>
          </w:p>
          <w:p>
            <w:pPr>
              <w:widowControl/>
              <w:spacing w:line="320" w:lineRule="exact"/>
              <w:jc w:val="center"/>
              <w:rPr>
                <w:rFonts w:eastAsia="仿宋_GB2312"/>
                <w:color w:val="000000"/>
                <w:kern w:val="0"/>
                <w:szCs w:val="21"/>
              </w:rPr>
            </w:pPr>
            <w:r>
              <w:rPr>
                <w:rFonts w:eastAsia="仿宋_GB2312"/>
                <w:color w:val="000000"/>
                <w:kern w:val="0"/>
                <w:szCs w:val="21"/>
              </w:rPr>
              <w:t>效</w:t>
            </w:r>
          </w:p>
          <w:p>
            <w:pPr>
              <w:widowControl/>
              <w:spacing w:line="320" w:lineRule="exact"/>
              <w:jc w:val="center"/>
              <w:rPr>
                <w:rFonts w:eastAsia="仿宋_GB2312"/>
                <w:color w:val="000000"/>
                <w:kern w:val="0"/>
                <w:szCs w:val="21"/>
              </w:rPr>
            </w:pPr>
            <w:r>
              <w:rPr>
                <w:rFonts w:eastAsia="仿宋_GB2312"/>
                <w:color w:val="000000"/>
                <w:kern w:val="0"/>
                <w:szCs w:val="21"/>
              </w:rPr>
              <w:t>指</w:t>
            </w:r>
          </w:p>
          <w:p>
            <w:pPr>
              <w:widowControl/>
              <w:spacing w:line="320" w:lineRule="exact"/>
              <w:jc w:val="center"/>
              <w:rPr>
                <w:rFonts w:eastAsia="仿宋_GB2312"/>
                <w:color w:val="000000"/>
                <w:kern w:val="0"/>
                <w:szCs w:val="21"/>
              </w:rPr>
            </w:pPr>
            <w:r>
              <w:rPr>
                <w:rFonts w:eastAsia="仿宋_GB2312"/>
                <w:color w:val="000000"/>
                <w:kern w:val="0"/>
                <w:szCs w:val="21"/>
              </w:rPr>
              <w:t>标</w:t>
            </w:r>
          </w:p>
        </w:tc>
        <w:tc>
          <w:tcPr>
            <w:tcW w:w="992"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一级指标</w:t>
            </w:r>
          </w:p>
        </w:tc>
        <w:tc>
          <w:tcPr>
            <w:tcW w:w="126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二级指标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三级指标</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年度</w:t>
            </w:r>
          </w:p>
          <w:p>
            <w:pPr>
              <w:widowControl/>
              <w:spacing w:line="320" w:lineRule="exact"/>
              <w:jc w:val="center"/>
              <w:rPr>
                <w:rFonts w:eastAsia="仿宋_GB2312"/>
                <w:color w:val="000000"/>
                <w:kern w:val="0"/>
                <w:szCs w:val="21"/>
              </w:rPr>
            </w:pPr>
            <w:r>
              <w:rPr>
                <w:rFonts w:eastAsia="仿宋_GB2312"/>
                <w:color w:val="000000"/>
                <w:kern w:val="0"/>
                <w:szCs w:val="21"/>
              </w:rPr>
              <w:t>指标值</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实际</w:t>
            </w:r>
          </w:p>
          <w:p>
            <w:pPr>
              <w:widowControl/>
              <w:spacing w:line="320" w:lineRule="exact"/>
              <w:jc w:val="center"/>
              <w:rPr>
                <w:rFonts w:eastAsia="仿宋_GB2312"/>
                <w:color w:val="000000"/>
                <w:kern w:val="0"/>
                <w:szCs w:val="21"/>
              </w:rPr>
            </w:pPr>
            <w:r>
              <w:rPr>
                <w:rFonts w:eastAsia="仿宋_GB2312"/>
                <w:color w:val="000000"/>
                <w:kern w:val="0"/>
                <w:szCs w:val="21"/>
              </w:rPr>
              <w:t>完成值</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分值</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得分</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偏差原因</w:t>
            </w:r>
          </w:p>
          <w:p>
            <w:pPr>
              <w:widowControl/>
              <w:spacing w:line="320" w:lineRule="exact"/>
              <w:jc w:val="center"/>
              <w:rPr>
                <w:rFonts w:eastAsia="仿宋_GB2312"/>
                <w:color w:val="000000"/>
                <w:kern w:val="0"/>
                <w:szCs w:val="21"/>
              </w:rPr>
            </w:pPr>
            <w:r>
              <w:rPr>
                <w:rFonts w:eastAsia="仿宋_GB2312"/>
                <w:color w:val="000000"/>
                <w:kern w:val="0"/>
                <w:szCs w:val="21"/>
              </w:rPr>
              <w:t>分析及</w:t>
            </w:r>
          </w:p>
          <w:p>
            <w:pPr>
              <w:widowControl/>
              <w:spacing w:line="320" w:lineRule="exact"/>
              <w:jc w:val="center"/>
              <w:rPr>
                <w:rFonts w:eastAsia="仿宋_GB2312"/>
                <w:color w:val="000000"/>
                <w:kern w:val="0"/>
                <w:szCs w:val="21"/>
              </w:rPr>
            </w:pPr>
            <w:r>
              <w:rPr>
                <w:rFonts w:eastAsia="仿宋_GB2312"/>
                <w:color w:val="000000"/>
                <w:kern w:val="0"/>
                <w:szCs w:val="21"/>
              </w:rPr>
              <w:t>改进措施</w:t>
            </w:r>
          </w:p>
        </w:tc>
      </w:tr>
      <w:tr>
        <w:tblPrEx>
          <w:tblLayout w:type="fixed"/>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产出</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center"/>
              <w:rPr>
                <w:rFonts w:eastAsia="仿宋_GB2312"/>
                <w:color w:val="000000"/>
                <w:kern w:val="0"/>
                <w:szCs w:val="21"/>
              </w:rPr>
            </w:pPr>
          </w:p>
          <w:p>
            <w:pPr>
              <w:widowControl/>
              <w:spacing w:line="320" w:lineRule="exact"/>
              <w:jc w:val="center"/>
              <w:rPr>
                <w:rFonts w:eastAsia="仿宋_GB2312"/>
                <w:color w:val="000000"/>
                <w:kern w:val="0"/>
                <w:szCs w:val="21"/>
              </w:rPr>
            </w:pPr>
            <w:r>
              <w:rPr>
                <w:rFonts w:eastAsia="仿宋_GB2312"/>
                <w:color w:val="000000"/>
                <w:kern w:val="0"/>
                <w:szCs w:val="21"/>
              </w:rPr>
              <w:t>(</w:t>
            </w:r>
            <w:r>
              <w:rPr>
                <w:rFonts w:hint="eastAsia" w:eastAsia="仿宋_GB2312"/>
                <w:color w:val="000000"/>
                <w:kern w:val="0"/>
                <w:szCs w:val="21"/>
              </w:rPr>
              <w:t>6</w:t>
            </w:r>
            <w:r>
              <w:rPr>
                <w:rFonts w:eastAsia="仿宋_GB2312"/>
                <w:color w:val="000000"/>
                <w:kern w:val="0"/>
                <w:szCs w:val="21"/>
              </w:rPr>
              <w:t>0分)</w:t>
            </w:r>
          </w:p>
        </w:tc>
        <w:tc>
          <w:tcPr>
            <w:tcW w:w="1261"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数量指标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食堂工作人员</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2</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rPr>
            </w:pP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8</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8</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无</w:t>
            </w:r>
          </w:p>
        </w:tc>
      </w:tr>
      <w:tr>
        <w:tblPrEx>
          <w:tblLayout w:type="fixed"/>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保安</w:t>
            </w:r>
            <w:r>
              <w:rPr>
                <w:rFonts w:eastAsia="仿宋_GB2312"/>
                <w:color w:val="000000"/>
                <w:kern w:val="0"/>
                <w:szCs w:val="21"/>
              </w:rPr>
              <w:t>人数</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eastAsia="zh-CN"/>
              </w:rPr>
            </w:pPr>
            <w:r>
              <w:rPr>
                <w:rFonts w:hint="eastAsia" w:eastAsia="仿宋_GB2312"/>
                <w:color w:val="000000"/>
                <w:kern w:val="0"/>
                <w:szCs w:val="21"/>
                <w:lang w:val="en-US" w:eastAsia="zh-CN"/>
              </w:rPr>
              <w:t>2</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eastAsia="zh-CN"/>
              </w:rPr>
            </w:pPr>
            <w:r>
              <w:rPr>
                <w:rFonts w:hint="eastAsia" w:eastAsia="仿宋_GB2312"/>
                <w:color w:val="000000"/>
                <w:kern w:val="0"/>
                <w:szCs w:val="21"/>
                <w:lang w:val="en-US" w:eastAsia="zh-CN"/>
              </w:rPr>
              <w:t>2</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8</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8</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无</w:t>
            </w:r>
          </w:p>
        </w:tc>
      </w:tr>
      <w:tr>
        <w:tblPrEx>
          <w:tblLayout w:type="fixed"/>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质量指标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校园安全率</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100%</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100%</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8</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8</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无</w:t>
            </w:r>
          </w:p>
        </w:tc>
      </w:tr>
      <w:tr>
        <w:tblPrEx>
          <w:tblLayout w:type="fixed"/>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营养餐正常执行率</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100%</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100%</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8</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8</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无</w:t>
            </w:r>
          </w:p>
        </w:tc>
      </w:tr>
      <w:tr>
        <w:tblPrEx>
          <w:tblLayout w:type="fixed"/>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时效指标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执行年度</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2020</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2020</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8</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8</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无</w:t>
            </w:r>
          </w:p>
        </w:tc>
      </w:tr>
      <w:tr>
        <w:tblPrEx>
          <w:tblLayout w:type="fixed"/>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工资发放及时性</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100%</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100%</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8</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8</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无</w:t>
            </w:r>
          </w:p>
        </w:tc>
      </w:tr>
      <w:tr>
        <w:tblPrEx>
          <w:tblLayout w:type="fixed"/>
          <w:tblCellMar>
            <w:top w:w="0" w:type="dxa"/>
            <w:left w:w="108" w:type="dxa"/>
            <w:bottom w:w="0" w:type="dxa"/>
            <w:right w:w="108" w:type="dxa"/>
          </w:tblCellMar>
        </w:tblPrEx>
        <w:trPr>
          <w:trHeight w:val="573"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成本指标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食堂人员工资</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1.16</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1.16</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6</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6</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无</w:t>
            </w:r>
          </w:p>
        </w:tc>
      </w:tr>
      <w:tr>
        <w:tblPrEx>
          <w:tblLayout w:type="fixed"/>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保安工资</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4.968</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lang w:val="en-US" w:eastAsia="zh-CN"/>
              </w:rPr>
              <w:t>4.968</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6</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6</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无</w:t>
            </w:r>
          </w:p>
        </w:tc>
      </w:tr>
      <w:tr>
        <w:tblPrEx>
          <w:tblLayout w:type="fixed"/>
          <w:tblCellMar>
            <w:top w:w="0" w:type="dxa"/>
            <w:left w:w="108" w:type="dxa"/>
            <w:bottom w:w="0" w:type="dxa"/>
            <w:right w:w="108" w:type="dxa"/>
          </w:tblCellMar>
        </w:tblPrEx>
        <w:trPr>
          <w:trHeight w:val="908"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restart"/>
            <w:tcBorders>
              <w:top w:val="single" w:color="auto" w:sz="4" w:space="0"/>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效益</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left"/>
              <w:rPr>
                <w:rFonts w:eastAsia="仿宋_GB2312"/>
                <w:color w:val="000000"/>
                <w:kern w:val="0"/>
                <w:szCs w:val="21"/>
              </w:rPr>
            </w:pPr>
          </w:p>
          <w:p>
            <w:pPr>
              <w:widowControl/>
              <w:spacing w:line="320" w:lineRule="exact"/>
              <w:jc w:val="left"/>
              <w:rPr>
                <w:rFonts w:eastAsia="仿宋_GB2312"/>
                <w:color w:val="000000"/>
                <w:kern w:val="0"/>
                <w:szCs w:val="21"/>
              </w:rPr>
            </w:pPr>
            <w:r>
              <w:rPr>
                <w:rFonts w:eastAsia="仿宋_GB2312"/>
                <w:color w:val="000000"/>
                <w:kern w:val="0"/>
                <w:szCs w:val="21"/>
              </w:rPr>
              <w:t>（30分）</w:t>
            </w:r>
          </w:p>
          <w:p>
            <w:pPr>
              <w:spacing w:line="320" w:lineRule="exact"/>
              <w:jc w:val="left"/>
              <w:rPr>
                <w:rFonts w:eastAsia="仿宋_GB2312"/>
                <w:color w:val="000000"/>
                <w:kern w:val="0"/>
                <w:szCs w:val="21"/>
              </w:rPr>
            </w:pPr>
            <w:r>
              <w:rPr>
                <w:rFonts w:eastAsia="仿宋_GB2312"/>
                <w:color w:val="000000"/>
                <w:kern w:val="0"/>
                <w:szCs w:val="21"/>
              </w:rPr>
              <w:t>　</w:t>
            </w:r>
          </w:p>
        </w:tc>
        <w:tc>
          <w:tcPr>
            <w:tcW w:w="126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经济效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带动社会经济发展贡献率100%</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100%</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100%</w:t>
            </w:r>
            <w:r>
              <w:rPr>
                <w:rFonts w:eastAsia="仿宋_GB2312"/>
                <w:color w:val="000000"/>
                <w:kern w:val="0"/>
                <w:szCs w:val="21"/>
              </w:rPr>
              <w:t>　</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10</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10</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无</w:t>
            </w:r>
          </w:p>
        </w:tc>
      </w:tr>
      <w:tr>
        <w:tblPrEx>
          <w:tblLayout w:type="fixed"/>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社会效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学校教学工作的正常开展，校园安全得到保障率100%</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100%</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100%</w:t>
            </w:r>
            <w:r>
              <w:rPr>
                <w:rFonts w:eastAsia="仿宋_GB2312"/>
                <w:color w:val="000000"/>
                <w:kern w:val="0"/>
                <w:szCs w:val="21"/>
              </w:rPr>
              <w:t>　</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10</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10</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无</w:t>
            </w:r>
          </w:p>
        </w:tc>
      </w:tr>
      <w:tr>
        <w:tblPrEx>
          <w:tblLayout w:type="fixed"/>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992" w:type="dxa"/>
            <w:vMerge w:val="continue"/>
            <w:tcBorders>
              <w:left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61" w:type="dxa"/>
            <w:tcBorders>
              <w:top w:val="single" w:color="auto" w:sz="4" w:space="0"/>
              <w:left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可持续影响指标</w:t>
            </w:r>
          </w:p>
        </w:tc>
        <w:tc>
          <w:tcPr>
            <w:tcW w:w="122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校园安全及食堂开展持续保障率</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100%</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100%</w:t>
            </w:r>
          </w:p>
        </w:tc>
        <w:tc>
          <w:tcPr>
            <w:tcW w:w="8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10</w:t>
            </w:r>
          </w:p>
        </w:tc>
        <w:tc>
          <w:tcPr>
            <w:tcW w:w="87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10</w:t>
            </w: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无　</w:t>
            </w:r>
          </w:p>
        </w:tc>
      </w:tr>
      <w:tr>
        <w:tblPrEx>
          <w:tblLayout w:type="fixed"/>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992" w:type="dxa"/>
            <w:tcBorders>
              <w:top w:val="nil"/>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满意度</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center"/>
              <w:rPr>
                <w:rFonts w:eastAsia="仿宋_GB2312"/>
                <w:color w:val="000000"/>
                <w:kern w:val="0"/>
                <w:szCs w:val="21"/>
              </w:rPr>
            </w:pPr>
            <w:r>
              <w:rPr>
                <w:rFonts w:eastAsia="仿宋_GB2312"/>
                <w:color w:val="000000"/>
                <w:kern w:val="0"/>
                <w:szCs w:val="21"/>
              </w:rPr>
              <w:t>（</w:t>
            </w:r>
            <w:r>
              <w:rPr>
                <w:rFonts w:hint="eastAsia" w:eastAsia="仿宋_GB2312"/>
                <w:color w:val="000000"/>
                <w:kern w:val="0"/>
                <w:szCs w:val="21"/>
              </w:rPr>
              <w:t>10</w:t>
            </w:r>
            <w:r>
              <w:rPr>
                <w:rFonts w:eastAsia="仿宋_GB2312"/>
                <w:color w:val="000000"/>
                <w:kern w:val="0"/>
                <w:szCs w:val="21"/>
              </w:rPr>
              <w:t>分）</w:t>
            </w:r>
          </w:p>
        </w:tc>
        <w:tc>
          <w:tcPr>
            <w:tcW w:w="1261" w:type="dxa"/>
            <w:tcBorders>
              <w:top w:val="nil"/>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服务对象满意度指标</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食堂人员及保安人员满意度</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100%</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95%</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10</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8</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学校的管理制度还需进一步完善</w:t>
            </w:r>
          </w:p>
        </w:tc>
      </w:tr>
      <w:tr>
        <w:tblPrEx>
          <w:tblLayout w:type="fixed"/>
          <w:tblCellMar>
            <w:top w:w="0" w:type="dxa"/>
            <w:left w:w="108" w:type="dxa"/>
            <w:bottom w:w="0" w:type="dxa"/>
            <w:right w:w="108" w:type="dxa"/>
          </w:tblCellMar>
        </w:tblPrEx>
        <w:trPr>
          <w:trHeight w:val="340" w:hRule="atLeast"/>
          <w:jc w:val="center"/>
        </w:trPr>
        <w:tc>
          <w:tcPr>
            <w:tcW w:w="6880" w:type="dxa"/>
            <w:gridSpan w:val="6"/>
            <w:tcBorders>
              <w:top w:val="single" w:color="auto" w:sz="4" w:space="0"/>
              <w:left w:val="single" w:color="auto" w:sz="4" w:space="0"/>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总分</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100</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98</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bl>
    <w:p>
      <w:pPr>
        <w:spacing w:afterLines="100" w:line="600" w:lineRule="exact"/>
        <w:rPr>
          <w:rFonts w:hint="eastAsia" w:eastAsia="仿宋_GB2312"/>
          <w:sz w:val="24"/>
          <w:lang w:val="en-US" w:eastAsia="zh-CN"/>
        </w:rPr>
      </w:pPr>
      <w:r>
        <w:rPr>
          <w:rFonts w:eastAsia="仿宋_GB2312"/>
          <w:sz w:val="24"/>
        </w:rPr>
        <w:t xml:space="preserve">填表人： </w:t>
      </w:r>
      <w:r>
        <w:rPr>
          <w:rFonts w:hint="eastAsia" w:asciiTheme="minorEastAsia" w:hAnsiTheme="minorEastAsia" w:eastAsiaTheme="minorEastAsia"/>
          <w:sz w:val="24"/>
          <w:lang w:eastAsia="zh-CN"/>
        </w:rPr>
        <w:t>曹琪</w:t>
      </w:r>
      <w:r>
        <w:rPr>
          <w:rFonts w:hint="eastAsia" w:asciiTheme="minorEastAsia" w:hAnsiTheme="minorEastAsia" w:eastAsiaTheme="minorEastAsia"/>
          <w:sz w:val="24"/>
          <w:lang w:val="en-US" w:eastAsia="zh-CN"/>
        </w:rPr>
        <w:t xml:space="preserve">  </w:t>
      </w:r>
      <w:r>
        <w:rPr>
          <w:rFonts w:asciiTheme="minorEastAsia" w:hAnsiTheme="minorEastAsia" w:eastAsiaTheme="minorEastAsia"/>
          <w:sz w:val="24"/>
        </w:rPr>
        <w:t xml:space="preserve"> </w:t>
      </w:r>
      <w:r>
        <w:rPr>
          <w:rFonts w:eastAsia="仿宋_GB2312"/>
          <w:sz w:val="24"/>
        </w:rPr>
        <w:t>填报日期：</w:t>
      </w:r>
      <w:r>
        <w:rPr>
          <w:rFonts w:hint="eastAsia" w:eastAsia="仿宋_GB2312"/>
          <w:sz w:val="24"/>
        </w:rPr>
        <w:t>2021.6.21</w:t>
      </w:r>
      <w:r>
        <w:rPr>
          <w:rFonts w:hint="eastAsia" w:eastAsia="仿宋_GB2312"/>
          <w:sz w:val="24"/>
          <w:lang w:val="en-US" w:eastAsia="zh-CN"/>
        </w:rPr>
        <w:t xml:space="preserve">  </w:t>
      </w:r>
      <w:r>
        <w:rPr>
          <w:rFonts w:eastAsia="仿宋_GB2312"/>
          <w:sz w:val="24"/>
        </w:rPr>
        <w:t>联系电话：</w:t>
      </w:r>
      <w:r>
        <w:rPr>
          <w:rFonts w:hint="eastAsia" w:eastAsia="仿宋_GB2312"/>
          <w:sz w:val="24"/>
          <w:lang w:val="en-US" w:eastAsia="zh-CN"/>
        </w:rPr>
        <w:t xml:space="preserve">18574545979    </w:t>
      </w:r>
    </w:p>
    <w:p>
      <w:pPr>
        <w:spacing w:afterLines="100" w:line="600" w:lineRule="exact"/>
        <w:rPr>
          <w:rFonts w:eastAsia="黑体"/>
          <w:sz w:val="32"/>
          <w:szCs w:val="32"/>
        </w:rPr>
      </w:pPr>
      <w:r>
        <w:rPr>
          <w:rFonts w:eastAsia="仿宋_GB2312"/>
          <w:sz w:val="24"/>
        </w:rPr>
        <w:t>单位负责人签字：</w:t>
      </w:r>
    </w:p>
    <w:p>
      <w:pPr>
        <w:spacing w:afterLines="100" w:line="600" w:lineRule="exact"/>
        <w:rPr>
          <w:rFonts w:eastAsia="黑体"/>
          <w:sz w:val="32"/>
          <w:szCs w:val="32"/>
        </w:rPr>
      </w:pPr>
    </w:p>
    <w:p>
      <w:pPr>
        <w:spacing w:afterLines="100" w:line="600" w:lineRule="exact"/>
        <w:rPr>
          <w:rFonts w:eastAsia="黑体"/>
          <w:sz w:val="32"/>
          <w:szCs w:val="32"/>
        </w:rPr>
      </w:pPr>
    </w:p>
    <w:p>
      <w:pPr>
        <w:spacing w:afterLines="100" w:line="600" w:lineRule="exact"/>
        <w:rPr>
          <w:rFonts w:eastAsia="黑体"/>
          <w:sz w:val="32"/>
          <w:szCs w:val="32"/>
        </w:rPr>
      </w:pPr>
    </w:p>
    <w:p>
      <w:pPr>
        <w:spacing w:afterLines="100" w:line="600" w:lineRule="exact"/>
        <w:rPr>
          <w:rFonts w:eastAsia="黑体"/>
          <w:sz w:val="32"/>
          <w:szCs w:val="32"/>
        </w:rPr>
      </w:pPr>
    </w:p>
    <w:p>
      <w:pPr>
        <w:spacing w:afterLines="100" w:line="600" w:lineRule="exact"/>
        <w:rPr>
          <w:rFonts w:eastAsia="黑体"/>
          <w:sz w:val="32"/>
          <w:szCs w:val="32"/>
        </w:rPr>
      </w:pPr>
    </w:p>
    <w:p>
      <w:pPr>
        <w:spacing w:afterLines="100" w:line="600" w:lineRule="exact"/>
        <w:rPr>
          <w:rFonts w:eastAsia="黑体"/>
          <w:sz w:val="32"/>
          <w:szCs w:val="32"/>
        </w:rPr>
      </w:pPr>
    </w:p>
    <w:p>
      <w:pPr>
        <w:spacing w:afterLines="100" w:line="600" w:lineRule="exact"/>
        <w:rPr>
          <w:rFonts w:eastAsia="黑体"/>
          <w:sz w:val="32"/>
          <w:szCs w:val="32"/>
        </w:rPr>
      </w:pPr>
    </w:p>
    <w:p>
      <w:pPr>
        <w:spacing w:afterLines="100" w:line="600" w:lineRule="exact"/>
        <w:rPr>
          <w:rFonts w:eastAsia="黑体"/>
          <w:sz w:val="32"/>
          <w:szCs w:val="32"/>
        </w:rPr>
      </w:pPr>
    </w:p>
    <w:p>
      <w:pPr>
        <w:spacing w:afterLines="100" w:line="600" w:lineRule="exact"/>
        <w:rPr>
          <w:rFonts w:eastAsia="黑体"/>
          <w:sz w:val="32"/>
          <w:szCs w:val="32"/>
        </w:rPr>
      </w:pPr>
    </w:p>
    <w:p>
      <w:pPr>
        <w:spacing w:line="600" w:lineRule="exact"/>
        <w:jc w:val="center"/>
        <w:rPr>
          <w:rFonts w:eastAsia="黑体"/>
          <w:kern w:val="0"/>
          <w:sz w:val="32"/>
          <w:szCs w:val="32"/>
        </w:rPr>
      </w:pPr>
      <w:r>
        <w:rPr>
          <w:rFonts w:eastAsia="方正小标宋_GBK"/>
          <w:sz w:val="36"/>
          <w:szCs w:val="36"/>
        </w:rPr>
        <w:t>预算支出绩效评价报告</w:t>
      </w:r>
    </w:p>
    <w:p>
      <w:pPr>
        <w:spacing w:line="600" w:lineRule="exact"/>
        <w:ind w:firstLine="640" w:firstLineChars="200"/>
        <w:rPr>
          <w:rFonts w:eastAsia="黑体"/>
          <w:sz w:val="32"/>
          <w:szCs w:val="32"/>
        </w:rPr>
      </w:pPr>
      <w:r>
        <w:rPr>
          <w:rFonts w:eastAsia="黑体"/>
          <w:sz w:val="32"/>
          <w:szCs w:val="32"/>
        </w:rPr>
        <w:t>一、预算支出基本情况</w:t>
      </w:r>
    </w:p>
    <w:p>
      <w:pPr>
        <w:pStyle w:val="12"/>
        <w:ind w:firstLine="643" w:firstLineChars="200"/>
        <w:rPr>
          <w:rFonts w:eastAsia="楷体_GB2312"/>
          <w:b/>
          <w:sz w:val="32"/>
          <w:szCs w:val="32"/>
        </w:rPr>
      </w:pPr>
      <w:r>
        <w:rPr>
          <w:rFonts w:eastAsia="楷体_GB2312"/>
          <w:b/>
          <w:sz w:val="32"/>
          <w:szCs w:val="32"/>
        </w:rPr>
        <w:t>（一）预算支出概况。</w:t>
      </w:r>
    </w:p>
    <w:p>
      <w:pPr>
        <w:pStyle w:val="12"/>
        <w:ind w:firstLine="560" w:firstLineChars="200"/>
        <w:rPr>
          <w:rFonts w:asciiTheme="minorEastAsia" w:hAnsiTheme="minorEastAsia" w:eastAsiaTheme="minorEastAsia"/>
          <w:sz w:val="28"/>
          <w:szCs w:val="28"/>
        </w:rPr>
      </w:pPr>
      <w:r>
        <w:rPr>
          <w:rFonts w:hint="eastAsia" w:asciiTheme="minorEastAsia" w:hAnsiTheme="minorEastAsia" w:eastAsiaTheme="minorEastAsia"/>
          <w:sz w:val="28"/>
          <w:szCs w:val="28"/>
        </w:rPr>
        <w:t>2020年度</w:t>
      </w:r>
      <w:r>
        <w:rPr>
          <w:rFonts w:hint="eastAsia" w:asciiTheme="minorEastAsia" w:hAnsiTheme="minorEastAsia" w:eastAsiaTheme="minorEastAsia"/>
          <w:sz w:val="28"/>
          <w:szCs w:val="28"/>
          <w:lang w:eastAsia="zh-CN"/>
        </w:rPr>
        <w:t>贺家田小学</w:t>
      </w:r>
      <w:r>
        <w:rPr>
          <w:rFonts w:asciiTheme="minorEastAsia" w:hAnsiTheme="minorEastAsia" w:eastAsiaTheme="minorEastAsia"/>
          <w:sz w:val="28"/>
          <w:szCs w:val="28"/>
        </w:rPr>
        <w:t>预算</w:t>
      </w:r>
      <w:r>
        <w:rPr>
          <w:rFonts w:hint="eastAsia" w:asciiTheme="minorEastAsia" w:hAnsiTheme="minorEastAsia" w:eastAsiaTheme="minorEastAsia"/>
          <w:sz w:val="28"/>
          <w:szCs w:val="28"/>
        </w:rPr>
        <w:t>数</w:t>
      </w:r>
      <w:r>
        <w:rPr>
          <w:rFonts w:hint="eastAsia" w:asciiTheme="minorEastAsia" w:hAnsiTheme="minorEastAsia" w:eastAsiaTheme="minorEastAsia"/>
          <w:sz w:val="28"/>
          <w:szCs w:val="28"/>
          <w:lang w:val="en-US" w:eastAsia="zh-CN"/>
        </w:rPr>
        <w:t>328.64</w:t>
      </w:r>
      <w:r>
        <w:rPr>
          <w:rFonts w:hint="eastAsia" w:asciiTheme="minorEastAsia" w:hAnsiTheme="minorEastAsia" w:eastAsiaTheme="minorEastAsia"/>
          <w:sz w:val="28"/>
          <w:szCs w:val="28"/>
        </w:rPr>
        <w:t>万元，是为保障单位机构正常运转、完成日常工作任务而发生的各项支出，包括用于基本工资、津贴补贴等人员经费以及办公费、印刷费、水电费、物业管理费等日常公用经费。</w:t>
      </w:r>
    </w:p>
    <w:p>
      <w:pPr>
        <w:pStyle w:val="12"/>
        <w:ind w:left="640"/>
        <w:rPr>
          <w:rFonts w:eastAsia="楷体_GB2312"/>
          <w:b/>
          <w:sz w:val="32"/>
          <w:szCs w:val="32"/>
        </w:rPr>
      </w:pPr>
      <w:r>
        <w:rPr>
          <w:rFonts w:eastAsia="楷体_GB2312"/>
          <w:b/>
          <w:sz w:val="32"/>
          <w:szCs w:val="32"/>
        </w:rPr>
        <w:t>（二）预算资金使用管理情况。</w:t>
      </w:r>
    </w:p>
    <w:p>
      <w:pPr>
        <w:pStyle w:val="12"/>
        <w:ind w:firstLine="420" w:firstLineChars="150"/>
        <w:rPr>
          <w:rFonts w:asciiTheme="minorEastAsia" w:hAnsiTheme="minorEastAsia" w:eastAsiaTheme="minorEastAsia"/>
          <w:sz w:val="28"/>
          <w:szCs w:val="28"/>
        </w:rPr>
      </w:pPr>
      <w:r>
        <w:rPr>
          <w:rFonts w:hint="eastAsia" w:asciiTheme="minorEastAsia" w:hAnsiTheme="minorEastAsia" w:eastAsiaTheme="minorEastAsia"/>
          <w:sz w:val="28"/>
          <w:szCs w:val="28"/>
        </w:rPr>
        <w:t>学校严格按照预算执行。在收到财政下达的各类款项后，按照资金的用途使用，支出总额控制在预算总额以内，按照预算执行进度，及时支付。</w:t>
      </w:r>
    </w:p>
    <w:p>
      <w:pPr>
        <w:numPr>
          <w:ilvl w:val="0"/>
          <w:numId w:val="6"/>
        </w:numPr>
        <w:spacing w:line="600" w:lineRule="exact"/>
        <w:ind w:left="640"/>
        <w:rPr>
          <w:rFonts w:eastAsia="楷体_GB2312"/>
          <w:b/>
          <w:sz w:val="32"/>
          <w:szCs w:val="32"/>
        </w:rPr>
      </w:pPr>
      <w:r>
        <w:rPr>
          <w:rFonts w:eastAsia="楷体_GB2312"/>
          <w:b/>
          <w:sz w:val="32"/>
          <w:szCs w:val="32"/>
        </w:rPr>
        <w:t>预算支出绩效目标完成程度。</w:t>
      </w:r>
    </w:p>
    <w:p>
      <w:pPr>
        <w:spacing w:line="600" w:lineRule="exact"/>
        <w:ind w:firstLine="560" w:firstLineChars="200"/>
        <w:rPr>
          <w:rFonts w:asciiTheme="minorEastAsia" w:hAnsiTheme="minorEastAsia" w:eastAsiaTheme="minorEastAsia"/>
          <w:color w:val="000000" w:themeColor="text1"/>
          <w:sz w:val="28"/>
          <w:szCs w:val="28"/>
          <w14:textFill>
            <w14:solidFill>
              <w14:schemeClr w14:val="tx1"/>
            </w14:solidFill>
          </w14:textFill>
        </w:rPr>
      </w:pPr>
      <w:r>
        <w:rPr>
          <w:rFonts w:hint="eastAsia" w:asciiTheme="minorEastAsia" w:hAnsiTheme="minorEastAsia" w:eastAsiaTheme="minorEastAsia"/>
          <w:color w:val="000000" w:themeColor="text1"/>
          <w:sz w:val="28"/>
          <w:szCs w:val="28"/>
          <w14:textFill>
            <w14:solidFill>
              <w14:schemeClr w14:val="tx1"/>
            </w14:solidFill>
          </w14:textFill>
        </w:rPr>
        <w:t>2020年度财政拨款支出年初预算数为</w:t>
      </w:r>
      <w:r>
        <w:rPr>
          <w:rFonts w:hint="eastAsia" w:asciiTheme="minorEastAsia" w:hAnsiTheme="minorEastAsia" w:eastAsiaTheme="minorEastAsia"/>
          <w:color w:val="000000" w:themeColor="text1"/>
          <w:sz w:val="28"/>
          <w:szCs w:val="28"/>
          <w:lang w:val="en-US" w:eastAsia="zh-CN"/>
          <w14:textFill>
            <w14:solidFill>
              <w14:schemeClr w14:val="tx1"/>
            </w14:solidFill>
          </w14:textFill>
        </w:rPr>
        <w:t>328.64</w:t>
      </w:r>
      <w:r>
        <w:rPr>
          <w:rFonts w:hint="eastAsia" w:asciiTheme="minorEastAsia" w:hAnsiTheme="minorEastAsia" w:eastAsiaTheme="minorEastAsia"/>
          <w:color w:val="000000" w:themeColor="text1"/>
          <w:sz w:val="28"/>
          <w:szCs w:val="28"/>
          <w14:textFill>
            <w14:solidFill>
              <w14:schemeClr w14:val="tx1"/>
            </w14:solidFill>
          </w14:textFill>
        </w:rPr>
        <w:t>万元，支出决算数为</w:t>
      </w:r>
      <w:r>
        <w:rPr>
          <w:rFonts w:hint="eastAsia" w:asciiTheme="minorEastAsia" w:hAnsiTheme="minorEastAsia" w:eastAsiaTheme="minorEastAsia"/>
          <w:color w:val="000000" w:themeColor="text1"/>
          <w:sz w:val="28"/>
          <w:szCs w:val="28"/>
          <w:lang w:val="en-US" w:eastAsia="zh-CN"/>
          <w14:textFill>
            <w14:solidFill>
              <w14:schemeClr w14:val="tx1"/>
            </w14:solidFill>
          </w14:textFill>
        </w:rPr>
        <w:t>328.64</w:t>
      </w:r>
      <w:r>
        <w:rPr>
          <w:rFonts w:hint="eastAsia" w:asciiTheme="minorEastAsia" w:hAnsiTheme="minorEastAsia" w:eastAsiaTheme="minorEastAsia"/>
          <w:color w:val="000000" w:themeColor="text1"/>
          <w:sz w:val="28"/>
          <w:szCs w:val="28"/>
          <w14:textFill>
            <w14:solidFill>
              <w14:schemeClr w14:val="tx1"/>
            </w14:solidFill>
          </w14:textFill>
        </w:rPr>
        <w:t>万元</w:t>
      </w:r>
      <w:r>
        <w:rPr>
          <w:rFonts w:asciiTheme="minorEastAsia" w:hAnsiTheme="minorEastAsia" w:eastAsiaTheme="minorEastAsia"/>
          <w:color w:val="000000" w:themeColor="text1"/>
          <w:sz w:val="28"/>
          <w:szCs w:val="28"/>
          <w14:textFill>
            <w14:solidFill>
              <w14:schemeClr w14:val="tx1"/>
            </w14:solidFill>
          </w14:textFill>
        </w:rPr>
        <w:t>.</w:t>
      </w:r>
      <w:r>
        <w:rPr>
          <w:rFonts w:hint="eastAsia" w:asciiTheme="minorEastAsia" w:hAnsiTheme="minorEastAsia" w:eastAsiaTheme="minorEastAsia"/>
          <w:color w:val="000000" w:themeColor="text1"/>
          <w:sz w:val="28"/>
          <w:szCs w:val="28"/>
          <w14:textFill>
            <w14:solidFill>
              <w14:schemeClr w14:val="tx1"/>
            </w14:solidFill>
          </w14:textFill>
        </w:rPr>
        <w:t xml:space="preserve"> 完成年初预算的100%</w:t>
      </w:r>
    </w:p>
    <w:p>
      <w:pPr>
        <w:numPr>
          <w:ilvl w:val="0"/>
          <w:numId w:val="7"/>
        </w:numPr>
        <w:spacing w:line="600" w:lineRule="exact"/>
        <w:ind w:left="640"/>
        <w:rPr>
          <w:rFonts w:eastAsia="黑体"/>
          <w:sz w:val="32"/>
          <w:szCs w:val="32"/>
        </w:rPr>
      </w:pPr>
      <w:r>
        <w:rPr>
          <w:rFonts w:eastAsia="黑体"/>
          <w:sz w:val="32"/>
          <w:szCs w:val="32"/>
        </w:rPr>
        <w:t>绩效评价工作情况</w:t>
      </w:r>
    </w:p>
    <w:p>
      <w:pPr>
        <w:spacing w:line="600" w:lineRule="exact"/>
        <w:ind w:firstLine="560" w:firstLineChars="200"/>
        <w:rPr>
          <w:rFonts w:eastAsia="黑体"/>
          <w:sz w:val="32"/>
          <w:szCs w:val="32"/>
        </w:rPr>
      </w:pPr>
      <w:r>
        <w:rPr>
          <w:rFonts w:hint="eastAsia" w:asciiTheme="minorEastAsia" w:hAnsiTheme="minorEastAsia" w:eastAsiaTheme="minorEastAsia"/>
          <w:sz w:val="28"/>
          <w:szCs w:val="28"/>
        </w:rPr>
        <w:t>学校在预算执行和支出绩效方面，都按照规定严格执行，合理安排支出，无追加预算现象发生，使财政资金发挥最大效益。</w:t>
      </w:r>
    </w:p>
    <w:p>
      <w:pPr>
        <w:numPr>
          <w:ilvl w:val="0"/>
          <w:numId w:val="7"/>
        </w:numPr>
        <w:spacing w:line="600" w:lineRule="exact"/>
        <w:ind w:left="640"/>
        <w:rPr>
          <w:rFonts w:eastAsia="黑体"/>
          <w:sz w:val="32"/>
          <w:szCs w:val="32"/>
        </w:rPr>
      </w:pPr>
      <w:r>
        <w:rPr>
          <w:rFonts w:eastAsia="黑体"/>
          <w:sz w:val="32"/>
          <w:szCs w:val="32"/>
        </w:rPr>
        <w:t>预算支出主要绩效及评价结论</w:t>
      </w:r>
    </w:p>
    <w:p>
      <w:pPr>
        <w:spacing w:line="600" w:lineRule="exact"/>
        <w:ind w:firstLine="560" w:firstLineChars="200"/>
        <w:rPr>
          <w:rFonts w:eastAsia="黑体"/>
          <w:sz w:val="32"/>
          <w:szCs w:val="32"/>
        </w:rPr>
      </w:pPr>
      <w:r>
        <w:rPr>
          <w:rFonts w:hint="eastAsia" w:asciiTheme="minorEastAsia" w:hAnsiTheme="minorEastAsia" w:eastAsiaTheme="minorEastAsia"/>
          <w:sz w:val="28"/>
          <w:szCs w:val="28"/>
          <w:lang w:eastAsia="zh-CN"/>
        </w:rPr>
        <w:t>贺家田小学</w:t>
      </w:r>
      <w:r>
        <w:rPr>
          <w:rFonts w:hint="eastAsia" w:asciiTheme="minorEastAsia" w:hAnsiTheme="minorEastAsia" w:eastAsiaTheme="minorEastAsia"/>
          <w:sz w:val="28"/>
          <w:szCs w:val="28"/>
        </w:rPr>
        <w:t>2020年整体支出基本符合财务管理制度和会计核算要求，财政资金的投入，对学校完成</w:t>
      </w:r>
      <w:r>
        <w:rPr>
          <w:rFonts w:hint="eastAsia" w:asciiTheme="minorEastAsia" w:hAnsiTheme="minorEastAsia" w:eastAsiaTheme="minorEastAsia"/>
          <w:sz w:val="28"/>
          <w:szCs w:val="28"/>
          <w:lang w:eastAsia="zh-CN"/>
        </w:rPr>
        <w:t>小学</w:t>
      </w:r>
      <w:r>
        <w:rPr>
          <w:rFonts w:hint="eastAsia" w:asciiTheme="minorEastAsia" w:hAnsiTheme="minorEastAsia" w:eastAsiaTheme="minorEastAsia"/>
          <w:sz w:val="28"/>
          <w:szCs w:val="28"/>
        </w:rPr>
        <w:t>义务教育，促进基础教育发展，起到了保障作用。</w:t>
      </w:r>
    </w:p>
    <w:p>
      <w:pPr>
        <w:spacing w:line="600" w:lineRule="exact"/>
        <w:ind w:firstLine="640" w:firstLineChars="200"/>
        <w:rPr>
          <w:rFonts w:eastAsia="黑体"/>
          <w:sz w:val="32"/>
          <w:szCs w:val="32"/>
        </w:rPr>
      </w:pPr>
      <w:r>
        <w:rPr>
          <w:rFonts w:eastAsia="黑体"/>
          <w:sz w:val="32"/>
          <w:szCs w:val="32"/>
        </w:rPr>
        <w:t>四、绩效评价指标分析</w:t>
      </w:r>
    </w:p>
    <w:p>
      <w:pPr>
        <w:spacing w:line="600" w:lineRule="exact"/>
        <w:ind w:firstLine="643" w:firstLineChars="200"/>
        <w:rPr>
          <w:rFonts w:eastAsia="楷体_GB2312"/>
          <w:b/>
          <w:sz w:val="32"/>
          <w:szCs w:val="32"/>
        </w:rPr>
      </w:pPr>
      <w:r>
        <w:rPr>
          <w:rFonts w:eastAsia="楷体_GB2312"/>
          <w:b/>
          <w:sz w:val="32"/>
          <w:szCs w:val="32"/>
        </w:rPr>
        <w:t>（一）预算支出决策情况</w:t>
      </w:r>
    </w:p>
    <w:p>
      <w:pPr>
        <w:spacing w:line="600" w:lineRule="exact"/>
        <w:ind w:firstLine="560" w:firstLineChars="200"/>
        <w:rPr>
          <w:rFonts w:eastAsia="楷体_GB2312"/>
          <w:b/>
          <w:sz w:val="32"/>
          <w:szCs w:val="32"/>
        </w:rPr>
      </w:pPr>
      <w:r>
        <w:rPr>
          <w:rFonts w:hint="eastAsia" w:asciiTheme="minorEastAsia" w:hAnsiTheme="minorEastAsia" w:eastAsiaTheme="minorEastAsia"/>
          <w:sz w:val="28"/>
          <w:szCs w:val="28"/>
        </w:rPr>
        <w:t>严格执行相关法律法规及项目管理制度，项目公示制。</w:t>
      </w:r>
    </w:p>
    <w:p>
      <w:pPr>
        <w:numPr>
          <w:ilvl w:val="0"/>
          <w:numId w:val="8"/>
        </w:numPr>
        <w:spacing w:line="600" w:lineRule="exact"/>
        <w:ind w:firstLine="643" w:firstLineChars="200"/>
        <w:rPr>
          <w:rFonts w:eastAsia="楷体_GB2312"/>
          <w:b/>
          <w:sz w:val="32"/>
          <w:szCs w:val="32"/>
        </w:rPr>
      </w:pPr>
      <w:r>
        <w:rPr>
          <w:rFonts w:eastAsia="楷体_GB2312"/>
          <w:b/>
          <w:sz w:val="32"/>
          <w:szCs w:val="32"/>
        </w:rPr>
        <w:t>预算执行过程情况</w:t>
      </w:r>
    </w:p>
    <w:p>
      <w:pPr>
        <w:spacing w:line="600" w:lineRule="exact"/>
        <w:ind w:firstLine="560" w:firstLineChars="200"/>
        <w:rPr>
          <w:rFonts w:eastAsia="楷体_GB2312"/>
          <w:b/>
          <w:sz w:val="32"/>
          <w:szCs w:val="32"/>
        </w:rPr>
      </w:pPr>
      <w:r>
        <w:rPr>
          <w:rFonts w:hint="eastAsia" w:asciiTheme="minorEastAsia" w:hAnsiTheme="minorEastAsia" w:eastAsiaTheme="minorEastAsia"/>
          <w:sz w:val="28"/>
          <w:szCs w:val="28"/>
        </w:rPr>
        <w:t>强化绩效理念，提高财政资金使用效益，在预算执行中严格接受财政部门的监管。</w:t>
      </w:r>
    </w:p>
    <w:p>
      <w:pPr>
        <w:numPr>
          <w:ilvl w:val="0"/>
          <w:numId w:val="8"/>
        </w:numPr>
        <w:spacing w:line="600" w:lineRule="exact"/>
        <w:ind w:firstLine="643" w:firstLineChars="200"/>
        <w:rPr>
          <w:rFonts w:eastAsia="楷体_GB2312"/>
          <w:b/>
          <w:sz w:val="32"/>
          <w:szCs w:val="32"/>
        </w:rPr>
      </w:pPr>
      <w:r>
        <w:rPr>
          <w:rFonts w:eastAsia="楷体_GB2312"/>
          <w:b/>
          <w:sz w:val="32"/>
          <w:szCs w:val="32"/>
        </w:rPr>
        <w:t>预算支出产出情况</w:t>
      </w:r>
    </w:p>
    <w:p>
      <w:pPr>
        <w:spacing w:line="600" w:lineRule="exact"/>
        <w:ind w:firstLine="560" w:firstLineChars="200"/>
        <w:rPr>
          <w:rFonts w:eastAsia="楷体_GB2312"/>
          <w:b/>
          <w:sz w:val="32"/>
          <w:szCs w:val="32"/>
        </w:rPr>
      </w:pPr>
      <w:r>
        <w:rPr>
          <w:rFonts w:hint="eastAsia" w:cs="仿宋" w:asciiTheme="minorEastAsia" w:hAnsiTheme="minorEastAsia" w:eastAsiaTheme="minorEastAsia"/>
          <w:sz w:val="28"/>
          <w:szCs w:val="28"/>
        </w:rPr>
        <w:t>全面贯彻党的教育方针，落实九年义务教育各项政策，保障学生受教育的各项权利，维护教师职工各项权益。</w:t>
      </w:r>
    </w:p>
    <w:p>
      <w:pPr>
        <w:numPr>
          <w:ilvl w:val="0"/>
          <w:numId w:val="8"/>
        </w:numPr>
        <w:spacing w:line="600" w:lineRule="exact"/>
        <w:ind w:firstLine="643" w:firstLineChars="200"/>
        <w:rPr>
          <w:rFonts w:eastAsia="楷体_GB2312"/>
          <w:b/>
          <w:sz w:val="32"/>
          <w:szCs w:val="32"/>
        </w:rPr>
      </w:pPr>
      <w:r>
        <w:rPr>
          <w:rFonts w:eastAsia="楷体_GB2312"/>
          <w:b/>
          <w:sz w:val="32"/>
          <w:szCs w:val="32"/>
        </w:rPr>
        <w:t>预算支出效益情况</w:t>
      </w:r>
    </w:p>
    <w:p>
      <w:pPr>
        <w:spacing w:line="600" w:lineRule="exact"/>
        <w:ind w:firstLine="560" w:firstLineChars="200"/>
        <w:rPr>
          <w:rFonts w:eastAsia="楷体_GB2312"/>
          <w:b/>
          <w:sz w:val="32"/>
          <w:szCs w:val="32"/>
        </w:rPr>
      </w:pPr>
      <w:r>
        <w:rPr>
          <w:rFonts w:asciiTheme="minorEastAsia" w:hAnsiTheme="minorEastAsia" w:eastAsiaTheme="minorEastAsia"/>
          <w:color w:val="333333"/>
          <w:sz w:val="28"/>
          <w:szCs w:val="28"/>
        </w:rPr>
        <w:t>改善</w:t>
      </w:r>
      <w:r>
        <w:rPr>
          <w:rFonts w:hint="eastAsia" w:asciiTheme="minorEastAsia" w:hAnsiTheme="minorEastAsia" w:eastAsiaTheme="minorEastAsia"/>
          <w:color w:val="333333"/>
          <w:sz w:val="28"/>
          <w:szCs w:val="28"/>
        </w:rPr>
        <w:t>了</w:t>
      </w:r>
      <w:r>
        <w:rPr>
          <w:rFonts w:asciiTheme="minorEastAsia" w:hAnsiTheme="minorEastAsia" w:eastAsiaTheme="minorEastAsia"/>
          <w:color w:val="333333"/>
          <w:sz w:val="28"/>
          <w:szCs w:val="28"/>
        </w:rPr>
        <w:t>我校的办学条件，为更多的学生创造良好的学习环境，也将进一步提高我校教学质量，促进教育事业的发展，产生更好的社会效应，做到学生满意，人民群众满意。</w:t>
      </w:r>
    </w:p>
    <w:p>
      <w:pPr>
        <w:spacing w:line="600" w:lineRule="exact"/>
        <w:ind w:firstLine="640" w:firstLineChars="200"/>
        <w:rPr>
          <w:rFonts w:eastAsia="黑体"/>
          <w:sz w:val="32"/>
          <w:szCs w:val="32"/>
        </w:rPr>
      </w:pPr>
      <w:r>
        <w:rPr>
          <w:rFonts w:eastAsia="黑体"/>
          <w:sz w:val="32"/>
          <w:szCs w:val="32"/>
        </w:rPr>
        <w:t>五、主要经验及做法、存在的问题及原因分析</w:t>
      </w:r>
    </w:p>
    <w:p>
      <w:pPr>
        <w:spacing w:line="600" w:lineRule="exact"/>
        <w:ind w:firstLine="560" w:firstLineChars="200"/>
        <w:rPr>
          <w:rFonts w:asciiTheme="minorEastAsia" w:hAnsiTheme="minorEastAsia" w:eastAsiaTheme="minorEastAsia"/>
          <w:color w:val="333333"/>
          <w:sz w:val="28"/>
          <w:szCs w:val="28"/>
        </w:rPr>
      </w:pPr>
      <w:r>
        <w:rPr>
          <w:rFonts w:asciiTheme="minorEastAsia" w:hAnsiTheme="minorEastAsia" w:eastAsiaTheme="minorEastAsia"/>
          <w:color w:val="333333"/>
          <w:sz w:val="28"/>
          <w:szCs w:val="28"/>
        </w:rPr>
        <w:t>主要经验及做法</w:t>
      </w:r>
      <w:r>
        <w:rPr>
          <w:rFonts w:hint="eastAsia" w:asciiTheme="minorEastAsia" w:hAnsiTheme="minorEastAsia" w:eastAsiaTheme="minorEastAsia"/>
          <w:color w:val="333333"/>
          <w:sz w:val="28"/>
          <w:szCs w:val="28"/>
        </w:rPr>
        <w:t>：严格遵循把财政资金使用好、管理好的宗旨，基本做到了专款专用，严格资金审批程序，确保了项目质量，财政资金的安全。</w:t>
      </w:r>
    </w:p>
    <w:p>
      <w:pPr>
        <w:spacing w:line="600" w:lineRule="exact"/>
        <w:ind w:firstLine="560" w:firstLineChars="200"/>
        <w:rPr>
          <w:rFonts w:asciiTheme="minorEastAsia" w:hAnsiTheme="minorEastAsia" w:eastAsiaTheme="minorEastAsia"/>
          <w:color w:val="333333"/>
          <w:sz w:val="28"/>
          <w:szCs w:val="28"/>
        </w:rPr>
      </w:pPr>
      <w:r>
        <w:rPr>
          <w:rFonts w:hint="eastAsia" w:asciiTheme="minorEastAsia" w:hAnsiTheme="minorEastAsia" w:eastAsiaTheme="minorEastAsia"/>
          <w:color w:val="333333"/>
          <w:sz w:val="28"/>
          <w:szCs w:val="28"/>
        </w:rPr>
        <w:t>存在的问题：对绩效评价工作的认识和重视程度还有待加强。</w:t>
      </w:r>
    </w:p>
    <w:p>
      <w:pPr>
        <w:numPr>
          <w:ilvl w:val="0"/>
          <w:numId w:val="9"/>
        </w:numPr>
        <w:spacing w:line="600" w:lineRule="exact"/>
        <w:ind w:firstLine="640" w:firstLineChars="200"/>
        <w:rPr>
          <w:rFonts w:eastAsia="黑体"/>
          <w:sz w:val="32"/>
          <w:szCs w:val="32"/>
        </w:rPr>
      </w:pPr>
      <w:r>
        <w:rPr>
          <w:rFonts w:eastAsia="黑体"/>
          <w:sz w:val="32"/>
          <w:szCs w:val="32"/>
        </w:rPr>
        <w:t>有关建议</w:t>
      </w:r>
    </w:p>
    <w:p>
      <w:pPr>
        <w:spacing w:line="600" w:lineRule="exact"/>
        <w:ind w:firstLine="560" w:firstLineChars="200"/>
        <w:rPr>
          <w:rFonts w:eastAsia="仿宋_GB2312"/>
          <w:sz w:val="32"/>
          <w:szCs w:val="32"/>
        </w:rPr>
      </w:pPr>
      <w:r>
        <w:rPr>
          <w:rFonts w:hint="eastAsia" w:cs="仿宋_GB2312" w:asciiTheme="minorEastAsia" w:hAnsiTheme="minorEastAsia" w:eastAsiaTheme="minorEastAsia"/>
          <w:sz w:val="28"/>
          <w:szCs w:val="28"/>
        </w:rPr>
        <w:t>建议组织财务人员和部门工作人员预算、绩效工作培训，加强预算、绩效管理意识</w:t>
      </w:r>
      <w:r>
        <w:rPr>
          <w:rFonts w:hint="eastAsia" w:asciiTheme="minorEastAsia" w:hAnsiTheme="minorEastAsia" w:eastAsiaTheme="minorEastAsia"/>
          <w:sz w:val="28"/>
          <w:szCs w:val="28"/>
        </w:rPr>
        <w:t>。</w:t>
      </w:r>
      <w:r>
        <w:rPr>
          <w:rFonts w:eastAsia="仿宋_GB2312"/>
          <w:sz w:val="32"/>
          <w:szCs w:val="32"/>
        </w:rPr>
        <w:br w:type="page"/>
      </w:r>
    </w:p>
    <w:p>
      <w:pPr>
        <w:bidi w:val="0"/>
        <w:jc w:val="left"/>
        <w:rPr>
          <w:rFonts w:ascii="Times New Roman" w:hAnsi="Times New Roman" w:eastAsia="宋体" w:cs="Times New Roman"/>
          <w:kern w:val="2"/>
          <w:sz w:val="21"/>
          <w:szCs w:val="24"/>
          <w:lang w:val="en-US" w:eastAsia="zh-CN" w:bidi="ar-SA"/>
        </w:rPr>
      </w:pPr>
    </w:p>
    <w:p>
      <w:pPr>
        <w:spacing w:line="600" w:lineRule="exact"/>
        <w:ind w:firstLine="640" w:firstLineChars="200"/>
        <w:rPr>
          <w:rFonts w:eastAsia="黑体"/>
          <w:sz w:val="32"/>
          <w:szCs w:val="32"/>
        </w:rPr>
      </w:pPr>
      <w:r>
        <w:rPr>
          <w:rFonts w:eastAsia="黑体"/>
          <w:sz w:val="32"/>
          <w:szCs w:val="32"/>
        </w:rPr>
        <w:t>七、其他需要说明的问题</w:t>
      </w:r>
    </w:p>
    <w:p>
      <w:pPr>
        <w:widowControl/>
        <w:spacing w:line="600" w:lineRule="exact"/>
        <w:jc w:val="left"/>
        <w:rPr>
          <w:rFonts w:eastAsia="黑体"/>
          <w:sz w:val="32"/>
          <w:szCs w:val="32"/>
        </w:rPr>
      </w:pPr>
    </w:p>
    <w:p>
      <w:pPr>
        <w:widowControl/>
        <w:spacing w:line="600" w:lineRule="exact"/>
        <w:ind w:firstLine="645"/>
        <w:jc w:val="left"/>
        <w:rPr>
          <w:rFonts w:eastAsia="仿宋_GB2312"/>
          <w:sz w:val="32"/>
          <w:szCs w:val="32"/>
        </w:rPr>
      </w:pPr>
      <w:r>
        <w:rPr>
          <w:rFonts w:eastAsia="仿宋_GB2312"/>
          <w:sz w:val="32"/>
          <w:szCs w:val="32"/>
        </w:rPr>
        <w:t>报告应包括以下附件：</w:t>
      </w:r>
    </w:p>
    <w:p>
      <w:pPr>
        <w:widowControl/>
        <w:spacing w:line="600" w:lineRule="exact"/>
        <w:ind w:firstLine="645"/>
        <w:jc w:val="left"/>
        <w:rPr>
          <w:rFonts w:eastAsia="仿宋_GB2312"/>
          <w:sz w:val="32"/>
          <w:szCs w:val="32"/>
        </w:rPr>
      </w:pPr>
      <w:r>
        <w:rPr>
          <w:rFonts w:eastAsia="仿宋_GB2312"/>
          <w:sz w:val="32"/>
          <w:szCs w:val="32"/>
        </w:rPr>
        <w:t>1、绩效评价基础数据汇总表</w:t>
      </w:r>
    </w:p>
    <w:p>
      <w:pPr>
        <w:widowControl/>
        <w:spacing w:line="600" w:lineRule="exact"/>
        <w:ind w:firstLine="645"/>
        <w:jc w:val="left"/>
        <w:rPr>
          <w:rFonts w:eastAsia="仿宋_GB2312"/>
          <w:sz w:val="32"/>
          <w:szCs w:val="32"/>
        </w:rPr>
      </w:pPr>
      <w:r>
        <w:rPr>
          <w:rFonts w:eastAsia="仿宋_GB2312"/>
          <w:sz w:val="32"/>
          <w:szCs w:val="32"/>
        </w:rPr>
        <w:t>2、绩效评价指标评分表</w:t>
      </w:r>
    </w:p>
    <w:p>
      <w:pPr>
        <w:widowControl/>
        <w:spacing w:line="600" w:lineRule="exact"/>
        <w:jc w:val="left"/>
      </w:pPr>
      <w:r>
        <w:rPr>
          <w:rFonts w:eastAsia="仿宋_GB2312"/>
          <w:sz w:val="32"/>
          <w:szCs w:val="32"/>
        </w:rPr>
        <w:br w:type="page"/>
      </w:r>
    </w:p>
    <w:p>
      <w:pPr>
        <w:widowControl/>
        <w:spacing w:line="600" w:lineRule="exact"/>
        <w:jc w:val="left"/>
        <w:rPr>
          <w:rFonts w:eastAsia="黑体"/>
          <w:sz w:val="32"/>
          <w:szCs w:val="32"/>
        </w:rPr>
      </w:pPr>
      <w:r>
        <w:rPr>
          <w:rFonts w:eastAsia="黑体"/>
          <w:sz w:val="32"/>
          <w:szCs w:val="32"/>
        </w:rPr>
        <w:t>附件</w:t>
      </w:r>
      <w:r>
        <w:rPr>
          <w:rFonts w:hint="eastAsia" w:eastAsia="黑体"/>
          <w:sz w:val="32"/>
          <w:szCs w:val="32"/>
        </w:rPr>
        <w:t>5-2</w:t>
      </w:r>
    </w:p>
    <w:p>
      <w:pPr>
        <w:widowControl/>
        <w:spacing w:line="600" w:lineRule="exact"/>
        <w:jc w:val="left"/>
        <w:rPr>
          <w:rFonts w:eastAsia="黑体"/>
          <w:sz w:val="32"/>
          <w:szCs w:val="32"/>
        </w:rPr>
      </w:pPr>
    </w:p>
    <w:p>
      <w:pPr>
        <w:spacing w:line="600" w:lineRule="exact"/>
        <w:jc w:val="center"/>
        <w:rPr>
          <w:rFonts w:eastAsia="方正小标宋_GBK"/>
          <w:sz w:val="36"/>
          <w:szCs w:val="36"/>
        </w:rPr>
      </w:pPr>
      <w:r>
        <w:rPr>
          <w:rFonts w:eastAsia="方正小标宋_GBK"/>
          <w:sz w:val="36"/>
          <w:szCs w:val="36"/>
        </w:rPr>
        <w:t>预算支出绩效报告</w:t>
      </w:r>
    </w:p>
    <w:p>
      <w:pPr>
        <w:pStyle w:val="11"/>
        <w:numPr>
          <w:ilvl w:val="0"/>
          <w:numId w:val="10"/>
        </w:numPr>
        <w:spacing w:line="600" w:lineRule="exact"/>
        <w:ind w:firstLineChars="0"/>
        <w:rPr>
          <w:rFonts w:asciiTheme="minorEastAsia" w:hAnsiTheme="minorEastAsia" w:eastAsiaTheme="minorEastAsia"/>
          <w:sz w:val="28"/>
          <w:szCs w:val="28"/>
        </w:rPr>
      </w:pPr>
      <w:r>
        <w:rPr>
          <w:rFonts w:asciiTheme="minorEastAsia" w:hAnsiTheme="minorEastAsia" w:eastAsiaTheme="minorEastAsia"/>
          <w:sz w:val="28"/>
          <w:szCs w:val="28"/>
        </w:rPr>
        <w:t>预算支出基本情况</w:t>
      </w:r>
    </w:p>
    <w:p>
      <w:pPr>
        <w:pStyle w:val="12"/>
        <w:rPr>
          <w:rFonts w:asciiTheme="minorEastAsia" w:hAnsiTheme="minorEastAsia" w:eastAsiaTheme="minorEastAsia"/>
          <w:sz w:val="28"/>
          <w:szCs w:val="28"/>
        </w:rPr>
      </w:pPr>
      <w:r>
        <w:rPr>
          <w:rFonts w:asciiTheme="minorEastAsia" w:hAnsiTheme="minorEastAsia" w:eastAsiaTheme="minorEastAsia"/>
          <w:sz w:val="28"/>
          <w:szCs w:val="28"/>
        </w:rPr>
        <w:t>（一）预算支出概况。</w:t>
      </w:r>
    </w:p>
    <w:p>
      <w:pPr>
        <w:pStyle w:val="12"/>
        <w:ind w:firstLine="560" w:firstLineChars="200"/>
        <w:rPr>
          <w:rFonts w:asciiTheme="minorEastAsia" w:hAnsiTheme="minorEastAsia" w:eastAsiaTheme="minorEastAsia"/>
          <w:sz w:val="28"/>
          <w:szCs w:val="28"/>
        </w:rPr>
      </w:pPr>
      <w:r>
        <w:rPr>
          <w:rFonts w:hint="eastAsia" w:asciiTheme="minorEastAsia" w:hAnsiTheme="minorEastAsia" w:eastAsiaTheme="minorEastAsia"/>
          <w:sz w:val="28"/>
          <w:szCs w:val="28"/>
        </w:rPr>
        <w:t>2020年度</w:t>
      </w:r>
      <w:r>
        <w:rPr>
          <w:rFonts w:hint="eastAsia" w:asciiTheme="minorEastAsia" w:hAnsiTheme="minorEastAsia" w:eastAsiaTheme="minorEastAsia"/>
          <w:sz w:val="28"/>
          <w:szCs w:val="28"/>
          <w:lang w:eastAsia="zh-CN"/>
        </w:rPr>
        <w:t>贺家田小学</w:t>
      </w:r>
      <w:r>
        <w:rPr>
          <w:rFonts w:asciiTheme="minorEastAsia" w:hAnsiTheme="minorEastAsia" w:eastAsiaTheme="minorEastAsia"/>
          <w:sz w:val="28"/>
          <w:szCs w:val="28"/>
        </w:rPr>
        <w:t>预算</w:t>
      </w:r>
      <w:r>
        <w:rPr>
          <w:rFonts w:hint="eastAsia" w:asciiTheme="minorEastAsia" w:hAnsiTheme="minorEastAsia" w:eastAsiaTheme="minorEastAsia"/>
          <w:sz w:val="28"/>
          <w:szCs w:val="28"/>
        </w:rPr>
        <w:t>支出</w:t>
      </w:r>
      <w:r>
        <w:rPr>
          <w:rFonts w:hint="eastAsia" w:asciiTheme="minorEastAsia" w:hAnsiTheme="minorEastAsia" w:eastAsiaTheme="minorEastAsia"/>
          <w:sz w:val="28"/>
          <w:szCs w:val="28"/>
          <w:lang w:val="en-US" w:eastAsia="zh-CN"/>
        </w:rPr>
        <w:t>328.64</w:t>
      </w:r>
      <w:r>
        <w:rPr>
          <w:rFonts w:hint="eastAsia" w:asciiTheme="minorEastAsia" w:hAnsiTheme="minorEastAsia" w:eastAsiaTheme="minorEastAsia"/>
          <w:sz w:val="28"/>
          <w:szCs w:val="28"/>
        </w:rPr>
        <w:t>万元，其中：人员经费万</w:t>
      </w:r>
      <w:r>
        <w:rPr>
          <w:rFonts w:hint="eastAsia" w:asciiTheme="minorEastAsia" w:hAnsiTheme="minorEastAsia" w:eastAsiaTheme="minorEastAsia"/>
          <w:sz w:val="28"/>
          <w:szCs w:val="28"/>
          <w:lang w:val="en-US" w:eastAsia="zh-CN"/>
        </w:rPr>
        <w:t>274.55</w:t>
      </w:r>
      <w:r>
        <w:rPr>
          <w:rFonts w:hint="eastAsia" w:asciiTheme="minorEastAsia" w:hAnsiTheme="minorEastAsia" w:eastAsiaTheme="minorEastAsia"/>
          <w:sz w:val="28"/>
          <w:szCs w:val="28"/>
        </w:rPr>
        <w:t>万元，占基本支出的</w:t>
      </w:r>
      <w:r>
        <w:rPr>
          <w:rFonts w:hint="eastAsia" w:asciiTheme="minorEastAsia" w:hAnsiTheme="minorEastAsia" w:eastAsiaTheme="minorEastAsia"/>
          <w:sz w:val="28"/>
          <w:szCs w:val="28"/>
          <w:lang w:val="en-US" w:eastAsia="zh-CN"/>
        </w:rPr>
        <w:t>95</w:t>
      </w:r>
      <w:r>
        <w:rPr>
          <w:rFonts w:hint="eastAsia" w:asciiTheme="minorEastAsia" w:hAnsiTheme="minorEastAsia" w:eastAsiaTheme="minorEastAsia"/>
          <w:sz w:val="28"/>
          <w:szCs w:val="28"/>
        </w:rPr>
        <w:t>%,主要包括基本工资、津贴补贴、奖金、机关事业单位基本养老保险费、职工基本医疗保险缴费、其他社会保障缴费、住房公积金、其他工资福利支出、离休费、抚恤金、生活补助、医疗费补助、奖励金、其他对个人和家庭的补助；公用支出</w:t>
      </w:r>
      <w:r>
        <w:rPr>
          <w:rFonts w:hint="eastAsia" w:asciiTheme="minorEastAsia" w:hAnsiTheme="minorEastAsia" w:eastAsiaTheme="minorEastAsia"/>
          <w:sz w:val="28"/>
          <w:szCs w:val="28"/>
          <w:lang w:val="en-US" w:eastAsia="zh-CN"/>
        </w:rPr>
        <w:t>14.6</w:t>
      </w:r>
      <w:r>
        <w:rPr>
          <w:rFonts w:hint="eastAsia" w:asciiTheme="minorEastAsia" w:hAnsiTheme="minorEastAsia" w:eastAsiaTheme="minorEastAsia"/>
          <w:sz w:val="28"/>
          <w:szCs w:val="28"/>
        </w:rPr>
        <w:t>万元，占基本支出的</w:t>
      </w:r>
      <w:r>
        <w:rPr>
          <w:rFonts w:hint="eastAsia" w:asciiTheme="minorEastAsia" w:hAnsiTheme="minorEastAsia" w:eastAsiaTheme="minorEastAsia"/>
          <w:sz w:val="28"/>
          <w:szCs w:val="28"/>
          <w:lang w:val="en-US" w:eastAsia="zh-CN"/>
        </w:rPr>
        <w:t>5</w:t>
      </w:r>
      <w:r>
        <w:rPr>
          <w:rFonts w:hint="eastAsia" w:asciiTheme="minorEastAsia" w:hAnsiTheme="minorEastAsia" w:eastAsiaTheme="minorEastAsia"/>
          <w:sz w:val="28"/>
          <w:szCs w:val="28"/>
        </w:rPr>
        <w:t>%，主要包括办公费、印刷费、手续费、水费、电费、邮电费、差旅费、工会经费、福利费、其他商品和服务支出。</w:t>
      </w:r>
    </w:p>
    <w:p>
      <w:pPr>
        <w:pStyle w:val="12"/>
        <w:rPr>
          <w:rFonts w:asciiTheme="minorEastAsia" w:hAnsiTheme="minorEastAsia" w:eastAsiaTheme="minorEastAsia"/>
          <w:sz w:val="28"/>
          <w:szCs w:val="28"/>
        </w:rPr>
      </w:pPr>
      <w:r>
        <w:rPr>
          <w:rFonts w:asciiTheme="minorEastAsia" w:hAnsiTheme="minorEastAsia" w:eastAsiaTheme="minorEastAsia"/>
          <w:sz w:val="28"/>
          <w:szCs w:val="28"/>
        </w:rPr>
        <w:t>（二）预算资金使用管理情况。</w:t>
      </w:r>
    </w:p>
    <w:p>
      <w:pPr>
        <w:pStyle w:val="12"/>
        <w:ind w:firstLine="420" w:firstLineChars="150"/>
        <w:rPr>
          <w:rFonts w:asciiTheme="minorEastAsia" w:hAnsiTheme="minorEastAsia" w:eastAsiaTheme="minorEastAsia"/>
          <w:sz w:val="28"/>
          <w:szCs w:val="28"/>
        </w:rPr>
      </w:pPr>
      <w:r>
        <w:rPr>
          <w:rFonts w:hint="eastAsia" w:asciiTheme="minorEastAsia" w:hAnsiTheme="minorEastAsia" w:eastAsiaTheme="minorEastAsia"/>
          <w:sz w:val="28"/>
          <w:szCs w:val="28"/>
        </w:rPr>
        <w:t>学校严格按照预算执行。在收到财政下达的各类款项后，按照资金的用途使用，支出总额控制在预算总额以内，按照预算执行进度，及时支付。</w:t>
      </w:r>
    </w:p>
    <w:p>
      <w:pPr>
        <w:spacing w:line="600" w:lineRule="exact"/>
        <w:rPr>
          <w:rFonts w:asciiTheme="minorEastAsia" w:hAnsiTheme="minorEastAsia" w:eastAsiaTheme="minorEastAsia"/>
          <w:sz w:val="28"/>
          <w:szCs w:val="28"/>
        </w:rPr>
      </w:pPr>
      <w:r>
        <w:rPr>
          <w:rFonts w:asciiTheme="minorEastAsia" w:hAnsiTheme="minorEastAsia" w:eastAsiaTheme="minorEastAsia"/>
          <w:sz w:val="28"/>
          <w:szCs w:val="28"/>
        </w:rPr>
        <w:t>（三）预算支出绩效目标完成程度。</w:t>
      </w:r>
    </w:p>
    <w:p>
      <w:pPr>
        <w:spacing w:line="600" w:lineRule="exact"/>
        <w:ind w:firstLine="560" w:firstLineChars="200"/>
        <w:rPr>
          <w:rFonts w:asciiTheme="minorEastAsia" w:hAnsiTheme="minorEastAsia" w:eastAsiaTheme="minorEastAsia"/>
          <w:color w:val="000000" w:themeColor="text1"/>
          <w:sz w:val="28"/>
          <w:szCs w:val="28"/>
          <w14:textFill>
            <w14:solidFill>
              <w14:schemeClr w14:val="tx1"/>
            </w14:solidFill>
          </w14:textFill>
        </w:rPr>
      </w:pPr>
      <w:r>
        <w:rPr>
          <w:rFonts w:hint="eastAsia" w:asciiTheme="minorEastAsia" w:hAnsiTheme="minorEastAsia" w:eastAsiaTheme="minorEastAsia"/>
          <w:color w:val="000000" w:themeColor="text1"/>
          <w:sz w:val="28"/>
          <w:szCs w:val="28"/>
          <w14:textFill>
            <w14:solidFill>
              <w14:schemeClr w14:val="tx1"/>
            </w14:solidFill>
          </w14:textFill>
        </w:rPr>
        <w:t>2020年度财政拨款支出年初预算数为</w:t>
      </w:r>
      <w:r>
        <w:rPr>
          <w:rFonts w:hint="eastAsia" w:asciiTheme="minorEastAsia" w:hAnsiTheme="minorEastAsia" w:eastAsiaTheme="minorEastAsia"/>
          <w:color w:val="000000" w:themeColor="text1"/>
          <w:sz w:val="28"/>
          <w:szCs w:val="28"/>
          <w:lang w:val="en-US" w:eastAsia="zh-CN"/>
          <w14:textFill>
            <w14:solidFill>
              <w14:schemeClr w14:val="tx1"/>
            </w14:solidFill>
          </w14:textFill>
        </w:rPr>
        <w:t>328.64</w:t>
      </w:r>
      <w:r>
        <w:rPr>
          <w:rFonts w:hint="eastAsia" w:asciiTheme="minorEastAsia" w:hAnsiTheme="minorEastAsia" w:eastAsiaTheme="minorEastAsia"/>
          <w:color w:val="000000" w:themeColor="text1"/>
          <w:sz w:val="28"/>
          <w:szCs w:val="28"/>
          <w14:textFill>
            <w14:solidFill>
              <w14:schemeClr w14:val="tx1"/>
            </w14:solidFill>
          </w14:textFill>
        </w:rPr>
        <w:t>万元，支出决算数为</w:t>
      </w:r>
      <w:r>
        <w:rPr>
          <w:rFonts w:hint="eastAsia" w:asciiTheme="minorEastAsia" w:hAnsiTheme="minorEastAsia" w:eastAsiaTheme="minorEastAsia"/>
          <w:color w:val="000000" w:themeColor="text1"/>
          <w:sz w:val="28"/>
          <w:szCs w:val="28"/>
          <w:lang w:val="en-US" w:eastAsia="zh-CN"/>
          <w14:textFill>
            <w14:solidFill>
              <w14:schemeClr w14:val="tx1"/>
            </w14:solidFill>
          </w14:textFill>
        </w:rPr>
        <w:t>328.64</w:t>
      </w:r>
      <w:r>
        <w:rPr>
          <w:rFonts w:hint="eastAsia" w:asciiTheme="minorEastAsia" w:hAnsiTheme="minorEastAsia" w:eastAsiaTheme="minorEastAsia"/>
          <w:color w:val="000000" w:themeColor="text1"/>
          <w:sz w:val="28"/>
          <w:szCs w:val="28"/>
          <w14:textFill>
            <w14:solidFill>
              <w14:schemeClr w14:val="tx1"/>
            </w14:solidFill>
          </w14:textFill>
        </w:rPr>
        <w:t>万元</w:t>
      </w:r>
      <w:r>
        <w:rPr>
          <w:rFonts w:asciiTheme="minorEastAsia" w:hAnsiTheme="minorEastAsia" w:eastAsiaTheme="minorEastAsia"/>
          <w:color w:val="000000" w:themeColor="text1"/>
          <w:sz w:val="28"/>
          <w:szCs w:val="28"/>
          <w14:textFill>
            <w14:solidFill>
              <w14:schemeClr w14:val="tx1"/>
            </w14:solidFill>
          </w14:textFill>
        </w:rPr>
        <w:t>.</w:t>
      </w:r>
      <w:r>
        <w:rPr>
          <w:rFonts w:hint="eastAsia" w:asciiTheme="minorEastAsia" w:hAnsiTheme="minorEastAsia" w:eastAsiaTheme="minorEastAsia"/>
          <w:color w:val="000000" w:themeColor="text1"/>
          <w:sz w:val="28"/>
          <w:szCs w:val="28"/>
          <w14:textFill>
            <w14:solidFill>
              <w14:schemeClr w14:val="tx1"/>
            </w14:solidFill>
          </w14:textFill>
        </w:rPr>
        <w:t xml:space="preserve"> 完成年初预算的100%</w:t>
      </w:r>
    </w:p>
    <w:p>
      <w:pPr>
        <w:spacing w:line="600" w:lineRule="exact"/>
        <w:rPr>
          <w:rFonts w:asciiTheme="minorEastAsia" w:hAnsiTheme="minorEastAsia" w:eastAsiaTheme="minorEastAsia"/>
          <w:sz w:val="28"/>
          <w:szCs w:val="28"/>
        </w:rPr>
      </w:pPr>
      <w:r>
        <w:rPr>
          <w:rFonts w:asciiTheme="minorEastAsia" w:hAnsiTheme="minorEastAsia" w:eastAsiaTheme="minorEastAsia"/>
          <w:sz w:val="28"/>
          <w:szCs w:val="28"/>
        </w:rPr>
        <w:t>二</w:t>
      </w:r>
      <w:r>
        <w:rPr>
          <w:rFonts w:hint="eastAsia" w:asciiTheme="minorEastAsia" w:hAnsiTheme="minorEastAsia" w:eastAsiaTheme="minorEastAsia"/>
          <w:sz w:val="28"/>
          <w:szCs w:val="28"/>
        </w:rPr>
        <w:t xml:space="preserve">  </w:t>
      </w:r>
      <w:r>
        <w:rPr>
          <w:rFonts w:asciiTheme="minorEastAsia" w:hAnsiTheme="minorEastAsia" w:eastAsiaTheme="minorEastAsia"/>
          <w:sz w:val="28"/>
          <w:szCs w:val="28"/>
        </w:rPr>
        <w:t>绩效评价工作情况</w:t>
      </w:r>
    </w:p>
    <w:p>
      <w:pPr>
        <w:spacing w:line="600" w:lineRule="exact"/>
        <w:rPr>
          <w:rFonts w:asciiTheme="minorEastAsia" w:hAnsiTheme="minorEastAsia" w:eastAsiaTheme="minorEastAsia"/>
          <w:sz w:val="28"/>
          <w:szCs w:val="28"/>
        </w:rPr>
      </w:pPr>
      <w:r>
        <w:rPr>
          <w:rFonts w:hint="eastAsia" w:asciiTheme="minorEastAsia" w:hAnsiTheme="minorEastAsia" w:eastAsiaTheme="minorEastAsia"/>
          <w:sz w:val="28"/>
          <w:szCs w:val="28"/>
        </w:rPr>
        <w:t xml:space="preserve">   学校在预算执行和支出绩效方面，都按照规定严格执行，合理安排支出，无追加预算现象发生，使财政资金发挥最大效益。</w:t>
      </w:r>
    </w:p>
    <w:p>
      <w:pPr>
        <w:spacing w:line="600" w:lineRule="exact"/>
        <w:rPr>
          <w:rFonts w:asciiTheme="minorEastAsia" w:hAnsiTheme="minorEastAsia" w:eastAsiaTheme="minorEastAsia"/>
          <w:sz w:val="28"/>
          <w:szCs w:val="28"/>
        </w:rPr>
      </w:pPr>
      <w:r>
        <w:rPr>
          <w:rFonts w:hint="eastAsia" w:asciiTheme="minorEastAsia" w:hAnsiTheme="minorEastAsia" w:eastAsiaTheme="minorEastAsia"/>
          <w:sz w:val="28"/>
          <w:szCs w:val="28"/>
        </w:rPr>
        <w:t xml:space="preserve">三  </w:t>
      </w:r>
      <w:r>
        <w:rPr>
          <w:rFonts w:asciiTheme="minorEastAsia" w:hAnsiTheme="minorEastAsia" w:eastAsiaTheme="minorEastAsia"/>
          <w:sz w:val="28"/>
          <w:szCs w:val="28"/>
        </w:rPr>
        <w:t>预算支出主要绩效及评价结论</w:t>
      </w:r>
    </w:p>
    <w:p>
      <w:pPr>
        <w:spacing w:line="600" w:lineRule="exact"/>
        <w:ind w:firstLine="560" w:firstLineChars="200"/>
        <w:rPr>
          <w:rFonts w:asciiTheme="minorEastAsia" w:hAnsiTheme="minorEastAsia" w:eastAsiaTheme="minorEastAsia"/>
          <w:sz w:val="28"/>
          <w:szCs w:val="28"/>
        </w:rPr>
      </w:pPr>
      <w:r>
        <w:rPr>
          <w:rFonts w:hint="eastAsia" w:asciiTheme="minorEastAsia" w:hAnsiTheme="minorEastAsia" w:eastAsiaTheme="minorEastAsia"/>
          <w:sz w:val="28"/>
          <w:szCs w:val="28"/>
          <w:lang w:eastAsia="zh-CN"/>
        </w:rPr>
        <w:t>贺家田小学</w:t>
      </w:r>
      <w:r>
        <w:rPr>
          <w:rFonts w:hint="eastAsia" w:asciiTheme="minorEastAsia" w:hAnsiTheme="minorEastAsia" w:eastAsiaTheme="minorEastAsia"/>
          <w:sz w:val="28"/>
          <w:szCs w:val="28"/>
        </w:rPr>
        <w:t>2020年整体支出基本符合财务管理制度和会计核算要求，财政资金的投入，对学校完成中学义务教育，中学学历教育，促进基础教育发展，起到了保障作用。</w:t>
      </w:r>
    </w:p>
    <w:p>
      <w:pPr>
        <w:spacing w:line="600" w:lineRule="exact"/>
        <w:rPr>
          <w:rFonts w:asciiTheme="minorEastAsia" w:hAnsiTheme="minorEastAsia" w:eastAsiaTheme="minorEastAsia"/>
          <w:sz w:val="28"/>
          <w:szCs w:val="28"/>
        </w:rPr>
      </w:pPr>
      <w:r>
        <w:rPr>
          <w:rFonts w:asciiTheme="minorEastAsia" w:hAnsiTheme="minorEastAsia" w:eastAsiaTheme="minorEastAsia"/>
          <w:sz w:val="28"/>
          <w:szCs w:val="28"/>
        </w:rPr>
        <w:t>四、绩效评价指标分析</w:t>
      </w:r>
    </w:p>
    <w:p>
      <w:pPr>
        <w:spacing w:line="600" w:lineRule="exact"/>
        <w:rPr>
          <w:rFonts w:asciiTheme="minorEastAsia" w:hAnsiTheme="minorEastAsia" w:eastAsiaTheme="minorEastAsia"/>
          <w:sz w:val="28"/>
          <w:szCs w:val="28"/>
        </w:rPr>
      </w:pPr>
      <w:r>
        <w:rPr>
          <w:rFonts w:asciiTheme="minorEastAsia" w:hAnsiTheme="minorEastAsia" w:eastAsiaTheme="minorEastAsia"/>
          <w:sz w:val="28"/>
          <w:szCs w:val="28"/>
        </w:rPr>
        <w:t>（一）预算支出决策情况</w:t>
      </w:r>
      <w:r>
        <w:rPr>
          <w:rFonts w:hint="eastAsia" w:asciiTheme="minorEastAsia" w:hAnsiTheme="minorEastAsia" w:eastAsiaTheme="minorEastAsia"/>
          <w:sz w:val="28"/>
          <w:szCs w:val="28"/>
        </w:rPr>
        <w:t xml:space="preserve">  </w:t>
      </w:r>
    </w:p>
    <w:p>
      <w:pPr>
        <w:spacing w:line="600" w:lineRule="exact"/>
        <w:ind w:firstLine="560" w:firstLineChars="200"/>
        <w:rPr>
          <w:rFonts w:asciiTheme="minorEastAsia" w:hAnsiTheme="minorEastAsia" w:eastAsiaTheme="minorEastAsia"/>
          <w:sz w:val="28"/>
          <w:szCs w:val="28"/>
        </w:rPr>
      </w:pPr>
      <w:r>
        <w:rPr>
          <w:rFonts w:hint="eastAsia" w:asciiTheme="minorEastAsia" w:hAnsiTheme="minorEastAsia" w:eastAsiaTheme="minorEastAsia"/>
          <w:sz w:val="28"/>
          <w:szCs w:val="28"/>
        </w:rPr>
        <w:t>严格执行相关法律法规及项目管理制度，项目公示制。</w:t>
      </w:r>
    </w:p>
    <w:p>
      <w:pPr>
        <w:spacing w:line="600" w:lineRule="exact"/>
        <w:rPr>
          <w:rFonts w:asciiTheme="minorEastAsia" w:hAnsiTheme="minorEastAsia" w:eastAsiaTheme="minorEastAsia"/>
          <w:sz w:val="28"/>
          <w:szCs w:val="28"/>
        </w:rPr>
      </w:pPr>
      <w:r>
        <w:rPr>
          <w:rFonts w:asciiTheme="minorEastAsia" w:hAnsiTheme="minorEastAsia" w:eastAsiaTheme="minorEastAsia"/>
          <w:sz w:val="28"/>
          <w:szCs w:val="28"/>
        </w:rPr>
        <w:t>（二）预算执行过程情况</w:t>
      </w:r>
    </w:p>
    <w:p>
      <w:pPr>
        <w:spacing w:line="600" w:lineRule="exact"/>
        <w:ind w:firstLine="560" w:firstLineChars="200"/>
        <w:rPr>
          <w:rFonts w:asciiTheme="minorEastAsia" w:hAnsiTheme="minorEastAsia" w:eastAsiaTheme="minorEastAsia"/>
          <w:sz w:val="28"/>
          <w:szCs w:val="28"/>
        </w:rPr>
      </w:pPr>
      <w:r>
        <w:rPr>
          <w:rFonts w:hint="eastAsia" w:asciiTheme="minorEastAsia" w:hAnsiTheme="minorEastAsia" w:eastAsiaTheme="minorEastAsia"/>
          <w:sz w:val="28"/>
          <w:szCs w:val="28"/>
        </w:rPr>
        <w:t>强化绩效理念，提高财政资金使用效益，在预算执行中严格接受财政部门的监管。</w:t>
      </w:r>
    </w:p>
    <w:p>
      <w:pPr>
        <w:spacing w:line="600" w:lineRule="exact"/>
        <w:rPr>
          <w:rFonts w:asciiTheme="minorEastAsia" w:hAnsiTheme="minorEastAsia" w:eastAsiaTheme="minorEastAsia"/>
          <w:sz w:val="28"/>
          <w:szCs w:val="28"/>
        </w:rPr>
      </w:pPr>
      <w:r>
        <w:rPr>
          <w:rFonts w:asciiTheme="minorEastAsia" w:hAnsiTheme="minorEastAsia" w:eastAsiaTheme="minorEastAsia"/>
          <w:sz w:val="28"/>
          <w:szCs w:val="28"/>
        </w:rPr>
        <w:t>（三）预算支出产出情况</w:t>
      </w:r>
    </w:p>
    <w:p>
      <w:pPr>
        <w:spacing w:line="600" w:lineRule="exact"/>
        <w:ind w:firstLine="700" w:firstLineChars="250"/>
        <w:jc w:val="left"/>
        <w:rPr>
          <w:rFonts w:asciiTheme="minorEastAsia" w:hAnsiTheme="minorEastAsia" w:eastAsiaTheme="minorEastAsia"/>
          <w:kern w:val="0"/>
          <w:sz w:val="28"/>
          <w:szCs w:val="28"/>
        </w:rPr>
      </w:pPr>
      <w:r>
        <w:rPr>
          <w:rFonts w:hint="eastAsia" w:cs="仿宋" w:asciiTheme="minorEastAsia" w:hAnsiTheme="minorEastAsia" w:eastAsiaTheme="minorEastAsia"/>
          <w:sz w:val="28"/>
          <w:szCs w:val="28"/>
        </w:rPr>
        <w:t>全面贯彻党的教育方针，落实九年义务教育各项政策，保障学生受教育的各项权利，维护教师职工各项权益。</w:t>
      </w:r>
    </w:p>
    <w:p>
      <w:pPr>
        <w:spacing w:line="600" w:lineRule="exact"/>
        <w:rPr>
          <w:rFonts w:asciiTheme="minorEastAsia" w:hAnsiTheme="minorEastAsia" w:eastAsiaTheme="minorEastAsia"/>
          <w:sz w:val="28"/>
          <w:szCs w:val="28"/>
        </w:rPr>
      </w:pPr>
      <w:r>
        <w:rPr>
          <w:rFonts w:asciiTheme="minorEastAsia" w:hAnsiTheme="minorEastAsia" w:eastAsiaTheme="minorEastAsia"/>
          <w:sz w:val="28"/>
          <w:szCs w:val="28"/>
        </w:rPr>
        <w:t>（四）预算支出效益情况</w:t>
      </w:r>
    </w:p>
    <w:p>
      <w:pPr>
        <w:spacing w:line="600" w:lineRule="exact"/>
        <w:ind w:firstLine="840" w:firstLineChars="300"/>
        <w:rPr>
          <w:rFonts w:asciiTheme="minorEastAsia" w:hAnsiTheme="minorEastAsia" w:eastAsiaTheme="minorEastAsia"/>
          <w:sz w:val="28"/>
          <w:szCs w:val="28"/>
        </w:rPr>
      </w:pPr>
      <w:r>
        <w:rPr>
          <w:rFonts w:asciiTheme="minorEastAsia" w:hAnsiTheme="minorEastAsia" w:eastAsiaTheme="minorEastAsia"/>
          <w:color w:val="333333"/>
          <w:sz w:val="28"/>
          <w:szCs w:val="28"/>
        </w:rPr>
        <w:t>改善</w:t>
      </w:r>
      <w:r>
        <w:rPr>
          <w:rFonts w:hint="eastAsia" w:asciiTheme="minorEastAsia" w:hAnsiTheme="minorEastAsia" w:eastAsiaTheme="minorEastAsia"/>
          <w:color w:val="333333"/>
          <w:sz w:val="28"/>
          <w:szCs w:val="28"/>
        </w:rPr>
        <w:t>了</w:t>
      </w:r>
      <w:r>
        <w:rPr>
          <w:rFonts w:asciiTheme="minorEastAsia" w:hAnsiTheme="minorEastAsia" w:eastAsiaTheme="minorEastAsia"/>
          <w:color w:val="333333"/>
          <w:sz w:val="28"/>
          <w:szCs w:val="28"/>
        </w:rPr>
        <w:t>我校的办学条件，为更多的学生创造良好的学习环境，也将进一步提高我校教学质量，促进教育事业的发展，产生更好的社会效应，做到学生满意，人民群众满意。</w:t>
      </w:r>
    </w:p>
    <w:p>
      <w:pPr>
        <w:spacing w:line="600" w:lineRule="exact"/>
        <w:rPr>
          <w:rFonts w:asciiTheme="minorEastAsia" w:hAnsiTheme="minorEastAsia" w:eastAsiaTheme="minorEastAsia"/>
          <w:sz w:val="28"/>
          <w:szCs w:val="28"/>
        </w:rPr>
      </w:pPr>
      <w:r>
        <w:rPr>
          <w:rFonts w:asciiTheme="minorEastAsia" w:hAnsiTheme="minorEastAsia" w:eastAsiaTheme="minorEastAsia"/>
          <w:sz w:val="28"/>
          <w:szCs w:val="28"/>
        </w:rPr>
        <w:t>五、主要经验及做法、存在的问题及原因分析</w:t>
      </w:r>
    </w:p>
    <w:p>
      <w:pPr>
        <w:spacing w:line="700" w:lineRule="exact"/>
        <w:ind w:left="420" w:leftChars="200"/>
        <w:rPr>
          <w:rFonts w:cs="仿宋_GB2312" w:asciiTheme="minorEastAsia" w:hAnsiTheme="minorEastAsia" w:eastAsiaTheme="minorEastAsia"/>
          <w:sz w:val="28"/>
          <w:szCs w:val="28"/>
        </w:rPr>
      </w:pPr>
      <w:r>
        <w:rPr>
          <w:rFonts w:asciiTheme="minorEastAsia" w:hAnsiTheme="minorEastAsia" w:eastAsiaTheme="minorEastAsia"/>
          <w:sz w:val="28"/>
          <w:szCs w:val="28"/>
        </w:rPr>
        <w:t>主要经验及做法</w:t>
      </w:r>
      <w:r>
        <w:rPr>
          <w:rFonts w:hint="eastAsia" w:cs="仿宋_GB2312" w:asciiTheme="minorEastAsia" w:hAnsiTheme="minorEastAsia" w:eastAsiaTheme="minorEastAsia"/>
          <w:sz w:val="28"/>
          <w:szCs w:val="28"/>
        </w:rPr>
        <w:t>：严格遵循把财政资金使用好、管理好的宗旨，基本做到了专款专用，严格资金审批程序，确保了项目质量，财政资金的安全。</w:t>
      </w:r>
    </w:p>
    <w:p>
      <w:pPr>
        <w:spacing w:line="700" w:lineRule="exact"/>
        <w:ind w:left="420" w:leftChars="200"/>
        <w:rPr>
          <w:rFonts w:cs="仿宋_GB2312" w:asciiTheme="minorEastAsia" w:hAnsiTheme="minorEastAsia" w:eastAsiaTheme="minorEastAsia"/>
          <w:sz w:val="28"/>
          <w:szCs w:val="28"/>
        </w:rPr>
      </w:pPr>
      <w:r>
        <w:rPr>
          <w:rFonts w:hint="eastAsia" w:cs="仿宋_GB2312" w:asciiTheme="minorEastAsia" w:hAnsiTheme="minorEastAsia" w:eastAsiaTheme="minorEastAsia"/>
          <w:sz w:val="28"/>
          <w:szCs w:val="28"/>
        </w:rPr>
        <w:t>存在的问题：对绩效评价工作的认识和重视程度还有待加强。</w:t>
      </w:r>
    </w:p>
    <w:p>
      <w:pPr>
        <w:spacing w:line="600" w:lineRule="exact"/>
        <w:rPr>
          <w:rFonts w:asciiTheme="minorEastAsia" w:hAnsiTheme="minorEastAsia" w:eastAsiaTheme="minorEastAsia"/>
          <w:sz w:val="28"/>
          <w:szCs w:val="28"/>
        </w:rPr>
      </w:pPr>
      <w:r>
        <w:rPr>
          <w:rFonts w:asciiTheme="minorEastAsia" w:hAnsiTheme="minorEastAsia" w:eastAsiaTheme="minorEastAsia"/>
          <w:sz w:val="28"/>
          <w:szCs w:val="28"/>
        </w:rPr>
        <w:t>六、有关建议</w:t>
      </w:r>
    </w:p>
    <w:p>
      <w:pPr>
        <w:spacing w:line="600" w:lineRule="exact"/>
        <w:ind w:firstLine="560" w:firstLineChars="200"/>
        <w:rPr>
          <w:rFonts w:asciiTheme="minorEastAsia" w:hAnsiTheme="minorEastAsia" w:eastAsiaTheme="minorEastAsia"/>
          <w:sz w:val="28"/>
          <w:szCs w:val="28"/>
        </w:rPr>
      </w:pPr>
      <w:r>
        <w:rPr>
          <w:rFonts w:hint="eastAsia" w:cs="仿宋_GB2312" w:asciiTheme="minorEastAsia" w:hAnsiTheme="minorEastAsia" w:eastAsiaTheme="minorEastAsia"/>
          <w:sz w:val="28"/>
          <w:szCs w:val="28"/>
        </w:rPr>
        <w:t>建议组织财务人员和部门工作人员预算、绩效工作培训，加强预算、绩效管理意识</w:t>
      </w:r>
      <w:r>
        <w:rPr>
          <w:rFonts w:hint="eastAsia" w:asciiTheme="minorEastAsia" w:hAnsiTheme="minorEastAsia" w:eastAsiaTheme="minorEastAsia"/>
          <w:sz w:val="28"/>
          <w:szCs w:val="28"/>
        </w:rPr>
        <w:t>。</w:t>
      </w:r>
    </w:p>
    <w:p>
      <w:pPr>
        <w:adjustRightInd w:val="0"/>
        <w:snapToGrid w:val="0"/>
        <w:spacing w:line="600" w:lineRule="exact"/>
        <w:ind w:firstLine="420" w:firstLineChars="200"/>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0000000000000000000"/>
    <w:charset w:val="86"/>
    <w:family w:val="auto"/>
    <w:pitch w:val="default"/>
    <w:sig w:usb0="00000000" w:usb1="00000000" w:usb2="00000000" w:usb3="00000000" w:csb0="00000000" w:csb1="00000000"/>
  </w:font>
  <w:font w:name="Wingdings">
    <w:altName w:val="Wingdings"/>
    <w:panose1 w:val="05000000000000000000"/>
    <w:charset w:val="00"/>
    <w:family w:val="auto"/>
    <w:pitch w:val="default"/>
    <w:sig w:usb0="00000000" w:usb1="00000000" w:usb2="00000000" w:usb3="00000000" w:csb0="80000000" w:csb1="00000000"/>
  </w:font>
  <w:font w:name="Arial">
    <w:altName w:val="Arial"/>
    <w:panose1 w:val="020B0604020202020204"/>
    <w:charset w:val="00"/>
    <w:family w:val="swiss"/>
    <w:pitch w:val="default"/>
    <w:sig w:usb0="E0002AFF" w:usb1="C0007843" w:usb2="00000009" w:usb3="00000000" w:csb0="400001FF" w:csb1="FFFF0000"/>
  </w:font>
  <w:font w:name="黑体">
    <w:altName w:val="黑体"/>
    <w:panose1 w:val="02010609060101010101"/>
    <w:charset w:val="00"/>
    <w:family w:val="auto"/>
    <w:pitch w:val="default"/>
    <w:sig w:usb0="800002BF" w:usb1="38CF7CFA" w:usb2="00000016" w:usb3="00000000" w:csb0="00040001" w:csb1="00000000"/>
  </w:font>
  <w:font w:name="Courier New">
    <w:altName w:val="Courier New"/>
    <w:panose1 w:val="02070309020205020404"/>
    <w:charset w:val="00"/>
    <w:family w:val="modern"/>
    <w:pitch w:val="default"/>
    <w:sig w:usb0="E0002AFF" w:usb1="C0007843" w:usb2="00000009" w:usb3="00000000" w:csb0="400001FF" w:csb1="FFFF0000"/>
  </w:font>
  <w:font w:name="Symbol">
    <w:altName w:val="Symbol"/>
    <w:panose1 w:val="05050102010706020507"/>
    <w:charset w:val="00"/>
    <w:family w:val="roman"/>
    <w:pitch w:val="default"/>
    <w:sig w:usb0="00000000" w:usb1="00000000" w:usb2="00000000" w:usb3="00000000" w:csb0="80000000" w:csb1="00000000"/>
  </w:font>
  <w:font w:name="Cambria">
    <w:panose1 w:val="02040503050406030204"/>
    <w:charset w:val="00"/>
    <w:family w:val="roman"/>
    <w:pitch w:val="default"/>
    <w:sig w:usb0="00000000" w:usb1="00000000" w:usb2="00000000" w:usb3="00000000" w:csb0="0000019F" w:csb1="00000000"/>
  </w:font>
  <w:font w:name="Calibri">
    <w:panose1 w:val="020F0502020204030204"/>
    <w:charset w:val="00"/>
    <w:family w:val="swiss"/>
    <w:pitch w:val="default"/>
    <w:sig w:usb0="00000000" w:usb1="00000000" w:usb2="00000001" w:usb3="00000000" w:csb0="0000019F" w:csb1="00000000"/>
  </w:font>
  <w:font w:name="仿宋_GB2312">
    <w:altName w:val="仿宋"/>
    <w:panose1 w:val="00000000000000000000"/>
    <w:charset w:val="86"/>
    <w:family w:val="auto"/>
    <w:pitch w:val="default"/>
    <w:sig w:usb0="00000000" w:usb1="00000000" w:usb2="00000000" w:usb3="00000000" w:csb0="00040000" w:csb1="00000000"/>
  </w:font>
  <w:font w:name="仿宋">
    <w:panose1 w:val="02010609060101010101"/>
    <w:charset w:val="86"/>
    <w:family w:val="auto"/>
    <w:pitch w:val="default"/>
    <w:sig w:usb0="00000000" w:usb1="00000000" w:usb2="00000016" w:usb3="00000000" w:csb0="00040001" w:csb1="00000000"/>
  </w:font>
  <w:font w:name="方正小标宋_GBK">
    <w:altName w:val="hakuyoxingshu7000"/>
    <w:panose1 w:val="00000000000000000000"/>
    <w:charset w:val="86"/>
    <w:family w:val="script"/>
    <w:pitch w:val="default"/>
    <w:sig w:usb0="00000000" w:usb1="00000000" w:usb2="00000010" w:usb3="00000000" w:csb0="00040000" w:csb1="00000000"/>
  </w:font>
  <w:font w:name="hakuyoxingshu7000">
    <w:panose1 w:val="02000600000000000000"/>
    <w:charset w:val="86"/>
    <w:family w:val="auto"/>
    <w:pitch w:val="default"/>
    <w:sig w:usb0="00000000" w:usb1="00000000" w:usb2="0000003F" w:usb3="00000000" w:csb0="603F00FF" w:csb1="FFFF0000"/>
  </w:font>
  <w:font w:name="楷体_GB2312">
    <w:altName w:val="楷体"/>
    <w:panose1 w:val="00000000000000000000"/>
    <w:charset w:val="86"/>
    <w:family w:val="auto"/>
    <w:pitch w:val="default"/>
    <w:sig w:usb0="00000000" w:usb1="00000000" w:usb2="00000000" w:usb3="00000000" w:csb0="00040000" w:csb1="00000000"/>
  </w:font>
  <w:font w:name="楷体">
    <w:panose1 w:val="02010609060101010101"/>
    <w:charset w:val="86"/>
    <w:family w:val="auto"/>
    <w:pitch w:val="default"/>
    <w:sig w:usb0="00000000" w:usb1="00000000"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15A308A"/>
    <w:multiLevelType w:val="singleLevel"/>
    <w:tmpl w:val="A15A308A"/>
    <w:lvl w:ilvl="0" w:tentative="0">
      <w:start w:val="1"/>
      <w:numFmt w:val="chineseCounting"/>
      <w:suff w:val="nothing"/>
      <w:lvlText w:val="%1、"/>
      <w:lvlJc w:val="left"/>
      <w:rPr>
        <w:rFonts w:hint="eastAsia"/>
      </w:rPr>
    </w:lvl>
  </w:abstractNum>
  <w:abstractNum w:abstractNumId="1">
    <w:nsid w:val="BC60CB4C"/>
    <w:multiLevelType w:val="singleLevel"/>
    <w:tmpl w:val="BC60CB4C"/>
    <w:lvl w:ilvl="0" w:tentative="0">
      <w:start w:val="6"/>
      <w:numFmt w:val="chineseCounting"/>
      <w:suff w:val="nothing"/>
      <w:lvlText w:val="%1、"/>
      <w:lvlJc w:val="left"/>
      <w:rPr>
        <w:rFonts w:hint="eastAsia"/>
      </w:rPr>
    </w:lvl>
  </w:abstractNum>
  <w:abstractNum w:abstractNumId="2">
    <w:nsid w:val="FAB05D01"/>
    <w:multiLevelType w:val="singleLevel"/>
    <w:tmpl w:val="FAB05D01"/>
    <w:lvl w:ilvl="0" w:tentative="0">
      <w:start w:val="2"/>
      <w:numFmt w:val="chineseCounting"/>
      <w:suff w:val="nothing"/>
      <w:lvlText w:val="（%1）"/>
      <w:lvlJc w:val="left"/>
      <w:rPr>
        <w:rFonts w:hint="eastAsia"/>
      </w:rPr>
    </w:lvl>
  </w:abstractNum>
  <w:abstractNum w:abstractNumId="3">
    <w:nsid w:val="23F930A0"/>
    <w:multiLevelType w:val="multilevel"/>
    <w:tmpl w:val="23F930A0"/>
    <w:lvl w:ilvl="0" w:tentative="0">
      <w:start w:val="1"/>
      <w:numFmt w:val="decimalEnclosedCircle"/>
      <w:lvlText w:val="%1"/>
      <w:lvlJc w:val="left"/>
      <w:pPr>
        <w:ind w:left="465" w:hanging="360"/>
      </w:pPr>
      <w:rPr>
        <w:rFonts w:hint="default" w:hAnsi="宋体" w:cs="宋体"/>
      </w:rPr>
    </w:lvl>
    <w:lvl w:ilvl="1" w:tentative="0">
      <w:start w:val="1"/>
      <w:numFmt w:val="lowerLetter"/>
      <w:lvlText w:val="%2)"/>
      <w:lvlJc w:val="left"/>
      <w:pPr>
        <w:ind w:left="945" w:hanging="420"/>
      </w:pPr>
    </w:lvl>
    <w:lvl w:ilvl="2" w:tentative="0">
      <w:start w:val="1"/>
      <w:numFmt w:val="lowerRoman"/>
      <w:lvlText w:val="%3."/>
      <w:lvlJc w:val="right"/>
      <w:pPr>
        <w:ind w:left="1365" w:hanging="420"/>
      </w:pPr>
    </w:lvl>
    <w:lvl w:ilvl="3" w:tentative="0">
      <w:start w:val="1"/>
      <w:numFmt w:val="decimal"/>
      <w:lvlText w:val="%4."/>
      <w:lvlJc w:val="left"/>
      <w:pPr>
        <w:ind w:left="1785" w:hanging="420"/>
      </w:pPr>
    </w:lvl>
    <w:lvl w:ilvl="4" w:tentative="0">
      <w:start w:val="1"/>
      <w:numFmt w:val="lowerLetter"/>
      <w:lvlText w:val="%5)"/>
      <w:lvlJc w:val="left"/>
      <w:pPr>
        <w:ind w:left="2205" w:hanging="420"/>
      </w:pPr>
    </w:lvl>
    <w:lvl w:ilvl="5" w:tentative="0">
      <w:start w:val="1"/>
      <w:numFmt w:val="lowerRoman"/>
      <w:lvlText w:val="%6."/>
      <w:lvlJc w:val="right"/>
      <w:pPr>
        <w:ind w:left="2625" w:hanging="420"/>
      </w:pPr>
    </w:lvl>
    <w:lvl w:ilvl="6" w:tentative="0">
      <w:start w:val="1"/>
      <w:numFmt w:val="decimal"/>
      <w:lvlText w:val="%7."/>
      <w:lvlJc w:val="left"/>
      <w:pPr>
        <w:ind w:left="3045" w:hanging="420"/>
      </w:pPr>
    </w:lvl>
    <w:lvl w:ilvl="7" w:tentative="0">
      <w:start w:val="1"/>
      <w:numFmt w:val="lowerLetter"/>
      <w:lvlText w:val="%8)"/>
      <w:lvlJc w:val="left"/>
      <w:pPr>
        <w:ind w:left="3465" w:hanging="420"/>
      </w:pPr>
    </w:lvl>
    <w:lvl w:ilvl="8" w:tentative="0">
      <w:start w:val="1"/>
      <w:numFmt w:val="lowerRoman"/>
      <w:lvlText w:val="%9."/>
      <w:lvlJc w:val="right"/>
      <w:pPr>
        <w:ind w:left="3885" w:hanging="420"/>
      </w:pPr>
    </w:lvl>
  </w:abstractNum>
  <w:abstractNum w:abstractNumId="4">
    <w:nsid w:val="2734595E"/>
    <w:multiLevelType w:val="singleLevel"/>
    <w:tmpl w:val="2734595E"/>
    <w:lvl w:ilvl="0" w:tentative="0">
      <w:start w:val="1"/>
      <w:numFmt w:val="chineseCounting"/>
      <w:suff w:val="nothing"/>
      <w:lvlText w:val="（%1）"/>
      <w:lvlJc w:val="left"/>
      <w:rPr>
        <w:rFonts w:hint="eastAsia"/>
      </w:rPr>
    </w:lvl>
  </w:abstractNum>
  <w:abstractNum w:abstractNumId="5">
    <w:nsid w:val="454D5428"/>
    <w:multiLevelType w:val="multilevel"/>
    <w:tmpl w:val="454D5428"/>
    <w:lvl w:ilvl="0" w:tentative="0">
      <w:start w:val="1"/>
      <w:numFmt w:val="decimalEnclosedCircle"/>
      <w:lvlText w:val="%1"/>
      <w:lvlJc w:val="left"/>
      <w:pPr>
        <w:ind w:left="465" w:hanging="360"/>
      </w:pPr>
      <w:rPr>
        <w:rFonts w:hint="default" w:hAnsi="宋体" w:cs="宋体"/>
      </w:rPr>
    </w:lvl>
    <w:lvl w:ilvl="1" w:tentative="0">
      <w:start w:val="1"/>
      <w:numFmt w:val="lowerLetter"/>
      <w:lvlText w:val="%2)"/>
      <w:lvlJc w:val="left"/>
      <w:pPr>
        <w:ind w:left="945" w:hanging="420"/>
      </w:pPr>
    </w:lvl>
    <w:lvl w:ilvl="2" w:tentative="0">
      <w:start w:val="1"/>
      <w:numFmt w:val="lowerRoman"/>
      <w:lvlText w:val="%3."/>
      <w:lvlJc w:val="right"/>
      <w:pPr>
        <w:ind w:left="1365" w:hanging="420"/>
      </w:pPr>
    </w:lvl>
    <w:lvl w:ilvl="3" w:tentative="0">
      <w:start w:val="1"/>
      <w:numFmt w:val="decimal"/>
      <w:lvlText w:val="%4."/>
      <w:lvlJc w:val="left"/>
      <w:pPr>
        <w:ind w:left="1785" w:hanging="420"/>
      </w:pPr>
    </w:lvl>
    <w:lvl w:ilvl="4" w:tentative="0">
      <w:start w:val="1"/>
      <w:numFmt w:val="lowerLetter"/>
      <w:lvlText w:val="%5)"/>
      <w:lvlJc w:val="left"/>
      <w:pPr>
        <w:ind w:left="2205" w:hanging="420"/>
      </w:pPr>
    </w:lvl>
    <w:lvl w:ilvl="5" w:tentative="0">
      <w:start w:val="1"/>
      <w:numFmt w:val="lowerRoman"/>
      <w:lvlText w:val="%6."/>
      <w:lvlJc w:val="right"/>
      <w:pPr>
        <w:ind w:left="2625" w:hanging="420"/>
      </w:pPr>
    </w:lvl>
    <w:lvl w:ilvl="6" w:tentative="0">
      <w:start w:val="1"/>
      <w:numFmt w:val="decimal"/>
      <w:lvlText w:val="%7."/>
      <w:lvlJc w:val="left"/>
      <w:pPr>
        <w:ind w:left="3045" w:hanging="420"/>
      </w:pPr>
    </w:lvl>
    <w:lvl w:ilvl="7" w:tentative="0">
      <w:start w:val="1"/>
      <w:numFmt w:val="lowerLetter"/>
      <w:lvlText w:val="%8)"/>
      <w:lvlJc w:val="left"/>
      <w:pPr>
        <w:ind w:left="3465" w:hanging="420"/>
      </w:pPr>
    </w:lvl>
    <w:lvl w:ilvl="8" w:tentative="0">
      <w:start w:val="1"/>
      <w:numFmt w:val="lowerRoman"/>
      <w:lvlText w:val="%9."/>
      <w:lvlJc w:val="right"/>
      <w:pPr>
        <w:ind w:left="3885" w:hanging="420"/>
      </w:pPr>
    </w:lvl>
  </w:abstractNum>
  <w:abstractNum w:abstractNumId="6">
    <w:nsid w:val="5B4A74CD"/>
    <w:multiLevelType w:val="multilevel"/>
    <w:tmpl w:val="5B4A74CD"/>
    <w:lvl w:ilvl="0" w:tentative="0">
      <w:start w:val="1"/>
      <w:numFmt w:val="decimalEnclosedCircle"/>
      <w:lvlText w:val="%1"/>
      <w:lvlJc w:val="left"/>
      <w:pPr>
        <w:ind w:left="465" w:hanging="360"/>
      </w:pPr>
      <w:rPr>
        <w:rFonts w:hint="default" w:hAnsi="宋体" w:cs="宋体"/>
      </w:rPr>
    </w:lvl>
    <w:lvl w:ilvl="1" w:tentative="0">
      <w:start w:val="1"/>
      <w:numFmt w:val="lowerLetter"/>
      <w:lvlText w:val="%2)"/>
      <w:lvlJc w:val="left"/>
      <w:pPr>
        <w:ind w:left="945" w:hanging="420"/>
      </w:pPr>
    </w:lvl>
    <w:lvl w:ilvl="2" w:tentative="0">
      <w:start w:val="1"/>
      <w:numFmt w:val="lowerRoman"/>
      <w:lvlText w:val="%3."/>
      <w:lvlJc w:val="right"/>
      <w:pPr>
        <w:ind w:left="1365" w:hanging="420"/>
      </w:pPr>
    </w:lvl>
    <w:lvl w:ilvl="3" w:tentative="0">
      <w:start w:val="1"/>
      <w:numFmt w:val="decimal"/>
      <w:lvlText w:val="%4."/>
      <w:lvlJc w:val="left"/>
      <w:pPr>
        <w:ind w:left="1785" w:hanging="420"/>
      </w:pPr>
    </w:lvl>
    <w:lvl w:ilvl="4" w:tentative="0">
      <w:start w:val="1"/>
      <w:numFmt w:val="lowerLetter"/>
      <w:lvlText w:val="%5)"/>
      <w:lvlJc w:val="left"/>
      <w:pPr>
        <w:ind w:left="2205" w:hanging="420"/>
      </w:pPr>
    </w:lvl>
    <w:lvl w:ilvl="5" w:tentative="0">
      <w:start w:val="1"/>
      <w:numFmt w:val="lowerRoman"/>
      <w:lvlText w:val="%6."/>
      <w:lvlJc w:val="right"/>
      <w:pPr>
        <w:ind w:left="2625" w:hanging="420"/>
      </w:pPr>
    </w:lvl>
    <w:lvl w:ilvl="6" w:tentative="0">
      <w:start w:val="1"/>
      <w:numFmt w:val="decimal"/>
      <w:lvlText w:val="%7."/>
      <w:lvlJc w:val="left"/>
      <w:pPr>
        <w:ind w:left="3045" w:hanging="420"/>
      </w:pPr>
    </w:lvl>
    <w:lvl w:ilvl="7" w:tentative="0">
      <w:start w:val="1"/>
      <w:numFmt w:val="lowerLetter"/>
      <w:lvlText w:val="%8)"/>
      <w:lvlJc w:val="left"/>
      <w:pPr>
        <w:ind w:left="3465" w:hanging="420"/>
      </w:pPr>
    </w:lvl>
    <w:lvl w:ilvl="8" w:tentative="0">
      <w:start w:val="1"/>
      <w:numFmt w:val="lowerRoman"/>
      <w:lvlText w:val="%9."/>
      <w:lvlJc w:val="right"/>
      <w:pPr>
        <w:ind w:left="3885" w:hanging="420"/>
      </w:pPr>
    </w:lvl>
  </w:abstractNum>
  <w:abstractNum w:abstractNumId="7">
    <w:nsid w:val="775728FA"/>
    <w:multiLevelType w:val="multilevel"/>
    <w:tmpl w:val="775728FA"/>
    <w:lvl w:ilvl="0" w:tentative="0">
      <w:start w:val="1"/>
      <w:numFmt w:val="decimalEnclosedCircle"/>
      <w:lvlText w:val="%1"/>
      <w:lvlJc w:val="left"/>
      <w:pPr>
        <w:ind w:left="465" w:hanging="360"/>
      </w:pPr>
      <w:rPr>
        <w:rFonts w:hint="default" w:hAnsi="宋体" w:cs="宋体"/>
      </w:rPr>
    </w:lvl>
    <w:lvl w:ilvl="1" w:tentative="0">
      <w:start w:val="1"/>
      <w:numFmt w:val="lowerLetter"/>
      <w:lvlText w:val="%2)"/>
      <w:lvlJc w:val="left"/>
      <w:pPr>
        <w:ind w:left="945" w:hanging="420"/>
      </w:pPr>
    </w:lvl>
    <w:lvl w:ilvl="2" w:tentative="0">
      <w:start w:val="1"/>
      <w:numFmt w:val="lowerRoman"/>
      <w:lvlText w:val="%3."/>
      <w:lvlJc w:val="right"/>
      <w:pPr>
        <w:ind w:left="1365" w:hanging="420"/>
      </w:pPr>
    </w:lvl>
    <w:lvl w:ilvl="3" w:tentative="0">
      <w:start w:val="1"/>
      <w:numFmt w:val="decimal"/>
      <w:lvlText w:val="%4."/>
      <w:lvlJc w:val="left"/>
      <w:pPr>
        <w:ind w:left="1785" w:hanging="420"/>
      </w:pPr>
    </w:lvl>
    <w:lvl w:ilvl="4" w:tentative="0">
      <w:start w:val="1"/>
      <w:numFmt w:val="lowerLetter"/>
      <w:lvlText w:val="%5)"/>
      <w:lvlJc w:val="left"/>
      <w:pPr>
        <w:ind w:left="2205" w:hanging="420"/>
      </w:pPr>
    </w:lvl>
    <w:lvl w:ilvl="5" w:tentative="0">
      <w:start w:val="1"/>
      <w:numFmt w:val="lowerRoman"/>
      <w:lvlText w:val="%6."/>
      <w:lvlJc w:val="right"/>
      <w:pPr>
        <w:ind w:left="2625" w:hanging="420"/>
      </w:pPr>
    </w:lvl>
    <w:lvl w:ilvl="6" w:tentative="0">
      <w:start w:val="1"/>
      <w:numFmt w:val="decimal"/>
      <w:lvlText w:val="%7."/>
      <w:lvlJc w:val="left"/>
      <w:pPr>
        <w:ind w:left="3045" w:hanging="420"/>
      </w:pPr>
    </w:lvl>
    <w:lvl w:ilvl="7" w:tentative="0">
      <w:start w:val="1"/>
      <w:numFmt w:val="lowerLetter"/>
      <w:lvlText w:val="%8)"/>
      <w:lvlJc w:val="left"/>
      <w:pPr>
        <w:ind w:left="3465" w:hanging="420"/>
      </w:pPr>
    </w:lvl>
    <w:lvl w:ilvl="8" w:tentative="0">
      <w:start w:val="1"/>
      <w:numFmt w:val="lowerRoman"/>
      <w:lvlText w:val="%9."/>
      <w:lvlJc w:val="right"/>
      <w:pPr>
        <w:ind w:left="3885" w:hanging="420"/>
      </w:pPr>
    </w:lvl>
  </w:abstractNum>
  <w:abstractNum w:abstractNumId="8">
    <w:nsid w:val="78257EB3"/>
    <w:multiLevelType w:val="multilevel"/>
    <w:tmpl w:val="78257EB3"/>
    <w:lvl w:ilvl="0" w:tentative="0">
      <w:start w:val="1"/>
      <w:numFmt w:val="none"/>
      <w:lvlText w:val="一、"/>
      <w:lvlJc w:val="left"/>
      <w:pPr>
        <w:ind w:left="720" w:hanging="720"/>
      </w:pPr>
      <w:rPr>
        <w:rFonts w:hint="default"/>
        <w:lang w:val="en-US"/>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9">
    <w:nsid w:val="7BB47A72"/>
    <w:multiLevelType w:val="multilevel"/>
    <w:tmpl w:val="7BB47A72"/>
    <w:lvl w:ilvl="0" w:tentative="0">
      <w:start w:val="1"/>
      <w:numFmt w:val="japaneseCounting"/>
      <w:lvlText w:val="%1、"/>
      <w:lvlJc w:val="left"/>
      <w:pPr>
        <w:ind w:left="1713" w:hanging="720"/>
      </w:pPr>
      <w:rPr>
        <w:rFonts w:hint="default"/>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num w:numId="1">
    <w:abstractNumId w:val="9"/>
  </w:num>
  <w:num w:numId="2">
    <w:abstractNumId w:val="5"/>
  </w:num>
  <w:num w:numId="3">
    <w:abstractNumId w:val="3"/>
  </w:num>
  <w:num w:numId="4">
    <w:abstractNumId w:val="7"/>
  </w:num>
  <w:num w:numId="5">
    <w:abstractNumId w:val="6"/>
  </w:num>
  <w:num w:numId="6">
    <w:abstractNumId w:val="4"/>
  </w:num>
  <w:num w:numId="7">
    <w:abstractNumId w:val="0"/>
  </w:num>
  <w:num w:numId="8">
    <w:abstractNumId w:val="2"/>
  </w:num>
  <w:num w:numId="9">
    <w:abstractNumId w:val="1"/>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unhideWhenUsed/>
    <w:qFormat/>
    <w:uiPriority w:val="1"/>
  </w:style>
  <w:style w:type="table" w:default="1" w:styleId="8">
    <w:name w:val="Normal Table"/>
    <w:unhideWhenUsed/>
    <w:qFormat/>
    <w:uiPriority w:val="99"/>
    <w:tblPr>
      <w:tblLayout w:type="fixed"/>
      <w:tblCellMar>
        <w:top w:w="0" w:type="dxa"/>
        <w:left w:w="108" w:type="dxa"/>
        <w:bottom w:w="0" w:type="dxa"/>
        <w:right w:w="108" w:type="dxa"/>
      </w:tblCellMar>
    </w:tblPr>
  </w:style>
  <w:style w:type="paragraph" w:styleId="2">
    <w:name w:val="footer"/>
    <w:basedOn w:val="1"/>
    <w:link w:val="10"/>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9"/>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4">
    <w:name w:val="Subtitle"/>
    <w:basedOn w:val="1"/>
    <w:next w:val="1"/>
    <w:link w:val="13"/>
    <w:qFormat/>
    <w:uiPriority w:val="11"/>
    <w:pPr>
      <w:widowControl/>
      <w:adjustRightInd w:val="0"/>
      <w:snapToGrid w:val="0"/>
      <w:spacing w:before="240" w:after="60" w:line="312" w:lineRule="auto"/>
      <w:jc w:val="center"/>
      <w:outlineLvl w:val="1"/>
    </w:pPr>
    <w:rPr>
      <w:rFonts w:ascii="Cambria" w:hAnsi="Cambria"/>
      <w:b/>
      <w:bCs/>
      <w:kern w:val="28"/>
      <w:sz w:val="32"/>
      <w:szCs w:val="32"/>
    </w:rPr>
  </w:style>
  <w:style w:type="paragraph" w:styleId="5">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character" w:styleId="7">
    <w:name w:val="Emphasis"/>
    <w:basedOn w:val="6"/>
    <w:qFormat/>
    <w:uiPriority w:val="20"/>
    <w:rPr>
      <w:color w:val="D73130"/>
      <w:sz w:val="24"/>
      <w:szCs w:val="24"/>
    </w:rPr>
  </w:style>
  <w:style w:type="character" w:customStyle="1" w:styleId="9">
    <w:name w:val="页眉 Char"/>
    <w:basedOn w:val="6"/>
    <w:link w:val="3"/>
    <w:semiHidden/>
    <w:qFormat/>
    <w:uiPriority w:val="99"/>
    <w:rPr>
      <w:sz w:val="18"/>
      <w:szCs w:val="18"/>
    </w:rPr>
  </w:style>
  <w:style w:type="character" w:customStyle="1" w:styleId="10">
    <w:name w:val="页脚 Char"/>
    <w:basedOn w:val="6"/>
    <w:link w:val="2"/>
    <w:semiHidden/>
    <w:qFormat/>
    <w:uiPriority w:val="99"/>
    <w:rPr>
      <w:sz w:val="18"/>
      <w:szCs w:val="18"/>
    </w:rPr>
  </w:style>
  <w:style w:type="paragraph" w:customStyle="1" w:styleId="11">
    <w:name w:val="List Paragraph"/>
    <w:basedOn w:val="1"/>
    <w:qFormat/>
    <w:uiPriority w:val="99"/>
    <w:pPr>
      <w:ind w:firstLine="420" w:firstLineChars="200"/>
    </w:pPr>
    <w:rPr>
      <w:rFonts w:ascii="Calibri" w:hAnsi="Calibri"/>
      <w:szCs w:val="22"/>
    </w:rPr>
  </w:style>
  <w:style w:type="paragraph" w:customStyle="1" w:styleId="12">
    <w:name w:val="Default"/>
    <w:qFormat/>
    <w:uiPriority w:val="0"/>
    <w:pPr>
      <w:widowControl w:val="0"/>
      <w:autoSpaceDE w:val="0"/>
      <w:autoSpaceDN w:val="0"/>
      <w:adjustRightInd w:val="0"/>
    </w:pPr>
    <w:rPr>
      <w:rFonts w:ascii="黑体" w:eastAsia="黑体" w:cs="黑体" w:hAnsiTheme="minorHAnsi"/>
      <w:color w:val="000000"/>
      <w:sz w:val="24"/>
      <w:szCs w:val="24"/>
      <w:lang w:val="en-US" w:eastAsia="zh-CN" w:bidi="ar-SA"/>
    </w:rPr>
  </w:style>
  <w:style w:type="character" w:customStyle="1" w:styleId="13">
    <w:name w:val="副标题 Char"/>
    <w:basedOn w:val="6"/>
    <w:link w:val="4"/>
    <w:qFormat/>
    <w:uiPriority w:val="11"/>
    <w:rPr>
      <w:rFonts w:ascii="Cambria" w:hAnsi="Cambria" w:eastAsia="宋体" w:cs="Times New Roman"/>
      <w:b/>
      <w:bCs/>
      <w:kern w:val="28"/>
      <w:sz w:val="32"/>
      <w:szCs w:val="3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20</Pages>
  <Words>1597</Words>
  <Characters>9103</Characters>
  <Lines>75</Lines>
  <Paragraphs>21</Paragraphs>
  <TotalTime>0</TotalTime>
  <ScaleCrop>false</ScaleCrop>
  <LinksUpToDate>false</LinksUpToDate>
  <CharactersWithSpaces>10679</CharactersWithSpaces>
  <Application>WPS Office_0.0.0.0_F1E327BC-269C-435d-A152-05C5408002CA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2020-06-24T09:59:00Z</dcterms:created>
  <dc:creator>AutoBVT</dc:creator>
  <cp:lastModifiedBy>iPhone </cp:lastModifiedBy>
  <cp:lastPrinted>2021-01-19T09:10:00Z</cp:lastPrinted>
  <dcterms:modified xsi:type="dcterms:W3CDTF">2021-06-23T15:35:16Z</dcterms:modified>
  <cp:revision>74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2052-11.10.0</vt:lpwstr>
  </property>
  <property fmtid="{D5CDD505-2E9C-101B-9397-08002B2CF9AE}" pid="3" name="ICV">
    <vt:lpwstr>652CCA0EB31D404A882C49A5A5DAC96B</vt:lpwstr>
  </property>
</Properties>
</file>