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37</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31</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2.47万元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2万元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2.47万元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2万元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66万元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56万元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124.09万元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86.63万元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77.98万元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24.81万元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30.51万元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26.2万元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9.84万元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6万元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9.15万元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0.36万元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4万元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spacing w:line="560" w:lineRule="exact"/>
        <w:ind w:firstLine="640" w:firstLineChars="200"/>
        <w:rPr>
          <w:rFonts w:ascii="仿宋_GB2312" w:eastAsia="仿宋_GB2312"/>
          <w:sz w:val="32"/>
          <w:szCs w:val="32"/>
        </w:rPr>
      </w:pPr>
      <w:r>
        <w:rPr>
          <w:rFonts w:hint="eastAsia" w:ascii="仿宋_GB2312" w:hAnsi="宋体" w:eastAsia="仿宋_GB2312"/>
          <w:sz w:val="32"/>
          <w:szCs w:val="32"/>
        </w:rPr>
        <w:t>1、单位机构设置：</w:t>
      </w:r>
      <w:r>
        <w:rPr>
          <w:rFonts w:hint="eastAsia" w:ascii="仿宋_GB2312" w:hAnsi="仿宋" w:eastAsia="仿宋_GB2312"/>
          <w:sz w:val="32"/>
          <w:szCs w:val="32"/>
        </w:rPr>
        <w:t>根据鹤办【2019】19号文规定，将区机关事业单位社会保险局、区企业社会保险局、区新型农村社会养老保险局整合，组建成现在的区社会保险服务中心。</w:t>
      </w:r>
      <w:r>
        <w:rPr>
          <w:rFonts w:hint="eastAsia" w:ascii="仿宋_GB2312" w:hAnsi="宋体" w:eastAsia="仿宋_GB2312"/>
          <w:sz w:val="32"/>
          <w:szCs w:val="32"/>
        </w:rPr>
        <w:t>隶属于区人力资源和社会保障局，是全额拨款的一类公益事业单位。</w:t>
      </w:r>
      <w:r>
        <w:rPr>
          <w:rFonts w:hint="eastAsia" w:ascii="仿宋_GB2312" w:hAnsi="Calibri" w:eastAsia="仿宋_GB2312"/>
          <w:sz w:val="32"/>
          <w:szCs w:val="32"/>
        </w:rPr>
        <w:t>内设8个股室，分别为：办公室、财务及基金管理部、基金征缴部、个人权益部、待遇管理部、城乡居民养老保险部、稽核部、信息（档案）室。</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2、主要工作职责：</w:t>
      </w:r>
      <w:r>
        <w:rPr>
          <w:rFonts w:hint="eastAsia" w:ascii="宋体" w:hAnsi="宋体"/>
          <w:sz w:val="32"/>
          <w:szCs w:val="32"/>
        </w:rPr>
        <w:t>①</w:t>
      </w:r>
      <w:r>
        <w:rPr>
          <w:rFonts w:hint="eastAsia" w:ascii="仿宋_GB2312" w:hAnsi="仿宋" w:eastAsia="仿宋_GB2312"/>
          <w:sz w:val="32"/>
          <w:szCs w:val="32"/>
        </w:rPr>
        <w:t>负责城乡居民养老保险的参保登记管理、缴费申报管理、基金征缴、个人帐户建立与管理、待遇核定与发放、保险关系转移（接）手续、统计分析等工作，并对街道（乡镇）劳动保障站的业务经办情况进行指导和监督考核、承接原老农保站的相关业务工作。</w:t>
      </w:r>
      <w:r>
        <w:rPr>
          <w:rFonts w:hint="eastAsia" w:ascii="宋体" w:hAnsi="宋体"/>
          <w:sz w:val="32"/>
          <w:szCs w:val="32"/>
        </w:rPr>
        <w:t>②</w:t>
      </w:r>
      <w:r>
        <w:rPr>
          <w:rFonts w:hint="eastAsia" w:ascii="仿宋_GB2312" w:hAnsi="宋体" w:eastAsia="仿宋_GB2312" w:cs="宋体"/>
          <w:kern w:val="0"/>
          <w:sz w:val="30"/>
          <w:szCs w:val="30"/>
        </w:rPr>
        <w:t>负责全区的各类企业、灵活就业人员的参保管理、基金征缴和退休人员养老金社会化发放。</w:t>
      </w:r>
      <w:r>
        <w:rPr>
          <w:rFonts w:hint="eastAsia" w:ascii="宋体" w:hAnsi="宋体"/>
          <w:sz w:val="32"/>
          <w:szCs w:val="32"/>
        </w:rPr>
        <w:t>③</w:t>
      </w:r>
      <w:r>
        <w:rPr>
          <w:rFonts w:hint="eastAsia" w:ascii="仿宋_GB2312" w:hAnsi="宋体" w:eastAsia="仿宋_GB2312"/>
          <w:sz w:val="32"/>
          <w:szCs w:val="32"/>
        </w:rPr>
        <w:t>负责全区机关事业单位养老保险基金及职业年金的征收及发放工作。</w:t>
      </w:r>
    </w:p>
    <w:p>
      <w:pPr>
        <w:spacing w:line="560" w:lineRule="exact"/>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3、</w:t>
      </w:r>
      <w:r>
        <w:rPr>
          <w:rFonts w:hint="eastAsia" w:ascii="仿宋_GB2312" w:hAnsi="宋体" w:eastAsia="仿宋_GB2312"/>
          <w:sz w:val="32"/>
          <w:szCs w:val="32"/>
        </w:rPr>
        <w:t>编制人员情况：</w:t>
      </w:r>
      <w:r>
        <w:rPr>
          <w:rFonts w:hint="eastAsia" w:ascii="仿宋_GB2312" w:hAnsi="仿宋" w:eastAsia="仿宋_GB2312"/>
          <w:sz w:val="32"/>
          <w:szCs w:val="32"/>
        </w:rPr>
        <w:t>在编在岗人员共计3</w:t>
      </w:r>
      <w:r>
        <w:rPr>
          <w:rFonts w:hint="eastAsia" w:ascii="仿宋_GB2312" w:hAnsi="仿宋" w:eastAsia="仿宋_GB2312"/>
          <w:sz w:val="32"/>
          <w:szCs w:val="32"/>
          <w:lang w:val="en-US" w:eastAsia="zh-CN"/>
        </w:rPr>
        <w:t>1</w:t>
      </w:r>
      <w:r>
        <w:rPr>
          <w:rFonts w:hint="eastAsia" w:ascii="仿宋_GB2312" w:hAnsi="仿宋" w:eastAsia="仿宋_GB2312"/>
          <w:sz w:val="32"/>
          <w:szCs w:val="32"/>
        </w:rPr>
        <w:t>人，其中23人参照公务员管理，退休人员6人。</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8"/>
        <w:widowControl/>
        <w:spacing w:line="600" w:lineRule="exact"/>
        <w:ind w:left="0" w:leftChars="0" w:firstLine="0" w:firstLineChars="0"/>
        <w:rPr>
          <w:rFonts w:hint="default" w:ascii="Times New Roman" w:hAnsi="Times New Roman" w:eastAsia="黑体"/>
          <w:sz w:val="32"/>
          <w:szCs w:val="32"/>
          <w:lang w:val="en-US" w:eastAsia="zh-CN"/>
        </w:rPr>
      </w:pPr>
      <w:r>
        <w:rPr>
          <w:rFonts w:hint="eastAsia" w:ascii="Times New Roman" w:hAnsi="Times New Roman" w:eastAsia="黑体"/>
          <w:sz w:val="32"/>
          <w:szCs w:val="32"/>
          <w:lang w:val="en-US" w:eastAsia="zh-CN"/>
        </w:rPr>
        <w:t xml:space="preserve">    </w:t>
      </w:r>
      <w:r>
        <w:rPr>
          <w:rFonts w:hint="eastAsia" w:ascii="仿宋_GB2312" w:eastAsia="仿宋_GB2312" w:hAnsiTheme="minorEastAsia"/>
          <w:sz w:val="32"/>
          <w:szCs w:val="32"/>
        </w:rPr>
        <w:t>20</w:t>
      </w:r>
      <w:r>
        <w:rPr>
          <w:rFonts w:hint="eastAsia" w:ascii="仿宋_GB2312" w:eastAsia="仿宋_GB2312" w:hAnsiTheme="minorEastAsia"/>
          <w:sz w:val="32"/>
          <w:szCs w:val="32"/>
          <w:lang w:val="en-US" w:eastAsia="zh-CN"/>
        </w:rPr>
        <w:t>20</w:t>
      </w:r>
      <w:r>
        <w:rPr>
          <w:rFonts w:hint="eastAsia" w:ascii="仿宋_GB2312" w:eastAsia="仿宋_GB2312" w:hAnsiTheme="minorEastAsia"/>
          <w:sz w:val="32"/>
          <w:szCs w:val="32"/>
        </w:rPr>
        <w:t>年度财政拨款基本支出</w:t>
      </w:r>
      <w:r>
        <w:rPr>
          <w:rFonts w:hint="eastAsia" w:ascii="仿宋_GB2312" w:eastAsia="仿宋_GB2312" w:hAnsiTheme="minorEastAsia"/>
          <w:sz w:val="32"/>
          <w:szCs w:val="32"/>
          <w:lang w:val="en-US" w:eastAsia="zh-CN"/>
        </w:rPr>
        <w:t>416.14</w:t>
      </w:r>
      <w:r>
        <w:rPr>
          <w:rFonts w:hint="eastAsia" w:ascii="仿宋_GB2312" w:eastAsia="仿宋_GB2312" w:hAnsiTheme="minorEastAsia"/>
          <w:sz w:val="32"/>
          <w:szCs w:val="32"/>
        </w:rPr>
        <w:t>万元，其中：人员经费3</w:t>
      </w:r>
      <w:r>
        <w:rPr>
          <w:rFonts w:hint="eastAsia" w:ascii="仿宋_GB2312" w:eastAsia="仿宋_GB2312" w:hAnsiTheme="minorEastAsia"/>
          <w:sz w:val="32"/>
          <w:szCs w:val="32"/>
          <w:lang w:val="en-US" w:eastAsia="zh-CN"/>
        </w:rPr>
        <w:t>38.16</w:t>
      </w:r>
      <w:r>
        <w:rPr>
          <w:rFonts w:hint="eastAsia" w:ascii="仿宋_GB2312" w:eastAsia="仿宋_GB2312" w:hAnsiTheme="minorEastAsia"/>
          <w:sz w:val="32"/>
          <w:szCs w:val="32"/>
        </w:rPr>
        <w:t>万元，占基本支出的</w:t>
      </w:r>
      <w:r>
        <w:rPr>
          <w:rFonts w:hint="eastAsia" w:ascii="仿宋_GB2312" w:eastAsia="仿宋_GB2312" w:hAnsiTheme="minorEastAsia"/>
          <w:sz w:val="32"/>
          <w:szCs w:val="32"/>
          <w:lang w:val="en-US" w:eastAsia="zh-CN"/>
        </w:rPr>
        <w:t>81.26</w:t>
      </w:r>
      <w:r>
        <w:rPr>
          <w:rFonts w:hint="eastAsia" w:ascii="仿宋_GB2312" w:eastAsia="仿宋_GB2312" w:hAnsiTheme="minorEastAsia"/>
          <w:sz w:val="32"/>
          <w:szCs w:val="32"/>
        </w:rPr>
        <w:t>%,主要包括基本工资、津贴补贴、奖金、伙食补助费、绩效工资、机关事业单位基本养老保险缴费、职工基本医疗保险缴费、住房公积金、其他工资福利支出、生活补助、奖励金、其他对个人和补助；公用经费</w:t>
      </w:r>
      <w:r>
        <w:rPr>
          <w:rFonts w:hint="eastAsia" w:ascii="仿宋_GB2312" w:eastAsia="仿宋_GB2312" w:hAnsiTheme="minorEastAsia"/>
          <w:sz w:val="32"/>
          <w:szCs w:val="32"/>
          <w:lang w:val="en-US" w:eastAsia="zh-CN"/>
        </w:rPr>
        <w:t>77.98</w:t>
      </w:r>
      <w:r>
        <w:rPr>
          <w:rFonts w:hint="eastAsia" w:ascii="仿宋_GB2312" w:eastAsia="仿宋_GB2312" w:hAnsiTheme="minorEastAsia"/>
          <w:sz w:val="32"/>
          <w:szCs w:val="32"/>
        </w:rPr>
        <w:t>万元，占基本支出的</w:t>
      </w:r>
      <w:r>
        <w:rPr>
          <w:rFonts w:hint="eastAsia" w:ascii="仿宋_GB2312" w:eastAsia="仿宋_GB2312" w:hAnsiTheme="minorEastAsia"/>
          <w:sz w:val="32"/>
          <w:szCs w:val="32"/>
          <w:lang w:val="en-US" w:eastAsia="zh-CN"/>
        </w:rPr>
        <w:t>18.74</w:t>
      </w:r>
      <w:r>
        <w:rPr>
          <w:rFonts w:hint="eastAsia" w:ascii="仿宋_GB2312" w:eastAsia="仿宋_GB2312" w:hAnsiTheme="minorEastAsia"/>
          <w:sz w:val="32"/>
          <w:szCs w:val="32"/>
        </w:rPr>
        <w:t>%，主要包括办公费、印刷费、邮电费、差旅费、维护费、租赁费、会议费、公务接待费、劳务费、工会经费、其他交通费用、其他商品和服务支出。</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600" w:lineRule="exact"/>
        <w:ind w:firstLine="640" w:firstLineChars="200"/>
        <w:jc w:val="left"/>
        <w:rPr>
          <w:rFonts w:hint="eastAsia" w:eastAsia="仿宋_GB2312"/>
          <w:sz w:val="32"/>
          <w:szCs w:val="32"/>
          <w:lang w:eastAsia="zh-CN"/>
        </w:rPr>
      </w:pPr>
      <w:r>
        <w:rPr>
          <w:rFonts w:eastAsia="仿宋_GB2312"/>
          <w:sz w:val="32"/>
          <w:szCs w:val="32"/>
        </w:rPr>
        <w:t>两方面：一是</w:t>
      </w:r>
      <w:r>
        <w:rPr>
          <w:rFonts w:hint="eastAsia" w:eastAsia="仿宋_GB2312"/>
          <w:sz w:val="32"/>
          <w:szCs w:val="32"/>
          <w:lang w:val="en-US" w:eastAsia="zh-CN"/>
        </w:rPr>
        <w:t>2020</w:t>
      </w:r>
      <w:r>
        <w:rPr>
          <w:rFonts w:eastAsia="仿宋_GB2312"/>
          <w:sz w:val="32"/>
          <w:szCs w:val="32"/>
        </w:rPr>
        <w:t>年度专项资金安排和使用管理情况，</w:t>
      </w:r>
      <w:r>
        <w:rPr>
          <w:rFonts w:hint="eastAsia" w:eastAsia="仿宋_GB2312"/>
          <w:sz w:val="32"/>
          <w:szCs w:val="32"/>
        </w:rPr>
        <w:t>20</w:t>
      </w:r>
      <w:r>
        <w:rPr>
          <w:rFonts w:hint="eastAsia" w:eastAsia="仿宋_GB2312"/>
          <w:sz w:val="32"/>
          <w:szCs w:val="32"/>
          <w:lang w:val="en-US" w:eastAsia="zh-CN"/>
        </w:rPr>
        <w:t>20</w:t>
      </w:r>
      <w:r>
        <w:rPr>
          <w:rFonts w:hint="eastAsia" w:eastAsia="仿宋_GB2312"/>
          <w:sz w:val="32"/>
          <w:szCs w:val="32"/>
        </w:rPr>
        <w:t>年安排了城乡居保的专项工作经费</w:t>
      </w:r>
      <w:r>
        <w:rPr>
          <w:rFonts w:hint="eastAsia" w:eastAsia="仿宋_GB2312"/>
          <w:sz w:val="32"/>
          <w:szCs w:val="32"/>
          <w:lang w:val="en-US" w:eastAsia="zh-CN"/>
        </w:rPr>
        <w:t>6</w:t>
      </w:r>
      <w:r>
        <w:rPr>
          <w:rFonts w:hint="eastAsia" w:eastAsia="仿宋_GB2312"/>
          <w:sz w:val="32"/>
          <w:szCs w:val="32"/>
        </w:rPr>
        <w:t>万元</w:t>
      </w:r>
      <w:r>
        <w:rPr>
          <w:rFonts w:hint="eastAsia" w:eastAsia="仿宋_GB2312"/>
          <w:sz w:val="32"/>
          <w:szCs w:val="32"/>
          <w:lang w:eastAsia="zh-CN"/>
        </w:rPr>
        <w:t>及人社包干工作经费</w:t>
      </w:r>
      <w:r>
        <w:rPr>
          <w:rFonts w:hint="eastAsia" w:eastAsia="仿宋_GB2312"/>
          <w:sz w:val="32"/>
          <w:szCs w:val="32"/>
          <w:lang w:val="en-US" w:eastAsia="zh-CN"/>
        </w:rPr>
        <w:t>50万元，</w:t>
      </w:r>
      <w:r>
        <w:rPr>
          <w:rFonts w:hint="eastAsia" w:eastAsia="仿宋_GB2312"/>
          <w:sz w:val="32"/>
          <w:szCs w:val="32"/>
        </w:rPr>
        <w:t>共</w:t>
      </w:r>
      <w:r>
        <w:rPr>
          <w:rFonts w:hint="eastAsia" w:eastAsia="仿宋_GB2312"/>
          <w:sz w:val="32"/>
          <w:szCs w:val="32"/>
          <w:lang w:eastAsia="zh-CN"/>
        </w:rPr>
        <w:t>计</w:t>
      </w:r>
      <w:r>
        <w:rPr>
          <w:rFonts w:hint="eastAsia" w:eastAsia="仿宋_GB2312"/>
          <w:sz w:val="32"/>
          <w:szCs w:val="32"/>
        </w:rPr>
        <w:t>专项工作经费</w:t>
      </w:r>
      <w:r>
        <w:rPr>
          <w:rFonts w:hint="eastAsia" w:eastAsia="仿宋_GB2312"/>
          <w:sz w:val="32"/>
          <w:szCs w:val="32"/>
          <w:lang w:val="en-US" w:eastAsia="zh-CN"/>
        </w:rPr>
        <w:t>56</w:t>
      </w:r>
      <w:r>
        <w:rPr>
          <w:rFonts w:hint="eastAsia" w:eastAsia="仿宋_GB2312"/>
          <w:sz w:val="32"/>
          <w:szCs w:val="32"/>
        </w:rPr>
        <w:t>万元。此项工作经费是因社保工作量大、线长面广、发放管理及稽核管理工作任务艰巨，为确保社保工作的顺利开展，经领导研究同意安排的工作经费，此项经费在20</w:t>
      </w:r>
      <w:r>
        <w:rPr>
          <w:rFonts w:hint="eastAsia" w:eastAsia="仿宋_GB2312"/>
          <w:sz w:val="32"/>
          <w:szCs w:val="32"/>
          <w:lang w:val="en-US" w:eastAsia="zh-CN"/>
        </w:rPr>
        <w:t>20</w:t>
      </w:r>
      <w:r>
        <w:rPr>
          <w:rFonts w:hint="eastAsia" w:eastAsia="仿宋_GB2312"/>
          <w:sz w:val="32"/>
          <w:szCs w:val="32"/>
        </w:rPr>
        <w:t>年用于补足公用经费开支中的办公费、印刷费、差旅费、其他商品和服务支出等</w:t>
      </w:r>
      <w:r>
        <w:rPr>
          <w:rFonts w:hint="eastAsia" w:eastAsia="仿宋_GB2312"/>
          <w:sz w:val="32"/>
          <w:szCs w:val="32"/>
          <w:lang w:eastAsia="zh-CN"/>
        </w:rPr>
        <w:t>。另</w:t>
      </w:r>
      <w:r>
        <w:rPr>
          <w:rFonts w:hint="eastAsia" w:eastAsia="仿宋_GB2312"/>
          <w:sz w:val="32"/>
          <w:szCs w:val="32"/>
          <w:lang w:val="en-US" w:eastAsia="zh-CN"/>
        </w:rPr>
        <w:t>2020年还安排了养老保险系统维护及代发工作经费10万元。此项经费是为了确保城乡居保系统、企业养老保险系统、机关养老保险系统的正常运行及财务应用软件、终端设备的维护，和保障日常网络的正常运转，以及12个代发项目在系统里的正常代发。</w:t>
      </w:r>
      <w:r>
        <w:rPr>
          <w:rFonts w:hint="eastAsia" w:eastAsia="仿宋_GB2312"/>
          <w:sz w:val="32"/>
          <w:szCs w:val="32"/>
        </w:rPr>
        <w:t>此项经费在20</w:t>
      </w:r>
      <w:r>
        <w:rPr>
          <w:rFonts w:hint="eastAsia" w:eastAsia="仿宋_GB2312"/>
          <w:sz w:val="32"/>
          <w:szCs w:val="32"/>
          <w:lang w:val="en-US" w:eastAsia="zh-CN"/>
        </w:rPr>
        <w:t>20</w:t>
      </w:r>
      <w:r>
        <w:rPr>
          <w:rFonts w:hint="eastAsia" w:eastAsia="仿宋_GB2312"/>
          <w:sz w:val="32"/>
          <w:szCs w:val="32"/>
        </w:rPr>
        <w:t>年用于补足公用经费开支中的办公费、</w:t>
      </w:r>
      <w:r>
        <w:rPr>
          <w:rFonts w:hint="eastAsia" w:eastAsia="仿宋_GB2312"/>
          <w:sz w:val="32"/>
          <w:szCs w:val="32"/>
          <w:lang w:eastAsia="zh-CN"/>
        </w:rPr>
        <w:t>维护费、</w:t>
      </w:r>
      <w:r>
        <w:rPr>
          <w:rFonts w:hint="eastAsia" w:eastAsia="仿宋_GB2312"/>
          <w:sz w:val="32"/>
          <w:szCs w:val="32"/>
        </w:rPr>
        <w:t>其他商品和服务支出等</w:t>
      </w:r>
      <w:r>
        <w:rPr>
          <w:rFonts w:hint="eastAsia" w:eastAsia="仿宋_GB2312"/>
          <w:sz w:val="32"/>
          <w:szCs w:val="32"/>
          <w:lang w:eastAsia="zh-CN"/>
        </w:rPr>
        <w:t>。</w:t>
      </w:r>
      <w:r>
        <w:rPr>
          <w:rFonts w:eastAsia="仿宋_GB2312"/>
          <w:sz w:val="32"/>
          <w:szCs w:val="32"/>
        </w:rPr>
        <w:t>二是除专项资金以外的其他项目支出情况。</w:t>
      </w:r>
      <w:r>
        <w:rPr>
          <w:rFonts w:hint="eastAsia" w:eastAsia="仿宋_GB2312"/>
          <w:sz w:val="32"/>
          <w:szCs w:val="32"/>
          <w:lang w:eastAsia="zh-CN"/>
        </w:rPr>
        <w:t>无。</w:t>
      </w:r>
    </w:p>
    <w:p>
      <w:pPr>
        <w:pStyle w:val="8"/>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三、</w:t>
      </w:r>
      <w:r>
        <w:rPr>
          <w:rFonts w:ascii="Times New Roman" w:hAnsi="Times New Roman" w:eastAsia="黑体"/>
          <w:sz w:val="32"/>
          <w:szCs w:val="32"/>
        </w:rPr>
        <w:t>政府性基金预算支出情况</w:t>
      </w:r>
    </w:p>
    <w:p>
      <w:pPr>
        <w:pStyle w:val="8"/>
        <w:widowControl/>
        <w:numPr>
          <w:ilvl w:val="0"/>
          <w:numId w:val="0"/>
        </w:numPr>
        <w:spacing w:line="600" w:lineRule="exact"/>
        <w:jc w:val="left"/>
        <w:rPr>
          <w:rFonts w:hint="default" w:ascii="Times New Roman" w:hAnsi="Times New Roman" w:eastAsia="黑体"/>
          <w:sz w:val="32"/>
          <w:szCs w:val="32"/>
          <w:lang w:val="en-US" w:eastAsia="zh-CN"/>
        </w:rPr>
      </w:pPr>
      <w:r>
        <w:rPr>
          <w:rFonts w:hint="eastAsia" w:ascii="Times New Roman" w:hAnsi="Times New Roman" w:eastAsia="黑体"/>
          <w:sz w:val="32"/>
          <w:szCs w:val="32"/>
          <w:lang w:val="en-US" w:eastAsia="zh-CN"/>
        </w:rPr>
        <w:t xml:space="preserve">    </w:t>
      </w:r>
      <w:r>
        <w:rPr>
          <w:rFonts w:hint="eastAsia" w:ascii="仿宋" w:hAnsi="仿宋" w:eastAsia="仿宋" w:cs="仿宋"/>
          <w:b w:val="0"/>
          <w:bCs w:val="0"/>
          <w:sz w:val="32"/>
          <w:szCs w:val="32"/>
          <w:lang w:val="en-US" w:eastAsia="zh-CN"/>
        </w:rPr>
        <w:t>无政府性基金支出。</w:t>
      </w:r>
    </w:p>
    <w:p>
      <w:pPr>
        <w:pStyle w:val="8"/>
        <w:widowControl/>
        <w:numPr>
          <w:ilvl w:val="0"/>
          <w:numId w:val="2"/>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widowControl/>
        <w:numPr>
          <w:ilvl w:val="0"/>
          <w:numId w:val="0"/>
        </w:numPr>
        <w:spacing w:line="600" w:lineRule="exact"/>
        <w:jc w:val="left"/>
        <w:rPr>
          <w:rFonts w:hint="eastAsia" w:ascii="Times New Roman" w:hAnsi="Times New Roman" w:eastAsia="黑体"/>
          <w:sz w:val="32"/>
          <w:szCs w:val="32"/>
          <w:lang w:val="en-US" w:eastAsia="zh-CN"/>
        </w:rPr>
      </w:pPr>
      <w:r>
        <w:rPr>
          <w:rFonts w:hint="eastAsia" w:ascii="Times New Roman" w:hAnsi="Times New Roman" w:eastAsia="黑体"/>
          <w:sz w:val="32"/>
          <w:szCs w:val="32"/>
          <w:lang w:val="en-US" w:eastAsia="zh-CN"/>
        </w:rPr>
        <w:t xml:space="preserve">    </w:t>
      </w:r>
      <w:r>
        <w:rPr>
          <w:rFonts w:hint="eastAsia" w:ascii="仿宋" w:hAnsi="仿宋" w:eastAsia="仿宋" w:cs="仿宋"/>
          <w:sz w:val="32"/>
          <w:szCs w:val="32"/>
        </w:rPr>
        <w:t>无国有资本经营</w:t>
      </w:r>
      <w:r>
        <w:rPr>
          <w:rFonts w:hint="eastAsia" w:ascii="仿宋" w:hAnsi="仿宋" w:eastAsia="仿宋" w:cs="仿宋"/>
          <w:sz w:val="32"/>
          <w:szCs w:val="32"/>
          <w:lang w:eastAsia="zh-CN"/>
        </w:rPr>
        <w:t>支出。</w:t>
      </w:r>
    </w:p>
    <w:p>
      <w:pPr>
        <w:pStyle w:val="8"/>
        <w:widowControl/>
        <w:numPr>
          <w:ilvl w:val="0"/>
          <w:numId w:val="2"/>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8"/>
        <w:widowControl/>
        <w:numPr>
          <w:ilvl w:val="0"/>
          <w:numId w:val="0"/>
        </w:numPr>
        <w:spacing w:line="600" w:lineRule="exact"/>
        <w:jc w:val="left"/>
        <w:rPr>
          <w:rFonts w:hint="default" w:ascii="Times New Roman" w:hAnsi="Times New Roman" w:eastAsia="黑体"/>
          <w:sz w:val="32"/>
          <w:szCs w:val="32"/>
          <w:lang w:val="en-US" w:eastAsia="zh-CN"/>
        </w:rPr>
      </w:pPr>
      <w:r>
        <w:rPr>
          <w:rFonts w:hint="eastAsia" w:ascii="Times New Roman" w:hAnsi="Times New Roman" w:eastAsia="黑体"/>
          <w:sz w:val="32"/>
          <w:szCs w:val="32"/>
          <w:lang w:val="en-US" w:eastAsia="zh-CN"/>
        </w:rPr>
        <w:t xml:space="preserve">    </w:t>
      </w:r>
      <w:r>
        <w:rPr>
          <w:rFonts w:hint="eastAsia" w:ascii="仿宋_GB2312" w:eastAsia="仿宋_GB2312"/>
          <w:sz w:val="32"/>
          <w:szCs w:val="32"/>
        </w:rPr>
        <w:t>现区社保中心有三项基金，分别是城乡居民养老保险基金、企业职工基本养老保险基金、机关事业单位养老保险基金。20</w:t>
      </w:r>
      <w:r>
        <w:rPr>
          <w:rFonts w:hint="eastAsia" w:ascii="仿宋_GB2312" w:eastAsia="仿宋_GB2312"/>
          <w:sz w:val="32"/>
          <w:szCs w:val="32"/>
          <w:lang w:val="en-US" w:eastAsia="zh-CN"/>
        </w:rPr>
        <w:t>20</w:t>
      </w:r>
      <w:r>
        <w:rPr>
          <w:rFonts w:hint="eastAsia" w:ascii="仿宋_GB2312" w:eastAsia="仿宋_GB2312"/>
          <w:sz w:val="32"/>
          <w:szCs w:val="32"/>
        </w:rPr>
        <w:t>年城乡养老基金总支出</w:t>
      </w:r>
      <w:r>
        <w:rPr>
          <w:rFonts w:hint="eastAsia" w:ascii="仿宋_GB2312" w:eastAsia="仿宋_GB2312"/>
          <w:sz w:val="32"/>
          <w:szCs w:val="32"/>
          <w:lang w:val="en-US" w:eastAsia="zh-CN"/>
        </w:rPr>
        <w:t>3039.56</w:t>
      </w:r>
      <w:r>
        <w:rPr>
          <w:rFonts w:hint="eastAsia" w:ascii="仿宋_GB2312" w:eastAsia="仿宋_GB2312"/>
          <w:sz w:val="32"/>
          <w:szCs w:val="32"/>
        </w:rPr>
        <w:t>万元，其中社会保险待遇支出</w:t>
      </w:r>
      <w:r>
        <w:rPr>
          <w:rFonts w:hint="eastAsia" w:ascii="仿宋_GB2312" w:eastAsia="仿宋_GB2312"/>
          <w:sz w:val="32"/>
          <w:szCs w:val="32"/>
          <w:lang w:val="en-US" w:eastAsia="zh-CN"/>
        </w:rPr>
        <w:t>3035.79</w:t>
      </w:r>
      <w:r>
        <w:rPr>
          <w:rFonts w:hint="eastAsia" w:ascii="仿宋_GB2312" w:eastAsia="仿宋_GB2312"/>
          <w:sz w:val="32"/>
          <w:szCs w:val="32"/>
        </w:rPr>
        <w:t>万元，转移支出</w:t>
      </w:r>
      <w:r>
        <w:rPr>
          <w:rFonts w:hint="eastAsia" w:ascii="仿宋_GB2312" w:eastAsia="仿宋_GB2312"/>
          <w:sz w:val="32"/>
          <w:szCs w:val="32"/>
          <w:lang w:val="en-US" w:eastAsia="zh-CN"/>
        </w:rPr>
        <w:t>3.77</w:t>
      </w:r>
      <w:r>
        <w:rPr>
          <w:rFonts w:hint="eastAsia" w:ascii="仿宋_GB2312" w:eastAsia="仿宋_GB2312"/>
          <w:sz w:val="32"/>
          <w:szCs w:val="32"/>
        </w:rPr>
        <w:t>万元。20</w:t>
      </w:r>
      <w:r>
        <w:rPr>
          <w:rFonts w:hint="eastAsia" w:ascii="仿宋_GB2312" w:eastAsia="仿宋_GB2312"/>
          <w:sz w:val="32"/>
          <w:szCs w:val="32"/>
          <w:lang w:val="en-US" w:eastAsia="zh-CN"/>
        </w:rPr>
        <w:t>20</w:t>
      </w:r>
      <w:r>
        <w:rPr>
          <w:rFonts w:hint="eastAsia" w:ascii="仿宋_GB2312" w:eastAsia="仿宋_GB2312"/>
          <w:sz w:val="32"/>
          <w:szCs w:val="32"/>
        </w:rPr>
        <w:t>年企业职工基本养老保险基金总支出</w:t>
      </w:r>
      <w:r>
        <w:rPr>
          <w:rFonts w:hint="eastAsia" w:ascii="仿宋_GB2312" w:eastAsia="仿宋_GB2312"/>
          <w:sz w:val="32"/>
          <w:szCs w:val="32"/>
          <w:lang w:val="en-US" w:eastAsia="zh-CN"/>
        </w:rPr>
        <w:t>49741.54</w:t>
      </w:r>
      <w:r>
        <w:rPr>
          <w:rFonts w:hint="eastAsia" w:ascii="仿宋_GB2312" w:eastAsia="仿宋_GB2312"/>
          <w:sz w:val="32"/>
          <w:szCs w:val="32"/>
        </w:rPr>
        <w:t>万元，其中社会保险待遇支出</w:t>
      </w:r>
      <w:r>
        <w:rPr>
          <w:rFonts w:hint="eastAsia" w:ascii="仿宋_GB2312" w:eastAsia="仿宋_GB2312"/>
          <w:sz w:val="32"/>
          <w:szCs w:val="32"/>
          <w:lang w:val="en-US" w:eastAsia="zh-CN"/>
        </w:rPr>
        <w:t>35453.09</w:t>
      </w:r>
      <w:r>
        <w:rPr>
          <w:rFonts w:hint="eastAsia" w:ascii="仿宋_GB2312" w:eastAsia="仿宋_GB2312"/>
          <w:sz w:val="32"/>
          <w:szCs w:val="32"/>
        </w:rPr>
        <w:t>万元，上解上级支出</w:t>
      </w:r>
      <w:r>
        <w:rPr>
          <w:rFonts w:hint="eastAsia" w:ascii="仿宋_GB2312" w:eastAsia="仿宋_GB2312"/>
          <w:sz w:val="32"/>
          <w:szCs w:val="32"/>
          <w:lang w:val="en-US" w:eastAsia="zh-CN"/>
        </w:rPr>
        <w:t>14288.45</w:t>
      </w:r>
      <w:r>
        <w:rPr>
          <w:rFonts w:hint="eastAsia" w:ascii="仿宋_GB2312" w:eastAsia="仿宋_GB2312"/>
          <w:sz w:val="32"/>
          <w:szCs w:val="32"/>
        </w:rPr>
        <w:t>万元。20</w:t>
      </w:r>
      <w:r>
        <w:rPr>
          <w:rFonts w:hint="eastAsia" w:ascii="仿宋_GB2312" w:eastAsia="仿宋_GB2312"/>
          <w:sz w:val="32"/>
          <w:szCs w:val="32"/>
          <w:lang w:val="en-US" w:eastAsia="zh-CN"/>
        </w:rPr>
        <w:t>20</w:t>
      </w:r>
      <w:r>
        <w:rPr>
          <w:rFonts w:hint="eastAsia" w:ascii="仿宋_GB2312" w:eastAsia="仿宋_GB2312"/>
          <w:sz w:val="32"/>
          <w:szCs w:val="32"/>
        </w:rPr>
        <w:t>年机关事业单位养老保险基金总支出</w:t>
      </w:r>
      <w:r>
        <w:rPr>
          <w:rFonts w:hint="eastAsia" w:ascii="仿宋_GB2312" w:eastAsia="仿宋_GB2312"/>
          <w:sz w:val="32"/>
          <w:szCs w:val="32"/>
          <w:lang w:val="en-US" w:eastAsia="zh-CN"/>
        </w:rPr>
        <w:t>21330.01</w:t>
      </w:r>
      <w:r>
        <w:rPr>
          <w:rFonts w:hint="eastAsia" w:ascii="仿宋_GB2312" w:eastAsia="仿宋_GB2312"/>
          <w:sz w:val="32"/>
          <w:szCs w:val="32"/>
        </w:rPr>
        <w:t>万元，其中社会保险待遇支出</w:t>
      </w:r>
      <w:r>
        <w:rPr>
          <w:rFonts w:hint="eastAsia" w:ascii="仿宋_GB2312" w:eastAsia="仿宋_GB2312"/>
          <w:sz w:val="32"/>
          <w:szCs w:val="32"/>
          <w:lang w:val="en-US" w:eastAsia="zh-CN"/>
        </w:rPr>
        <w:t>21233.3</w:t>
      </w:r>
      <w:r>
        <w:rPr>
          <w:rFonts w:hint="eastAsia" w:ascii="仿宋_GB2312" w:eastAsia="仿宋_GB2312"/>
          <w:sz w:val="32"/>
          <w:szCs w:val="32"/>
        </w:rPr>
        <w:t>万元，转移支出</w:t>
      </w:r>
      <w:r>
        <w:rPr>
          <w:rFonts w:hint="eastAsia" w:ascii="仿宋_GB2312" w:eastAsia="仿宋_GB2312"/>
          <w:sz w:val="32"/>
          <w:szCs w:val="32"/>
          <w:lang w:val="en-US" w:eastAsia="zh-CN"/>
        </w:rPr>
        <w:t>93.77</w:t>
      </w:r>
      <w:r>
        <w:rPr>
          <w:rFonts w:hint="eastAsia" w:ascii="仿宋_GB2312" w:eastAsia="仿宋_GB2312"/>
          <w:sz w:val="32"/>
          <w:szCs w:val="32"/>
        </w:rPr>
        <w:t>万元</w:t>
      </w:r>
      <w:r>
        <w:rPr>
          <w:rFonts w:hint="eastAsia" w:ascii="仿宋_GB2312" w:eastAsia="仿宋_GB2312"/>
          <w:sz w:val="32"/>
          <w:szCs w:val="32"/>
          <w:lang w:eastAsia="zh-CN"/>
        </w:rPr>
        <w:t>，其他支出</w:t>
      </w:r>
      <w:r>
        <w:rPr>
          <w:rFonts w:hint="eastAsia" w:ascii="仿宋_GB2312" w:eastAsia="仿宋_GB2312"/>
          <w:sz w:val="32"/>
          <w:szCs w:val="32"/>
          <w:lang w:val="en-US" w:eastAsia="zh-CN"/>
        </w:rPr>
        <w:t>2.94万元</w:t>
      </w:r>
      <w:r>
        <w:rPr>
          <w:rFonts w:hint="eastAsia" w:ascii="仿宋_GB2312" w:eastAsia="仿宋_GB2312"/>
          <w:sz w:val="32"/>
          <w:szCs w:val="32"/>
        </w:rPr>
        <w:t>。</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45"/>
        <w:jc w:val="left"/>
        <w:rPr>
          <w:rFonts w:eastAsia="仿宋_GB2312"/>
          <w:color w:val="000000"/>
          <w:sz w:val="32"/>
          <w:szCs w:val="32"/>
        </w:rPr>
      </w:pPr>
      <w:r>
        <w:rPr>
          <w:rFonts w:hint="eastAsia" w:ascii="仿宋_GB2312" w:eastAsia="仿宋_GB2312"/>
          <w:sz w:val="32"/>
          <w:szCs w:val="32"/>
        </w:rPr>
        <w:t>针对当前社会保障难度大的工作实际，一是以“争优创优”为动力，全面推进中心工作。采取领导干部身先士卒带好头、党员干部率先垂范作表率的措施，有效形成整体合力，特别是在服务环境中，</w:t>
      </w:r>
      <w:r>
        <w:rPr>
          <w:rFonts w:hint="eastAsia" w:ascii="仿宋_GB2312" w:hAnsi="宋体" w:eastAsia="仿宋_GB2312" w:cs="宋体"/>
          <w:color w:val="000000"/>
          <w:kern w:val="0"/>
          <w:sz w:val="32"/>
          <w:szCs w:val="32"/>
        </w:rPr>
        <w:t>按照“一站式”服务模式，不断优化参保服务，加大首问责任制、服务承诺制、一次性告知制等制度的执行力度,进一步简化程序,优化工作流程,提高服务水平，有效地提高了工作效率和服务水平</w:t>
      </w:r>
      <w:r>
        <w:rPr>
          <w:rFonts w:hint="eastAsia" w:ascii="仿宋_GB2312" w:eastAsia="仿宋_GB2312"/>
          <w:sz w:val="32"/>
          <w:szCs w:val="32"/>
        </w:rPr>
        <w:t>，使群众满意度稳步提升</w:t>
      </w:r>
      <w:r>
        <w:rPr>
          <w:rFonts w:hint="eastAsia" w:ascii="仿宋_GB2312" w:hAnsi="宋体" w:eastAsia="仿宋_GB2312" w:cs="宋体"/>
          <w:color w:val="000000"/>
          <w:kern w:val="0"/>
          <w:sz w:val="32"/>
          <w:szCs w:val="32"/>
        </w:rPr>
        <w:t>。</w:t>
      </w:r>
      <w:r>
        <w:rPr>
          <w:rFonts w:hint="eastAsia" w:ascii="仿宋_GB2312" w:eastAsia="仿宋_GB2312"/>
          <w:sz w:val="32"/>
          <w:szCs w:val="32"/>
        </w:rPr>
        <w:t>二是以创新手段为基础，强化目标为重点，全面推进社保工作纵深发展,下大力把好事办好、实事办实。针对养老保险工作难度大、困难多的实际，坚持实现部门密切配合，借各方之力，努力实现上下联动，确保养老保险工作的整体推进。坚持从理顺机制入手，注重宣传与管理并进，协调与稽核结合，确保了养老保险的足额发放。三是以强化内控为突破，全面确保基金安全规范运行。确立基金高压管理的理念，</w:t>
      </w:r>
      <w:r>
        <w:rPr>
          <w:rFonts w:hint="eastAsia" w:ascii="仿宋_GB2312" w:eastAsia="仿宋_GB2312"/>
          <w:bCs/>
          <w:sz w:val="32"/>
          <w:szCs w:val="32"/>
        </w:rPr>
        <w:t>注重加强基金的监督管理，确保基金安全规范运行。</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eastAsia="仿宋_GB2312"/>
          <w:sz w:val="32"/>
          <w:szCs w:val="32"/>
        </w:rPr>
      </w:pPr>
      <w:r>
        <w:rPr>
          <w:rFonts w:hint="eastAsia" w:eastAsia="仿宋_GB2312"/>
          <w:sz w:val="32"/>
          <w:szCs w:val="32"/>
        </w:rPr>
        <w:t>因社保工作量大、线长面广、发放管理及稽核管理工作任务艰巨，为确保社保工作的顺利开展，经领导研究同意安排的专项工作经费</w:t>
      </w:r>
      <w:r>
        <w:rPr>
          <w:rFonts w:hint="eastAsia" w:eastAsia="仿宋_GB2312"/>
          <w:sz w:val="32"/>
          <w:szCs w:val="32"/>
          <w:lang w:eastAsia="zh-CN"/>
        </w:rPr>
        <w:t>共</w:t>
      </w:r>
      <w:r>
        <w:rPr>
          <w:rFonts w:hint="eastAsia" w:eastAsia="仿宋_GB2312"/>
          <w:sz w:val="32"/>
          <w:szCs w:val="32"/>
          <w:lang w:val="en-US" w:eastAsia="zh-CN"/>
        </w:rPr>
        <w:t>66万元</w:t>
      </w:r>
      <w:r>
        <w:rPr>
          <w:rFonts w:hint="eastAsia" w:eastAsia="仿宋_GB2312"/>
          <w:sz w:val="32"/>
          <w:szCs w:val="32"/>
        </w:rPr>
        <w:t>，</w:t>
      </w:r>
      <w:r>
        <w:rPr>
          <w:rFonts w:hint="eastAsia" w:eastAsia="仿宋_GB2312"/>
          <w:sz w:val="32"/>
          <w:szCs w:val="32"/>
          <w:lang w:eastAsia="zh-CN"/>
        </w:rPr>
        <w:t>虽已达到年度绩效目标，但</w:t>
      </w:r>
      <w:r>
        <w:rPr>
          <w:rFonts w:hint="eastAsia" w:eastAsia="仿宋_GB2312"/>
          <w:sz w:val="32"/>
          <w:szCs w:val="32"/>
        </w:rPr>
        <w:t>在年度决算中未做项目支出。</w:t>
      </w:r>
    </w:p>
    <w:p>
      <w:pPr>
        <w:widowControl/>
        <w:numPr>
          <w:ilvl w:val="0"/>
          <w:numId w:val="3"/>
        </w:numPr>
        <w:spacing w:line="600" w:lineRule="exact"/>
        <w:ind w:firstLine="640" w:firstLineChars="200"/>
        <w:jc w:val="left"/>
        <w:rPr>
          <w:rFonts w:eastAsia="黑体"/>
          <w:sz w:val="32"/>
          <w:szCs w:val="32"/>
        </w:rPr>
      </w:pPr>
      <w:r>
        <w:rPr>
          <w:rFonts w:eastAsia="黑体"/>
          <w:sz w:val="32"/>
          <w:szCs w:val="32"/>
        </w:rPr>
        <w:t>下一步改进措施</w:t>
      </w:r>
    </w:p>
    <w:p>
      <w:pPr>
        <w:widowControl/>
        <w:numPr>
          <w:ilvl w:val="0"/>
          <w:numId w:val="0"/>
        </w:numPr>
        <w:spacing w:line="600" w:lineRule="exact"/>
        <w:jc w:val="lef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hAnsi="宋体" w:eastAsia="仿宋_GB2312"/>
          <w:sz w:val="32"/>
          <w:szCs w:val="32"/>
        </w:rPr>
        <w:t>加强新《预算法》、《会计制度》等学习培训，规范部门预算收支核算，一是制定和完善基本支出、项目支出等各项支出标准，严格按项目和进度执行预算，增强预算的约束力和严肃性。二是落实预算执行分析，及时了解预算执行差异，合理调整、纠正预算执行偏差，切实提高部门预算收支管理水平。</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4"/>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rPr>
                <w:rFonts w:ascii="仿宋_GB2312" w:eastAsia="仿宋_GB2312"/>
                <w:szCs w:val="21"/>
              </w:rPr>
            </w:pPr>
          </w:p>
        </w:tc>
        <w:tc>
          <w:tcPr>
            <w:tcW w:w="674" w:type="dxa"/>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hint="eastAsia" w:ascii="仿宋_GB2312" w:eastAsia="仿宋_GB2312"/>
                <w:szCs w:val="21"/>
              </w:rPr>
            </w:pP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98</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882" w:type="dxa"/>
        <w:jc w:val="center"/>
        <w:tblLayout w:type="fixed"/>
        <w:tblCellMar>
          <w:top w:w="0" w:type="dxa"/>
          <w:left w:w="108" w:type="dxa"/>
          <w:bottom w:w="0" w:type="dxa"/>
          <w:right w:w="108" w:type="dxa"/>
        </w:tblCellMar>
      </w:tblPr>
      <w:tblGrid>
        <w:gridCol w:w="1135"/>
        <w:gridCol w:w="992"/>
        <w:gridCol w:w="1037"/>
        <w:gridCol w:w="1448"/>
        <w:gridCol w:w="1282"/>
        <w:gridCol w:w="1170"/>
        <w:gridCol w:w="644"/>
        <w:gridCol w:w="1110"/>
        <w:gridCol w:w="1064"/>
      </w:tblGrid>
      <w:tr>
        <w:tblPrEx>
          <w:tblCellMar>
            <w:top w:w="0" w:type="dxa"/>
            <w:left w:w="108" w:type="dxa"/>
            <w:bottom w:w="0" w:type="dxa"/>
            <w:right w:w="108" w:type="dxa"/>
          </w:tblCellMar>
        </w:tblPrEx>
        <w:trPr>
          <w:trHeight w:val="690" w:hRule="atLeast"/>
          <w:jc w:val="center"/>
        </w:trPr>
        <w:tc>
          <w:tcPr>
            <w:tcW w:w="9882" w:type="dxa"/>
            <w:gridSpan w:val="9"/>
            <w:tcBorders>
              <w:top w:val="nil"/>
              <w:left w:val="nil"/>
              <w:bottom w:val="nil"/>
              <w:right w:val="nil"/>
            </w:tcBorders>
            <w:shd w:val="clear" w:color="auto" w:fill="auto"/>
            <w:noWrap/>
            <w:vAlign w:val="center"/>
          </w:tcPr>
          <w:tbl>
            <w:tblPr>
              <w:tblStyle w:val="4"/>
              <w:tblW w:w="9753" w:type="dxa"/>
              <w:jc w:val="center"/>
              <w:tblLayout w:type="fixed"/>
              <w:tblCellMar>
                <w:top w:w="0" w:type="dxa"/>
                <w:left w:w="108" w:type="dxa"/>
                <w:bottom w:w="0" w:type="dxa"/>
                <w:right w:w="108" w:type="dxa"/>
              </w:tblCellMar>
            </w:tblPr>
            <w:tblGrid>
              <w:gridCol w:w="1134"/>
              <w:gridCol w:w="991"/>
              <w:gridCol w:w="1161"/>
              <w:gridCol w:w="1276"/>
              <w:gridCol w:w="1275"/>
              <w:gridCol w:w="1264"/>
              <w:gridCol w:w="605"/>
              <w:gridCol w:w="936"/>
              <w:gridCol w:w="1109"/>
            </w:tblGrid>
            <w:tr>
              <w:tblPrEx>
                <w:tblCellMar>
                  <w:top w:w="0" w:type="dxa"/>
                  <w:left w:w="108" w:type="dxa"/>
                  <w:bottom w:w="0" w:type="dxa"/>
                  <w:right w:w="108" w:type="dxa"/>
                </w:tblCellMar>
              </w:tblPrEx>
              <w:trPr>
                <w:trHeight w:val="690" w:hRule="atLeast"/>
                <w:jc w:val="center"/>
              </w:trPr>
              <w:tc>
                <w:tcPr>
                  <w:tcW w:w="9753"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753"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20</w:t>
                  </w:r>
                  <w:r>
                    <w:rPr>
                      <w:rFonts w:hint="eastAsia"/>
                      <w:color w:val="000000"/>
                      <w:kern w:val="0"/>
                      <w:sz w:val="22"/>
                      <w:lang w:val="en-US" w:eastAsia="zh-CN"/>
                    </w:rPr>
                    <w:t>20</w:t>
                  </w:r>
                  <w:r>
                    <w:rPr>
                      <w:color w:val="000000"/>
                      <w:kern w:val="0"/>
                      <w:sz w:val="22"/>
                    </w:rPr>
                    <w:t>年度）</w:t>
                  </w:r>
                </w:p>
              </w:tc>
            </w:tr>
            <w:tr>
              <w:tblPrEx>
                <w:tblCellMar>
                  <w:top w:w="0" w:type="dxa"/>
                  <w:left w:w="108" w:type="dxa"/>
                  <w:bottom w:w="0" w:type="dxa"/>
                  <w:right w:w="108" w:type="dxa"/>
                </w:tblCellMar>
              </w:tblPrEx>
              <w:trPr>
                <w:trHeight w:val="563"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618"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人社局包干工作经费及城乡居保工作经费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704"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区人力资源和社会保障局</w:t>
                  </w:r>
                </w:p>
              </w:tc>
              <w:tc>
                <w:tcPr>
                  <w:tcW w:w="126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650"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区社会保险服务中心</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7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2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264"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全年执行数</w:t>
                  </w:r>
                </w:p>
              </w:tc>
              <w:tc>
                <w:tcPr>
                  <w:tcW w:w="605" w:type="dxa"/>
                  <w:tcBorders>
                    <w:top w:val="nil"/>
                    <w:left w:val="nil"/>
                    <w:bottom w:val="single" w:color="auto" w:sz="4" w:space="0"/>
                    <w:right w:val="single" w:color="auto" w:sz="4" w:space="0"/>
                  </w:tcBorders>
                  <w:shd w:val="clear" w:color="auto" w:fill="auto"/>
                  <w:vAlign w:val="center"/>
                </w:tcPr>
                <w:p>
                  <w:pPr>
                    <w:spacing w:line="320" w:lineRule="exact"/>
                    <w:jc w:val="center"/>
                    <w:rPr>
                      <w:rFonts w:eastAsia="仿宋_GB2312"/>
                      <w:szCs w:val="21"/>
                    </w:rPr>
                  </w:pPr>
                  <w:r>
                    <w:rPr>
                      <w:rFonts w:eastAsia="仿宋_GB2312"/>
                      <w:szCs w:val="21"/>
                    </w:rPr>
                    <w:t>分值</w:t>
                  </w:r>
                </w:p>
              </w:tc>
              <w:tc>
                <w:tcPr>
                  <w:tcW w:w="936" w:type="dxa"/>
                  <w:tcBorders>
                    <w:top w:val="nil"/>
                    <w:left w:val="nil"/>
                    <w:bottom w:val="single" w:color="auto" w:sz="4" w:space="0"/>
                    <w:right w:val="single" w:color="auto" w:sz="4" w:space="0"/>
                  </w:tcBorders>
                  <w:shd w:val="clear" w:color="auto" w:fill="auto"/>
                  <w:vAlign w:val="center"/>
                </w:tcPr>
                <w:p>
                  <w:pPr>
                    <w:spacing w:line="320" w:lineRule="exact"/>
                    <w:jc w:val="center"/>
                    <w:rPr>
                      <w:rFonts w:eastAsia="仿宋_GB2312"/>
                      <w:szCs w:val="21"/>
                    </w:rPr>
                  </w:pPr>
                  <w:r>
                    <w:rPr>
                      <w:rFonts w:eastAsia="仿宋_GB2312"/>
                      <w:szCs w:val="21"/>
                    </w:rPr>
                    <w:t>执行率</w:t>
                  </w:r>
                </w:p>
              </w:tc>
              <w:tc>
                <w:tcPr>
                  <w:tcW w:w="1109" w:type="dxa"/>
                  <w:tcBorders>
                    <w:top w:val="nil"/>
                    <w:left w:val="nil"/>
                    <w:bottom w:val="single" w:color="auto" w:sz="4" w:space="0"/>
                    <w:right w:val="single" w:color="auto" w:sz="4" w:space="0"/>
                  </w:tcBorders>
                  <w:shd w:val="clear" w:color="auto" w:fill="auto"/>
                  <w:vAlign w:val="center"/>
                </w:tcPr>
                <w:p>
                  <w:pPr>
                    <w:spacing w:line="320" w:lineRule="exact"/>
                    <w:jc w:val="center"/>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7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56万元</w:t>
                  </w:r>
                </w:p>
              </w:tc>
              <w:tc>
                <w:tcPr>
                  <w:tcW w:w="127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56万元</w:t>
                  </w:r>
                </w:p>
              </w:tc>
              <w:tc>
                <w:tcPr>
                  <w:tcW w:w="126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56万元</w:t>
                  </w:r>
                </w:p>
              </w:tc>
              <w:tc>
                <w:tcPr>
                  <w:tcW w:w="60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93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09"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7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56万元</w:t>
                  </w:r>
                </w:p>
              </w:tc>
              <w:tc>
                <w:tcPr>
                  <w:tcW w:w="127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56万元</w:t>
                  </w:r>
                </w:p>
              </w:tc>
              <w:tc>
                <w:tcPr>
                  <w:tcW w:w="126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56万元</w:t>
                  </w:r>
                </w:p>
              </w:tc>
              <w:tc>
                <w:tcPr>
                  <w:tcW w:w="60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3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09"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7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7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60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3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09"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7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7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60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3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09"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704"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914"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704"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确保按时足额发放鹤城区城乡居保参保人员的养老金及缴费等工作</w:t>
                  </w:r>
                </w:p>
              </w:tc>
              <w:tc>
                <w:tcPr>
                  <w:tcW w:w="3914"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按时足额发放养老金及缴费等工作，年底被省中心评为优秀工作单位</w:t>
                  </w:r>
                </w:p>
              </w:tc>
            </w:tr>
            <w:tr>
              <w:tblPrEx>
                <w:tblCellMar>
                  <w:top w:w="0" w:type="dxa"/>
                  <w:left w:w="108" w:type="dxa"/>
                  <w:bottom w:w="0" w:type="dxa"/>
                  <w:right w:w="108" w:type="dxa"/>
                </w:tblCellMar>
              </w:tblPrEx>
              <w:trPr>
                <w:trHeight w:val="73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2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60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93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1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r>
                    <w:rPr>
                      <w:rFonts w:hint="eastAsia" w:eastAsia="仿宋_GB2312"/>
                      <w:color w:val="000000"/>
                      <w:kern w:val="0"/>
                      <w:sz w:val="13"/>
                      <w:szCs w:val="13"/>
                    </w:rPr>
                    <w:t>企业养老发放人数</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1--1.2万人</w:t>
                  </w:r>
                </w:p>
              </w:tc>
              <w:tc>
                <w:tcPr>
                  <w:tcW w:w="12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w:t>
                  </w:r>
                  <w:r>
                    <w:rPr>
                      <w:rFonts w:hint="eastAsia" w:eastAsia="仿宋_GB2312"/>
                      <w:color w:val="000000"/>
                      <w:kern w:val="0"/>
                      <w:sz w:val="18"/>
                      <w:szCs w:val="18"/>
                      <w:lang w:val="en-US" w:eastAsia="zh-CN"/>
                    </w:rPr>
                    <w:t>1</w:t>
                  </w:r>
                  <w:r>
                    <w:rPr>
                      <w:rFonts w:hint="eastAsia" w:eastAsia="仿宋_GB2312"/>
                      <w:color w:val="000000"/>
                      <w:kern w:val="0"/>
                      <w:sz w:val="18"/>
                      <w:szCs w:val="18"/>
                    </w:rPr>
                    <w:t>万人</w:t>
                  </w:r>
                </w:p>
              </w:tc>
              <w:tc>
                <w:tcPr>
                  <w:tcW w:w="60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93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r>
                    <w:rPr>
                      <w:rFonts w:hint="eastAsia" w:eastAsia="仿宋_GB2312"/>
                      <w:color w:val="000000"/>
                      <w:kern w:val="0"/>
                      <w:sz w:val="13"/>
                      <w:szCs w:val="13"/>
                    </w:rPr>
                    <w:t>机关养老发放人数</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0.3--0.4万人</w:t>
                  </w:r>
                </w:p>
              </w:tc>
              <w:tc>
                <w:tcPr>
                  <w:tcW w:w="12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0.3</w:t>
                  </w:r>
                  <w:r>
                    <w:rPr>
                      <w:rFonts w:hint="eastAsia" w:eastAsia="仿宋_GB2312"/>
                      <w:color w:val="000000"/>
                      <w:kern w:val="0"/>
                      <w:sz w:val="18"/>
                      <w:szCs w:val="18"/>
                      <w:lang w:val="en-US" w:eastAsia="zh-CN"/>
                    </w:rPr>
                    <w:t>7</w:t>
                  </w:r>
                  <w:r>
                    <w:rPr>
                      <w:rFonts w:hint="eastAsia" w:eastAsia="仿宋_GB2312"/>
                      <w:color w:val="000000"/>
                      <w:kern w:val="0"/>
                      <w:sz w:val="18"/>
                      <w:szCs w:val="18"/>
                    </w:rPr>
                    <w:t>万人</w:t>
                  </w:r>
                </w:p>
              </w:tc>
              <w:tc>
                <w:tcPr>
                  <w:tcW w:w="60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3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0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r>
                    <w:rPr>
                      <w:rFonts w:hint="eastAsia" w:eastAsia="仿宋_GB2312"/>
                      <w:color w:val="000000"/>
                      <w:kern w:val="0"/>
                      <w:sz w:val="13"/>
                      <w:szCs w:val="13"/>
                    </w:rPr>
                    <w:t>城乡养老发放人数</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2.</w:t>
                  </w:r>
                  <w:r>
                    <w:rPr>
                      <w:rFonts w:hint="eastAsia" w:eastAsia="仿宋_GB2312"/>
                      <w:color w:val="000000"/>
                      <w:kern w:val="0"/>
                      <w:sz w:val="18"/>
                      <w:szCs w:val="18"/>
                      <w:lang w:val="en-US" w:eastAsia="zh-CN"/>
                    </w:rPr>
                    <w:t>4</w:t>
                  </w:r>
                  <w:r>
                    <w:rPr>
                      <w:rFonts w:hint="eastAsia" w:eastAsia="仿宋_GB2312"/>
                      <w:color w:val="000000"/>
                      <w:kern w:val="0"/>
                      <w:sz w:val="18"/>
                      <w:szCs w:val="18"/>
                    </w:rPr>
                    <w:t>--2.5万人</w:t>
                  </w:r>
                </w:p>
              </w:tc>
              <w:tc>
                <w:tcPr>
                  <w:tcW w:w="12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2.</w:t>
                  </w:r>
                  <w:r>
                    <w:rPr>
                      <w:rFonts w:hint="eastAsia" w:eastAsia="仿宋_GB2312"/>
                      <w:color w:val="000000"/>
                      <w:kern w:val="0"/>
                      <w:sz w:val="18"/>
                      <w:szCs w:val="18"/>
                      <w:lang w:val="en-US" w:eastAsia="zh-CN"/>
                    </w:rPr>
                    <w:t>47</w:t>
                  </w:r>
                  <w:r>
                    <w:rPr>
                      <w:rFonts w:hint="eastAsia" w:eastAsia="仿宋_GB2312"/>
                      <w:color w:val="000000"/>
                      <w:kern w:val="0"/>
                      <w:sz w:val="18"/>
                      <w:szCs w:val="18"/>
                    </w:rPr>
                    <w:t>万人</w:t>
                  </w:r>
                </w:p>
              </w:tc>
              <w:tc>
                <w:tcPr>
                  <w:tcW w:w="60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3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6"/>
                      <w:szCs w:val="16"/>
                    </w:rPr>
                  </w:pPr>
                  <w:r>
                    <w:rPr>
                      <w:rFonts w:hint="eastAsia" w:eastAsia="仿宋_GB2312"/>
                      <w:color w:val="000000"/>
                      <w:kern w:val="0"/>
                      <w:sz w:val="16"/>
                      <w:szCs w:val="16"/>
                    </w:rPr>
                    <w:t>参保人服务率</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2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60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93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60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3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服务时效</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20</w:t>
                  </w:r>
                  <w:r>
                    <w:rPr>
                      <w:rFonts w:hint="eastAsia" w:eastAsia="仿宋_GB2312"/>
                      <w:color w:val="000000"/>
                      <w:kern w:val="0"/>
                      <w:sz w:val="18"/>
                      <w:szCs w:val="18"/>
                      <w:lang w:val="en-US" w:eastAsia="zh-CN"/>
                    </w:rPr>
                    <w:t>20</w:t>
                  </w:r>
                  <w:r>
                    <w:rPr>
                      <w:rFonts w:hint="eastAsia" w:eastAsia="仿宋_GB2312"/>
                      <w:color w:val="000000"/>
                      <w:kern w:val="0"/>
                      <w:sz w:val="18"/>
                      <w:szCs w:val="18"/>
                    </w:rPr>
                    <w:t>年全年</w:t>
                  </w:r>
                </w:p>
              </w:tc>
              <w:tc>
                <w:tcPr>
                  <w:tcW w:w="12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20</w:t>
                  </w:r>
                  <w:r>
                    <w:rPr>
                      <w:rFonts w:hint="eastAsia" w:eastAsia="仿宋_GB2312"/>
                      <w:color w:val="000000"/>
                      <w:kern w:val="0"/>
                      <w:sz w:val="18"/>
                      <w:szCs w:val="18"/>
                      <w:lang w:val="en-US" w:eastAsia="zh-CN"/>
                    </w:rPr>
                    <w:t>20</w:t>
                  </w:r>
                  <w:r>
                    <w:rPr>
                      <w:rFonts w:hint="eastAsia" w:eastAsia="仿宋_GB2312"/>
                      <w:color w:val="000000"/>
                      <w:kern w:val="0"/>
                      <w:sz w:val="18"/>
                      <w:szCs w:val="18"/>
                    </w:rPr>
                    <w:t>年全年</w:t>
                  </w:r>
                </w:p>
              </w:tc>
              <w:tc>
                <w:tcPr>
                  <w:tcW w:w="60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93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5"/>
                      <w:szCs w:val="15"/>
                    </w:rPr>
                  </w:pPr>
                  <w:r>
                    <w:rPr>
                      <w:rFonts w:hint="eastAsia" w:eastAsia="仿宋_GB2312"/>
                      <w:color w:val="000000"/>
                      <w:kern w:val="0"/>
                      <w:sz w:val="15"/>
                      <w:szCs w:val="15"/>
                    </w:rPr>
                    <w:t>日常公用经费</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50万元</w:t>
                  </w:r>
                </w:p>
              </w:tc>
              <w:tc>
                <w:tcPr>
                  <w:tcW w:w="12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50万元</w:t>
                  </w:r>
                </w:p>
              </w:tc>
              <w:tc>
                <w:tcPr>
                  <w:tcW w:w="60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93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人员经费</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lang w:val="en-US" w:eastAsia="zh-CN"/>
                    </w:rPr>
                    <w:t>6</w:t>
                  </w:r>
                  <w:r>
                    <w:rPr>
                      <w:rFonts w:hint="eastAsia" w:eastAsia="仿宋_GB2312"/>
                      <w:color w:val="000000"/>
                      <w:kern w:val="0"/>
                      <w:sz w:val="18"/>
                      <w:szCs w:val="18"/>
                    </w:rPr>
                    <w:t>万元</w:t>
                  </w:r>
                </w:p>
              </w:tc>
              <w:tc>
                <w:tcPr>
                  <w:tcW w:w="12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lang w:val="en-US" w:eastAsia="zh-CN"/>
                    </w:rPr>
                    <w:t>6</w:t>
                  </w:r>
                  <w:r>
                    <w:rPr>
                      <w:rFonts w:hint="eastAsia" w:eastAsia="仿宋_GB2312"/>
                      <w:color w:val="000000"/>
                      <w:kern w:val="0"/>
                      <w:sz w:val="18"/>
                      <w:szCs w:val="18"/>
                    </w:rPr>
                    <w:t>万元</w:t>
                  </w:r>
                </w:p>
              </w:tc>
              <w:tc>
                <w:tcPr>
                  <w:tcW w:w="60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93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21"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12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60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3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59"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5"/>
                      <w:szCs w:val="15"/>
                    </w:rPr>
                  </w:pPr>
                  <w:r>
                    <w:rPr>
                      <w:rFonts w:hint="eastAsia" w:eastAsia="仿宋_GB2312"/>
                      <w:color w:val="000000"/>
                      <w:kern w:val="0"/>
                      <w:sz w:val="15"/>
                      <w:szCs w:val="15"/>
                    </w:rPr>
                    <w:t>参保人生活水平</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稳步提升</w:t>
                  </w:r>
                </w:p>
              </w:tc>
              <w:tc>
                <w:tcPr>
                  <w:tcW w:w="12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稳步提升</w:t>
                  </w:r>
                </w:p>
              </w:tc>
              <w:tc>
                <w:tcPr>
                  <w:tcW w:w="60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rPr>
                    <w:t>1</w:t>
                  </w:r>
                  <w:r>
                    <w:rPr>
                      <w:rFonts w:hint="eastAsia" w:eastAsia="仿宋_GB2312"/>
                      <w:color w:val="000000"/>
                      <w:kern w:val="0"/>
                      <w:szCs w:val="21"/>
                      <w:lang w:val="en-US" w:eastAsia="zh-CN"/>
                    </w:rPr>
                    <w:t>5</w:t>
                  </w:r>
                </w:p>
              </w:tc>
              <w:tc>
                <w:tcPr>
                  <w:tcW w:w="93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rPr>
                    <w:t>1</w:t>
                  </w:r>
                  <w:r>
                    <w:rPr>
                      <w:rFonts w:hint="eastAsia" w:eastAsia="仿宋_GB2312"/>
                      <w:color w:val="000000"/>
                      <w:kern w:val="0"/>
                      <w:szCs w:val="21"/>
                      <w:lang w:val="en-US" w:eastAsia="zh-CN"/>
                    </w:rPr>
                    <w:t>5</w:t>
                  </w: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11"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12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60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3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704"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61" w:type="dxa"/>
                  <w:tcBorders>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可持续影响指标</w:t>
                  </w:r>
                </w:p>
              </w:tc>
              <w:tc>
                <w:tcPr>
                  <w:tcW w:w="1276" w:type="dxa"/>
                  <w:tcBorders>
                    <w:top w:val="nil"/>
                    <w:left w:val="nil"/>
                    <w:bottom w:val="single" w:color="auto" w:sz="4" w:space="0"/>
                    <w:right w:val="single" w:color="auto" w:sz="4" w:space="0"/>
                  </w:tcBorders>
                  <w:shd w:val="clear" w:color="auto" w:fill="auto"/>
                  <w:vAlign w:val="center"/>
                </w:tcPr>
                <w:p>
                  <w:pPr>
                    <w:spacing w:line="160" w:lineRule="exact"/>
                    <w:jc w:val="center"/>
                    <w:rPr>
                      <w:rFonts w:ascii="宋体" w:hAnsi="宋体" w:cs="宋体"/>
                      <w:sz w:val="15"/>
                      <w:szCs w:val="15"/>
                    </w:rPr>
                  </w:pPr>
                  <w:r>
                    <w:rPr>
                      <w:rFonts w:hint="eastAsia"/>
                      <w:sz w:val="15"/>
                      <w:szCs w:val="15"/>
                    </w:rPr>
                    <w:t>符合待遇领取人员终生保障率</w:t>
                  </w:r>
                </w:p>
              </w:tc>
              <w:tc>
                <w:tcPr>
                  <w:tcW w:w="127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长期</w:t>
                  </w:r>
                </w:p>
              </w:tc>
              <w:tc>
                <w:tcPr>
                  <w:tcW w:w="1264"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sz w:val="18"/>
                      <w:szCs w:val="18"/>
                    </w:rPr>
                  </w:pPr>
                  <w:r>
                    <w:rPr>
                      <w:rFonts w:hint="eastAsia" w:ascii="仿宋_GB2312" w:eastAsia="仿宋_GB2312"/>
                      <w:kern w:val="0"/>
                      <w:sz w:val="18"/>
                      <w:szCs w:val="18"/>
                    </w:rPr>
                    <w:t>长期</w:t>
                  </w:r>
                </w:p>
              </w:tc>
              <w:tc>
                <w:tcPr>
                  <w:tcW w:w="605" w:type="dxa"/>
                  <w:tcBorders>
                    <w:top w:val="nil"/>
                    <w:left w:val="nil"/>
                    <w:bottom w:val="single" w:color="auto" w:sz="4" w:space="0"/>
                    <w:right w:val="single" w:color="auto" w:sz="4" w:space="0"/>
                  </w:tcBorders>
                  <w:shd w:val="clear" w:color="auto" w:fill="auto"/>
                  <w:vAlign w:val="center"/>
                </w:tcPr>
                <w:p>
                  <w:pPr>
                    <w:jc w:val="center"/>
                    <w:rPr>
                      <w:rFonts w:hint="eastAsia" w:eastAsia="宋体"/>
                      <w:lang w:val="en-US" w:eastAsia="zh-CN"/>
                    </w:rPr>
                  </w:pPr>
                  <w:r>
                    <w:rPr>
                      <w:rFonts w:hint="eastAsia"/>
                    </w:rPr>
                    <w:t>1</w:t>
                  </w:r>
                  <w:r>
                    <w:rPr>
                      <w:rFonts w:hint="eastAsia"/>
                      <w:lang w:val="en-US" w:eastAsia="zh-CN"/>
                    </w:rPr>
                    <w:t>5</w:t>
                  </w:r>
                </w:p>
              </w:tc>
              <w:tc>
                <w:tcPr>
                  <w:tcW w:w="936" w:type="dxa"/>
                  <w:tcBorders>
                    <w:top w:val="nil"/>
                    <w:left w:val="nil"/>
                    <w:bottom w:val="single" w:color="auto" w:sz="4" w:space="0"/>
                    <w:right w:val="single" w:color="auto" w:sz="4" w:space="0"/>
                  </w:tcBorders>
                  <w:shd w:val="clear" w:color="auto" w:fill="auto"/>
                  <w:vAlign w:val="center"/>
                </w:tcPr>
                <w:p>
                  <w:pPr>
                    <w:jc w:val="center"/>
                    <w:rPr>
                      <w:rFonts w:hint="eastAsia" w:eastAsia="宋体"/>
                      <w:lang w:val="en-US" w:eastAsia="zh-CN"/>
                    </w:rPr>
                  </w:pPr>
                  <w:r>
                    <w:rPr>
                      <w:rFonts w:hint="eastAsia"/>
                    </w:rPr>
                    <w:t>1</w:t>
                  </w:r>
                  <w:r>
                    <w:rPr>
                      <w:rFonts w:hint="eastAsia"/>
                      <w:lang w:val="en-US" w:eastAsia="zh-CN"/>
                    </w:rPr>
                    <w:t>5</w:t>
                  </w:r>
                </w:p>
              </w:tc>
              <w:tc>
                <w:tcPr>
                  <w:tcW w:w="1109" w:type="dxa"/>
                  <w:tcBorders>
                    <w:top w:val="nil"/>
                    <w:left w:val="nil"/>
                    <w:bottom w:val="single" w:color="auto" w:sz="4" w:space="0"/>
                    <w:right w:val="single" w:color="auto" w:sz="4" w:space="0"/>
                  </w:tcBorders>
                  <w:shd w:val="clear" w:color="auto" w:fill="auto"/>
                  <w:vAlign w:val="center"/>
                </w:tcPr>
                <w:p>
                  <w:pPr>
                    <w:jc w:val="center"/>
                  </w:pPr>
                </w:p>
              </w:tc>
            </w:tr>
            <w:tr>
              <w:tblPrEx>
                <w:tblCellMar>
                  <w:top w:w="0" w:type="dxa"/>
                  <w:left w:w="108" w:type="dxa"/>
                  <w:bottom w:w="0" w:type="dxa"/>
                  <w:right w:w="108" w:type="dxa"/>
                </w:tblCellMar>
              </w:tblPrEx>
              <w:trPr>
                <w:trHeight w:val="946"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满意度</w:t>
                  </w:r>
                </w:p>
                <w:p>
                  <w:pPr>
                    <w:widowControl/>
                    <w:spacing w:line="200" w:lineRule="exact"/>
                    <w:jc w:val="center"/>
                    <w:rPr>
                      <w:rFonts w:eastAsia="仿宋_GB2312"/>
                      <w:color w:val="000000"/>
                      <w:kern w:val="0"/>
                      <w:szCs w:val="21"/>
                    </w:rPr>
                  </w:pPr>
                  <w:r>
                    <w:rPr>
                      <w:rFonts w:eastAsia="仿宋_GB2312"/>
                      <w:color w:val="000000"/>
                      <w:kern w:val="0"/>
                      <w:szCs w:val="21"/>
                    </w:rPr>
                    <w:t>指标</w:t>
                  </w:r>
                </w:p>
                <w:p>
                  <w:pPr>
                    <w:widowControl/>
                    <w:spacing w:line="200" w:lineRule="exact"/>
                    <w:jc w:val="center"/>
                    <w:rPr>
                      <w:rFonts w:eastAsia="仿宋_GB2312"/>
                      <w:color w:val="000000"/>
                      <w:kern w:val="0"/>
                      <w:szCs w:val="21"/>
                    </w:rPr>
                  </w:pPr>
                  <w:r>
                    <w:rPr>
                      <w:rFonts w:eastAsia="仿宋_GB2312"/>
                      <w:color w:val="000000"/>
                      <w:kern w:val="0"/>
                      <w:szCs w:val="21"/>
                    </w:rPr>
                    <w:t>（10分）</w:t>
                  </w:r>
                </w:p>
              </w:tc>
              <w:tc>
                <w:tcPr>
                  <w:tcW w:w="1161" w:type="dxa"/>
                  <w:tcBorders>
                    <w:top w:val="nil"/>
                    <w:left w:val="nil"/>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eastAsia="仿宋_GB2312"/>
                      <w:color w:val="000000"/>
                      <w:kern w:val="0"/>
                      <w:sz w:val="18"/>
                      <w:szCs w:val="18"/>
                    </w:rPr>
                    <w:t>服务对象满意度指标</w:t>
                  </w:r>
                </w:p>
              </w:tc>
              <w:tc>
                <w:tcPr>
                  <w:tcW w:w="127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6"/>
                      <w:szCs w:val="16"/>
                    </w:rPr>
                  </w:pPr>
                  <w:r>
                    <w:rPr>
                      <w:rFonts w:hint="eastAsia" w:eastAsia="仿宋_GB2312"/>
                      <w:color w:val="000000"/>
                      <w:kern w:val="0"/>
                      <w:sz w:val="16"/>
                      <w:szCs w:val="16"/>
                    </w:rPr>
                    <w:t>参保人满意度</w:t>
                  </w:r>
                </w:p>
              </w:tc>
              <w:tc>
                <w:tcPr>
                  <w:tcW w:w="127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≥98%</w:t>
                  </w:r>
                </w:p>
              </w:tc>
              <w:tc>
                <w:tcPr>
                  <w:tcW w:w="126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≥98%</w:t>
                  </w:r>
                </w:p>
              </w:tc>
              <w:tc>
                <w:tcPr>
                  <w:tcW w:w="60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93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109"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7103"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60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93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09"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bl>
          <w:p>
            <w:pPr>
              <w:widowControl/>
              <w:spacing w:line="400" w:lineRule="exact"/>
              <w:jc w:val="center"/>
              <w:rPr>
                <w:rFonts w:eastAsia="方正小标宋_GBK"/>
                <w:color w:val="000000"/>
                <w:kern w:val="0"/>
                <w:sz w:val="36"/>
                <w:szCs w:val="36"/>
              </w:rPr>
            </w:pPr>
            <w:r>
              <w:rPr>
                <w:rFonts w:eastAsia="仿宋_GB2312"/>
                <w:sz w:val="24"/>
              </w:rPr>
              <w:t>填表人：       填报日期：         联系电话：       单位负责人签字：</w:t>
            </w:r>
            <w:r>
              <w:rPr>
                <w:rFonts w:hint="eastAsia" w:eastAsia="仿宋_GB2312"/>
                <w:sz w:val="24"/>
                <w:lang w:val="en-US" w:eastAsia="zh-CN"/>
              </w:rPr>
              <w:t xml:space="preserve">                 </w:t>
            </w: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882"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747"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ind w:firstLine="210" w:firstLineChars="100"/>
              <w:jc w:val="left"/>
              <w:rPr>
                <w:rFonts w:eastAsia="仿宋_GB2312"/>
                <w:color w:val="000000"/>
                <w:kern w:val="0"/>
                <w:szCs w:val="21"/>
              </w:rPr>
            </w:pPr>
            <w:r>
              <w:rPr>
                <w:rFonts w:hint="eastAsia" w:eastAsia="仿宋_GB2312"/>
                <w:color w:val="000000"/>
                <w:kern w:val="0"/>
                <w:szCs w:val="21"/>
              </w:rPr>
              <w:t>养老保险系统维护及代发工作经费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759"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区人力资源和社会保障局</w:t>
            </w:r>
          </w:p>
        </w:tc>
        <w:tc>
          <w:tcPr>
            <w:tcW w:w="1170"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818"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区社会保险服务中心</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02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4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28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7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64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111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06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02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44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10万元</w:t>
            </w:r>
          </w:p>
        </w:tc>
        <w:tc>
          <w:tcPr>
            <w:tcW w:w="128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10万元</w:t>
            </w:r>
          </w:p>
        </w:tc>
        <w:tc>
          <w:tcPr>
            <w:tcW w:w="11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10万元</w:t>
            </w:r>
          </w:p>
        </w:tc>
        <w:tc>
          <w:tcPr>
            <w:tcW w:w="64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111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rPr>
              <w:t>1</w:t>
            </w:r>
            <w:r>
              <w:rPr>
                <w:rFonts w:hint="eastAsia" w:eastAsia="仿宋_GB2312"/>
                <w:color w:val="000000"/>
                <w:kern w:val="0"/>
                <w:szCs w:val="21"/>
                <w:lang w:val="en-US" w:eastAsia="zh-CN"/>
              </w:rPr>
              <w:t>00%</w:t>
            </w:r>
          </w:p>
        </w:tc>
        <w:tc>
          <w:tcPr>
            <w:tcW w:w="106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02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44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10万元</w:t>
            </w:r>
          </w:p>
        </w:tc>
        <w:tc>
          <w:tcPr>
            <w:tcW w:w="128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10万元</w:t>
            </w:r>
          </w:p>
        </w:tc>
        <w:tc>
          <w:tcPr>
            <w:tcW w:w="11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10</w:t>
            </w:r>
            <w:r>
              <w:rPr>
                <w:rFonts w:hint="eastAsia" w:eastAsia="仿宋_GB2312"/>
                <w:color w:val="000000"/>
                <w:kern w:val="0"/>
                <w:szCs w:val="21"/>
                <w:lang w:eastAsia="zh-CN"/>
              </w:rPr>
              <w:t>万元</w:t>
            </w:r>
          </w:p>
        </w:tc>
        <w:tc>
          <w:tcPr>
            <w:tcW w:w="6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1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p>
        </w:tc>
        <w:tc>
          <w:tcPr>
            <w:tcW w:w="106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029"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44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8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1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6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029"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44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8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1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6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759"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98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759"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rPr>
              <w:t>确保城乡居保系统、企业养老保险系统、机关养老保险系统的正常运行及</w:t>
            </w:r>
            <w:r>
              <w:rPr>
                <w:rFonts w:hint="eastAsia" w:eastAsia="仿宋_GB2312"/>
                <w:color w:val="000000"/>
                <w:kern w:val="0"/>
                <w:szCs w:val="21"/>
                <w:lang w:eastAsia="zh-CN"/>
              </w:rPr>
              <w:t>财务</w:t>
            </w:r>
            <w:r>
              <w:rPr>
                <w:rFonts w:hint="eastAsia" w:eastAsia="仿宋_GB2312"/>
                <w:color w:val="000000"/>
                <w:kern w:val="0"/>
                <w:szCs w:val="21"/>
              </w:rPr>
              <w:t>应用软件、终端设备的维护</w:t>
            </w:r>
            <w:r>
              <w:rPr>
                <w:rFonts w:hint="eastAsia" w:eastAsia="仿宋_GB2312"/>
                <w:color w:val="000000"/>
                <w:kern w:val="0"/>
                <w:szCs w:val="21"/>
                <w:lang w:eastAsia="zh-CN"/>
              </w:rPr>
              <w:t>；确保代发项目按时代发到位。</w:t>
            </w:r>
          </w:p>
        </w:tc>
        <w:tc>
          <w:tcPr>
            <w:tcW w:w="398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各系统、应用软件正常运行，</w:t>
            </w:r>
            <w:r>
              <w:rPr>
                <w:rFonts w:hint="eastAsia" w:eastAsia="仿宋_GB2312"/>
                <w:color w:val="000000"/>
                <w:kern w:val="0"/>
                <w:szCs w:val="21"/>
              </w:rPr>
              <w:t>按时</w:t>
            </w:r>
            <w:r>
              <w:rPr>
                <w:rFonts w:hint="eastAsia" w:eastAsia="仿宋_GB2312"/>
                <w:color w:val="000000"/>
                <w:kern w:val="0"/>
                <w:szCs w:val="21"/>
                <w:lang w:eastAsia="zh-CN"/>
              </w:rPr>
              <w:t>代发项目资金。</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03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44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28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6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11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0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037"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数量指标</w:t>
            </w:r>
          </w:p>
        </w:tc>
        <w:tc>
          <w:tcPr>
            <w:tcW w:w="144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代发人数</w:t>
            </w:r>
          </w:p>
        </w:tc>
        <w:tc>
          <w:tcPr>
            <w:tcW w:w="128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8"/>
                <w:szCs w:val="18"/>
              </w:rPr>
              <w:t>0.</w:t>
            </w:r>
            <w:r>
              <w:rPr>
                <w:rFonts w:hint="eastAsia" w:eastAsia="仿宋_GB2312"/>
                <w:color w:val="000000"/>
                <w:kern w:val="0"/>
                <w:sz w:val="18"/>
                <w:szCs w:val="18"/>
                <w:lang w:val="en-US" w:eastAsia="zh-CN"/>
              </w:rPr>
              <w:t>6</w:t>
            </w:r>
            <w:r>
              <w:rPr>
                <w:rFonts w:hint="eastAsia" w:eastAsia="仿宋_GB2312"/>
                <w:color w:val="000000"/>
                <w:kern w:val="0"/>
                <w:sz w:val="18"/>
                <w:szCs w:val="18"/>
              </w:rPr>
              <w:t>--0.</w:t>
            </w:r>
            <w:r>
              <w:rPr>
                <w:rFonts w:hint="eastAsia" w:eastAsia="仿宋_GB2312"/>
                <w:color w:val="000000"/>
                <w:kern w:val="0"/>
                <w:sz w:val="18"/>
                <w:szCs w:val="18"/>
                <w:lang w:val="en-US" w:eastAsia="zh-CN"/>
              </w:rPr>
              <w:t>7</w:t>
            </w:r>
            <w:r>
              <w:rPr>
                <w:rFonts w:hint="eastAsia" w:eastAsia="仿宋_GB2312"/>
                <w:color w:val="000000"/>
                <w:kern w:val="0"/>
                <w:sz w:val="18"/>
                <w:szCs w:val="18"/>
              </w:rPr>
              <w:t>万人</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 w:val="18"/>
                <w:szCs w:val="18"/>
                <w:lang w:val="en-US" w:eastAsia="zh-CN"/>
              </w:rPr>
              <w:t>0.63万人</w:t>
            </w:r>
          </w:p>
        </w:tc>
        <w:tc>
          <w:tcPr>
            <w:tcW w:w="6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1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37"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144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8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37"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质量指标</w:t>
            </w:r>
          </w:p>
        </w:tc>
        <w:tc>
          <w:tcPr>
            <w:tcW w:w="144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代发项目</w:t>
            </w:r>
          </w:p>
        </w:tc>
        <w:tc>
          <w:tcPr>
            <w:tcW w:w="128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 w:val="18"/>
                <w:szCs w:val="18"/>
                <w:lang w:eastAsia="zh-CN"/>
              </w:rPr>
            </w:pPr>
            <w:r>
              <w:rPr>
                <w:rFonts w:hint="eastAsia" w:eastAsia="仿宋_GB2312"/>
                <w:color w:val="000000"/>
                <w:kern w:val="0"/>
                <w:sz w:val="18"/>
                <w:szCs w:val="18"/>
                <w:lang w:eastAsia="zh-CN"/>
              </w:rPr>
              <w:t>按各主管局要求发放</w:t>
            </w:r>
          </w:p>
        </w:tc>
        <w:tc>
          <w:tcPr>
            <w:tcW w:w="117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hint="eastAsia" w:eastAsia="仿宋_GB2312"/>
                <w:color w:val="000000"/>
                <w:kern w:val="0"/>
                <w:sz w:val="18"/>
                <w:szCs w:val="18"/>
                <w:lang w:eastAsia="zh-CN"/>
              </w:rPr>
              <w:t>按各主管局要求发放</w:t>
            </w:r>
          </w:p>
        </w:tc>
        <w:tc>
          <w:tcPr>
            <w:tcW w:w="6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1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37"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144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系统、软件</w:t>
            </w:r>
          </w:p>
        </w:tc>
        <w:tc>
          <w:tcPr>
            <w:tcW w:w="128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正常运行</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正常运行</w:t>
            </w:r>
          </w:p>
        </w:tc>
        <w:tc>
          <w:tcPr>
            <w:tcW w:w="6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1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37"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时效指标</w:t>
            </w:r>
          </w:p>
        </w:tc>
        <w:tc>
          <w:tcPr>
            <w:tcW w:w="144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服务时效</w:t>
            </w:r>
          </w:p>
        </w:tc>
        <w:tc>
          <w:tcPr>
            <w:tcW w:w="128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2020年全年</w:t>
            </w:r>
          </w:p>
        </w:tc>
        <w:tc>
          <w:tcPr>
            <w:tcW w:w="117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ascii="Times New Roman" w:hAnsi="Times New Roman" w:eastAsia="仿宋_GB2312" w:cs="Times New Roman"/>
                <w:color w:val="000000"/>
                <w:kern w:val="0"/>
                <w:sz w:val="18"/>
                <w:szCs w:val="18"/>
                <w:lang w:val="en-US" w:eastAsia="zh-CN" w:bidi="ar-SA"/>
              </w:rPr>
            </w:pPr>
            <w:r>
              <w:rPr>
                <w:rFonts w:hint="eastAsia" w:eastAsia="仿宋_GB2312"/>
                <w:color w:val="000000"/>
                <w:kern w:val="0"/>
                <w:sz w:val="18"/>
                <w:szCs w:val="18"/>
                <w:lang w:val="en-US" w:eastAsia="zh-CN"/>
              </w:rPr>
              <w:t>2020年全年</w:t>
            </w:r>
          </w:p>
        </w:tc>
        <w:tc>
          <w:tcPr>
            <w:tcW w:w="6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1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37"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144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8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3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3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成本指标</w:t>
            </w:r>
          </w:p>
        </w:tc>
        <w:tc>
          <w:tcPr>
            <w:tcW w:w="1448"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公用经费</w:t>
            </w:r>
          </w:p>
        </w:tc>
        <w:tc>
          <w:tcPr>
            <w:tcW w:w="1282" w:type="dxa"/>
            <w:tcBorders>
              <w:top w:val="single" w:color="auto" w:sz="4" w:space="0"/>
              <w:left w:val="nil"/>
              <w:right w:val="single" w:color="auto" w:sz="4" w:space="0"/>
            </w:tcBorders>
            <w:shd w:val="clear" w:color="auto" w:fill="auto"/>
            <w:vAlign w:val="center"/>
          </w:tcPr>
          <w:p>
            <w:pPr>
              <w:widowControl/>
              <w:spacing w:line="320" w:lineRule="exact"/>
              <w:ind w:firstLine="210" w:firstLineChars="100"/>
              <w:jc w:val="both"/>
              <w:rPr>
                <w:rFonts w:eastAsia="仿宋_GB2312"/>
                <w:color w:val="000000"/>
                <w:kern w:val="0"/>
                <w:szCs w:val="21"/>
              </w:rPr>
            </w:pPr>
            <w:r>
              <w:rPr>
                <w:rFonts w:hint="eastAsia" w:eastAsia="仿宋_GB2312"/>
                <w:color w:val="000000"/>
                <w:kern w:val="0"/>
                <w:szCs w:val="21"/>
                <w:lang w:val="en-US" w:eastAsia="zh-CN"/>
              </w:rPr>
              <w:t>10万元</w:t>
            </w:r>
          </w:p>
          <w:p>
            <w:pPr>
              <w:widowControl/>
              <w:spacing w:line="320" w:lineRule="exact"/>
              <w:jc w:val="center"/>
              <w:rPr>
                <w:rFonts w:eastAsia="仿宋_GB2312"/>
                <w:color w:val="000000"/>
                <w:kern w:val="0"/>
                <w:szCs w:val="21"/>
              </w:rPr>
            </w:pPr>
          </w:p>
        </w:tc>
        <w:tc>
          <w:tcPr>
            <w:tcW w:w="1170"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10万元</w:t>
            </w:r>
          </w:p>
          <w:p>
            <w:pPr>
              <w:widowControl/>
              <w:spacing w:line="320" w:lineRule="exact"/>
              <w:jc w:val="center"/>
              <w:rPr>
                <w:rFonts w:eastAsia="仿宋_GB2312"/>
                <w:color w:val="000000"/>
                <w:kern w:val="0"/>
                <w:szCs w:val="21"/>
              </w:rPr>
            </w:pPr>
          </w:p>
        </w:tc>
        <w:tc>
          <w:tcPr>
            <w:tcW w:w="644"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p>
            <w:pPr>
              <w:widowControl/>
              <w:spacing w:line="320" w:lineRule="exact"/>
              <w:jc w:val="center"/>
              <w:rPr>
                <w:rFonts w:eastAsia="仿宋_GB2312"/>
                <w:color w:val="000000"/>
                <w:kern w:val="0"/>
                <w:szCs w:val="21"/>
              </w:rPr>
            </w:pPr>
          </w:p>
        </w:tc>
        <w:tc>
          <w:tcPr>
            <w:tcW w:w="1110" w:type="dxa"/>
            <w:tcBorders>
              <w:top w:val="single" w:color="auto" w:sz="4" w:space="0"/>
              <w:left w:val="nil"/>
              <w:right w:val="single" w:color="auto" w:sz="4" w:space="0"/>
            </w:tcBorders>
            <w:shd w:val="clear" w:color="auto" w:fill="auto"/>
            <w:vAlign w:val="center"/>
          </w:tcPr>
          <w:p>
            <w:pPr>
              <w:widowControl/>
              <w:spacing w:line="320" w:lineRule="exact"/>
              <w:ind w:firstLine="210" w:firstLineChars="100"/>
              <w:jc w:val="both"/>
              <w:rPr>
                <w:rFonts w:eastAsia="仿宋_GB2312"/>
                <w:color w:val="000000"/>
                <w:kern w:val="0"/>
                <w:szCs w:val="21"/>
              </w:rPr>
            </w:pPr>
            <w:r>
              <w:rPr>
                <w:rFonts w:hint="eastAsia" w:eastAsia="仿宋_GB2312"/>
                <w:color w:val="000000"/>
                <w:kern w:val="0"/>
                <w:szCs w:val="21"/>
                <w:lang w:val="en-US" w:eastAsia="zh-CN"/>
              </w:rPr>
              <w:t>10</w:t>
            </w:r>
          </w:p>
          <w:p>
            <w:pPr>
              <w:widowControl/>
              <w:spacing w:line="320" w:lineRule="exact"/>
              <w:jc w:val="center"/>
              <w:rPr>
                <w:rFonts w:eastAsia="仿宋_GB2312"/>
                <w:color w:val="000000"/>
                <w:kern w:val="0"/>
                <w:szCs w:val="21"/>
              </w:rPr>
            </w:pPr>
          </w:p>
        </w:tc>
        <w:tc>
          <w:tcPr>
            <w:tcW w:w="10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9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037"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经济效</w:t>
            </w:r>
          </w:p>
          <w:p>
            <w:pPr>
              <w:widowControl/>
              <w:spacing w:line="320" w:lineRule="exact"/>
              <w:jc w:val="center"/>
              <w:rPr>
                <w:rFonts w:eastAsia="仿宋_GB2312"/>
                <w:color w:val="000000"/>
                <w:kern w:val="0"/>
                <w:sz w:val="18"/>
                <w:szCs w:val="18"/>
              </w:rPr>
            </w:pPr>
            <w:r>
              <w:rPr>
                <w:rFonts w:eastAsia="仿宋_GB2312"/>
                <w:color w:val="000000"/>
                <w:kern w:val="0"/>
                <w:sz w:val="18"/>
                <w:szCs w:val="18"/>
              </w:rPr>
              <w:t>益指标</w:t>
            </w:r>
          </w:p>
        </w:tc>
        <w:tc>
          <w:tcPr>
            <w:tcW w:w="144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28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无</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无</w:t>
            </w:r>
          </w:p>
        </w:tc>
        <w:tc>
          <w:tcPr>
            <w:tcW w:w="6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7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37"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144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8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37"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社会效</w:t>
            </w:r>
          </w:p>
          <w:p>
            <w:pPr>
              <w:widowControl/>
              <w:spacing w:line="320" w:lineRule="exact"/>
              <w:jc w:val="center"/>
              <w:rPr>
                <w:rFonts w:eastAsia="仿宋_GB2312"/>
                <w:color w:val="000000"/>
                <w:kern w:val="0"/>
                <w:sz w:val="18"/>
                <w:szCs w:val="18"/>
              </w:rPr>
            </w:pPr>
            <w:r>
              <w:rPr>
                <w:rFonts w:eastAsia="仿宋_GB2312"/>
                <w:color w:val="000000"/>
                <w:kern w:val="0"/>
                <w:sz w:val="18"/>
                <w:szCs w:val="18"/>
              </w:rPr>
              <w:t>益指标</w:t>
            </w:r>
          </w:p>
        </w:tc>
        <w:tc>
          <w:tcPr>
            <w:tcW w:w="144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eastAsia" w:eastAsia="仿宋_GB2312"/>
                <w:color w:val="000000"/>
                <w:kern w:val="0"/>
                <w:szCs w:val="21"/>
                <w:lang w:eastAsia="zh-CN"/>
              </w:rPr>
            </w:pPr>
            <w:r>
              <w:rPr>
                <w:rFonts w:hint="eastAsia" w:eastAsia="仿宋_GB2312"/>
                <w:color w:val="000000"/>
                <w:kern w:val="0"/>
                <w:sz w:val="21"/>
                <w:szCs w:val="21"/>
                <w:lang w:eastAsia="zh-CN"/>
              </w:rPr>
              <w:t>代发项目</w:t>
            </w:r>
          </w:p>
        </w:tc>
        <w:tc>
          <w:tcPr>
            <w:tcW w:w="128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21"/>
                <w:szCs w:val="21"/>
                <w:lang w:eastAsia="zh-CN"/>
              </w:rPr>
            </w:pPr>
            <w:r>
              <w:rPr>
                <w:rFonts w:hint="eastAsia" w:eastAsia="仿宋_GB2312"/>
                <w:color w:val="000000"/>
                <w:kern w:val="0"/>
                <w:sz w:val="21"/>
                <w:szCs w:val="21"/>
                <w:lang w:eastAsia="zh-CN"/>
              </w:rPr>
              <w:t>发放到位</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21"/>
                <w:szCs w:val="21"/>
                <w:lang w:eastAsia="zh-CN"/>
              </w:rPr>
            </w:pPr>
            <w:r>
              <w:rPr>
                <w:rFonts w:hint="eastAsia" w:eastAsia="仿宋_GB2312"/>
                <w:color w:val="000000"/>
                <w:kern w:val="0"/>
                <w:sz w:val="21"/>
                <w:szCs w:val="21"/>
                <w:lang w:eastAsia="zh-CN"/>
              </w:rPr>
              <w:t>发放到位</w:t>
            </w:r>
          </w:p>
        </w:tc>
        <w:tc>
          <w:tcPr>
            <w:tcW w:w="6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1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0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37"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144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8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7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 w:val="18"/>
                <w:szCs w:val="18"/>
              </w:rPr>
              <w:t>生态效</w:t>
            </w:r>
          </w:p>
          <w:p>
            <w:pPr>
              <w:widowControl/>
              <w:spacing w:line="320" w:lineRule="exact"/>
              <w:jc w:val="center"/>
              <w:rPr>
                <w:rFonts w:eastAsia="仿宋_GB2312"/>
                <w:color w:val="000000"/>
                <w:kern w:val="0"/>
                <w:sz w:val="18"/>
                <w:szCs w:val="18"/>
              </w:rPr>
            </w:pPr>
            <w:r>
              <w:rPr>
                <w:rFonts w:eastAsia="仿宋_GB2312"/>
                <w:color w:val="000000"/>
                <w:kern w:val="0"/>
                <w:sz w:val="18"/>
                <w:szCs w:val="18"/>
              </w:rPr>
              <w:t>益指标</w:t>
            </w:r>
          </w:p>
        </w:tc>
        <w:tc>
          <w:tcPr>
            <w:tcW w:w="14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2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无</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无</w:t>
            </w:r>
          </w:p>
        </w:tc>
        <w:tc>
          <w:tcPr>
            <w:tcW w:w="6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6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18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37"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44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8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4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1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6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8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37"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 w:val="18"/>
                <w:szCs w:val="18"/>
              </w:rPr>
            </w:pPr>
            <w:r>
              <w:rPr>
                <w:rFonts w:eastAsia="仿宋_GB2312"/>
                <w:color w:val="000000"/>
                <w:kern w:val="0"/>
                <w:sz w:val="18"/>
                <w:szCs w:val="18"/>
              </w:rPr>
              <w:t>可持续影响指标</w:t>
            </w:r>
          </w:p>
        </w:tc>
        <w:tc>
          <w:tcPr>
            <w:tcW w:w="14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8"/>
                <w:szCs w:val="18"/>
                <w:lang w:eastAsia="zh-CN"/>
              </w:rPr>
            </w:pPr>
            <w:r>
              <w:rPr>
                <w:rFonts w:hint="eastAsia" w:eastAsia="仿宋_GB2312"/>
                <w:color w:val="000000"/>
                <w:kern w:val="0"/>
                <w:sz w:val="18"/>
                <w:szCs w:val="18"/>
                <w:lang w:eastAsia="zh-CN"/>
              </w:rPr>
              <w:t>代发项目人员</w:t>
            </w:r>
          </w:p>
        </w:tc>
        <w:tc>
          <w:tcPr>
            <w:tcW w:w="12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长期</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长期</w:t>
            </w:r>
          </w:p>
        </w:tc>
        <w:tc>
          <w:tcPr>
            <w:tcW w:w="6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0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0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37"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4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8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1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6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9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 w:val="18"/>
                <w:szCs w:val="18"/>
              </w:rPr>
            </w:pPr>
            <w:r>
              <w:rPr>
                <w:rFonts w:eastAsia="仿宋_GB2312"/>
                <w:color w:val="000000"/>
                <w:kern w:val="0"/>
                <w:sz w:val="18"/>
                <w:szCs w:val="18"/>
              </w:rPr>
              <w:t>满意度</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 w:val="18"/>
                <w:szCs w:val="18"/>
              </w:rPr>
            </w:pPr>
            <w:r>
              <w:rPr>
                <w:rFonts w:eastAsia="仿宋_GB2312"/>
                <w:color w:val="000000"/>
                <w:kern w:val="0"/>
                <w:sz w:val="18"/>
                <w:szCs w:val="18"/>
              </w:rPr>
              <w:t>指标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 w:val="18"/>
                <w:szCs w:val="18"/>
              </w:rPr>
            </w:pPr>
            <w:r>
              <w:rPr>
                <w:rFonts w:eastAsia="仿宋_GB2312"/>
                <w:color w:val="000000"/>
                <w:kern w:val="0"/>
                <w:sz w:val="18"/>
                <w:szCs w:val="18"/>
              </w:rPr>
              <w:t>（10分）</w:t>
            </w:r>
          </w:p>
        </w:tc>
        <w:tc>
          <w:tcPr>
            <w:tcW w:w="1037" w:type="dxa"/>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 w:val="18"/>
                <w:szCs w:val="18"/>
              </w:rPr>
            </w:pPr>
            <w:r>
              <w:rPr>
                <w:rFonts w:eastAsia="仿宋_GB2312"/>
                <w:color w:val="000000"/>
                <w:kern w:val="0"/>
                <w:sz w:val="18"/>
                <w:szCs w:val="18"/>
              </w:rPr>
              <w:t>服务对象满意度指标</w:t>
            </w:r>
          </w:p>
        </w:tc>
        <w:tc>
          <w:tcPr>
            <w:tcW w:w="1448" w:type="dxa"/>
            <w:tcBorders>
              <w:top w:val="nil"/>
              <w:left w:val="nil"/>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16"/>
                <w:szCs w:val="16"/>
                <w:lang w:val="en-US" w:eastAsia="zh-CN" w:bidi="ar-SA"/>
              </w:rPr>
            </w:pPr>
            <w:r>
              <w:rPr>
                <w:rFonts w:hint="eastAsia" w:eastAsia="仿宋_GB2312"/>
                <w:color w:val="000000"/>
                <w:kern w:val="0"/>
                <w:sz w:val="16"/>
                <w:szCs w:val="16"/>
                <w:lang w:eastAsia="zh-CN"/>
              </w:rPr>
              <w:t>代发</w:t>
            </w:r>
            <w:r>
              <w:rPr>
                <w:rFonts w:hint="eastAsia" w:eastAsia="仿宋_GB2312"/>
                <w:color w:val="000000"/>
                <w:kern w:val="0"/>
                <w:sz w:val="16"/>
                <w:szCs w:val="16"/>
              </w:rPr>
              <w:t>人</w:t>
            </w:r>
            <w:r>
              <w:rPr>
                <w:rFonts w:hint="eastAsia" w:eastAsia="仿宋_GB2312"/>
                <w:color w:val="000000"/>
                <w:kern w:val="0"/>
                <w:sz w:val="16"/>
                <w:szCs w:val="16"/>
                <w:lang w:eastAsia="zh-CN"/>
              </w:rPr>
              <w:t>员</w:t>
            </w:r>
            <w:r>
              <w:rPr>
                <w:rFonts w:hint="eastAsia" w:eastAsia="仿宋_GB2312"/>
                <w:color w:val="000000"/>
                <w:kern w:val="0"/>
                <w:sz w:val="16"/>
                <w:szCs w:val="16"/>
              </w:rPr>
              <w:t>满意度</w:t>
            </w:r>
          </w:p>
        </w:tc>
        <w:tc>
          <w:tcPr>
            <w:tcW w:w="1282" w:type="dxa"/>
            <w:tcBorders>
              <w:top w:val="nil"/>
              <w:left w:val="nil"/>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≥98%</w:t>
            </w:r>
          </w:p>
        </w:tc>
        <w:tc>
          <w:tcPr>
            <w:tcW w:w="1170" w:type="dxa"/>
            <w:tcBorders>
              <w:top w:val="nil"/>
              <w:left w:val="nil"/>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≥98%</w:t>
            </w:r>
          </w:p>
        </w:tc>
        <w:tc>
          <w:tcPr>
            <w:tcW w:w="64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1110" w:type="dxa"/>
            <w:tcBorders>
              <w:top w:val="nil"/>
              <w:left w:val="nil"/>
              <w:bottom w:val="single" w:color="auto" w:sz="4" w:space="0"/>
              <w:right w:val="single" w:color="auto" w:sz="4" w:space="0"/>
            </w:tcBorders>
            <w:shd w:val="clear" w:color="auto" w:fill="auto"/>
            <w:vAlign w:val="center"/>
          </w:tcPr>
          <w:p>
            <w:pPr>
              <w:widowControl/>
              <w:spacing w:line="320" w:lineRule="exact"/>
              <w:ind w:firstLine="210" w:firstLineChars="100"/>
              <w:jc w:val="both"/>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106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064"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64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0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部门</w:t>
      </w:r>
      <w:r>
        <w:rPr>
          <w:rFonts w:eastAsia="楷体_GB2312"/>
          <w:sz w:val="32"/>
          <w:szCs w:val="32"/>
        </w:rPr>
        <w:t>参考提纲）</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eastAsia="仿宋_GB2312"/>
          <w:sz w:val="32"/>
          <w:szCs w:val="32"/>
        </w:rPr>
      </w:pPr>
      <w:r>
        <w:rPr>
          <w:rFonts w:hint="eastAsia" w:eastAsia="仿宋_GB2312"/>
          <w:sz w:val="32"/>
          <w:szCs w:val="32"/>
        </w:rPr>
        <w:t>年初预算</w:t>
      </w:r>
      <w:r>
        <w:rPr>
          <w:rFonts w:hint="eastAsia" w:eastAsia="仿宋_GB2312"/>
          <w:sz w:val="32"/>
          <w:szCs w:val="32"/>
          <w:lang w:eastAsia="zh-CN"/>
        </w:rPr>
        <w:t>支出共</w:t>
      </w:r>
      <w:r>
        <w:rPr>
          <w:rFonts w:hint="eastAsia" w:eastAsia="仿宋_GB2312"/>
          <w:sz w:val="32"/>
          <w:szCs w:val="32"/>
          <w:lang w:val="en-US" w:eastAsia="zh-CN"/>
        </w:rPr>
        <w:t>66</w:t>
      </w:r>
      <w:r>
        <w:rPr>
          <w:rFonts w:hint="eastAsia" w:eastAsia="仿宋_GB2312"/>
          <w:sz w:val="32"/>
          <w:szCs w:val="32"/>
        </w:rPr>
        <w:t>万元，其中包括人社局</w:t>
      </w:r>
      <w:r>
        <w:rPr>
          <w:rFonts w:hint="eastAsia" w:eastAsia="仿宋_GB2312"/>
          <w:sz w:val="32"/>
          <w:szCs w:val="32"/>
          <w:lang w:eastAsia="zh-CN"/>
        </w:rPr>
        <w:t>包干</w:t>
      </w:r>
      <w:r>
        <w:rPr>
          <w:rFonts w:hint="eastAsia" w:eastAsia="仿宋_GB2312"/>
          <w:sz w:val="32"/>
          <w:szCs w:val="32"/>
        </w:rPr>
        <w:t>工作经费及城乡居保工作经费</w:t>
      </w:r>
      <w:r>
        <w:rPr>
          <w:rFonts w:hint="eastAsia" w:eastAsia="仿宋_GB2312"/>
          <w:sz w:val="32"/>
          <w:szCs w:val="32"/>
          <w:lang w:val="en-US" w:eastAsia="zh-CN"/>
        </w:rPr>
        <w:t>56</w:t>
      </w:r>
      <w:r>
        <w:rPr>
          <w:rFonts w:hint="eastAsia" w:eastAsia="仿宋_GB2312"/>
          <w:sz w:val="32"/>
          <w:szCs w:val="32"/>
        </w:rPr>
        <w:t>万元</w:t>
      </w:r>
      <w:r>
        <w:rPr>
          <w:rFonts w:hint="eastAsia" w:eastAsia="仿宋_GB2312"/>
          <w:sz w:val="32"/>
          <w:szCs w:val="32"/>
          <w:lang w:eastAsia="zh-CN"/>
        </w:rPr>
        <w:t>，以及</w:t>
      </w:r>
      <w:r>
        <w:rPr>
          <w:rFonts w:hint="eastAsia" w:eastAsia="仿宋_GB2312"/>
          <w:color w:val="000000"/>
          <w:kern w:val="0"/>
          <w:sz w:val="32"/>
          <w:szCs w:val="32"/>
        </w:rPr>
        <w:t>养老保险系统维护及代发工作经费</w:t>
      </w:r>
      <w:r>
        <w:rPr>
          <w:rFonts w:hint="eastAsia" w:eastAsia="仿宋_GB2312"/>
          <w:color w:val="000000"/>
          <w:kern w:val="0"/>
          <w:sz w:val="32"/>
          <w:szCs w:val="32"/>
          <w:lang w:val="en-US" w:eastAsia="zh-CN"/>
        </w:rPr>
        <w:t>10万元</w:t>
      </w:r>
      <w:r>
        <w:rPr>
          <w:rFonts w:hint="eastAsia" w:eastAsia="仿宋_GB2312"/>
          <w:sz w:val="32"/>
          <w:szCs w:val="32"/>
        </w:rPr>
        <w:t>。</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spacing w:line="600" w:lineRule="exact"/>
        <w:ind w:firstLine="640" w:firstLineChars="200"/>
        <w:rPr>
          <w:rFonts w:ascii="仿宋_GB2312" w:hAnsi="Calibri" w:eastAsia="仿宋_GB2312"/>
          <w:sz w:val="32"/>
          <w:szCs w:val="32"/>
        </w:rPr>
      </w:pPr>
      <w:r>
        <w:rPr>
          <w:rFonts w:hint="eastAsia" w:ascii="仿宋_GB2312" w:hAnsi="仿宋" w:eastAsia="仿宋_GB2312"/>
          <w:sz w:val="32"/>
          <w:szCs w:val="32"/>
        </w:rPr>
        <w:t>根据鹤办【2019】19号文规定，将区机关事业单位社会保险局、区企业社会保险局、区新型农村社会养老保险局整合，组建成现在的区社会保险服务中心。</w:t>
      </w:r>
      <w:r>
        <w:rPr>
          <w:rFonts w:hint="eastAsia" w:ascii="仿宋_GB2312" w:hAnsi="宋体" w:eastAsia="仿宋_GB2312"/>
          <w:sz w:val="32"/>
          <w:szCs w:val="32"/>
        </w:rPr>
        <w:t>隶属于区人力资源和社会保障局，是全额拨款的一类公益事业单位。</w:t>
      </w:r>
      <w:r>
        <w:rPr>
          <w:rFonts w:hint="eastAsia" w:ascii="仿宋_GB2312" w:hAnsi="Calibri" w:eastAsia="仿宋_GB2312"/>
          <w:sz w:val="32"/>
          <w:szCs w:val="32"/>
        </w:rPr>
        <w:t>内设8个股室，分别为：办公室、财务及基金管理部、基金征缴部、个人权益部、待遇管理部、城乡居民养老保险部、稽核部、信息（档案）室。</w:t>
      </w:r>
    </w:p>
    <w:p>
      <w:pPr>
        <w:spacing w:line="600" w:lineRule="exact"/>
        <w:ind w:firstLine="640" w:firstLineChars="200"/>
        <w:rPr>
          <w:rFonts w:eastAsia="仿宋_GB2312"/>
          <w:sz w:val="32"/>
          <w:szCs w:val="32"/>
        </w:rPr>
      </w:pPr>
      <w:r>
        <w:rPr>
          <w:rFonts w:hint="eastAsia" w:eastAsia="仿宋_GB2312"/>
          <w:sz w:val="32"/>
          <w:szCs w:val="32"/>
        </w:rPr>
        <w:t>20</w:t>
      </w:r>
      <w:r>
        <w:rPr>
          <w:rFonts w:hint="eastAsia" w:eastAsia="仿宋_GB2312"/>
          <w:sz w:val="32"/>
          <w:szCs w:val="32"/>
          <w:lang w:val="en-US" w:eastAsia="zh-CN"/>
        </w:rPr>
        <w:t>20</w:t>
      </w:r>
      <w:r>
        <w:rPr>
          <w:rFonts w:hint="eastAsia" w:eastAsia="仿宋_GB2312"/>
          <w:sz w:val="32"/>
          <w:szCs w:val="32"/>
        </w:rPr>
        <w:t>年区社保中心专项资金到位及时，</w:t>
      </w:r>
      <w:r>
        <w:rPr>
          <w:rFonts w:hint="eastAsia" w:ascii="仿宋_GB2312" w:hAnsi="Calibri" w:eastAsia="仿宋_GB2312"/>
          <w:sz w:val="32"/>
          <w:szCs w:val="32"/>
        </w:rPr>
        <w:t>项目严格按照</w:t>
      </w:r>
      <w:r>
        <w:rPr>
          <w:rFonts w:hint="eastAsia" w:ascii="仿宋" w:hAnsi="仿宋" w:eastAsia="仿宋" w:cs="仿宋"/>
          <w:sz w:val="32"/>
          <w:szCs w:val="32"/>
        </w:rPr>
        <w:t>政</w:t>
      </w:r>
      <w:r>
        <w:rPr>
          <w:rFonts w:hint="eastAsia" w:ascii="仿宋_GB2312" w:hAnsi="仿宋" w:eastAsia="仿宋_GB2312" w:cs="仿宋"/>
          <w:sz w:val="32"/>
          <w:szCs w:val="32"/>
        </w:rPr>
        <w:t>府财务相关规定要求，</w:t>
      </w:r>
      <w:r>
        <w:rPr>
          <w:rFonts w:hint="eastAsia" w:ascii="仿宋_GB2312" w:eastAsia="仿宋_GB2312"/>
          <w:sz w:val="32"/>
          <w:szCs w:val="32"/>
        </w:rPr>
        <w:t>使用规范。</w:t>
      </w:r>
      <w:r>
        <w:rPr>
          <w:rFonts w:hint="eastAsia" w:ascii="仿宋_GB2312" w:hAnsi="仿宋" w:eastAsia="仿宋_GB2312" w:cs="仿宋"/>
          <w:sz w:val="32"/>
          <w:szCs w:val="32"/>
        </w:rPr>
        <w:t>在资金使用过程中，严把监督审核关，健立健全内部审批制度。基本做到财务会计资料公开信息真实、及时、完整，资金的拨付有完整的审批程序和手续，各项制度执行落实较好，资金使用较为安全规范。</w:t>
      </w:r>
    </w:p>
    <w:p>
      <w:pPr>
        <w:numPr>
          <w:ilvl w:val="0"/>
          <w:numId w:val="8"/>
        </w:numPr>
        <w:spacing w:line="600" w:lineRule="exact"/>
        <w:ind w:firstLine="643" w:firstLineChars="200"/>
        <w:rPr>
          <w:rFonts w:eastAsia="楷体_GB2312"/>
          <w:b/>
          <w:sz w:val="32"/>
          <w:szCs w:val="32"/>
        </w:rPr>
      </w:pPr>
      <w:r>
        <w:rPr>
          <w:rFonts w:eastAsia="楷体_GB2312"/>
          <w:b/>
          <w:sz w:val="32"/>
          <w:szCs w:val="32"/>
        </w:rPr>
        <w:t>预算支出绩效目标完成程度。</w:t>
      </w:r>
    </w:p>
    <w:p>
      <w:pPr>
        <w:numPr>
          <w:numId w:val="0"/>
        </w:numPr>
        <w:spacing w:line="600" w:lineRule="exact"/>
        <w:ind w:firstLine="640" w:firstLineChars="200"/>
        <w:rPr>
          <w:rFonts w:eastAsia="仿宋_GB2312"/>
          <w:sz w:val="32"/>
          <w:szCs w:val="32"/>
        </w:rPr>
      </w:pPr>
      <w:r>
        <w:rPr>
          <w:rFonts w:hint="eastAsia" w:ascii="仿宋_GB2312" w:hAnsi="仿宋" w:eastAsia="仿宋_GB2312"/>
          <w:sz w:val="32"/>
          <w:szCs w:val="32"/>
          <w:lang w:eastAsia="zh-CN"/>
        </w:rPr>
        <w:t>区社保中心</w:t>
      </w:r>
      <w:r>
        <w:rPr>
          <w:rFonts w:hint="eastAsia" w:ascii="仿宋_GB2312" w:hAnsi="仿宋" w:eastAsia="仿宋_GB2312"/>
          <w:sz w:val="32"/>
          <w:szCs w:val="32"/>
        </w:rPr>
        <w:t>主要负责城乡居民养老保险的参保登记管理、缴费申报管理、基金征缴、个人帐户建立与管理、待遇核定与发放、保险关系转移（接）手续、统计分析等工作，并对街道（乡镇）劳动保障站的业务经办情况进行指导和监督考核、承接原老农保站的相关业务工作。</w:t>
      </w:r>
      <w:r>
        <w:rPr>
          <w:rFonts w:hint="eastAsia" w:ascii="宋体" w:hAnsi="宋体"/>
          <w:sz w:val="32"/>
          <w:szCs w:val="32"/>
        </w:rPr>
        <w:t>②</w:t>
      </w:r>
      <w:r>
        <w:rPr>
          <w:rFonts w:hint="eastAsia" w:ascii="仿宋_GB2312" w:hAnsi="宋体" w:eastAsia="仿宋_GB2312" w:cs="宋体"/>
          <w:kern w:val="0"/>
          <w:sz w:val="30"/>
          <w:szCs w:val="30"/>
        </w:rPr>
        <w:t>负责全区的各类企业、灵活就业人员的参保管理、基金征缴和退休人员养老金社会化发放。</w:t>
      </w:r>
      <w:r>
        <w:rPr>
          <w:rFonts w:hint="eastAsia" w:ascii="宋体" w:hAnsi="宋体"/>
          <w:sz w:val="32"/>
          <w:szCs w:val="32"/>
        </w:rPr>
        <w:t>③</w:t>
      </w:r>
      <w:r>
        <w:rPr>
          <w:rFonts w:hint="eastAsia" w:ascii="仿宋_GB2312" w:hAnsi="宋体" w:eastAsia="仿宋_GB2312"/>
          <w:sz w:val="32"/>
          <w:szCs w:val="32"/>
        </w:rPr>
        <w:t>负责全区机关事业单位养老保险基金及职业年金的征收及发放工作。2019年社保中心每月按时足额发放养老金，使群众满意度、幸福指数稳步上升。</w:t>
      </w:r>
    </w:p>
    <w:p>
      <w:pPr>
        <w:numPr>
          <w:ilvl w:val="0"/>
          <w:numId w:val="1"/>
        </w:numPr>
        <w:spacing w:line="600" w:lineRule="exact"/>
        <w:ind w:left="640" w:leftChars="0" w:firstLine="0" w:firstLineChars="0"/>
        <w:rPr>
          <w:rFonts w:eastAsia="黑体"/>
          <w:sz w:val="32"/>
          <w:szCs w:val="32"/>
        </w:rPr>
      </w:pPr>
      <w:r>
        <w:rPr>
          <w:rFonts w:eastAsia="黑体"/>
          <w:sz w:val="32"/>
          <w:szCs w:val="32"/>
        </w:rPr>
        <w:t>绩效评价工作情况</w:t>
      </w:r>
    </w:p>
    <w:p>
      <w:pPr>
        <w:numPr>
          <w:numId w:val="0"/>
        </w:numPr>
        <w:spacing w:line="600" w:lineRule="exact"/>
        <w:ind w:firstLine="640" w:firstLineChars="200"/>
        <w:rPr>
          <w:rFonts w:eastAsia="黑体"/>
          <w:sz w:val="32"/>
          <w:szCs w:val="32"/>
        </w:rPr>
      </w:pPr>
      <w:r>
        <w:rPr>
          <w:rFonts w:hint="eastAsia" w:eastAsia="仿宋_GB2312"/>
          <w:sz w:val="32"/>
          <w:szCs w:val="32"/>
        </w:rPr>
        <w:t>区社保中心领导高度重视绩效评价工作；按照评价要求和项目特点，科学制定评价方法和指标；按照“三重一大”的要求做到各部门层层把关，相互监督。</w:t>
      </w:r>
    </w:p>
    <w:p>
      <w:pPr>
        <w:numPr>
          <w:ilvl w:val="0"/>
          <w:numId w:val="1"/>
        </w:numPr>
        <w:spacing w:line="600" w:lineRule="exact"/>
        <w:ind w:left="640" w:leftChars="0" w:firstLine="0" w:firstLineChars="0"/>
        <w:rPr>
          <w:rFonts w:eastAsia="黑体"/>
          <w:sz w:val="32"/>
          <w:szCs w:val="32"/>
        </w:rPr>
      </w:pPr>
      <w:r>
        <w:rPr>
          <w:rFonts w:eastAsia="黑体"/>
          <w:sz w:val="32"/>
          <w:szCs w:val="32"/>
        </w:rPr>
        <w:t>预算支出主要绩效及评价结论</w:t>
      </w:r>
    </w:p>
    <w:p>
      <w:pPr>
        <w:numPr>
          <w:numId w:val="0"/>
        </w:numPr>
        <w:spacing w:line="600" w:lineRule="exact"/>
        <w:ind w:firstLine="640" w:firstLineChars="200"/>
        <w:rPr>
          <w:rFonts w:eastAsia="黑体"/>
          <w:sz w:val="32"/>
          <w:szCs w:val="32"/>
        </w:rPr>
      </w:pPr>
      <w:r>
        <w:rPr>
          <w:rFonts w:hint="eastAsia" w:ascii="仿宋_GB2312" w:hAnsi="宋体" w:eastAsia="仿宋_GB2312"/>
          <w:sz w:val="32"/>
          <w:szCs w:val="32"/>
        </w:rPr>
        <w:t>20</w:t>
      </w:r>
      <w:r>
        <w:rPr>
          <w:rFonts w:hint="eastAsia" w:ascii="仿宋_GB2312" w:hAnsi="宋体" w:eastAsia="仿宋_GB2312"/>
          <w:sz w:val="32"/>
          <w:szCs w:val="32"/>
          <w:lang w:val="en-US" w:eastAsia="zh-CN"/>
        </w:rPr>
        <w:t>20</w:t>
      </w:r>
      <w:r>
        <w:rPr>
          <w:rFonts w:hint="eastAsia" w:ascii="仿宋_GB2312" w:hAnsi="宋体" w:eastAsia="仿宋_GB2312"/>
          <w:sz w:val="32"/>
          <w:szCs w:val="32"/>
        </w:rPr>
        <w:t>年社保中心每月进行城乡居民基本养老保险基金、企业职工养老保险基金、机关养老保险基金及职业年金的参保缴费，和养老金的发放及稽核、转移等工作，使群众满意度、幸福指数稳步上升。</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eastAsia="楷体_GB2312"/>
          <w:b/>
          <w:sz w:val="32"/>
          <w:szCs w:val="32"/>
        </w:rPr>
      </w:pPr>
      <w:r>
        <w:rPr>
          <w:rFonts w:hint="eastAsia" w:eastAsia="仿宋_GB2312"/>
          <w:sz w:val="32"/>
          <w:szCs w:val="32"/>
        </w:rPr>
        <w:t>本中心严格执行相关法律法规及项目管理制度。</w:t>
      </w:r>
    </w:p>
    <w:p>
      <w:pPr>
        <w:numPr>
          <w:ilvl w:val="0"/>
          <w:numId w:val="9"/>
        </w:numPr>
        <w:spacing w:line="600" w:lineRule="exact"/>
        <w:ind w:firstLine="643" w:firstLineChars="200"/>
        <w:rPr>
          <w:rFonts w:eastAsia="楷体_GB2312"/>
          <w:b/>
          <w:sz w:val="32"/>
          <w:szCs w:val="32"/>
        </w:rPr>
      </w:pPr>
      <w:r>
        <w:rPr>
          <w:rFonts w:eastAsia="楷体_GB2312"/>
          <w:b/>
          <w:sz w:val="32"/>
          <w:szCs w:val="32"/>
        </w:rPr>
        <w:t>预算执行过程情况</w:t>
      </w:r>
    </w:p>
    <w:p>
      <w:pPr>
        <w:numPr>
          <w:numId w:val="0"/>
        </w:numPr>
        <w:spacing w:line="600" w:lineRule="exact"/>
        <w:ind w:firstLine="640" w:firstLineChars="200"/>
        <w:rPr>
          <w:rFonts w:eastAsia="楷体_GB2312"/>
          <w:b/>
          <w:sz w:val="32"/>
          <w:szCs w:val="32"/>
        </w:rPr>
      </w:pPr>
      <w:r>
        <w:rPr>
          <w:rFonts w:hint="eastAsia" w:eastAsia="仿宋_GB2312"/>
          <w:sz w:val="32"/>
          <w:szCs w:val="32"/>
        </w:rPr>
        <w:t>强化绩效理念，提高财政资金使用效益，在预算执行中严格接受财政部门的监管。</w:t>
      </w:r>
    </w:p>
    <w:p>
      <w:pPr>
        <w:numPr>
          <w:ilvl w:val="0"/>
          <w:numId w:val="9"/>
        </w:numPr>
        <w:spacing w:line="600" w:lineRule="exact"/>
        <w:ind w:left="0" w:leftChars="0" w:firstLine="643" w:firstLineChars="200"/>
        <w:rPr>
          <w:rFonts w:eastAsia="楷体_GB2312"/>
          <w:b/>
          <w:sz w:val="32"/>
          <w:szCs w:val="32"/>
        </w:rPr>
      </w:pPr>
      <w:r>
        <w:rPr>
          <w:rFonts w:eastAsia="楷体_GB2312"/>
          <w:b/>
          <w:sz w:val="32"/>
          <w:szCs w:val="32"/>
        </w:rPr>
        <w:t>预算支出产出情况</w:t>
      </w:r>
    </w:p>
    <w:p>
      <w:pPr>
        <w:numPr>
          <w:numId w:val="0"/>
        </w:numPr>
        <w:spacing w:line="600" w:lineRule="exact"/>
        <w:ind w:firstLine="640" w:firstLineChars="200"/>
        <w:rPr>
          <w:rFonts w:eastAsia="楷体_GB2312"/>
          <w:b/>
          <w:sz w:val="32"/>
          <w:szCs w:val="32"/>
        </w:rPr>
      </w:pPr>
      <w:r>
        <w:rPr>
          <w:rFonts w:hint="eastAsia" w:ascii="仿宋_GB2312" w:hAnsi="宋体" w:eastAsia="仿宋_GB2312"/>
          <w:sz w:val="32"/>
          <w:szCs w:val="32"/>
        </w:rPr>
        <w:t>20</w:t>
      </w:r>
      <w:r>
        <w:rPr>
          <w:rFonts w:hint="eastAsia" w:ascii="仿宋_GB2312" w:hAnsi="宋体" w:eastAsia="仿宋_GB2312"/>
          <w:sz w:val="32"/>
          <w:szCs w:val="32"/>
          <w:lang w:val="en-US" w:eastAsia="zh-CN"/>
        </w:rPr>
        <w:t>20</w:t>
      </w:r>
      <w:r>
        <w:rPr>
          <w:rFonts w:hint="eastAsia" w:ascii="仿宋_GB2312" w:hAnsi="宋体" w:eastAsia="仿宋_GB2312"/>
          <w:sz w:val="32"/>
          <w:szCs w:val="32"/>
        </w:rPr>
        <w:t>年社保中心每月进行城乡居民基本养老保险基金、企业职工养老保险基金、机关养老保险基金及职业年金的参保缴费，和养老金的发放及稽核、转移等工作。</w:t>
      </w:r>
    </w:p>
    <w:p>
      <w:pPr>
        <w:numPr>
          <w:ilvl w:val="0"/>
          <w:numId w:val="9"/>
        </w:numPr>
        <w:spacing w:line="600" w:lineRule="exact"/>
        <w:ind w:left="0" w:leftChars="0" w:firstLine="643" w:firstLineChars="200"/>
        <w:rPr>
          <w:rFonts w:eastAsia="楷体_GB2312"/>
          <w:b/>
          <w:sz w:val="32"/>
          <w:szCs w:val="32"/>
        </w:rPr>
      </w:pPr>
      <w:r>
        <w:rPr>
          <w:rFonts w:eastAsia="楷体_GB2312"/>
          <w:b/>
          <w:sz w:val="32"/>
          <w:szCs w:val="32"/>
        </w:rPr>
        <w:t>预算支出效益情况</w:t>
      </w:r>
    </w:p>
    <w:p>
      <w:pPr>
        <w:numPr>
          <w:numId w:val="0"/>
        </w:numPr>
        <w:spacing w:line="600" w:lineRule="exact"/>
        <w:ind w:firstLine="640" w:firstLineChars="200"/>
        <w:rPr>
          <w:rFonts w:eastAsia="楷体_GB2312"/>
          <w:b/>
          <w:sz w:val="32"/>
          <w:szCs w:val="32"/>
        </w:rPr>
      </w:pPr>
      <w:r>
        <w:rPr>
          <w:rFonts w:hint="eastAsia" w:ascii="仿宋_GB2312" w:hAnsi="宋体" w:eastAsia="仿宋_GB2312"/>
          <w:sz w:val="32"/>
          <w:szCs w:val="32"/>
        </w:rPr>
        <w:t>20</w:t>
      </w:r>
      <w:r>
        <w:rPr>
          <w:rFonts w:hint="eastAsia" w:ascii="仿宋_GB2312" w:hAnsi="宋体" w:eastAsia="仿宋_GB2312"/>
          <w:sz w:val="32"/>
          <w:szCs w:val="32"/>
          <w:lang w:val="en-US" w:eastAsia="zh-CN"/>
        </w:rPr>
        <w:t>20</w:t>
      </w:r>
      <w:r>
        <w:rPr>
          <w:rFonts w:hint="eastAsia" w:ascii="仿宋_GB2312" w:hAnsi="宋体" w:eastAsia="仿宋_GB2312"/>
          <w:sz w:val="32"/>
          <w:szCs w:val="32"/>
        </w:rPr>
        <w:t>年社保中心每月进行城乡居民基本养老保险基金、企业职工养老保险基金、机关养老保险基金及职业年金的参保缴费，和养老金的发放及稽核、转移等工作。</w:t>
      </w:r>
    </w:p>
    <w:p>
      <w:pPr>
        <w:numPr>
          <w:ilvl w:val="0"/>
          <w:numId w:val="1"/>
        </w:numPr>
        <w:spacing w:line="600" w:lineRule="exact"/>
        <w:ind w:left="640" w:leftChars="0" w:firstLine="0" w:firstLineChars="0"/>
        <w:rPr>
          <w:rFonts w:eastAsia="黑体"/>
          <w:sz w:val="32"/>
          <w:szCs w:val="32"/>
        </w:rPr>
      </w:pPr>
      <w:r>
        <w:rPr>
          <w:rFonts w:eastAsia="黑体"/>
          <w:sz w:val="32"/>
          <w:szCs w:val="32"/>
        </w:rPr>
        <w:t>主要经验及做法、存在的问题及原因分析</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主要经验及做法：严格遵循把财政资金使用好、管理好的宗旨，基本做到了专款专用，严格资金审批程序，确保了项目质量，及财政资金的安全。</w:t>
      </w:r>
    </w:p>
    <w:p>
      <w:pPr>
        <w:numPr>
          <w:numId w:val="0"/>
        </w:numPr>
        <w:spacing w:line="600" w:lineRule="exact"/>
        <w:ind w:firstLine="640" w:firstLineChars="200"/>
        <w:rPr>
          <w:rFonts w:eastAsia="黑体"/>
          <w:sz w:val="32"/>
          <w:szCs w:val="32"/>
        </w:rPr>
      </w:pPr>
      <w:r>
        <w:rPr>
          <w:rFonts w:hint="eastAsia" w:ascii="仿宋_GB2312" w:hAnsi="仿宋_GB2312" w:eastAsia="仿宋_GB2312" w:cs="仿宋_GB2312"/>
          <w:sz w:val="32"/>
          <w:szCs w:val="32"/>
        </w:rPr>
        <w:t>存在的问题：对绩效评价工作的认识和重视程度还有待加强。</w:t>
      </w:r>
    </w:p>
    <w:p>
      <w:pPr>
        <w:numPr>
          <w:ilvl w:val="0"/>
          <w:numId w:val="1"/>
        </w:numPr>
        <w:spacing w:line="600" w:lineRule="exact"/>
        <w:ind w:left="640" w:leftChars="0" w:firstLine="0" w:firstLineChars="0"/>
        <w:rPr>
          <w:rFonts w:eastAsia="黑体"/>
          <w:sz w:val="32"/>
          <w:szCs w:val="32"/>
        </w:rPr>
      </w:pPr>
      <w:r>
        <w:rPr>
          <w:rFonts w:eastAsia="黑体"/>
          <w:sz w:val="32"/>
          <w:szCs w:val="32"/>
        </w:rPr>
        <w:t>有关建议</w:t>
      </w:r>
    </w:p>
    <w:p>
      <w:pPr>
        <w:numPr>
          <w:numId w:val="0"/>
        </w:num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eastAsia="黑体"/>
          <w:sz w:val="32"/>
          <w:szCs w:val="32"/>
        </w:rPr>
      </w:pPr>
      <w:r>
        <w:rPr>
          <w:rFonts w:eastAsia="黑体"/>
          <w:sz w:val="32"/>
          <w:szCs w:val="32"/>
        </w:rPr>
        <w:t xml:space="preserve">    </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adjustRightInd w:val="0"/>
        <w:snapToGrid w:val="0"/>
        <w:spacing w:line="600" w:lineRule="exac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15371B"/>
    <w:multiLevelType w:val="singleLevel"/>
    <w:tmpl w:val="9015371B"/>
    <w:lvl w:ilvl="0" w:tentative="0">
      <w:start w:val="3"/>
      <w:numFmt w:val="chineseCounting"/>
      <w:suff w:val="nothing"/>
      <w:lvlText w:val="（%1）"/>
      <w:lvlJc w:val="left"/>
      <w:rPr>
        <w:rFonts w:hint="eastAsia"/>
      </w:rPr>
    </w:lvl>
  </w:abstractNum>
  <w:abstractNum w:abstractNumId="1">
    <w:nsid w:val="C934CB15"/>
    <w:multiLevelType w:val="singleLevel"/>
    <w:tmpl w:val="C934CB15"/>
    <w:lvl w:ilvl="0" w:tentative="0">
      <w:start w:val="8"/>
      <w:numFmt w:val="chineseCounting"/>
      <w:suff w:val="nothing"/>
      <w:lvlText w:val="%1、"/>
      <w:lvlJc w:val="left"/>
      <w:rPr>
        <w:rFonts w:hint="eastAsia"/>
      </w:rPr>
    </w:lvl>
  </w:abstractNum>
  <w:abstractNum w:abstractNumId="2">
    <w:nsid w:val="F4584C14"/>
    <w:multiLevelType w:val="singleLevel"/>
    <w:tmpl w:val="F4584C14"/>
    <w:lvl w:ilvl="0" w:tentative="0">
      <w:start w:val="2"/>
      <w:numFmt w:val="chineseCounting"/>
      <w:suff w:val="nothing"/>
      <w:lvlText w:val="（%1）"/>
      <w:lvlJc w:val="left"/>
      <w:rPr>
        <w:rFonts w:hint="eastAsia"/>
      </w:rPr>
    </w:lvl>
  </w:abstractNum>
  <w:abstractNum w:abstractNumId="3">
    <w:nsid w:val="141D39C4"/>
    <w:multiLevelType w:val="singleLevel"/>
    <w:tmpl w:val="141D39C4"/>
    <w:lvl w:ilvl="0" w:tentative="0">
      <w:start w:val="1"/>
      <w:numFmt w:val="chineseCounting"/>
      <w:suff w:val="nothing"/>
      <w:lvlText w:val="%1、"/>
      <w:lvlJc w:val="left"/>
      <w:rPr>
        <w:rFonts w:hint="eastAsia"/>
      </w:rPr>
    </w:lvl>
  </w:abstractNum>
  <w:abstractNum w:abstractNumId="4">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7350075A"/>
    <w:multiLevelType w:val="singleLevel"/>
    <w:tmpl w:val="7350075A"/>
    <w:lvl w:ilvl="0" w:tentative="0">
      <w:start w:val="4"/>
      <w:numFmt w:val="chineseCounting"/>
      <w:suff w:val="nothing"/>
      <w:lvlText w:val="%1、"/>
      <w:lvlJc w:val="left"/>
      <w:rPr>
        <w:rFonts w:hint="eastAsia"/>
      </w:rPr>
    </w:lvl>
  </w:abstractNum>
  <w:abstractNum w:abstractNumId="8">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3"/>
  </w:num>
  <w:num w:numId="2">
    <w:abstractNumId w:val="7"/>
  </w:num>
  <w:num w:numId="3">
    <w:abstractNumId w:val="1"/>
  </w:num>
  <w:num w:numId="4">
    <w:abstractNumId w:val="5"/>
  </w:num>
  <w:num w:numId="5">
    <w:abstractNumId w:val="4"/>
  </w:num>
  <w:num w:numId="6">
    <w:abstractNumId w:val="8"/>
  </w:num>
  <w:num w:numId="7">
    <w:abstractNumId w:val="6"/>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30A493A"/>
    <w:rsid w:val="133C4B4F"/>
    <w:rsid w:val="16E75249"/>
    <w:rsid w:val="17E43CBA"/>
    <w:rsid w:val="1AE8103C"/>
    <w:rsid w:val="1B1A1AA4"/>
    <w:rsid w:val="1BAC65FC"/>
    <w:rsid w:val="1D9D3F31"/>
    <w:rsid w:val="1E5620CD"/>
    <w:rsid w:val="1EE34B66"/>
    <w:rsid w:val="2CBD645C"/>
    <w:rsid w:val="303A1E0C"/>
    <w:rsid w:val="3216384C"/>
    <w:rsid w:val="3A251D48"/>
    <w:rsid w:val="3DF440CA"/>
    <w:rsid w:val="3F2C0304"/>
    <w:rsid w:val="421C5091"/>
    <w:rsid w:val="4A971BCF"/>
    <w:rsid w:val="4BFC1821"/>
    <w:rsid w:val="4C0B5668"/>
    <w:rsid w:val="51197F66"/>
    <w:rsid w:val="540C1ED5"/>
    <w:rsid w:val="56940653"/>
    <w:rsid w:val="586A560E"/>
    <w:rsid w:val="5F56778D"/>
    <w:rsid w:val="67806A85"/>
    <w:rsid w:val="6A217066"/>
    <w:rsid w:val="6BE515D1"/>
    <w:rsid w:val="6E752D32"/>
    <w:rsid w:val="70E65D7C"/>
    <w:rsid w:val="73A875E7"/>
    <w:rsid w:val="74722D29"/>
    <w:rsid w:val="768B4865"/>
    <w:rsid w:val="789B7B54"/>
    <w:rsid w:val="7D2175E7"/>
    <w:rsid w:val="7EE15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2</TotalTime>
  <ScaleCrop>false</ScaleCrop>
  <LinksUpToDate>false</LinksUpToDate>
  <CharactersWithSpaces>8700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2021-06-25T03:17:40Z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