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p>
      <w:pPr>
        <w:spacing w:line="560" w:lineRule="exact"/>
        <w:ind w:firstLine="480" w:firstLineChars="200"/>
        <w:jc w:val="both"/>
        <w:rPr>
          <w:rFonts w:eastAsia="方正小标宋_GBK"/>
          <w:bCs/>
          <w:sz w:val="36"/>
          <w:szCs w:val="36"/>
        </w:rPr>
      </w:pPr>
      <w:r>
        <w:rPr>
          <w:rFonts w:hint="eastAsia" w:ascii="仿宋_GB2312" w:hAnsi="宋体" w:eastAsia="仿宋_GB2312" w:cs="宋体"/>
          <w:kern w:val="0"/>
          <w:sz w:val="24"/>
          <w:lang w:eastAsia="zh-CN"/>
        </w:rPr>
        <w:t>填报单位：鹤城区畜牧水产事务中心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hint="eastAsia" w:ascii="仿宋_GB2312" w:eastAsia="仿宋_GB2312"/>
                <w:b/>
                <w:bCs/>
                <w:szCs w:val="21"/>
              </w:rPr>
            </w:pPr>
            <w:r>
              <w:rPr>
                <w:rFonts w:hint="eastAsia" w:ascii="仿宋_GB2312" w:eastAsia="仿宋_GB2312"/>
                <w:b/>
                <w:bCs/>
                <w:szCs w:val="21"/>
              </w:rPr>
              <w:t>自评分</w:t>
            </w:r>
          </w:p>
          <w:p>
            <w:pPr>
              <w:jc w:val="center"/>
              <w:rPr>
                <w:rFonts w:hint="default" w:ascii="仿宋_GB2312" w:eastAsia="仿宋_GB2312"/>
                <w:b/>
                <w:bCs/>
                <w:szCs w:val="21"/>
                <w:lang w:val="en-US" w:eastAsia="zh-CN"/>
              </w:rPr>
            </w:pPr>
            <w:r>
              <w:rPr>
                <w:rFonts w:hint="eastAsia" w:ascii="仿宋_GB2312" w:eastAsia="仿宋_GB2312"/>
                <w:b/>
                <w:bCs/>
                <w:szCs w:val="21"/>
                <w:lang w:val="en-US" w:eastAsia="zh-CN"/>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0"/>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0"/>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资金到位率=（158.16/158.16）×100%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预算执行率=（158.16/158.16）×100%</w:t>
            </w:r>
            <w:r>
              <w:rPr>
                <w:rFonts w:hint="eastAsia" w:ascii="仿宋_GB2312" w:eastAsia="仿宋_GB2312"/>
                <w:szCs w:val="21"/>
                <w:lang w:val="en-US" w:eastAsia="zh-CN"/>
              </w:rPr>
              <w:t>=100%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r>
              <w:rPr>
                <w:rFonts w:hint="eastAsia" w:ascii="仿宋_GB2312" w:eastAsia="仿宋_GB2312"/>
                <w:szCs w:val="21"/>
              </w:rPr>
              <w:t>实际完成时间：</w:t>
            </w:r>
            <w:r>
              <w:rPr>
                <w:rFonts w:hint="eastAsia" w:ascii="仿宋_GB2312" w:eastAsia="仿宋_GB2312"/>
                <w:szCs w:val="21"/>
                <w:lang w:val="en-US" w:eastAsia="zh-CN"/>
              </w:rPr>
              <w:t>2020年度完成</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p>
            <w:pPr>
              <w:spacing w:line="260" w:lineRule="exact"/>
              <w:ind w:left="105" w:leftChars="50" w:right="105" w:rightChars="50"/>
              <w:rPr>
                <w:rFonts w:hint="eastAsia" w:ascii="仿宋_GB2312" w:eastAsia="仿宋_GB2312"/>
                <w:szCs w:val="21"/>
              </w:rPr>
            </w:pPr>
          </w:p>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w:t>
            </w:r>
            <w:r>
              <w:rPr>
                <w:rFonts w:hint="eastAsia" w:ascii="仿宋_GB2312" w:eastAsia="仿宋_GB2312"/>
                <w:szCs w:val="21"/>
                <w:lang w:val="en-US" w:eastAsia="zh-CN"/>
              </w:rPr>
              <w:t>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禁捕退捕补偿资金</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鹤城区畜牧水产事务中心</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158.16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158.16</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158.16</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158.16</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both"/>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实现全区禁捕退捕，落实退捕渔民社会保障</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一卡通发放2020年禁捕退捕渔民资金</w:t>
            </w:r>
            <w:r>
              <w:rPr>
                <w:rFonts w:hint="eastAsia" w:eastAsia="仿宋_GB2312"/>
                <w:color w:val="000000"/>
                <w:kern w:val="0"/>
                <w:szCs w:val="21"/>
                <w:lang w:val="en-US" w:eastAsia="zh-CN"/>
              </w:rPr>
              <w:t>158.16万元，</w:t>
            </w:r>
            <w:r>
              <w:rPr>
                <w:rFonts w:hint="eastAsia" w:eastAsia="仿宋_GB2312"/>
                <w:color w:val="000000"/>
                <w:kern w:val="0"/>
                <w:szCs w:val="21"/>
              </w:rPr>
              <w:t>对符合参保补贴条件的86名退捕专业渔民和18名捕捞收入占家庭收入60%以上、人均田土不超过0.3亩的持证兼业渔民，社会养老保险应保尽保</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 xml:space="preserve"> 落实退捕渔民社保</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104人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104人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rPr>
              <w:t>帮助转产就业</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60人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60人</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渔民安置保障</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default" w:eastAsia="仿宋_GB2312"/>
                <w:color w:val="000000"/>
                <w:kern w:val="0"/>
                <w:szCs w:val="21"/>
                <w:lang w:val="en-US" w:eastAsia="zh-CN"/>
              </w:rPr>
              <w:t>渔民退捕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ascii="仿宋_GB2312" w:hAnsi="宋体" w:eastAsia="仿宋_GB2312" w:cs="宋体"/>
                <w:color w:val="000000"/>
                <w:kern w:val="0"/>
                <w:szCs w:val="21"/>
                <w:lang w:eastAsia="zh-CN"/>
              </w:rPr>
              <w:t>项目资金</w:t>
            </w:r>
            <w:r>
              <w:rPr>
                <w:rFonts w:hint="eastAsia" w:ascii="仿宋_GB2312" w:hAnsi="宋体" w:eastAsia="仿宋_GB2312" w:cs="宋体"/>
                <w:color w:val="000000"/>
                <w:kern w:val="0"/>
                <w:szCs w:val="21"/>
              </w:rPr>
              <w:t>按时发放率（%）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ascii="仿宋_GB2312" w:hAnsi="宋体" w:eastAsia="仿宋_GB2312" w:cs="宋体"/>
                <w:color w:val="000000"/>
                <w:kern w:val="0"/>
                <w:szCs w:val="21"/>
              </w:rPr>
              <w:t>项目资金完成率（%）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补偿资金</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rPr>
              <w:t>158.16</w:t>
            </w:r>
            <w:r>
              <w:rPr>
                <w:rFonts w:hint="eastAsia" w:eastAsia="仿宋_GB2312"/>
                <w:color w:val="000000"/>
                <w:kern w:val="0"/>
                <w:szCs w:val="21"/>
                <w:lang w:val="en-US" w:eastAsia="zh-CN"/>
              </w:rPr>
              <w:t>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rPr>
              <w:t>158.16</w:t>
            </w:r>
            <w:r>
              <w:rPr>
                <w:rFonts w:hint="eastAsia" w:eastAsia="仿宋_GB2312"/>
                <w:color w:val="000000"/>
                <w:kern w:val="0"/>
                <w:szCs w:val="21"/>
                <w:lang w:val="en-US" w:eastAsia="zh-CN"/>
              </w:rPr>
              <w:t>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成本节约</w:t>
            </w:r>
          </w:p>
        </w:tc>
        <w:tc>
          <w:tcPr>
            <w:tcW w:w="1134"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eastAsia="仿宋_GB2312"/>
                <w:color w:val="000000"/>
                <w:kern w:val="0"/>
                <w:szCs w:val="21"/>
              </w:rPr>
            </w:pPr>
            <w:r>
              <w:rPr>
                <w:rFonts w:hint="eastAsia" w:eastAsia="仿宋_GB2312"/>
                <w:color w:val="000000"/>
                <w:kern w:val="0"/>
                <w:szCs w:val="21"/>
                <w:lang w:val="en-US" w:eastAsia="zh-CN"/>
              </w:rPr>
              <w:t>不高于</w:t>
            </w:r>
            <w:r>
              <w:rPr>
                <w:rFonts w:hint="eastAsia" w:eastAsia="仿宋_GB2312"/>
                <w:color w:val="000000"/>
                <w:kern w:val="0"/>
                <w:szCs w:val="21"/>
              </w:rPr>
              <w:t>158.16</w:t>
            </w:r>
            <w:r>
              <w:rPr>
                <w:rFonts w:hint="eastAsia" w:eastAsia="仿宋_GB2312"/>
                <w:color w:val="000000"/>
                <w:kern w:val="0"/>
                <w:szCs w:val="21"/>
                <w:lang w:val="en-US" w:eastAsia="zh-CN"/>
              </w:rPr>
              <w:t>万元</w:t>
            </w:r>
          </w:p>
        </w:tc>
        <w:tc>
          <w:tcPr>
            <w:tcW w:w="1134"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eastAsia="仿宋_GB2312"/>
                <w:color w:val="000000"/>
                <w:kern w:val="0"/>
                <w:szCs w:val="21"/>
              </w:rPr>
            </w:pPr>
            <w:r>
              <w:rPr>
                <w:rFonts w:hint="eastAsia" w:eastAsia="仿宋_GB2312"/>
                <w:color w:val="000000"/>
                <w:kern w:val="0"/>
                <w:szCs w:val="21"/>
                <w:lang w:val="en-US" w:eastAsia="zh-CN"/>
              </w:rPr>
              <w:t>控制在</w:t>
            </w:r>
            <w:r>
              <w:rPr>
                <w:rFonts w:hint="eastAsia" w:eastAsia="仿宋_GB2312"/>
                <w:color w:val="000000"/>
                <w:kern w:val="0"/>
                <w:szCs w:val="21"/>
              </w:rPr>
              <w:t>158.16</w:t>
            </w:r>
            <w:r>
              <w:rPr>
                <w:rFonts w:hint="eastAsia" w:eastAsia="仿宋_GB2312"/>
                <w:color w:val="000000"/>
                <w:kern w:val="0"/>
                <w:szCs w:val="21"/>
                <w:lang w:val="en-US" w:eastAsia="zh-CN"/>
              </w:rPr>
              <w:t>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default" w:eastAsia="仿宋_GB2312"/>
                <w:color w:val="000000"/>
                <w:kern w:val="0"/>
                <w:szCs w:val="21"/>
                <w:lang w:val="en-US" w:eastAsia="zh-CN"/>
              </w:rPr>
              <w:t>营造维护长江禁捕管理秩序的社会氛围</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是</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确保渔民利益，保障禁捕退捕工作顺利推进</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是</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确保舞水河、太平溪流域水生态资源保护好、水生态环境维护好</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是</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推动渔业资源的可持续发展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是</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single" w:color="auto" w:sz="4" w:space="0"/>
              <w:left w:val="nil"/>
              <w:bottom w:val="single" w:color="auto" w:sz="4" w:space="0"/>
              <w:right w:val="single" w:color="auto" w:sz="4" w:space="0"/>
            </w:tcBorders>
            <w:shd w:val="clear" w:color="auto" w:fill="auto"/>
            <w:vAlign w:val="bottom"/>
          </w:tcPr>
          <w:p>
            <w:pPr>
              <w:widowControl/>
              <w:jc w:val="left"/>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val="en-US" w:eastAsia="zh-CN"/>
              </w:rPr>
              <w:t>渔民</w:t>
            </w:r>
            <w:r>
              <w:rPr>
                <w:rFonts w:hint="eastAsia" w:ascii="仿宋_GB2312" w:hAnsi="宋体" w:eastAsia="仿宋_GB2312" w:cs="宋体"/>
                <w:color w:val="000000"/>
                <w:kern w:val="0"/>
                <w:szCs w:val="21"/>
                <w:lang w:eastAsia="zh-CN"/>
              </w:rPr>
              <w:t>满意度</w:t>
            </w:r>
          </w:p>
        </w:tc>
        <w:tc>
          <w:tcPr>
            <w:tcW w:w="1134" w:type="dxa"/>
            <w:tcBorders>
              <w:top w:val="nil"/>
              <w:left w:val="nil"/>
              <w:bottom w:val="single" w:color="auto" w:sz="4" w:space="0"/>
              <w:right w:val="single" w:color="auto" w:sz="4" w:space="0"/>
            </w:tcBorders>
            <w:shd w:val="clear" w:color="auto" w:fill="auto"/>
            <w:vAlign w:val="bottom"/>
          </w:tcPr>
          <w:p>
            <w:pPr>
              <w:widowControl/>
              <w:spacing w:line="32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满意度达</w:t>
            </w:r>
            <w:r>
              <w:rPr>
                <w:rFonts w:hint="eastAsia" w:ascii="仿宋_GB2312" w:hAnsi="宋体" w:eastAsia="仿宋_GB2312" w:cs="宋体"/>
                <w:color w:val="000000"/>
                <w:kern w:val="0"/>
                <w:szCs w:val="21"/>
                <w:lang w:val="en-US" w:eastAsia="zh-CN"/>
              </w:rPr>
              <w:t>80</w:t>
            </w:r>
            <w:r>
              <w:rPr>
                <w:rFonts w:hint="eastAsia" w:ascii="仿宋_GB2312" w:hAnsi="宋体" w:eastAsia="仿宋_GB2312" w:cs="宋体"/>
                <w:color w:val="000000"/>
                <w:kern w:val="0"/>
                <w:szCs w:val="21"/>
                <w:lang w:eastAsia="zh-CN"/>
              </w:rPr>
              <w:t>%以上</w:t>
            </w:r>
          </w:p>
        </w:tc>
        <w:tc>
          <w:tcPr>
            <w:tcW w:w="1134" w:type="dxa"/>
            <w:tcBorders>
              <w:top w:val="nil"/>
              <w:left w:val="nil"/>
              <w:bottom w:val="single" w:color="auto" w:sz="4" w:space="0"/>
              <w:right w:val="single" w:color="auto" w:sz="4" w:space="0"/>
            </w:tcBorders>
            <w:shd w:val="clear" w:color="auto" w:fill="auto"/>
            <w:vAlign w:val="bottom"/>
          </w:tcPr>
          <w:p>
            <w:pPr>
              <w:widowControl/>
              <w:spacing w:line="320" w:lineRule="exact"/>
              <w:jc w:val="left"/>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满意度达</w:t>
            </w:r>
            <w:r>
              <w:rPr>
                <w:rFonts w:hint="eastAsia" w:ascii="仿宋_GB2312" w:hAnsi="宋体" w:eastAsia="仿宋_GB2312" w:cs="宋体"/>
                <w:color w:val="000000"/>
                <w:kern w:val="0"/>
                <w:szCs w:val="21"/>
                <w:lang w:val="en-US" w:eastAsia="zh-CN"/>
              </w:rPr>
              <w:t>80</w:t>
            </w:r>
            <w:r>
              <w:rPr>
                <w:rFonts w:hint="eastAsia" w:ascii="仿宋_GB2312" w:hAnsi="宋体" w:eastAsia="仿宋_GB2312" w:cs="宋体"/>
                <w:color w:val="000000"/>
                <w:kern w:val="0"/>
                <w:szCs w:val="21"/>
                <w:lang w:eastAsia="zh-CN"/>
              </w:rPr>
              <w:t>%以上</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jc w:val="center"/>
              <w:rPr>
                <w:rFonts w:hint="eastAsia" w:ascii="等线" w:hAnsi="等线" w:eastAsia="等线" w:cs="等线"/>
                <w:i w:val="0"/>
                <w:color w:val="000000"/>
                <w:kern w:val="2"/>
                <w:sz w:val="22"/>
                <w:szCs w:val="22"/>
                <w:u w:val="none"/>
                <w:lang w:val="en-US" w:eastAsia="zh-CN" w:bidi="ar-SA"/>
              </w:rPr>
            </w:pPr>
            <w:r>
              <w:rPr>
                <w:rFonts w:hint="eastAsia" w:ascii="仿宋_GB2312" w:hAnsi="宋体" w:eastAsia="仿宋_GB2312" w:cs="宋体"/>
                <w:color w:val="000000"/>
                <w:kern w:val="0"/>
                <w:sz w:val="21"/>
                <w:szCs w:val="21"/>
                <w:lang w:val="en-US" w:eastAsia="zh-CN" w:bidi="ar-SA"/>
              </w:rPr>
              <w:t>社会公众满意度</w:t>
            </w:r>
          </w:p>
        </w:tc>
        <w:tc>
          <w:tcPr>
            <w:tcW w:w="1134" w:type="dxa"/>
            <w:tcBorders>
              <w:top w:val="nil"/>
              <w:left w:val="nil"/>
              <w:bottom w:val="single" w:color="auto" w:sz="4" w:space="0"/>
              <w:right w:val="single" w:color="auto" w:sz="4" w:space="0"/>
            </w:tcBorders>
            <w:shd w:val="clear" w:color="auto" w:fill="auto"/>
            <w:vAlign w:val="bottom"/>
          </w:tcPr>
          <w:p>
            <w:pPr>
              <w:widowControl/>
              <w:spacing w:line="32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满意度达</w:t>
            </w:r>
            <w:r>
              <w:rPr>
                <w:rFonts w:hint="eastAsia" w:ascii="仿宋_GB2312" w:hAnsi="宋体" w:eastAsia="仿宋_GB2312" w:cs="宋体"/>
                <w:color w:val="000000"/>
                <w:kern w:val="0"/>
                <w:szCs w:val="21"/>
                <w:lang w:val="en-US" w:eastAsia="zh-CN"/>
              </w:rPr>
              <w:t>80</w:t>
            </w:r>
            <w:r>
              <w:rPr>
                <w:rFonts w:hint="eastAsia" w:ascii="仿宋_GB2312" w:hAnsi="宋体" w:eastAsia="仿宋_GB2312" w:cs="宋体"/>
                <w:color w:val="000000"/>
                <w:kern w:val="0"/>
                <w:szCs w:val="21"/>
                <w:lang w:eastAsia="zh-CN"/>
              </w:rPr>
              <w:t>%以上</w:t>
            </w:r>
          </w:p>
        </w:tc>
        <w:tc>
          <w:tcPr>
            <w:tcW w:w="1134" w:type="dxa"/>
            <w:tcBorders>
              <w:top w:val="nil"/>
              <w:left w:val="nil"/>
              <w:bottom w:val="single" w:color="auto" w:sz="4" w:space="0"/>
              <w:right w:val="single" w:color="auto" w:sz="4" w:space="0"/>
            </w:tcBorders>
            <w:shd w:val="clear" w:color="auto" w:fill="auto"/>
            <w:vAlign w:val="bottom"/>
          </w:tcPr>
          <w:p>
            <w:pPr>
              <w:widowControl/>
              <w:spacing w:line="320" w:lineRule="exact"/>
              <w:jc w:val="left"/>
              <w:rPr>
                <w:rFonts w:hint="eastAsia"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满意度达</w:t>
            </w:r>
            <w:r>
              <w:rPr>
                <w:rFonts w:hint="eastAsia" w:ascii="仿宋_GB2312" w:hAnsi="宋体" w:eastAsia="仿宋_GB2312" w:cs="宋体"/>
                <w:color w:val="000000"/>
                <w:kern w:val="0"/>
                <w:szCs w:val="21"/>
                <w:lang w:val="en-US" w:eastAsia="zh-CN"/>
              </w:rPr>
              <w:t>80</w:t>
            </w:r>
            <w:r>
              <w:rPr>
                <w:rFonts w:hint="eastAsia" w:ascii="仿宋_GB2312" w:hAnsi="宋体" w:eastAsia="仿宋_GB2312" w:cs="宋体"/>
                <w:color w:val="000000"/>
                <w:kern w:val="0"/>
                <w:szCs w:val="21"/>
                <w:lang w:eastAsia="zh-CN"/>
              </w:rPr>
              <w:t>%以上</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98</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w w:val="95"/>
          <w:sz w:val="22"/>
          <w:szCs w:val="22"/>
        </w:rPr>
      </w:pPr>
      <w:r>
        <w:rPr>
          <w:rFonts w:eastAsia="仿宋_GB2312"/>
          <w:w w:val="95"/>
          <w:sz w:val="22"/>
          <w:szCs w:val="22"/>
        </w:rPr>
        <w:t>填表人：</w:t>
      </w:r>
      <w:r>
        <w:rPr>
          <w:rFonts w:hint="eastAsia" w:eastAsia="仿宋_GB2312"/>
          <w:w w:val="95"/>
          <w:sz w:val="22"/>
          <w:szCs w:val="22"/>
          <w:lang w:eastAsia="zh-CN"/>
        </w:rPr>
        <w:t>尹艺云</w:t>
      </w:r>
      <w:r>
        <w:rPr>
          <w:rFonts w:hint="eastAsia" w:eastAsia="仿宋_GB2312"/>
          <w:w w:val="95"/>
          <w:sz w:val="22"/>
          <w:szCs w:val="22"/>
          <w:lang w:val="en-US" w:eastAsia="zh-CN"/>
        </w:rPr>
        <w:t xml:space="preserve"> </w:t>
      </w:r>
      <w:r>
        <w:rPr>
          <w:rFonts w:eastAsia="仿宋_GB2312"/>
          <w:w w:val="95"/>
          <w:sz w:val="22"/>
          <w:szCs w:val="22"/>
        </w:rPr>
        <w:t xml:space="preserve">填报日期： </w:t>
      </w:r>
      <w:r>
        <w:rPr>
          <w:rFonts w:hint="eastAsia" w:eastAsia="仿宋_GB2312"/>
          <w:w w:val="95"/>
          <w:sz w:val="22"/>
          <w:szCs w:val="22"/>
          <w:lang w:val="en-US" w:eastAsia="zh-CN"/>
        </w:rPr>
        <w:t xml:space="preserve">2021.6.25 </w:t>
      </w:r>
      <w:r>
        <w:rPr>
          <w:rFonts w:eastAsia="仿宋_GB2312"/>
          <w:w w:val="95"/>
          <w:sz w:val="22"/>
          <w:szCs w:val="22"/>
        </w:rPr>
        <w:t>联系电话：</w:t>
      </w:r>
      <w:r>
        <w:rPr>
          <w:rFonts w:hint="eastAsia" w:eastAsia="仿宋_GB2312"/>
          <w:w w:val="95"/>
          <w:sz w:val="22"/>
          <w:szCs w:val="22"/>
          <w:lang w:val="en-US" w:eastAsia="zh-CN"/>
        </w:rPr>
        <w:t>07452109600</w:t>
      </w:r>
      <w:r>
        <w:rPr>
          <w:rFonts w:eastAsia="仿宋_GB2312"/>
          <w:w w:val="95"/>
          <w:sz w:val="22"/>
          <w:szCs w:val="22"/>
        </w:rPr>
        <w:t xml:space="preserve"> 单位负责人签字：</w:t>
      </w:r>
      <w:r>
        <w:rPr>
          <w:rFonts w:hint="eastAsia" w:eastAsia="仿宋_GB2312"/>
          <w:w w:val="95"/>
          <w:sz w:val="22"/>
          <w:szCs w:val="22"/>
          <w:lang w:eastAsia="zh-CN"/>
        </w:rPr>
        <w:t>杨春佩</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hint="eastAsia" w:ascii="Times New Roman" w:hAnsi="Times New Roman" w:eastAsia="方正小标宋_GBK" w:cs="Times New Roman"/>
          <w:sz w:val="36"/>
          <w:szCs w:val="36"/>
          <w:lang w:eastAsia="zh-CN"/>
        </w:rPr>
      </w:pPr>
      <w:r>
        <w:rPr>
          <w:rFonts w:hint="eastAsia" w:ascii="Times New Roman" w:hAnsi="Times New Roman" w:eastAsia="方正小标宋_GBK" w:cs="Times New Roman"/>
          <w:sz w:val="36"/>
          <w:szCs w:val="36"/>
          <w:lang w:eastAsia="zh-CN"/>
        </w:rPr>
        <w:t>禁捕退捕补偿资金专项资金绩效评价报告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pStyle w:val="12"/>
        <w:spacing w:line="360" w:lineRule="auto"/>
        <w:ind w:firstLine="640" w:firstLineChars="200"/>
        <w:rPr>
          <w:rFonts w:eastAsia="仿宋_GB2312"/>
          <w:sz w:val="32"/>
          <w:szCs w:val="32"/>
        </w:rPr>
      </w:pPr>
      <w:r>
        <w:rPr>
          <w:rFonts w:hint="eastAsia" w:ascii="Times New Roman" w:hAnsi="Times New Roman" w:eastAsia="仿宋_GB2312" w:cs="Times New Roman"/>
          <w:kern w:val="2"/>
          <w:sz w:val="32"/>
          <w:szCs w:val="32"/>
          <w:lang w:val="en-US" w:eastAsia="zh-CN" w:bidi="ar-SA"/>
        </w:rPr>
        <w:t>1、项目单位基本情况</w:t>
      </w:r>
    </w:p>
    <w:p>
      <w:pPr>
        <w:pStyle w:val="12"/>
        <w:spacing w:line="360" w:lineRule="auto"/>
        <w:ind w:firstLine="640" w:firstLineChars="200"/>
        <w:rPr>
          <w:rFonts w:hint="default" w:eastAsia="仿宋_GB2312"/>
          <w:sz w:val="32"/>
          <w:szCs w:val="32"/>
          <w:lang w:val="en-US" w:eastAsia="zh-CN"/>
        </w:rPr>
      </w:pPr>
      <w:r>
        <w:rPr>
          <w:rFonts w:hint="eastAsia" w:eastAsia="仿宋_GB2312"/>
          <w:sz w:val="32"/>
          <w:szCs w:val="32"/>
          <w:lang w:val="en-US" w:eastAsia="zh-CN"/>
        </w:rPr>
        <w:t>为深入贯彻落实习近平总书记对于禁捕退捕工作的重要指示批示精神，为居民营造水清河畅、岸绿景美、生态和谐的居住环境，切实解决退捕渔民生计问题，财政安排我中心“禁捕退捕补偿资金”项目资金158.16万元（农财专户），主要对退捕渔民给予补偿款，符合条件的渔民享有住房、社保、医保、生产生活用地保障。</w:t>
      </w:r>
    </w:p>
    <w:p>
      <w:pPr>
        <w:pStyle w:val="12"/>
        <w:spacing w:line="360" w:lineRule="auto"/>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2、项目的实施依据</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（1）《中华人民共和国渔业法》</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（2）《中华人民共和国渔业法实施细则》</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（3）《农业农村部关于加强长江流域禁捕执法管理工作的意见》（农长渔发〔2020〕1 号）</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（4）《关于加强和规范长江流域垂钓管理工作的通知》（长渔发〔2020〕12号）</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（5）《湖南省长江流域重点水域禁捕退捕工作实施方案》（湘农联〔2019〕86号）</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（6）《农业农村部 财政部 人力资源和社会保障部关于印发长江流域重点水域禁捕和建立补偿制度实施方案的通知》（农长渔发〔2019〕1号）</w:t>
      </w:r>
    </w:p>
    <w:p>
      <w:pPr>
        <w:pStyle w:val="12"/>
        <w:numPr>
          <w:ilvl w:val="0"/>
          <w:numId w:val="5"/>
        </w:numPr>
        <w:spacing w:line="360" w:lineRule="auto"/>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项目基本性质、用途和主要内容、涉及范围</w:t>
      </w:r>
    </w:p>
    <w:p>
      <w:pPr>
        <w:pStyle w:val="12"/>
        <w:numPr>
          <w:ilvl w:val="0"/>
          <w:numId w:val="0"/>
        </w:numPr>
        <w:spacing w:line="360" w:lineRule="auto"/>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（1）项目基本性质、用途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已实施“</w:t>
      </w:r>
      <w:r>
        <w:rPr>
          <w:rFonts w:hint="eastAsia" w:eastAsia="仿宋_GB2312"/>
          <w:sz w:val="32"/>
          <w:szCs w:val="32"/>
          <w:lang w:val="en-US" w:eastAsia="zh-CN"/>
        </w:rPr>
        <w:t>禁捕退捕补偿资金</w:t>
      </w:r>
      <w:r>
        <w:rPr>
          <w:rFonts w:hint="eastAsia" w:ascii="Times New Roman" w:hAnsi="Times New Roman" w:eastAsia="仿宋_GB2312" w:cs="Times New Roman"/>
          <w:kern w:val="2"/>
          <w:sz w:val="32"/>
          <w:szCs w:val="32"/>
          <w:lang w:val="en-US" w:eastAsia="zh-CN" w:bidi="ar-SA"/>
        </w:rPr>
        <w:t>”项目属于专项工作经费业务项目，项目主要用于</w:t>
      </w:r>
      <w:r>
        <w:rPr>
          <w:rFonts w:hint="eastAsia" w:eastAsia="仿宋_GB2312" w:cs="Times New Roman"/>
          <w:kern w:val="2"/>
          <w:sz w:val="32"/>
          <w:szCs w:val="32"/>
          <w:lang w:val="en-US" w:eastAsia="zh-CN" w:bidi="ar-SA"/>
        </w:rPr>
        <w:t>禁捕退捕渔民安置补偿。</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（2）项目主要内容、涉及范围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default" w:eastAsia="仿宋_GB2312"/>
          <w:sz w:val="32"/>
          <w:szCs w:val="32"/>
          <w:lang w:val="en-US" w:eastAsia="zh-CN"/>
        </w:rPr>
      </w:pPr>
      <w:r>
        <w:rPr>
          <w:rFonts w:hint="eastAsia" w:ascii="Times New Roman" w:hAnsi="Times New Roman" w:eastAsia="仿宋_GB2312" w:cs="Times New Roman"/>
          <w:kern w:val="2"/>
          <w:sz w:val="32"/>
          <w:szCs w:val="32"/>
          <w:lang w:val="en-US" w:eastAsia="zh-CN" w:bidi="ar-SA"/>
        </w:rPr>
        <w:t>我中心</w:t>
      </w:r>
      <w:r>
        <w:rPr>
          <w:rFonts w:hint="eastAsia" w:eastAsia="仿宋_GB2312" w:cs="Times New Roman"/>
          <w:kern w:val="2"/>
          <w:sz w:val="32"/>
          <w:szCs w:val="32"/>
          <w:lang w:val="en-US" w:eastAsia="zh-CN" w:bidi="ar-SA"/>
        </w:rPr>
        <w:t>“</w:t>
      </w:r>
      <w:r>
        <w:rPr>
          <w:rFonts w:hint="eastAsia" w:eastAsia="仿宋_GB2312"/>
          <w:sz w:val="32"/>
          <w:szCs w:val="32"/>
          <w:lang w:val="en-US" w:eastAsia="zh-CN"/>
        </w:rPr>
        <w:t>禁捕退捕补偿资金</w:t>
      </w:r>
      <w:r>
        <w:rPr>
          <w:rFonts w:hint="eastAsia" w:ascii="Times New Roman" w:hAnsi="Times New Roman" w:eastAsia="仿宋_GB2312" w:cs="Times New Roman"/>
          <w:kern w:val="2"/>
          <w:sz w:val="32"/>
          <w:szCs w:val="32"/>
          <w:lang w:val="en-US" w:eastAsia="zh-CN" w:bidi="ar-SA"/>
        </w:rPr>
        <w:t>”项目主要内容是：其他对个人和家庭的补助</w:t>
      </w:r>
      <w:r>
        <w:rPr>
          <w:rFonts w:hint="eastAsia" w:eastAsia="仿宋_GB2312" w:cs="Times New Roman"/>
          <w:kern w:val="2"/>
          <w:sz w:val="32"/>
          <w:szCs w:val="32"/>
          <w:lang w:val="en-US" w:eastAsia="zh-CN" w:bidi="ar-SA"/>
        </w:rPr>
        <w:t>（渔民补偿资金）</w:t>
      </w:r>
      <w:r>
        <w:rPr>
          <w:rFonts w:hint="eastAsia" w:ascii="Times New Roman" w:hAnsi="Times New Roman" w:eastAsia="仿宋_GB2312" w:cs="Times New Roman"/>
          <w:kern w:val="2"/>
          <w:sz w:val="32"/>
          <w:szCs w:val="32"/>
          <w:lang w:val="en-US" w:eastAsia="zh-CN" w:bidi="ar-SA"/>
        </w:rPr>
        <w:t>。</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1、项目资金到位情况分析。</w:t>
      </w:r>
      <w:r>
        <w:rPr>
          <w:rFonts w:hint="eastAsia" w:eastAsia="仿宋_GB2312" w:cs="Times New Roman"/>
          <w:kern w:val="2"/>
          <w:sz w:val="32"/>
          <w:szCs w:val="32"/>
          <w:lang w:val="en-US" w:eastAsia="zh-CN" w:bidi="ar-SA"/>
        </w:rPr>
        <w:t>2020</w:t>
      </w:r>
      <w:r>
        <w:rPr>
          <w:rFonts w:hint="eastAsia" w:ascii="Times New Roman" w:hAnsi="Times New Roman" w:eastAsia="仿宋_GB2312" w:cs="Times New Roman"/>
          <w:kern w:val="2"/>
          <w:sz w:val="32"/>
          <w:szCs w:val="32"/>
          <w:lang w:val="en-US" w:eastAsia="zh-CN" w:bidi="ar-SA"/>
        </w:rPr>
        <w:t>年度</w:t>
      </w:r>
      <w:r>
        <w:rPr>
          <w:rFonts w:hint="eastAsia" w:eastAsia="仿宋_GB2312" w:cs="Times New Roman"/>
          <w:kern w:val="2"/>
          <w:sz w:val="32"/>
          <w:szCs w:val="32"/>
          <w:lang w:val="en-US" w:eastAsia="zh-CN" w:bidi="ar-SA"/>
        </w:rPr>
        <w:t>“</w:t>
      </w:r>
      <w:r>
        <w:rPr>
          <w:rFonts w:hint="eastAsia" w:eastAsia="仿宋_GB2312"/>
          <w:sz w:val="32"/>
          <w:szCs w:val="32"/>
          <w:lang w:val="en-US" w:eastAsia="zh-CN"/>
        </w:rPr>
        <w:t>禁捕退捕补偿资金</w:t>
      </w:r>
      <w:r>
        <w:rPr>
          <w:rFonts w:hint="eastAsia" w:ascii="Times New Roman" w:hAnsi="Times New Roman" w:eastAsia="仿宋_GB2312" w:cs="Times New Roman"/>
          <w:kern w:val="2"/>
          <w:sz w:val="32"/>
          <w:szCs w:val="32"/>
          <w:lang w:val="en-US" w:eastAsia="zh-CN" w:bidi="ar-SA"/>
        </w:rPr>
        <w:t>”项目预算</w:t>
      </w:r>
      <w:r>
        <w:rPr>
          <w:rFonts w:hint="eastAsia" w:eastAsia="仿宋_GB2312"/>
          <w:sz w:val="32"/>
          <w:szCs w:val="32"/>
          <w:lang w:val="en-US" w:eastAsia="zh-CN"/>
        </w:rPr>
        <w:t>158.16</w:t>
      </w:r>
      <w:r>
        <w:rPr>
          <w:rFonts w:hint="eastAsia" w:ascii="Times New Roman" w:hAnsi="Times New Roman" w:eastAsia="仿宋_GB2312" w:cs="Times New Roman"/>
          <w:kern w:val="2"/>
          <w:sz w:val="32"/>
          <w:szCs w:val="32"/>
          <w:lang w:val="en-US" w:eastAsia="zh-CN" w:bidi="ar-SA"/>
        </w:rPr>
        <w:t>万元，实际到位</w:t>
      </w:r>
      <w:r>
        <w:rPr>
          <w:rFonts w:hint="eastAsia" w:eastAsia="仿宋_GB2312"/>
          <w:sz w:val="32"/>
          <w:szCs w:val="32"/>
          <w:lang w:val="en-US" w:eastAsia="zh-CN"/>
        </w:rPr>
        <w:t>158.16</w:t>
      </w:r>
      <w:r>
        <w:rPr>
          <w:rFonts w:hint="eastAsia" w:ascii="Times New Roman" w:hAnsi="Times New Roman" w:eastAsia="仿宋_GB2312" w:cs="Times New Roman"/>
          <w:kern w:val="2"/>
          <w:sz w:val="32"/>
          <w:szCs w:val="32"/>
          <w:lang w:val="en-US" w:eastAsia="zh-CN" w:bidi="ar-SA"/>
        </w:rPr>
        <w:t>万元，到位率100%。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2、项目资金使用情况分析。到位资金执行金额</w:t>
      </w:r>
      <w:r>
        <w:rPr>
          <w:rFonts w:hint="eastAsia" w:eastAsia="仿宋_GB2312"/>
          <w:sz w:val="32"/>
          <w:szCs w:val="32"/>
          <w:lang w:val="en-US" w:eastAsia="zh-CN"/>
        </w:rPr>
        <w:t>158.16</w:t>
      </w:r>
      <w:r>
        <w:rPr>
          <w:rFonts w:hint="eastAsia" w:ascii="Times New Roman" w:hAnsi="Times New Roman" w:eastAsia="仿宋_GB2312" w:cs="Times New Roman"/>
          <w:kern w:val="2"/>
          <w:sz w:val="32"/>
          <w:szCs w:val="32"/>
          <w:lang w:val="en-US" w:eastAsia="zh-CN" w:bidi="ar-SA"/>
        </w:rPr>
        <w:t>万元，</w:t>
      </w:r>
      <w:r>
        <w:rPr>
          <w:rFonts w:hint="eastAsia" w:eastAsia="仿宋_GB2312" w:cs="Times New Roman"/>
          <w:kern w:val="2"/>
          <w:sz w:val="32"/>
          <w:szCs w:val="32"/>
          <w:lang w:val="en-US" w:eastAsia="zh-CN" w:bidi="ar-SA"/>
        </w:rPr>
        <w:t>预算执行率100%</w:t>
      </w:r>
      <w:r>
        <w:rPr>
          <w:rFonts w:hint="eastAsia" w:ascii="Times New Roman" w:hAnsi="Times New Roman" w:eastAsia="仿宋_GB2312" w:cs="Times New Roman"/>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3、项目资金管理情况分析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是严格进行资金管理，专款专用，无截留、卡扣、占用和挪用等情况，落实经费运行的全程控制，每一笔开支都按照《专项资金管理办法》要求填写经费开支申请报告，大额专项资金支付实行“三重一大”集体决策制度。二是接受财政、审计部门的监督。三是建立健全财务制度，及时进程财务处理，规范会计核算。</w:t>
      </w:r>
    </w:p>
    <w:p>
      <w:pPr>
        <w:spacing w:line="600" w:lineRule="exact"/>
        <w:ind w:firstLine="643" w:firstLineChars="200"/>
        <w:rPr>
          <w:rFonts w:eastAsia="楷体_GB2312"/>
          <w:b/>
          <w:sz w:val="32"/>
          <w:szCs w:val="32"/>
        </w:rPr>
      </w:pP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1、项目绩效总目标和阶段性目标</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（1）项目总体绩效目标</w:t>
      </w:r>
    </w:p>
    <w:p>
      <w:pPr>
        <w:spacing w:line="600" w:lineRule="exact"/>
        <w:ind w:firstLine="640" w:firstLineChars="200"/>
        <w:rPr>
          <w:rFonts w:hint="eastAsia"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实现全区禁捕退捕，落实退捕渔民</w:t>
      </w:r>
      <w:r>
        <w:rPr>
          <w:rFonts w:hint="eastAsia" w:eastAsia="仿宋_GB2312" w:cs="Times New Roman"/>
          <w:kern w:val="2"/>
          <w:sz w:val="32"/>
          <w:szCs w:val="32"/>
          <w:lang w:val="en-US" w:eastAsia="zh-CN" w:bidi="ar-SA"/>
        </w:rPr>
        <w:t>安置</w:t>
      </w:r>
      <w:r>
        <w:rPr>
          <w:rFonts w:hint="eastAsia" w:ascii="Times New Roman" w:hAnsi="Times New Roman" w:eastAsia="仿宋_GB2312" w:cs="Times New Roman"/>
          <w:kern w:val="2"/>
          <w:sz w:val="32"/>
          <w:szCs w:val="32"/>
          <w:lang w:val="en-US" w:eastAsia="zh-CN" w:bidi="ar-SA"/>
        </w:rPr>
        <w:t>保障</w:t>
      </w:r>
      <w:r>
        <w:rPr>
          <w:rFonts w:hint="eastAsia" w:eastAsia="仿宋_GB2312" w:cs="Times New Roman"/>
          <w:kern w:val="2"/>
          <w:sz w:val="32"/>
          <w:szCs w:val="32"/>
          <w:lang w:val="en-US" w:eastAsia="zh-CN" w:bidi="ar-SA"/>
        </w:rPr>
        <w:t>工作。</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（2）阶段性目标</w:t>
      </w:r>
    </w:p>
    <w:p>
      <w:pPr>
        <w:spacing w:line="600" w:lineRule="exact"/>
        <w:ind w:firstLine="640" w:firstLineChars="20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预计</w:t>
      </w:r>
      <w:r>
        <w:rPr>
          <w:rFonts w:hint="eastAsia" w:eastAsia="仿宋_GB2312" w:cs="Times New Roman"/>
          <w:kern w:val="2"/>
          <w:sz w:val="32"/>
          <w:szCs w:val="32"/>
          <w:lang w:val="en-US" w:eastAsia="zh-CN" w:bidi="ar-SA"/>
        </w:rPr>
        <w:t>按时发放</w:t>
      </w:r>
      <w:r>
        <w:rPr>
          <w:rFonts w:hint="eastAsia" w:ascii="Times New Roman" w:hAnsi="Times New Roman" w:eastAsia="仿宋_GB2312" w:cs="Times New Roman"/>
          <w:kern w:val="2"/>
          <w:sz w:val="32"/>
          <w:szCs w:val="32"/>
          <w:lang w:val="en-US" w:eastAsia="zh-CN" w:bidi="ar-SA"/>
        </w:rPr>
        <w:t>退捕渔民</w:t>
      </w:r>
      <w:r>
        <w:rPr>
          <w:rFonts w:hint="eastAsia" w:eastAsia="仿宋_GB2312" w:cs="Times New Roman"/>
          <w:kern w:val="2"/>
          <w:sz w:val="32"/>
          <w:szCs w:val="32"/>
          <w:lang w:val="en-US" w:eastAsia="zh-CN" w:bidi="ar-SA"/>
        </w:rPr>
        <w:t>补偿资金，引导退捕渔民实现退捕转产就业，落实退捕渔民社保。</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2、预期主要的生态、社会和经济效益</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（1）生态效益。确保舞水河、太平溪流域水生态资源保护好、水生态环境维护好</w:t>
      </w:r>
      <w:r>
        <w:rPr>
          <w:rFonts w:hint="eastAsia" w:eastAsia="仿宋_GB2312" w:cs="Times New Roman"/>
          <w:kern w:val="2"/>
          <w:sz w:val="32"/>
          <w:szCs w:val="32"/>
          <w:lang w:val="en-US" w:eastAsia="zh-CN" w:bidi="ar-SA"/>
        </w:rPr>
        <w:t>。</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（2）社会和经济效益。营造维护长江禁捕管理秩序的社会氛围</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确保渔民利益，保障禁捕退捕工作顺利推进</w:t>
      </w:r>
      <w:r>
        <w:rPr>
          <w:rFonts w:hint="eastAsia" w:eastAsia="仿宋_GB2312" w:cs="Times New Roman"/>
          <w:kern w:val="2"/>
          <w:sz w:val="32"/>
          <w:szCs w:val="32"/>
          <w:lang w:val="en-US" w:eastAsia="zh-CN" w:bidi="ar-SA"/>
        </w:rPr>
        <w:t>。</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3、项目实际完成情况</w:t>
      </w:r>
    </w:p>
    <w:p>
      <w:pPr>
        <w:spacing w:line="600" w:lineRule="exact"/>
        <w:ind w:firstLine="640" w:firstLineChars="200"/>
        <w:rPr>
          <w:rFonts w:hint="default"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渔民补偿资金已通过一卡通发放完毕；对符合参保补贴条件的86名退捕专业渔民和18名捕捞收入占家庭收入60%以上、人均田土不超过0.3亩的持证兼业渔民，社会养老保险应保尽保；帮助转产就业60人，就业率达100%；</w:t>
      </w:r>
      <w:r>
        <w:rPr>
          <w:rFonts w:hint="eastAsia" w:ascii="仿宋_GB2312" w:hAnsi="仿宋_GB2312" w:eastAsia="仿宋_GB2312" w:cs="仿宋_GB2312"/>
          <w:color w:val="000000"/>
          <w:sz w:val="32"/>
          <w:szCs w:val="32"/>
        </w:rPr>
        <w:t>4户退捕专业渔民居住在公租房个人免交房租，退捕专业渔民没有住C、D级危房的，</w:t>
      </w:r>
      <w:r>
        <w:rPr>
          <w:rFonts w:hint="eastAsia" w:ascii="仿宋_GB2312" w:hAnsi="仿宋_GB2312" w:eastAsia="仿宋_GB2312" w:cs="仿宋_GB2312"/>
          <w:sz w:val="32"/>
          <w:szCs w:val="32"/>
        </w:rPr>
        <w:t>解决生产生活用地保障有2户，对符合条件的24户予以房屋确权登记。</w:t>
      </w: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3" w:firstLineChars="2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（一）前期准备</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我中心对</w:t>
      </w:r>
      <w:r>
        <w:rPr>
          <w:rFonts w:hint="eastAsia" w:eastAsia="仿宋_GB2312" w:cs="Times New Roman"/>
          <w:kern w:val="2"/>
          <w:sz w:val="32"/>
          <w:szCs w:val="32"/>
          <w:lang w:val="en-US" w:eastAsia="zh-CN" w:bidi="ar-SA"/>
        </w:rPr>
        <w:t>2020</w:t>
      </w:r>
      <w:r>
        <w:rPr>
          <w:rFonts w:hint="eastAsia" w:ascii="Times New Roman" w:hAnsi="Times New Roman" w:eastAsia="仿宋_GB2312" w:cs="Times New Roman"/>
          <w:kern w:val="2"/>
          <w:sz w:val="32"/>
          <w:szCs w:val="32"/>
          <w:lang w:val="en-US" w:eastAsia="zh-CN" w:bidi="ar-SA"/>
        </w:rPr>
        <w:t>年专项资金绩效评价管理工作高度重视，成立了预算绩效管理工作领导小组，财务分管领导任组长、办公室主任副组长，</w:t>
      </w:r>
      <w:r>
        <w:rPr>
          <w:rFonts w:hint="eastAsia" w:eastAsia="仿宋_GB2312" w:cs="Times New Roman"/>
          <w:kern w:val="2"/>
          <w:sz w:val="32"/>
          <w:szCs w:val="32"/>
          <w:lang w:val="en-US" w:eastAsia="zh-CN" w:bidi="ar-SA"/>
        </w:rPr>
        <w:t>渔业发展部、质量安全与兽药部、畜禽水产品质量检验检测部</w:t>
      </w:r>
      <w:r>
        <w:rPr>
          <w:rFonts w:hint="eastAsia" w:ascii="Times New Roman" w:hAnsi="Times New Roman" w:eastAsia="仿宋_GB2312" w:cs="Times New Roman"/>
          <w:kern w:val="2"/>
          <w:sz w:val="32"/>
          <w:szCs w:val="32"/>
          <w:lang w:val="en-US" w:eastAsia="zh-CN" w:bidi="ar-SA"/>
        </w:rPr>
        <w:t>相关人员为工作成员。由</w:t>
      </w:r>
      <w:r>
        <w:rPr>
          <w:rFonts w:hint="eastAsia" w:eastAsia="仿宋_GB2312" w:cs="Times New Roman"/>
          <w:kern w:val="2"/>
          <w:sz w:val="32"/>
          <w:szCs w:val="32"/>
          <w:lang w:val="en-US" w:eastAsia="zh-CN" w:bidi="ar-SA"/>
        </w:rPr>
        <w:t>计划财务部</w:t>
      </w:r>
      <w:r>
        <w:rPr>
          <w:rFonts w:hint="eastAsia" w:ascii="Times New Roman" w:hAnsi="Times New Roman" w:eastAsia="仿宋_GB2312" w:cs="Times New Roman"/>
          <w:kern w:val="2"/>
          <w:sz w:val="32"/>
          <w:szCs w:val="32"/>
          <w:lang w:val="en-US" w:eastAsia="zh-CN" w:bidi="ar-SA"/>
        </w:rPr>
        <w:t>牵头，认真制定绩效自评工作计划，其他</w:t>
      </w:r>
      <w:r>
        <w:rPr>
          <w:rFonts w:hint="eastAsia" w:eastAsia="仿宋_GB2312" w:cs="Times New Roman"/>
          <w:kern w:val="2"/>
          <w:sz w:val="32"/>
          <w:szCs w:val="32"/>
          <w:lang w:val="en-US" w:eastAsia="zh-CN" w:bidi="ar-SA"/>
        </w:rPr>
        <w:t>部</w:t>
      </w:r>
      <w:r>
        <w:rPr>
          <w:rFonts w:hint="eastAsia" w:ascii="Times New Roman" w:hAnsi="Times New Roman" w:eastAsia="仿宋_GB2312" w:cs="Times New Roman"/>
          <w:kern w:val="2"/>
          <w:sz w:val="32"/>
          <w:szCs w:val="32"/>
          <w:lang w:val="en-US" w:eastAsia="zh-CN" w:bidi="ar-SA"/>
        </w:rPr>
        <w:t>室相互配合协调，共同完成</w:t>
      </w:r>
      <w:r>
        <w:rPr>
          <w:rFonts w:hint="eastAsia" w:eastAsia="仿宋_GB2312" w:cs="Times New Roman"/>
          <w:kern w:val="2"/>
          <w:sz w:val="32"/>
          <w:szCs w:val="32"/>
          <w:lang w:val="en-US" w:eastAsia="zh-CN" w:bidi="ar-SA"/>
        </w:rPr>
        <w:t>2020年</w:t>
      </w:r>
      <w:r>
        <w:rPr>
          <w:rFonts w:hint="eastAsia" w:eastAsia="仿宋_GB2312"/>
          <w:sz w:val="32"/>
          <w:szCs w:val="32"/>
          <w:lang w:val="en-US" w:eastAsia="zh-CN"/>
        </w:rPr>
        <w:t>禁捕退捕补偿资金</w:t>
      </w:r>
      <w:r>
        <w:rPr>
          <w:rFonts w:hint="eastAsia" w:ascii="Times New Roman" w:hAnsi="Times New Roman" w:eastAsia="仿宋_GB2312" w:cs="Times New Roman"/>
          <w:kern w:val="2"/>
          <w:sz w:val="32"/>
          <w:szCs w:val="32"/>
          <w:lang w:val="en-US" w:eastAsia="zh-CN" w:bidi="ar-SA"/>
        </w:rPr>
        <w:t>专项资金绩效评价管理工作。</w:t>
      </w:r>
    </w:p>
    <w:p>
      <w:pPr>
        <w:spacing w:line="600" w:lineRule="exact"/>
        <w:ind w:firstLine="643" w:firstLineChars="2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（二）组织实施</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计划财务部</w:t>
      </w:r>
      <w:r>
        <w:rPr>
          <w:rFonts w:hint="eastAsia" w:ascii="Times New Roman" w:hAnsi="Times New Roman" w:eastAsia="仿宋_GB2312" w:cs="Times New Roman"/>
          <w:kern w:val="2"/>
          <w:sz w:val="32"/>
          <w:szCs w:val="32"/>
          <w:lang w:val="en-US" w:eastAsia="zh-CN" w:bidi="ar-SA"/>
        </w:rPr>
        <w:t>根据《专项资金绩效评价共性指标》、《专项资金绩效目标自评表》要求开展专项资金自评工作，对</w:t>
      </w:r>
      <w:r>
        <w:rPr>
          <w:rFonts w:hint="eastAsia" w:eastAsia="仿宋_GB2312" w:cs="Times New Roman"/>
          <w:kern w:val="2"/>
          <w:sz w:val="32"/>
          <w:szCs w:val="32"/>
          <w:lang w:val="en-US" w:eastAsia="zh-CN" w:bidi="ar-SA"/>
        </w:rPr>
        <w:t>158.16</w:t>
      </w:r>
      <w:r>
        <w:rPr>
          <w:rFonts w:hint="eastAsia" w:ascii="Times New Roman" w:hAnsi="Times New Roman" w:eastAsia="仿宋_GB2312" w:cs="Times New Roman"/>
          <w:kern w:val="2"/>
          <w:sz w:val="32"/>
          <w:szCs w:val="32"/>
          <w:lang w:val="en-US" w:eastAsia="zh-CN" w:bidi="ar-SA"/>
        </w:rPr>
        <w:t>万元项目经费进行了自评打分，并逐项对照，认真撰写专项资金绩效评价报告，同时认真收集相关资料，确保自评工作真实客观。</w:t>
      </w:r>
    </w:p>
    <w:p>
      <w:pPr>
        <w:spacing w:line="600" w:lineRule="exact"/>
        <w:ind w:firstLine="643" w:firstLineChars="2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（三）分析评价</w:t>
      </w:r>
    </w:p>
    <w:p>
      <w:pPr>
        <w:spacing w:line="600" w:lineRule="exact"/>
        <w:ind w:firstLine="640" w:firstLineChars="200"/>
        <w:rPr>
          <w:rFonts w:eastAsia="黑体"/>
          <w:sz w:val="32"/>
          <w:szCs w:val="32"/>
        </w:rPr>
      </w:pPr>
      <w:r>
        <w:rPr>
          <w:rFonts w:hint="eastAsia" w:eastAsia="仿宋_GB2312" w:cs="Times New Roman"/>
          <w:kern w:val="2"/>
          <w:sz w:val="32"/>
          <w:szCs w:val="32"/>
          <w:lang w:val="en-US" w:eastAsia="zh-CN" w:bidi="ar-SA"/>
        </w:rPr>
        <w:t>2020</w:t>
      </w:r>
      <w:r>
        <w:rPr>
          <w:rFonts w:hint="eastAsia" w:ascii="Times New Roman" w:hAnsi="Times New Roman" w:eastAsia="仿宋_GB2312" w:cs="Times New Roman"/>
          <w:kern w:val="2"/>
          <w:sz w:val="32"/>
          <w:szCs w:val="32"/>
          <w:lang w:val="en-US" w:eastAsia="zh-CN" w:bidi="ar-SA"/>
        </w:rPr>
        <w:t>年我中心严格按照有关规定使用</w:t>
      </w:r>
      <w:r>
        <w:rPr>
          <w:rFonts w:hint="eastAsia" w:eastAsia="仿宋_GB2312"/>
          <w:sz w:val="32"/>
          <w:szCs w:val="32"/>
          <w:lang w:val="en-US" w:eastAsia="zh-CN"/>
        </w:rPr>
        <w:t>禁捕退捕补偿资金</w:t>
      </w:r>
      <w:r>
        <w:rPr>
          <w:rFonts w:hint="eastAsia" w:ascii="Times New Roman" w:hAnsi="Times New Roman" w:eastAsia="仿宋_GB2312" w:cs="Times New Roman"/>
          <w:kern w:val="2"/>
          <w:sz w:val="32"/>
          <w:szCs w:val="32"/>
          <w:lang w:val="en-US" w:eastAsia="zh-CN" w:bidi="ar-SA"/>
        </w:rPr>
        <w:t>项目经费，资金使用效益良好。</w:t>
      </w:r>
    </w:p>
    <w:p>
      <w:pPr>
        <w:spacing w:line="600" w:lineRule="exact"/>
        <w:ind w:firstLine="640" w:firstLineChars="200"/>
        <w:rPr>
          <w:rFonts w:eastAsia="黑体"/>
          <w:sz w:val="32"/>
          <w:szCs w:val="32"/>
        </w:rPr>
      </w:pPr>
      <w:r>
        <w:rPr>
          <w:rFonts w:eastAsia="黑体"/>
          <w:sz w:val="32"/>
          <w:szCs w:val="32"/>
        </w:rPr>
        <w:t>三、预算支出主要绩效及评价结论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eastAsia="黑体"/>
          <w:sz w:val="32"/>
          <w:szCs w:val="32"/>
        </w:rPr>
      </w:pPr>
      <w:r>
        <w:rPr>
          <w:rFonts w:hint="eastAsia" w:ascii="Times New Roman" w:hAnsi="Times New Roman" w:eastAsia="仿宋_GB2312" w:cs="Times New Roman"/>
          <w:kern w:val="2"/>
          <w:sz w:val="32"/>
          <w:szCs w:val="32"/>
          <w:lang w:val="en-US" w:eastAsia="zh-CN" w:bidi="ar-SA"/>
        </w:rPr>
        <w:t>项目立项符合国家法律法规；项目管理制度健全，资金和监管措施落实到位；各项工作具体扎实，项目实施效果显著。经自评打分，得分</w:t>
      </w:r>
      <w:r>
        <w:rPr>
          <w:rFonts w:hint="eastAsia" w:eastAsia="仿宋_GB2312" w:cs="Times New Roman"/>
          <w:kern w:val="2"/>
          <w:sz w:val="32"/>
          <w:szCs w:val="32"/>
          <w:lang w:val="en-US" w:eastAsia="zh-CN" w:bidi="ar-SA"/>
        </w:rPr>
        <w:t>98</w:t>
      </w:r>
      <w:r>
        <w:rPr>
          <w:rFonts w:hint="eastAsia" w:ascii="Times New Roman" w:hAnsi="Times New Roman" w:eastAsia="仿宋_GB2312" w:cs="Times New Roman"/>
          <w:kern w:val="2"/>
          <w:sz w:val="32"/>
          <w:szCs w:val="32"/>
          <w:lang w:val="en-US" w:eastAsia="zh-CN" w:bidi="ar-SA"/>
        </w:rPr>
        <w:t>分。</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ascii="Times New Roman" w:hAnsi="Times New Roman" w:eastAsia="仿宋_GB2312" w:cs="Times New Roman"/>
          <w:kern w:val="2"/>
          <w:sz w:val="32"/>
          <w:szCs w:val="32"/>
          <w:lang w:val="en-US" w:eastAsia="zh-CN" w:bidi="ar-SA"/>
        </w:rPr>
        <w:t>项目立项规范。项目设立过程符合相关要求，绩效目标合理，绩效指标明确。</w:t>
      </w:r>
    </w:p>
    <w:p>
      <w:pPr>
        <w:spacing w:line="600" w:lineRule="exact"/>
        <w:ind w:firstLine="643" w:firstLineChars="200"/>
        <w:rPr>
          <w:rFonts w:eastAsia="楷体_GB2312"/>
          <w:b/>
          <w:sz w:val="32"/>
          <w:szCs w:val="32"/>
        </w:rPr>
      </w:pPr>
      <w:r>
        <w:rPr>
          <w:rFonts w:eastAsia="楷体_GB2312"/>
          <w:b/>
          <w:sz w:val="32"/>
          <w:szCs w:val="32"/>
        </w:rPr>
        <w:t>（二）预算执行过程情况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eastAsia="楷体_GB2312"/>
          <w:b/>
          <w:sz w:val="32"/>
          <w:szCs w:val="32"/>
        </w:rPr>
      </w:pPr>
      <w:r>
        <w:rPr>
          <w:rFonts w:hint="eastAsia" w:ascii="Times New Roman" w:hAnsi="Times New Roman" w:eastAsia="仿宋_GB2312" w:cs="Times New Roman"/>
          <w:kern w:val="2"/>
          <w:sz w:val="32"/>
          <w:szCs w:val="32"/>
          <w:lang w:val="en-US" w:eastAsia="zh-CN" w:bidi="ar-SA"/>
        </w:rPr>
        <w:t>20</w:t>
      </w:r>
      <w:r>
        <w:rPr>
          <w:rFonts w:hint="eastAsia" w:eastAsia="仿宋_GB2312" w:cs="Times New Roman"/>
          <w:kern w:val="2"/>
          <w:sz w:val="32"/>
          <w:szCs w:val="32"/>
          <w:lang w:val="en-US" w:eastAsia="zh-CN" w:bidi="ar-SA"/>
        </w:rPr>
        <w:t>20</w:t>
      </w:r>
      <w:r>
        <w:rPr>
          <w:rFonts w:hint="eastAsia" w:ascii="Times New Roman" w:hAnsi="Times New Roman" w:eastAsia="仿宋_GB2312" w:cs="Times New Roman"/>
          <w:kern w:val="2"/>
          <w:sz w:val="32"/>
          <w:szCs w:val="32"/>
          <w:lang w:val="en-US" w:eastAsia="zh-CN" w:bidi="ar-SA"/>
        </w:rPr>
        <w:t>年度</w:t>
      </w:r>
      <w:r>
        <w:rPr>
          <w:rFonts w:hint="eastAsia" w:eastAsia="仿宋_GB2312" w:cs="Times New Roman"/>
          <w:kern w:val="2"/>
          <w:sz w:val="32"/>
          <w:szCs w:val="32"/>
          <w:lang w:val="en-US" w:eastAsia="zh-CN" w:bidi="ar-SA"/>
        </w:rPr>
        <w:t>“</w:t>
      </w:r>
      <w:r>
        <w:rPr>
          <w:rFonts w:hint="eastAsia" w:eastAsia="仿宋_GB2312"/>
          <w:sz w:val="32"/>
          <w:szCs w:val="32"/>
          <w:lang w:val="en-US" w:eastAsia="zh-CN"/>
        </w:rPr>
        <w:t>禁捕退捕补偿资金”</w:t>
      </w:r>
      <w:r>
        <w:rPr>
          <w:rFonts w:hint="eastAsia" w:ascii="Times New Roman" w:hAnsi="Times New Roman" w:eastAsia="仿宋_GB2312" w:cs="Times New Roman"/>
          <w:kern w:val="2"/>
          <w:sz w:val="32"/>
          <w:szCs w:val="32"/>
          <w:lang w:val="en-US" w:eastAsia="zh-CN" w:bidi="ar-SA"/>
        </w:rPr>
        <w:t>专项资金共下达预算指标</w:t>
      </w:r>
      <w:r>
        <w:rPr>
          <w:rFonts w:hint="eastAsia" w:eastAsia="仿宋_GB2312" w:cs="Times New Roman"/>
          <w:kern w:val="2"/>
          <w:sz w:val="32"/>
          <w:szCs w:val="32"/>
          <w:lang w:val="en-US" w:eastAsia="zh-CN" w:bidi="ar-SA"/>
        </w:rPr>
        <w:t>158.16</w:t>
      </w:r>
      <w:r>
        <w:rPr>
          <w:rFonts w:hint="eastAsia" w:ascii="Times New Roman" w:hAnsi="Times New Roman" w:eastAsia="仿宋_GB2312" w:cs="Times New Roman"/>
          <w:kern w:val="2"/>
          <w:sz w:val="32"/>
          <w:szCs w:val="32"/>
          <w:lang w:val="en-US" w:eastAsia="zh-CN" w:bidi="ar-SA"/>
        </w:rPr>
        <w:t>万元，实际支出</w:t>
      </w:r>
      <w:r>
        <w:rPr>
          <w:rFonts w:hint="eastAsia" w:eastAsia="仿宋_GB2312" w:cs="Times New Roman"/>
          <w:kern w:val="2"/>
          <w:sz w:val="32"/>
          <w:szCs w:val="32"/>
          <w:lang w:val="en-US" w:eastAsia="zh-CN" w:bidi="ar-SA"/>
        </w:rPr>
        <w:t>158.16</w:t>
      </w:r>
      <w:r>
        <w:rPr>
          <w:rFonts w:hint="eastAsia" w:ascii="Times New Roman" w:hAnsi="Times New Roman" w:eastAsia="仿宋_GB2312" w:cs="Times New Roman"/>
          <w:kern w:val="2"/>
          <w:sz w:val="32"/>
          <w:szCs w:val="32"/>
          <w:lang w:val="en-US" w:eastAsia="zh-CN" w:bidi="ar-SA"/>
        </w:rPr>
        <w:t>万元，预算完成率为</w:t>
      </w:r>
      <w:r>
        <w:rPr>
          <w:rFonts w:hint="eastAsia" w:eastAsia="仿宋_GB2312" w:cs="Times New Roman"/>
          <w:kern w:val="2"/>
          <w:sz w:val="32"/>
          <w:szCs w:val="32"/>
          <w:lang w:val="en-US" w:eastAsia="zh-CN" w:bidi="ar-SA"/>
        </w:rPr>
        <w:t>100</w:t>
      </w:r>
      <w:r>
        <w:rPr>
          <w:rFonts w:hint="eastAsia" w:ascii="Times New Roman" w:hAnsi="Times New Roman" w:eastAsia="仿宋_GB2312" w:cs="Times New Roman"/>
          <w:kern w:val="2"/>
          <w:sz w:val="32"/>
          <w:szCs w:val="32"/>
          <w:lang w:val="en-US" w:eastAsia="zh-CN" w:bidi="ar-SA"/>
        </w:rPr>
        <w:t>%。</w:t>
      </w:r>
    </w:p>
    <w:p>
      <w:pPr>
        <w:spacing w:line="600" w:lineRule="exact"/>
        <w:ind w:firstLine="643" w:firstLineChars="200"/>
        <w:rPr>
          <w:rFonts w:eastAsia="楷体_GB2312"/>
          <w:b/>
          <w:sz w:val="32"/>
          <w:szCs w:val="32"/>
        </w:rPr>
      </w:pPr>
      <w:r>
        <w:rPr>
          <w:rFonts w:eastAsia="楷体_GB2312"/>
          <w:b/>
          <w:sz w:val="32"/>
          <w:szCs w:val="32"/>
        </w:rPr>
        <w:t>（三）预算支出产出情况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1、数量指标：（1） 落实退捕渔民社保</w:t>
      </w:r>
      <w:r>
        <w:rPr>
          <w:rFonts w:hint="eastAsia" w:eastAsia="仿宋_GB2312" w:cs="Times New Roman"/>
          <w:kern w:val="2"/>
          <w:sz w:val="32"/>
          <w:szCs w:val="32"/>
          <w:lang w:val="en-US" w:eastAsia="zh-CN" w:bidi="ar-SA"/>
        </w:rPr>
        <w:t>104人，</w:t>
      </w:r>
      <w:r>
        <w:rPr>
          <w:rFonts w:hint="eastAsia" w:ascii="Times New Roman" w:hAnsi="Times New Roman" w:eastAsia="仿宋_GB2312" w:cs="Times New Roman"/>
          <w:kern w:val="2"/>
          <w:sz w:val="32"/>
          <w:szCs w:val="32"/>
          <w:lang w:val="en-US" w:eastAsia="zh-CN" w:bidi="ar-SA"/>
        </w:rPr>
        <w:t>完成率100%；（2）帮助转产就业</w:t>
      </w:r>
      <w:r>
        <w:rPr>
          <w:rFonts w:hint="eastAsia" w:eastAsia="仿宋_GB2312" w:cs="Times New Roman"/>
          <w:kern w:val="2"/>
          <w:sz w:val="32"/>
          <w:szCs w:val="32"/>
          <w:lang w:val="en-US" w:eastAsia="zh-CN" w:bidi="ar-SA"/>
        </w:rPr>
        <w:t>渔民60人</w:t>
      </w:r>
      <w:r>
        <w:rPr>
          <w:rFonts w:hint="eastAsia" w:ascii="Times New Roman" w:hAnsi="Times New Roman" w:eastAsia="仿宋_GB2312" w:cs="Times New Roman"/>
          <w:kern w:val="2"/>
          <w:sz w:val="32"/>
          <w:szCs w:val="32"/>
          <w:lang w:val="en-US" w:eastAsia="zh-CN" w:bidi="ar-SA"/>
        </w:rPr>
        <w:t>，完成率100%；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2、质量指标：渔民退捕</w:t>
      </w:r>
      <w:r>
        <w:rPr>
          <w:rFonts w:hint="eastAsia" w:eastAsia="仿宋_GB2312" w:cs="Times New Roman"/>
          <w:kern w:val="2"/>
          <w:sz w:val="32"/>
          <w:szCs w:val="32"/>
          <w:lang w:val="en-US" w:eastAsia="zh-CN" w:bidi="ar-SA"/>
        </w:rPr>
        <w:t>及</w:t>
      </w:r>
      <w:r>
        <w:rPr>
          <w:rFonts w:hint="eastAsia" w:ascii="Times New Roman" w:hAnsi="Times New Roman" w:eastAsia="仿宋_GB2312" w:cs="Times New Roman"/>
          <w:kern w:val="2"/>
          <w:sz w:val="32"/>
          <w:szCs w:val="32"/>
          <w:lang w:val="en-US" w:eastAsia="zh-CN" w:bidi="ar-SA"/>
        </w:rPr>
        <w:t>安置保障</w:t>
      </w:r>
      <w:r>
        <w:rPr>
          <w:rFonts w:hint="eastAsia" w:eastAsia="仿宋_GB2312" w:cs="Times New Roman"/>
          <w:kern w:val="2"/>
          <w:sz w:val="32"/>
          <w:szCs w:val="32"/>
          <w:lang w:val="en-US" w:eastAsia="zh-CN" w:bidi="ar-SA"/>
        </w:rPr>
        <w:t>工作</w:t>
      </w:r>
      <w:r>
        <w:rPr>
          <w:rFonts w:hint="eastAsia" w:ascii="Times New Roman" w:hAnsi="Times New Roman" w:eastAsia="仿宋_GB2312" w:cs="Times New Roman"/>
          <w:kern w:val="2"/>
          <w:sz w:val="32"/>
          <w:szCs w:val="32"/>
          <w:lang w:val="en-US" w:eastAsia="zh-CN" w:bidi="ar-SA"/>
        </w:rPr>
        <w:t>完成率100%；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3、时效指标：（1）项目资金按时发放率100%；（2）项目资金完成率</w:t>
      </w:r>
      <w:r>
        <w:rPr>
          <w:rFonts w:hint="eastAsia" w:eastAsia="仿宋_GB2312" w:cs="Times New Roman"/>
          <w:kern w:val="2"/>
          <w:sz w:val="32"/>
          <w:szCs w:val="32"/>
          <w:lang w:val="en-US" w:eastAsia="zh-CN" w:bidi="ar-SA"/>
        </w:rPr>
        <w:t>100</w:t>
      </w:r>
      <w:r>
        <w:rPr>
          <w:rFonts w:hint="eastAsia" w:ascii="Times New Roman" w:hAnsi="Times New Roman" w:eastAsia="仿宋_GB2312" w:cs="Times New Roman"/>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eastAsia="楷体_GB2312"/>
          <w:b/>
          <w:sz w:val="32"/>
          <w:szCs w:val="32"/>
        </w:rPr>
      </w:pPr>
      <w:r>
        <w:rPr>
          <w:rFonts w:hint="eastAsia" w:ascii="Times New Roman" w:hAnsi="Times New Roman" w:eastAsia="仿宋_GB2312" w:cs="Times New Roman"/>
          <w:kern w:val="2"/>
          <w:sz w:val="32"/>
          <w:szCs w:val="32"/>
          <w:lang w:val="en-US" w:eastAsia="zh-CN" w:bidi="ar-SA"/>
        </w:rPr>
        <w:t>4、成本指标：实际投入资金</w:t>
      </w:r>
      <w:r>
        <w:rPr>
          <w:rFonts w:hint="eastAsia" w:eastAsia="仿宋_GB2312" w:cs="Times New Roman"/>
          <w:kern w:val="2"/>
          <w:sz w:val="32"/>
          <w:szCs w:val="32"/>
          <w:lang w:val="en-US" w:eastAsia="zh-CN" w:bidi="ar-SA"/>
        </w:rPr>
        <w:t>158.16</w:t>
      </w:r>
      <w:r>
        <w:rPr>
          <w:rFonts w:hint="eastAsia" w:ascii="Times New Roman" w:hAnsi="Times New Roman" w:eastAsia="仿宋_GB2312" w:cs="Times New Roman"/>
          <w:kern w:val="2"/>
          <w:sz w:val="32"/>
          <w:szCs w:val="32"/>
          <w:lang w:val="en-US" w:eastAsia="zh-CN" w:bidi="ar-SA"/>
        </w:rPr>
        <w:t>万元。</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让禁捕退捕工作做到家喻户晓，</w:t>
      </w:r>
      <w:r>
        <w:rPr>
          <w:rFonts w:hint="eastAsia" w:eastAsia="仿宋_GB2312"/>
          <w:sz w:val="32"/>
          <w:szCs w:val="32"/>
          <w:lang w:val="en-US" w:eastAsia="zh-CN"/>
        </w:rPr>
        <w:t>给予符合条件的渔民住房、社保、医保、生产生活用地保障，</w:t>
      </w:r>
      <w:r>
        <w:rPr>
          <w:rFonts w:hint="eastAsia" w:eastAsia="仿宋_GB2312"/>
          <w:sz w:val="32"/>
          <w:szCs w:val="32"/>
          <w:lang w:eastAsia="zh-CN"/>
        </w:rPr>
        <w:t>持续高效打击非法捕捞，坚决打赢保护渔业资源和水域生态环境的攻坚战、持久战。</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pStyle w:val="4"/>
        <w:keepNext w:val="0"/>
        <w:keepLines w:val="0"/>
        <w:widowControl/>
        <w:suppressLineNumbers w:val="0"/>
        <w:spacing w:before="0" w:beforeAutospacing="0" w:after="0" w:afterAutospacing="0" w:line="560" w:lineRule="atLeast"/>
        <w:ind w:right="0" w:firstLine="643" w:firstLineChars="200"/>
        <w:jc w:val="both"/>
        <w:rPr>
          <w:rFonts w:hint="eastAsia" w:ascii="楷体" w:hAnsi="楷体" w:eastAsia="楷体" w:cs="Times New Roman"/>
          <w:b/>
          <w:bCs/>
          <w:kern w:val="2"/>
          <w:sz w:val="32"/>
          <w:szCs w:val="32"/>
          <w:lang w:val="en-US" w:eastAsia="zh-CN" w:bidi="ar-SA"/>
        </w:rPr>
      </w:pPr>
      <w:r>
        <w:rPr>
          <w:rFonts w:hint="eastAsia" w:ascii="楷体" w:hAnsi="楷体" w:eastAsia="楷体" w:cs="Times New Roman"/>
          <w:b/>
          <w:bCs/>
          <w:kern w:val="2"/>
          <w:sz w:val="32"/>
          <w:szCs w:val="32"/>
          <w:lang w:val="en-US" w:eastAsia="zh-CN" w:bidi="ar-SA"/>
        </w:rPr>
        <w:t>（一）主要经验</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实施</w:t>
      </w:r>
      <w:r>
        <w:rPr>
          <w:rFonts w:hint="eastAsia" w:eastAsia="仿宋_GB2312"/>
          <w:sz w:val="32"/>
          <w:szCs w:val="32"/>
          <w:lang w:val="en-US" w:eastAsia="zh-CN"/>
        </w:rPr>
        <w:t>禁捕退捕及渔民安置工作</w:t>
      </w:r>
      <w:r>
        <w:rPr>
          <w:rFonts w:hint="eastAsia" w:eastAsia="仿宋_GB2312"/>
          <w:sz w:val="32"/>
          <w:szCs w:val="32"/>
          <w:lang w:eastAsia="zh-CN"/>
        </w:rPr>
        <w:t>，事关社会稳定、人民健康和改革发展大局，我单位坚持以人民为中心，严格财务管理使用制度，发挥了财政专项资金使用效益最大化。</w:t>
      </w:r>
    </w:p>
    <w:p>
      <w:pPr>
        <w:pStyle w:val="12"/>
        <w:spacing w:line="360" w:lineRule="auto"/>
        <w:ind w:firstLine="640" w:firstLineChars="200"/>
        <w:rPr>
          <w:rFonts w:hint="eastAsia" w:ascii="楷体" w:eastAsia="楷体"/>
          <w:b/>
          <w:sz w:val="32"/>
          <w:szCs w:val="32"/>
        </w:rPr>
      </w:pPr>
      <w:r>
        <w:rPr>
          <w:rFonts w:hint="eastAsia" w:ascii="楷体" w:hAnsi="楷体" w:eastAsia="楷体" w:cs="Times New Roman"/>
          <w:sz w:val="32"/>
          <w:szCs w:val="32"/>
        </w:rPr>
        <w:t>（</w:t>
      </w:r>
      <w:r>
        <w:rPr>
          <w:rFonts w:hint="eastAsia" w:ascii="楷体" w:hAnsi="楷体" w:eastAsia="楷体" w:cs="Times New Roman"/>
          <w:sz w:val="32"/>
          <w:szCs w:val="32"/>
          <w:lang w:eastAsia="zh-CN"/>
        </w:rPr>
        <w:t>二</w:t>
      </w:r>
      <w:r>
        <w:rPr>
          <w:rFonts w:hint="eastAsia" w:ascii="楷体" w:hAnsi="楷体" w:eastAsia="楷体" w:cs="Times New Roman"/>
          <w:sz w:val="32"/>
          <w:szCs w:val="32"/>
        </w:rPr>
        <w:t>）</w:t>
      </w:r>
      <w:r>
        <w:rPr>
          <w:rFonts w:hint="eastAsia" w:ascii="楷体" w:eastAsia="楷体"/>
          <w:b/>
          <w:sz w:val="32"/>
          <w:szCs w:val="32"/>
        </w:rPr>
        <w:t>存在的问题和建议</w:t>
      </w:r>
    </w:p>
    <w:p>
      <w:pPr>
        <w:spacing w:line="60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存在</w:t>
      </w:r>
      <w:r>
        <w:rPr>
          <w:rFonts w:hint="default" w:eastAsia="仿宋_GB2312"/>
          <w:sz w:val="32"/>
          <w:szCs w:val="32"/>
          <w:lang w:val="en-US" w:eastAsia="zh-CN"/>
        </w:rPr>
        <w:t>退捕渔民人员分散</w:t>
      </w:r>
      <w:r>
        <w:rPr>
          <w:rFonts w:hint="eastAsia" w:eastAsia="仿宋_GB2312"/>
          <w:sz w:val="32"/>
          <w:szCs w:val="32"/>
          <w:lang w:val="en-US" w:eastAsia="zh-CN"/>
        </w:rPr>
        <w:t>、</w:t>
      </w:r>
      <w:r>
        <w:rPr>
          <w:rFonts w:hint="default" w:eastAsia="仿宋_GB2312"/>
          <w:sz w:val="32"/>
          <w:szCs w:val="32"/>
          <w:lang w:val="en-US" w:eastAsia="zh-CN"/>
        </w:rPr>
        <w:t>文化程度不高、技能单一等</w:t>
      </w:r>
      <w:r>
        <w:rPr>
          <w:rFonts w:hint="eastAsia" w:eastAsia="仿宋_GB2312"/>
          <w:sz w:val="32"/>
          <w:szCs w:val="32"/>
          <w:lang w:val="en-US" w:eastAsia="zh-CN"/>
        </w:rPr>
        <w:t>情况</w:t>
      </w:r>
      <w:r>
        <w:rPr>
          <w:rFonts w:hint="default" w:eastAsia="仿宋_GB2312"/>
          <w:sz w:val="32"/>
          <w:szCs w:val="32"/>
          <w:lang w:val="en-US" w:eastAsia="zh-CN"/>
        </w:rPr>
        <w:t>，</w:t>
      </w:r>
      <w:r>
        <w:rPr>
          <w:rFonts w:hint="eastAsia" w:eastAsia="仿宋_GB2312"/>
          <w:sz w:val="32"/>
          <w:szCs w:val="32"/>
          <w:lang w:val="en-US" w:eastAsia="zh-CN"/>
        </w:rPr>
        <w:t>在落实退捕渔民社保基础上更应该帮助转产就业，</w:t>
      </w:r>
      <w:bookmarkStart w:id="0" w:name="_GoBack"/>
      <w:bookmarkEnd w:id="0"/>
      <w:r>
        <w:rPr>
          <w:rFonts w:hint="default" w:eastAsia="仿宋_GB2312"/>
          <w:sz w:val="32"/>
          <w:szCs w:val="32"/>
          <w:lang w:val="en-US" w:eastAsia="zh-CN"/>
        </w:rPr>
        <w:t>开展职业介绍和职业指导，帮助他们提高求职成功率。</w:t>
      </w:r>
    </w:p>
    <w:p>
      <w:pPr>
        <w:spacing w:line="600" w:lineRule="exact"/>
        <w:ind w:firstLine="640" w:firstLineChars="200"/>
        <w:rPr>
          <w:rFonts w:eastAsia="黑体"/>
          <w:sz w:val="32"/>
          <w:szCs w:val="32"/>
        </w:rPr>
      </w:pPr>
      <w:r>
        <w:rPr>
          <w:rFonts w:eastAsia="黑体"/>
          <w:sz w:val="32"/>
          <w:szCs w:val="32"/>
        </w:rPr>
        <w:t>六、有关建议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仿宋" w:hAnsi="Times New Roman" w:eastAsia="仿宋"/>
          <w:kern w:val="2"/>
          <w:sz w:val="32"/>
          <w:szCs w:val="32"/>
          <w:lang w:val="en-US" w:eastAsia="zh-CN" w:bidi="ar-SA"/>
        </w:rPr>
      </w:pPr>
      <w:r>
        <w:rPr>
          <w:rFonts w:hint="eastAsia" w:ascii="仿宋" w:hAnsi="Times New Roman" w:eastAsia="仿宋"/>
          <w:kern w:val="2"/>
          <w:sz w:val="32"/>
          <w:szCs w:val="32"/>
          <w:lang w:val="en-US" w:eastAsia="zh-CN" w:bidi="ar-SA"/>
        </w:rPr>
        <w:t>1、专项资金绩效评价结果和全过程，作为以后年度本专项资金预算安排的参考依据。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eastAsia="黑体"/>
          <w:sz w:val="32"/>
          <w:szCs w:val="32"/>
        </w:rPr>
      </w:pPr>
      <w:r>
        <w:rPr>
          <w:rFonts w:hint="eastAsia" w:ascii="仿宋" w:hAnsi="Times New Roman" w:eastAsia="仿宋"/>
          <w:kern w:val="2"/>
          <w:sz w:val="32"/>
          <w:szCs w:val="32"/>
          <w:lang w:val="en-US" w:eastAsia="zh-CN" w:bidi="ar-SA"/>
        </w:rPr>
        <w:t>2、专项资金实行相关的制度和办法、绩效评价的全过程公开。</w:t>
      </w:r>
    </w:p>
    <w:p>
      <w:pPr>
        <w:spacing w:line="600" w:lineRule="exact"/>
        <w:ind w:firstLine="640" w:firstLineChars="200"/>
        <w:rPr>
          <w:rFonts w:eastAsia="黑体"/>
          <w:sz w:val="32"/>
          <w:szCs w:val="32"/>
        </w:rPr>
      </w:pPr>
      <w:r>
        <w:rPr>
          <w:rFonts w:eastAsia="黑体"/>
          <w:sz w:val="32"/>
          <w:szCs w:val="32"/>
        </w:rPr>
        <w:t>七、其他需要说明的问题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firstLine="640" w:firstLineChars="200"/>
        <w:jc w:val="both"/>
        <w:rPr>
          <w:rFonts w:hint="eastAsia" w:ascii="仿宋" w:hAnsi="Times New Roman" w:eastAsia="仿宋"/>
          <w:kern w:val="2"/>
          <w:sz w:val="32"/>
          <w:szCs w:val="32"/>
          <w:lang w:val="en-US" w:eastAsia="zh-CN" w:bidi="ar-SA"/>
        </w:rPr>
      </w:pPr>
      <w:r>
        <w:rPr>
          <w:rFonts w:hint="eastAsia" w:ascii="仿宋" w:hAnsi="Times New Roman" w:eastAsia="仿宋"/>
          <w:kern w:val="2"/>
          <w:sz w:val="32"/>
          <w:szCs w:val="32"/>
          <w:lang w:val="en-US" w:eastAsia="zh-CN" w:bidi="ar-SA"/>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pPr>
      <w:r>
        <w:rPr>
          <w:rFonts w:eastAsia="仿宋_GB2312"/>
          <w:sz w:val="32"/>
          <w:szCs w:val="32"/>
        </w:rPr>
        <w:t>2、绩效评价指标评分表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auto"/>
    <w:pitch w:val="default"/>
    <w:sig w:usb0="E0002EFF" w:usb1="C000785B"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1DE63A"/>
    <w:multiLevelType w:val="singleLevel"/>
    <w:tmpl w:val="D81DE63A"/>
    <w:lvl w:ilvl="0" w:tentative="0">
      <w:start w:val="3"/>
      <w:numFmt w:val="decimal"/>
      <w:suff w:val="nothing"/>
      <w:lvlText w:val="%1、"/>
      <w:lvlJc w:val="left"/>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64E1A"/>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3EC2"/>
    <w:rsid w:val="00C25716"/>
    <w:rsid w:val="00C3391C"/>
    <w:rsid w:val="00C344EC"/>
    <w:rsid w:val="00C4552C"/>
    <w:rsid w:val="00C72139"/>
    <w:rsid w:val="00CC4C2C"/>
    <w:rsid w:val="00CD20A2"/>
    <w:rsid w:val="00D10324"/>
    <w:rsid w:val="00E127F9"/>
    <w:rsid w:val="00E50869"/>
    <w:rsid w:val="00E74D9B"/>
    <w:rsid w:val="00F55CD7"/>
    <w:rsid w:val="00FC7FE9"/>
    <w:rsid w:val="07FE44E1"/>
    <w:rsid w:val="08F26634"/>
    <w:rsid w:val="09AF2F45"/>
    <w:rsid w:val="0CF354D0"/>
    <w:rsid w:val="124640EA"/>
    <w:rsid w:val="128F6F99"/>
    <w:rsid w:val="133C4B4F"/>
    <w:rsid w:val="15D24F07"/>
    <w:rsid w:val="160537A6"/>
    <w:rsid w:val="16E3501F"/>
    <w:rsid w:val="1C7301B2"/>
    <w:rsid w:val="1C96546E"/>
    <w:rsid w:val="1D922FD2"/>
    <w:rsid w:val="1E3968D1"/>
    <w:rsid w:val="20973A58"/>
    <w:rsid w:val="21125943"/>
    <w:rsid w:val="230A11ED"/>
    <w:rsid w:val="27F1050C"/>
    <w:rsid w:val="2C2C55B8"/>
    <w:rsid w:val="34B834AB"/>
    <w:rsid w:val="36443D2C"/>
    <w:rsid w:val="370A1AED"/>
    <w:rsid w:val="37BB6CF5"/>
    <w:rsid w:val="37DA0CD3"/>
    <w:rsid w:val="387C6650"/>
    <w:rsid w:val="3B63734B"/>
    <w:rsid w:val="406E0ED5"/>
    <w:rsid w:val="42115A02"/>
    <w:rsid w:val="470651DB"/>
    <w:rsid w:val="49C5784C"/>
    <w:rsid w:val="4AE6101B"/>
    <w:rsid w:val="4B2259D0"/>
    <w:rsid w:val="4F3967BA"/>
    <w:rsid w:val="4F813BEB"/>
    <w:rsid w:val="51BA0269"/>
    <w:rsid w:val="557650C0"/>
    <w:rsid w:val="5701039F"/>
    <w:rsid w:val="57E473D3"/>
    <w:rsid w:val="58E1339B"/>
    <w:rsid w:val="590E6EBA"/>
    <w:rsid w:val="5C6D61F9"/>
    <w:rsid w:val="5CE661D2"/>
    <w:rsid w:val="5D205746"/>
    <w:rsid w:val="5DB412C6"/>
    <w:rsid w:val="607C57DE"/>
    <w:rsid w:val="613E0F46"/>
    <w:rsid w:val="6177576B"/>
    <w:rsid w:val="619A6C4D"/>
    <w:rsid w:val="62414472"/>
    <w:rsid w:val="637B242B"/>
    <w:rsid w:val="63B457EB"/>
    <w:rsid w:val="654C6485"/>
    <w:rsid w:val="65F2748C"/>
    <w:rsid w:val="6BE515D1"/>
    <w:rsid w:val="6C0E278B"/>
    <w:rsid w:val="6DD21D91"/>
    <w:rsid w:val="6DE257EB"/>
    <w:rsid w:val="6FA064C1"/>
    <w:rsid w:val="6FAD30D1"/>
    <w:rsid w:val="77BD2BC5"/>
    <w:rsid w:val="7ACD19AA"/>
    <w:rsid w:val="7B9A5F50"/>
    <w:rsid w:val="7E042F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Emphasis"/>
    <w:basedOn w:val="6"/>
    <w:qFormat/>
    <w:uiPriority w:val="20"/>
    <w:rPr>
      <w:i/>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 w:type="character" w:customStyle="1" w:styleId="11">
    <w:name w:val="NormalCharacter"/>
    <w:qFormat/>
    <w:uiPriority w:val="99"/>
  </w:style>
  <w:style w:type="paragraph" w:customStyle="1" w:styleId="12">
    <w:name w:val="无间隔"/>
    <w:qFormat/>
    <w:uiPriority w:val="0"/>
    <w:pPr>
      <w:widowControl w:val="0"/>
      <w:jc w:val="both"/>
    </w:pPr>
    <w:rPr>
      <w:rFonts w:ascii="Calibri" w:hAnsi="Calibri" w:eastAsia="宋体" w:cs="Times New Roman"/>
      <w:kern w:val="2"/>
      <w:sz w:val="21"/>
      <w:szCs w:val="22"/>
      <w:lang w:val="en-US" w:eastAsia="zh-CN" w:bidi="ar-SA"/>
    </w:rPr>
  </w:style>
  <w:style w:type="character" w:customStyle="1" w:styleId="13">
    <w:name w:val="UserStyle_0"/>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2</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710S</cp:lastModifiedBy>
  <cp:lastPrinted>2021-01-19T01:10:00Z</cp:lastPrinted>
  <dcterms:modified xsi:type="dcterms:W3CDTF">2021-06-27T05:21:48Z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