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根据绩效办2020年对各部门为民办实事和部门重点工程与重点工作考核分数折算。该项得分=（绩效办对应部分考核得分）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填报单位：怀化市碧桂园小学</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51</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50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17.76</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42.15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76.79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3.85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12.65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26.94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3.3</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13.5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10.47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2</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2</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3.71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500" w:lineRule="exact"/>
        <w:jc w:val="center"/>
        <w:rPr>
          <w:rFonts w:ascii="宋体" w:hAnsi="宋体"/>
          <w:b/>
          <w:color w:val="000000"/>
          <w:sz w:val="44"/>
          <w:szCs w:val="44"/>
        </w:rPr>
      </w:pPr>
      <w:r>
        <w:rPr>
          <w:rFonts w:hint="eastAsia" w:ascii="宋体" w:hAnsi="宋体"/>
          <w:b/>
          <w:color w:val="000000"/>
          <w:sz w:val="44"/>
          <w:szCs w:val="44"/>
        </w:rPr>
        <w:t>怀化市碧桂园小学</w:t>
      </w:r>
    </w:p>
    <w:p>
      <w:pPr>
        <w:spacing w:line="600" w:lineRule="exact"/>
        <w:jc w:val="center"/>
        <w:rPr>
          <w:rFonts w:eastAsia="方正小标宋_GBK"/>
          <w:sz w:val="32"/>
          <w:szCs w:val="32"/>
        </w:rPr>
      </w:pPr>
      <w:r>
        <w:rPr>
          <w:rFonts w:eastAsia="方正小标宋_GBK"/>
          <w:sz w:val="36"/>
          <w:szCs w:val="36"/>
        </w:rPr>
        <w:t>部门整体支出绩效评价报告</w:t>
      </w: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ind w:firstLine="640" w:firstLineChars="200"/>
        <w:rPr>
          <w:rFonts w:ascii="仿宋_GB2312" w:hAnsi="Calibri" w:eastAsia="仿宋_GB2312"/>
          <w:sz w:val="32"/>
          <w:szCs w:val="32"/>
        </w:rPr>
      </w:pPr>
      <w:r>
        <w:rPr>
          <w:rFonts w:hint="eastAsia" w:ascii="仿宋_GB2312" w:hAnsi="Calibri" w:eastAsia="仿宋_GB2312"/>
          <w:sz w:val="32"/>
          <w:szCs w:val="32"/>
        </w:rPr>
        <w:t>怀化市碧桂园小学成立于2018年9月，属全额拨款事业单位，怀化市碧桂园小学一个一级部门预算单位，内设6个办公室，分别为办公室、教务处、教研室、总务处、工会、德育处。从事小学教育教学工作。</w:t>
      </w:r>
    </w:p>
    <w:p>
      <w:pPr>
        <w:spacing w:line="500" w:lineRule="exact"/>
        <w:ind w:firstLine="643" w:firstLineChars="200"/>
        <w:jc w:val="left"/>
        <w:outlineLvl w:val="0"/>
        <w:rPr>
          <w:rFonts w:ascii="宋体" w:hAnsi="宋体"/>
          <w:b/>
          <w:color w:val="000000"/>
          <w:sz w:val="32"/>
          <w:szCs w:val="32"/>
        </w:rPr>
      </w:pPr>
      <w:r>
        <w:rPr>
          <w:rFonts w:hint="eastAsia" w:ascii="宋体" w:hAnsi="宋体"/>
          <w:b/>
          <w:color w:val="000000"/>
          <w:sz w:val="32"/>
          <w:szCs w:val="32"/>
        </w:rPr>
        <w:t>部门基本概况：</w:t>
      </w:r>
    </w:p>
    <w:p>
      <w:pPr>
        <w:ind w:firstLine="640" w:firstLineChars="200"/>
        <w:rPr>
          <w:rFonts w:ascii="仿宋_GB2312" w:hAnsi="Calibri" w:eastAsia="仿宋_GB2312"/>
          <w:sz w:val="32"/>
          <w:szCs w:val="32"/>
        </w:rPr>
      </w:pPr>
      <w:r>
        <w:rPr>
          <w:rFonts w:hint="eastAsia" w:ascii="仿宋_GB2312" w:hAnsi="Calibri" w:eastAsia="仿宋_GB2312"/>
          <w:sz w:val="32"/>
          <w:szCs w:val="32"/>
        </w:rPr>
        <w:t>2020年部门预算编报范围包括单位有编制数51，在编51人，领导班子成员人，共有干部职工15人，其中在职51人（自收自支0人）。</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8"/>
        <w:widowControl/>
        <w:spacing w:line="600" w:lineRule="exact"/>
        <w:ind w:left="-14" w:firstLine="809" w:firstLineChars="253"/>
        <w:rPr>
          <w:rFonts w:ascii="仿宋_GB2312" w:eastAsia="仿宋_GB2312"/>
          <w:sz w:val="32"/>
          <w:szCs w:val="32"/>
        </w:rPr>
      </w:pPr>
      <w:r>
        <w:rPr>
          <w:rFonts w:hint="eastAsia" w:ascii="仿宋_GB2312" w:eastAsia="仿宋_GB2312"/>
          <w:sz w:val="32"/>
          <w:szCs w:val="32"/>
        </w:rPr>
        <w:t>2020年年初预算数为</w:t>
      </w:r>
      <w:r>
        <w:rPr>
          <w:rFonts w:hint="eastAsia" w:ascii="仿宋" w:hAnsi="仿宋" w:eastAsia="仿宋"/>
          <w:sz w:val="32"/>
          <w:szCs w:val="32"/>
        </w:rPr>
        <w:t>757.54</w:t>
      </w:r>
      <w:r>
        <w:rPr>
          <w:rFonts w:hint="eastAsia" w:ascii="仿宋_GB2312" w:eastAsia="仿宋_GB2312"/>
          <w:sz w:val="32"/>
          <w:szCs w:val="32"/>
        </w:rPr>
        <w:t>万元，包括用于基本工资、津贴补贴等人员经费以及办公费、印刷费、水电费、物业管理费等日常公用经费。</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8"/>
        <w:widowControl/>
        <w:spacing w:line="600" w:lineRule="exact"/>
        <w:ind w:left="-14" w:firstLine="784" w:firstLineChars="245"/>
        <w:jc w:val="left"/>
        <w:rPr>
          <w:rFonts w:ascii="仿宋_GB2312" w:eastAsia="仿宋_GB2312"/>
          <w:sz w:val="32"/>
          <w:szCs w:val="32"/>
        </w:rPr>
      </w:pPr>
      <w:r>
        <w:rPr>
          <w:rFonts w:hint="eastAsia" w:ascii="仿宋_GB2312" w:eastAsia="仿宋_GB2312"/>
          <w:sz w:val="32"/>
          <w:szCs w:val="32"/>
        </w:rPr>
        <w:t>2020年年初预算数为4.968万元，碧桂园小学聘请2名保安的全年工资4.968万元。</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三、政府性基金</w:t>
      </w:r>
      <w:r>
        <w:rPr>
          <w:rFonts w:ascii="Times New Roman" w:hAnsi="Times New Roman" w:eastAsia="黑体"/>
          <w:sz w:val="32"/>
          <w:szCs w:val="32"/>
        </w:rPr>
        <w:t>预算支出情况</w:t>
      </w:r>
    </w:p>
    <w:p>
      <w:pPr>
        <w:spacing w:line="500" w:lineRule="exact"/>
        <w:ind w:firstLine="645"/>
        <w:rPr>
          <w:rFonts w:ascii="仿宋_GB2312" w:hAnsi="Calibri" w:eastAsia="仿宋_GB2312"/>
          <w:sz w:val="32"/>
          <w:szCs w:val="32"/>
        </w:rPr>
      </w:pPr>
      <w:r>
        <w:rPr>
          <w:rFonts w:hint="eastAsia" w:ascii="仿宋_GB2312" w:hAnsi="Calibri" w:eastAsia="仿宋_GB2312"/>
          <w:sz w:val="32"/>
          <w:szCs w:val="32"/>
        </w:rPr>
        <w:t>2020年我校无政府采购。</w:t>
      </w:r>
    </w:p>
    <w:p>
      <w:pPr>
        <w:pStyle w:val="8"/>
        <w:widowControl/>
        <w:spacing w:line="600" w:lineRule="exact"/>
        <w:ind w:left="640" w:firstLine="0" w:firstLineChars="0"/>
        <w:jc w:val="left"/>
        <w:rPr>
          <w:rFonts w:ascii="Times New Roman" w:hAnsi="Times New Roman" w:eastAsia="黑体"/>
          <w:sz w:val="32"/>
          <w:szCs w:val="32"/>
        </w:rPr>
      </w:pP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spacing w:line="500" w:lineRule="exact"/>
        <w:ind w:firstLine="645"/>
        <w:rPr>
          <w:rFonts w:ascii="仿宋_GB2312" w:hAnsi="Calibri" w:eastAsia="仿宋_GB2312"/>
          <w:sz w:val="32"/>
          <w:szCs w:val="32"/>
        </w:rPr>
      </w:pPr>
      <w:r>
        <w:rPr>
          <w:rFonts w:hint="eastAsia" w:ascii="仿宋_GB2312" w:hAnsi="Calibri" w:eastAsia="仿宋_GB2312"/>
          <w:sz w:val="32"/>
          <w:szCs w:val="32"/>
        </w:rPr>
        <w:t>2020年我校无</w:t>
      </w:r>
      <w:r>
        <w:rPr>
          <w:rFonts w:ascii="仿宋_GB2312" w:hAnsi="Calibri" w:eastAsia="仿宋_GB2312"/>
          <w:sz w:val="32"/>
          <w:szCs w:val="32"/>
        </w:rPr>
        <w:t>国有资本经营</w:t>
      </w:r>
      <w:r>
        <w:rPr>
          <w:rFonts w:hint="eastAsia" w:ascii="仿宋_GB2312" w:hAnsi="Calibri" w:eastAsia="仿宋_GB2312"/>
          <w:sz w:val="32"/>
          <w:szCs w:val="32"/>
        </w:rPr>
        <w:t>。</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widowControl/>
        <w:spacing w:line="600" w:lineRule="exact"/>
        <w:ind w:firstLine="645"/>
        <w:jc w:val="left"/>
        <w:rPr>
          <w:rFonts w:ascii="仿宋_GB2312" w:hAnsi="Calibri" w:eastAsia="仿宋_GB2312"/>
          <w:sz w:val="32"/>
          <w:szCs w:val="32"/>
        </w:rPr>
      </w:pPr>
      <w:r>
        <w:rPr>
          <w:rFonts w:ascii="仿宋_GB2312" w:hAnsi="Calibri" w:eastAsia="仿宋_GB2312"/>
          <w:sz w:val="32"/>
          <w:szCs w:val="32"/>
        </w:rPr>
        <w:t>社会保险基金预算</w:t>
      </w:r>
      <w:r>
        <w:rPr>
          <w:rFonts w:hint="eastAsia" w:ascii="仿宋_GB2312" w:hAnsi="Calibri" w:eastAsia="仿宋_GB2312"/>
          <w:sz w:val="32"/>
          <w:szCs w:val="32"/>
        </w:rPr>
        <w:t>一共71.84万,其中基本养老保险缴费</w:t>
      </w:r>
      <w:r>
        <w:rPr>
          <w:rFonts w:hint="eastAsia" w:ascii="仿宋" w:hAnsi="仿宋" w:eastAsia="仿宋"/>
          <w:sz w:val="32"/>
          <w:szCs w:val="32"/>
        </w:rPr>
        <w:t>47.89</w:t>
      </w:r>
      <w:r>
        <w:rPr>
          <w:rFonts w:hint="eastAsia" w:ascii="仿宋_GB2312" w:hAnsi="Calibri" w:eastAsia="仿宋_GB2312"/>
          <w:sz w:val="32"/>
          <w:szCs w:val="32"/>
        </w:rPr>
        <w:t>万,职工基本医疗保险缴费</w:t>
      </w:r>
      <w:r>
        <w:rPr>
          <w:rFonts w:hint="eastAsia" w:ascii="仿宋" w:hAnsi="仿宋" w:eastAsia="仿宋"/>
          <w:sz w:val="32"/>
          <w:szCs w:val="32"/>
        </w:rPr>
        <w:t>23.95</w:t>
      </w:r>
      <w:r>
        <w:rPr>
          <w:rFonts w:hint="eastAsia" w:ascii="仿宋_GB2312" w:hAnsi="Calibri" w:eastAsia="仿宋_GB2312"/>
          <w:sz w:val="32"/>
          <w:szCs w:val="32"/>
        </w:rPr>
        <w:t>万,其他社会保障缴费</w:t>
      </w:r>
      <w:r>
        <w:rPr>
          <w:rFonts w:hint="eastAsia" w:ascii="仿宋" w:hAnsi="仿宋" w:eastAsia="仿宋"/>
          <w:sz w:val="32"/>
          <w:szCs w:val="32"/>
        </w:rPr>
        <w:t>4.13</w:t>
      </w:r>
      <w:r>
        <w:rPr>
          <w:rFonts w:hint="eastAsia" w:ascii="仿宋_GB2312" w:hAnsi="Calibri" w:eastAsia="仿宋_GB2312"/>
          <w:sz w:val="32"/>
          <w:szCs w:val="32"/>
        </w:rPr>
        <w:t>万。</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500" w:lineRule="auto"/>
        <w:ind w:firstLine="640" w:firstLineChars="200"/>
        <w:jc w:val="left"/>
        <w:rPr>
          <w:rFonts w:ascii="仿宋_GB2312" w:eastAsia="仿宋_GB2312"/>
          <w:sz w:val="32"/>
          <w:szCs w:val="32"/>
        </w:rPr>
      </w:pPr>
      <w:r>
        <w:rPr>
          <w:rFonts w:hint="eastAsia" w:eastAsia="仿宋_GB2312"/>
          <w:sz w:val="32"/>
          <w:szCs w:val="32"/>
        </w:rPr>
        <w:t>按照我区预算绩效管理工作的总体要求，</w:t>
      </w:r>
      <w:r>
        <w:rPr>
          <w:rFonts w:hint="eastAsia" w:ascii="仿宋_GB2312" w:eastAsia="仿宋_GB2312"/>
          <w:sz w:val="32"/>
          <w:szCs w:val="32"/>
        </w:rPr>
        <w:t>2020年我单位整体支出</w:t>
      </w:r>
      <w:r>
        <w:rPr>
          <w:rFonts w:hint="eastAsia" w:ascii="仿宋" w:hAnsi="仿宋" w:eastAsia="仿宋"/>
          <w:sz w:val="32"/>
          <w:szCs w:val="32"/>
        </w:rPr>
        <w:t>757.54</w:t>
      </w:r>
      <w:r>
        <w:rPr>
          <w:rFonts w:hint="eastAsia" w:ascii="仿宋_GB2312" w:eastAsia="仿宋_GB2312"/>
          <w:sz w:val="32"/>
          <w:szCs w:val="32"/>
        </w:rPr>
        <w:t>万元，全部实行整体支出绩效目标管理，编报绩效目标的项目1个，涉及项目支出4.968万元，其中专项业务费用类项目0个，共0万元，基本建设类项目0个，共0万元，对个人和家庭补助类项目1个，共4.968万元，产业发展引导类项目0个，共0万元，全部实行项目支出绩效目标管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2020年我校申报的项目共1个，为校园安保费用。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校园安保项目，年度绩效目标为确保学校的正常运行，维护校园安全，保障各项工作的实现。</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1、存在的不足：我校财务人员因岗位限制而不得不兼负繁重的教学任务，亦非专业出身的财务人员，对新的财务专业知识仍然处在摸索阶段，专业不精，有待进一步加强学习。</w:t>
      </w:r>
    </w:p>
    <w:p>
      <w:pPr>
        <w:ind w:left="361" w:firstLine="320" w:firstLineChars="100"/>
        <w:rPr>
          <w:rFonts w:ascii="仿宋_GB2312" w:hAnsi="Calibri" w:eastAsia="仿宋_GB2312"/>
          <w:sz w:val="32"/>
          <w:szCs w:val="32"/>
        </w:rPr>
      </w:pPr>
      <w:r>
        <w:rPr>
          <w:rFonts w:hint="eastAsia" w:ascii="仿宋_GB2312" w:hAnsi="Calibri" w:eastAsia="仿宋_GB2312"/>
          <w:sz w:val="32"/>
          <w:szCs w:val="32"/>
        </w:rPr>
        <w:t>2、专业知识储备不够,自身财务操作有待提高。</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0" w:firstLineChars="200"/>
        <w:jc w:val="left"/>
        <w:rPr>
          <w:rFonts w:ascii="仿宋_GB2312" w:hAnsi="Calibri" w:eastAsia="仿宋_GB2312"/>
          <w:sz w:val="32"/>
          <w:szCs w:val="32"/>
        </w:rPr>
      </w:pPr>
      <w:r>
        <w:rPr>
          <w:rFonts w:hint="eastAsia" w:ascii="仿宋_GB2312" w:hAnsi="Calibri" w:eastAsia="仿宋_GB2312"/>
          <w:sz w:val="32"/>
          <w:szCs w:val="32"/>
        </w:rPr>
        <w:t>加强自身业务培训。</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r>
        <w:rPr>
          <w:rFonts w:hint="eastAsia" w:ascii="仿宋_GB2312" w:hAnsi="Calibri" w:eastAsia="仿宋_GB2312"/>
          <w:sz w:val="32"/>
          <w:szCs w:val="32"/>
        </w:rPr>
        <w:t>无。</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rPr>
          <w:rFonts w:eastAsia="仿宋_GB2312"/>
          <w:sz w:val="32"/>
          <w:szCs w:val="32"/>
        </w:rPr>
      </w:pPr>
      <w:r>
        <w:rPr>
          <w:rFonts w:eastAsia="仿宋_GB2312"/>
          <w:sz w:val="32"/>
          <w:szCs w:val="32"/>
        </w:rPr>
        <w:br w:type="page"/>
      </w: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tbl>
    <w:p>
      <w:pPr>
        <w:widowControl/>
        <w:spacing w:line="600" w:lineRule="exact"/>
        <w:ind w:firstLine="420" w:firstLineChars="200"/>
        <w:jc w:val="left"/>
        <w:rPr>
          <w:rFonts w:eastAsia="仿宋_GB2312"/>
          <w:sz w:val="32"/>
          <w:szCs w:val="32"/>
        </w:rPr>
      </w:pPr>
      <w:r>
        <w:br w:type="page"/>
      </w:r>
    </w:p>
    <w:tbl>
      <w:tblPr>
        <w:tblStyle w:val="4"/>
        <w:tblW w:w="9999" w:type="dxa"/>
        <w:jc w:val="center"/>
        <w:tblLayout w:type="autofit"/>
        <w:tblCellMar>
          <w:top w:w="0" w:type="dxa"/>
          <w:left w:w="108" w:type="dxa"/>
          <w:bottom w:w="0" w:type="dxa"/>
          <w:right w:w="108" w:type="dxa"/>
        </w:tblCellMar>
      </w:tblPr>
      <w:tblGrid>
        <w:gridCol w:w="1135"/>
        <w:gridCol w:w="992"/>
        <w:gridCol w:w="1261"/>
        <w:gridCol w:w="1500"/>
        <w:gridCol w:w="858"/>
        <w:gridCol w:w="1134"/>
        <w:gridCol w:w="828"/>
        <w:gridCol w:w="873"/>
        <w:gridCol w:w="1418"/>
      </w:tblGrid>
      <w:tr>
        <w:tblPrEx>
          <w:tblCellMar>
            <w:top w:w="0" w:type="dxa"/>
            <w:left w:w="108" w:type="dxa"/>
            <w:bottom w:w="0" w:type="dxa"/>
            <w:right w:w="108" w:type="dxa"/>
          </w:tblCellMar>
        </w:tblPrEx>
        <w:trPr>
          <w:trHeight w:val="850" w:hRule="atLeast"/>
          <w:jc w:val="center"/>
        </w:trPr>
        <w:tc>
          <w:tcPr>
            <w:tcW w:w="9999" w:type="dxa"/>
            <w:gridSpan w:val="9"/>
            <w:tcBorders>
              <w:top w:val="nil"/>
              <w:left w:val="nil"/>
              <w:bottom w:val="nil"/>
              <w:right w:val="nil"/>
            </w:tcBorders>
            <w:shd w:val="clear" w:color="auto" w:fill="auto"/>
            <w:noWrap/>
            <w:vAlign w:val="center"/>
          </w:tcPr>
          <w:p>
            <w:pPr>
              <w:spacing w:line="600" w:lineRule="exact"/>
              <w:rPr>
                <w:rFonts w:eastAsia="黑体"/>
                <w:sz w:val="32"/>
                <w:szCs w:val="32"/>
              </w:rPr>
            </w:pPr>
            <w:r>
              <w:rPr>
                <w:rFonts w:eastAsia="黑体"/>
                <w:sz w:val="32"/>
                <w:szCs w:val="32"/>
              </w:rPr>
              <w:t>附件</w:t>
            </w:r>
            <w:r>
              <w:rPr>
                <w:rFonts w:hint="eastAsia" w:eastAsia="黑体"/>
                <w:sz w:val="32"/>
                <w:szCs w:val="32"/>
              </w:rPr>
              <w:t>4-2</w:t>
            </w: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2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专项业务费用类</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怀化市鹤城区教育局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怀化市</w:t>
            </w:r>
            <w:r>
              <w:rPr>
                <w:rFonts w:hint="eastAsia" w:eastAsia="仿宋_GB2312"/>
                <w:color w:val="000000"/>
                <w:kern w:val="0"/>
                <w:szCs w:val="21"/>
              </w:rPr>
              <w:t>碧桂园小学</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472"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4.968</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4.968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4.968</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r>
      <w:tr>
        <w:tblPrEx>
          <w:tblCellMar>
            <w:top w:w="0" w:type="dxa"/>
            <w:left w:w="108" w:type="dxa"/>
            <w:bottom w:w="0" w:type="dxa"/>
            <w:right w:w="108" w:type="dxa"/>
          </w:tblCellMar>
        </w:tblPrEx>
        <w:trPr>
          <w:trHeight w:val="328"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按计划高标准完成2020年度学生营养餐正常进行，确保保安的工资发放及校园的安全。</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高标准完成2020年度学生营养餐正常进行，确保保安的工资发放及校园的安全。</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70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保安</w:t>
            </w:r>
            <w:r>
              <w:rPr>
                <w:rFonts w:eastAsia="仿宋_GB2312"/>
                <w:color w:val="000000"/>
                <w:kern w:val="0"/>
                <w:szCs w:val="21"/>
              </w:rPr>
              <w:t>人数</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校园安全率</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62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工资发放及时性</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47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保安工资</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4.96</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4.96</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908"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（30分）</w:t>
            </w:r>
          </w:p>
          <w:p>
            <w:pPr>
              <w:spacing w:line="320" w:lineRule="exact"/>
              <w:jc w:val="center"/>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带动社会经济发展贡献率100%</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学校教学工作的正常开展，校园安全得到保障率100%</w:t>
            </w:r>
          </w:p>
        </w:tc>
        <w:tc>
          <w:tcPr>
            <w:tcW w:w="85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校园安全开展持续保障率</w:t>
            </w:r>
          </w:p>
        </w:tc>
        <w:tc>
          <w:tcPr>
            <w:tcW w:w="8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10</w:t>
            </w:r>
            <w:r>
              <w:rPr>
                <w:rFonts w:eastAsia="仿宋_GB2312"/>
                <w:color w:val="000000"/>
                <w:kern w:val="0"/>
                <w:szCs w:val="21"/>
              </w:rPr>
              <w:t>分）</w:t>
            </w: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50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保安人员满意度</w:t>
            </w:r>
          </w:p>
        </w:tc>
        <w:tc>
          <w:tcPr>
            <w:tcW w:w="85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学校的管理制度还需进一步完善</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bl>
    <w:p>
      <w:pPr>
        <w:rPr>
          <w:rFonts w:eastAsia="仿宋_GB2312"/>
          <w:sz w:val="24"/>
        </w:rPr>
      </w:pPr>
      <w:r>
        <w:rPr>
          <w:rFonts w:eastAsia="仿宋_GB2312"/>
          <w:sz w:val="24"/>
        </w:rPr>
        <w:t>填表人：</w:t>
      </w:r>
      <w:r>
        <w:rPr>
          <w:rFonts w:hint="eastAsia" w:eastAsia="仿宋_GB2312"/>
          <w:sz w:val="24"/>
        </w:rPr>
        <w:t>关洪</w:t>
      </w:r>
      <w:r>
        <w:rPr>
          <w:rFonts w:eastAsia="仿宋_GB2312"/>
          <w:sz w:val="24"/>
        </w:rPr>
        <w:t xml:space="preserve">     填报日期：</w:t>
      </w:r>
      <w:r>
        <w:rPr>
          <w:rFonts w:hint="eastAsia" w:eastAsia="仿宋_GB2312"/>
          <w:sz w:val="24"/>
        </w:rPr>
        <w:t>2021年6月21日</w:t>
      </w:r>
      <w:r>
        <w:rPr>
          <w:rFonts w:eastAsia="仿宋_GB2312"/>
          <w:sz w:val="24"/>
        </w:rPr>
        <w:t xml:space="preserve">   联系电话：</w:t>
      </w:r>
      <w:r>
        <w:rPr>
          <w:rFonts w:hint="eastAsia" w:eastAsia="仿宋_GB2312"/>
          <w:sz w:val="24"/>
        </w:rPr>
        <w:t>15074773958</w:t>
      </w:r>
      <w:r>
        <w:rPr>
          <w:rFonts w:eastAsia="仿宋_GB2312"/>
          <w:sz w:val="24"/>
        </w:rPr>
        <w:t xml:space="preserve">       单位负责人签字：</w:t>
      </w:r>
      <w:r>
        <w:rPr>
          <w:rFonts w:hint="eastAsia" w:eastAsia="仿宋_GB2312"/>
          <w:sz w:val="24"/>
        </w:rPr>
        <w:t>曾莹</w:t>
      </w:r>
    </w:p>
    <w:p>
      <w:pPr>
        <w:rPr>
          <w:rFonts w:eastAsia="仿宋_GB2312"/>
          <w:sz w:val="24"/>
        </w:rPr>
      </w:pPr>
      <w:r>
        <w:rPr>
          <w:rFonts w:eastAsia="仿宋_GB2312"/>
          <w:sz w:val="24"/>
        </w:rPr>
        <w:br w:type="page"/>
      </w:r>
      <w:bookmarkStart w:id="0" w:name="_GoBack"/>
      <w:bookmarkEnd w:id="0"/>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方正小标宋_GBK"/>
          <w:sz w:val="36"/>
          <w:szCs w:val="36"/>
        </w:rPr>
      </w:pPr>
    </w:p>
    <w:p>
      <w:pPr>
        <w:pStyle w:val="8"/>
        <w:numPr>
          <w:ilvl w:val="0"/>
          <w:numId w:val="6"/>
        </w:numPr>
        <w:spacing w:line="600" w:lineRule="exact"/>
        <w:ind w:firstLineChars="0"/>
        <w:rPr>
          <w:rFonts w:asciiTheme="minorEastAsia" w:hAnsiTheme="minorEastAsia" w:eastAsiaTheme="minorEastAsia"/>
          <w:sz w:val="28"/>
          <w:szCs w:val="28"/>
        </w:rPr>
      </w:pPr>
      <w:r>
        <w:rPr>
          <w:rFonts w:asciiTheme="minorEastAsia" w:hAnsiTheme="minorEastAsia" w:eastAsiaTheme="minorEastAsia"/>
          <w:sz w:val="28"/>
          <w:szCs w:val="28"/>
        </w:rPr>
        <w:t>预算支出基本情况</w:t>
      </w:r>
    </w:p>
    <w:p>
      <w:pPr>
        <w:pStyle w:val="9"/>
        <w:rPr>
          <w:rFonts w:asciiTheme="minorEastAsia" w:hAnsiTheme="minorEastAsia" w:eastAsiaTheme="minorEastAsia"/>
          <w:sz w:val="28"/>
          <w:szCs w:val="28"/>
        </w:rPr>
      </w:pPr>
      <w:r>
        <w:rPr>
          <w:rFonts w:asciiTheme="minorEastAsia" w:hAnsiTheme="minorEastAsia" w:eastAsiaTheme="minorEastAsia"/>
          <w:sz w:val="28"/>
          <w:szCs w:val="28"/>
        </w:rPr>
        <w:t>（一）预算支出概况。</w:t>
      </w:r>
    </w:p>
    <w:p>
      <w:pPr>
        <w:pStyle w:val="9"/>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2020年度怀化市碧桂园小学</w:t>
      </w:r>
      <w:r>
        <w:rPr>
          <w:rFonts w:asciiTheme="minorEastAsia" w:hAnsiTheme="minorEastAsia" w:eastAsiaTheme="minorEastAsia"/>
          <w:sz w:val="28"/>
          <w:szCs w:val="28"/>
        </w:rPr>
        <w:t>预算</w:t>
      </w:r>
      <w:r>
        <w:rPr>
          <w:rFonts w:hint="eastAsia" w:asciiTheme="minorEastAsia" w:hAnsiTheme="minorEastAsia" w:eastAsiaTheme="minorEastAsia"/>
          <w:sz w:val="28"/>
          <w:szCs w:val="28"/>
        </w:rPr>
        <w:t>支出</w:t>
      </w:r>
      <w:r>
        <w:rPr>
          <w:rFonts w:hint="eastAsia" w:ascii="仿宋" w:hAnsi="仿宋" w:eastAsia="仿宋"/>
          <w:sz w:val="32"/>
          <w:szCs w:val="32"/>
        </w:rPr>
        <w:t>757.54</w:t>
      </w:r>
      <w:r>
        <w:rPr>
          <w:rFonts w:hint="eastAsia" w:asciiTheme="minorEastAsia" w:hAnsiTheme="minorEastAsia" w:eastAsiaTheme="minorEastAsia"/>
          <w:sz w:val="28"/>
          <w:szCs w:val="28"/>
        </w:rPr>
        <w:t>万元，其中：人员经费</w:t>
      </w:r>
      <w:r>
        <w:rPr>
          <w:rFonts w:hint="eastAsia" w:ascii="仿宋" w:hAnsi="仿宋" w:eastAsia="仿宋"/>
          <w:sz w:val="32"/>
          <w:szCs w:val="32"/>
        </w:rPr>
        <w:t>498.41</w:t>
      </w:r>
      <w:r>
        <w:rPr>
          <w:rFonts w:hint="eastAsia" w:asciiTheme="minorEastAsia" w:hAnsiTheme="minorEastAsia" w:eastAsiaTheme="minorEastAsia"/>
          <w:sz w:val="28"/>
          <w:szCs w:val="28"/>
        </w:rPr>
        <w:t>万元，占基本支出的65.79%,主要包括基本工资、津贴补贴、奖金、机关事业单位基本养老保险费、职工基本医疗保险缴费、其他社会保障缴费、住房公积金、其他工资福利支出、离休费、抚恤金、生活补助、医疗费补助、奖励金、其他对个人和家庭的补助；公用经费</w:t>
      </w:r>
      <w:r>
        <w:rPr>
          <w:rFonts w:hint="eastAsia" w:ascii="仿宋" w:hAnsi="仿宋" w:eastAsia="仿宋"/>
          <w:sz w:val="32"/>
          <w:szCs w:val="32"/>
        </w:rPr>
        <w:t>250.44</w:t>
      </w:r>
      <w:r>
        <w:rPr>
          <w:rFonts w:hint="eastAsia" w:asciiTheme="minorEastAsia" w:hAnsiTheme="minorEastAsia" w:eastAsiaTheme="minorEastAsia"/>
          <w:sz w:val="28"/>
          <w:szCs w:val="28"/>
        </w:rPr>
        <w:t>万元，占基本支出的33.05%，主要包括办公费、印刷费、手续费、水费、电费、邮电费、差旅费、工会经费、福利费、其他商品和服务支出（伙食费及课后服务费）；项目经费4.968万元，占项目支出的100%，主要包括保安工资等。</w:t>
      </w:r>
    </w:p>
    <w:p>
      <w:pPr>
        <w:pStyle w:val="9"/>
        <w:rPr>
          <w:rFonts w:asciiTheme="minorEastAsia" w:hAnsiTheme="minorEastAsia" w:eastAsiaTheme="minorEastAsia"/>
          <w:sz w:val="28"/>
          <w:szCs w:val="28"/>
        </w:rPr>
      </w:pPr>
      <w:r>
        <w:rPr>
          <w:rFonts w:asciiTheme="minorEastAsia" w:hAnsiTheme="minorEastAsia" w:eastAsiaTheme="minorEastAsia"/>
          <w:sz w:val="28"/>
          <w:szCs w:val="28"/>
        </w:rPr>
        <w:t>（二）预算资金使用管理情况。</w:t>
      </w:r>
    </w:p>
    <w:p>
      <w:pPr>
        <w:pStyle w:val="9"/>
        <w:ind w:firstLine="420" w:firstLineChars="150"/>
        <w:rPr>
          <w:rFonts w:asciiTheme="minorEastAsia" w:hAnsiTheme="minorEastAsia" w:eastAsiaTheme="minorEastAsia"/>
          <w:sz w:val="28"/>
          <w:szCs w:val="28"/>
        </w:rPr>
      </w:pPr>
      <w:r>
        <w:rPr>
          <w:rFonts w:hint="eastAsia" w:asciiTheme="minorEastAsia" w:hAnsiTheme="minorEastAsia" w:eastAsiaTheme="minorEastAsia"/>
          <w:sz w:val="28"/>
          <w:szCs w:val="28"/>
        </w:rPr>
        <w:t>学校严格按照预算执行。在收到财政下达的各类款项后，按照资金的用途使用，支出总额控制在预算总额以内，按照预算执行进度，及时支付。</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（三）预算支出绩效目标完成程度。</w:t>
      </w:r>
    </w:p>
    <w:p>
      <w:pPr>
        <w:spacing w:line="600" w:lineRule="exact"/>
        <w:ind w:firstLine="560" w:firstLineChars="200"/>
        <w:rPr>
          <w:rFonts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2020年度财政拨款支出年初预算数为</w:t>
      </w:r>
      <w:r>
        <w:rPr>
          <w:rFonts w:ascii="仿宋" w:hAnsi="仿宋" w:eastAsia="仿宋"/>
          <w:sz w:val="32"/>
          <w:szCs w:val="32"/>
        </w:rPr>
        <w:t>757.54</w:t>
      </w:r>
      <w:r>
        <w:rPr>
          <w:rFonts w:hint="eastAsia" w:asciiTheme="minorEastAsia" w:hAnsiTheme="minorEastAsia" w:eastAsiaTheme="minorEastAsia"/>
          <w:color w:val="000000" w:themeColor="text1"/>
          <w:sz w:val="28"/>
          <w:szCs w:val="28"/>
        </w:rPr>
        <w:t>万元，支出决算数为</w:t>
      </w:r>
      <w:r>
        <w:rPr>
          <w:rFonts w:hint="eastAsia" w:ascii="宋体" w:hAnsi="宋体" w:cs="Arial" w:eastAsiaTheme="minorEastAsia"/>
          <w:sz w:val="32"/>
          <w:szCs w:val="32"/>
        </w:rPr>
        <w:t>695.31</w:t>
      </w:r>
      <w:r>
        <w:rPr>
          <w:rFonts w:hint="eastAsia" w:asciiTheme="minorEastAsia" w:hAnsiTheme="minorEastAsia" w:eastAsiaTheme="minorEastAsia"/>
          <w:color w:val="000000" w:themeColor="text1"/>
          <w:sz w:val="28"/>
          <w:szCs w:val="28"/>
        </w:rPr>
        <w:t>万元</w:t>
      </w:r>
      <w:r>
        <w:rPr>
          <w:rFonts w:asciiTheme="minorEastAsia" w:hAnsiTheme="minorEastAsia" w:eastAsiaTheme="minorEastAsia"/>
          <w:color w:val="000000" w:themeColor="text1"/>
          <w:sz w:val="28"/>
          <w:szCs w:val="28"/>
        </w:rPr>
        <w:t>.</w:t>
      </w:r>
      <w:r>
        <w:rPr>
          <w:rFonts w:hint="eastAsia" w:asciiTheme="minorEastAsia" w:hAnsiTheme="minorEastAsia" w:eastAsiaTheme="minorEastAsia"/>
          <w:color w:val="000000" w:themeColor="text1"/>
          <w:sz w:val="28"/>
          <w:szCs w:val="28"/>
        </w:rPr>
        <w:t xml:space="preserve"> 完成年初预算的91%</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二</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绩效评价工作情况</w:t>
      </w:r>
    </w:p>
    <w:p>
      <w:pPr>
        <w:spacing w:line="6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学校在预算执行和支出绩效方面，都按照规定严格执行，合理安排支出，无追加预算现象发生，使财政资金发挥最大效益。</w:t>
      </w:r>
    </w:p>
    <w:p>
      <w:pPr>
        <w:spacing w:line="6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三  </w:t>
      </w:r>
      <w:r>
        <w:rPr>
          <w:rFonts w:asciiTheme="minorEastAsia" w:hAnsiTheme="minorEastAsia" w:eastAsiaTheme="minorEastAsia"/>
          <w:sz w:val="28"/>
          <w:szCs w:val="28"/>
        </w:rPr>
        <w:t>预算支出主要绩效及评价结论</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怀化市碧桂园小学2020年整体支出基本符合财务管理制度和会计核算要求，财政资金的投入，对学校完成义务教育，促进基础教育发展，起到了保障作用。</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四、绩效评价指标分析</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（一）预算支出决策情况</w:t>
      </w:r>
      <w:r>
        <w:rPr>
          <w:rFonts w:hint="eastAsia" w:asciiTheme="minorEastAsia" w:hAnsiTheme="minorEastAsia" w:eastAsiaTheme="minorEastAsia"/>
          <w:sz w:val="28"/>
          <w:szCs w:val="28"/>
        </w:rPr>
        <w:t xml:space="preserve">  </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严格执行相关法律法规及项目管理制度，项目公示制。</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（二）预算执行过程情况</w:t>
      </w:r>
    </w:p>
    <w:p>
      <w:pPr>
        <w:spacing w:line="6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强化绩效理念，提高财政资金使用效益，在预算执行中严格接受财政部门的监管。</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（三）预算支出产出情况</w:t>
      </w:r>
    </w:p>
    <w:p>
      <w:pPr>
        <w:spacing w:line="600" w:lineRule="exact"/>
        <w:ind w:firstLine="700" w:firstLineChars="250"/>
        <w:jc w:val="left"/>
        <w:rPr>
          <w:rFonts w:asciiTheme="minorEastAsia" w:hAnsiTheme="minorEastAsia" w:eastAsiaTheme="minorEastAsia"/>
          <w:kern w:val="0"/>
          <w:sz w:val="28"/>
          <w:szCs w:val="28"/>
        </w:rPr>
      </w:pPr>
      <w:r>
        <w:rPr>
          <w:rFonts w:hint="eastAsia" w:cs="仿宋" w:asciiTheme="minorEastAsia" w:hAnsiTheme="minorEastAsia" w:eastAsiaTheme="minorEastAsia"/>
          <w:sz w:val="28"/>
          <w:szCs w:val="28"/>
        </w:rPr>
        <w:t>全面贯彻党的教育方针，落实九年义务教育各项政策，保障学生受教育的各项权利，维护教师职工各项权益。</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（四）预算支出效益情况</w:t>
      </w:r>
    </w:p>
    <w:p>
      <w:pPr>
        <w:spacing w:line="600" w:lineRule="exact"/>
        <w:ind w:firstLine="840" w:firstLineChars="300"/>
        <w:rPr>
          <w:rFonts w:asciiTheme="minorEastAsia" w:hAnsiTheme="minorEastAsia" w:eastAsiaTheme="minorEastAsia"/>
          <w:sz w:val="28"/>
          <w:szCs w:val="28"/>
        </w:rPr>
      </w:pPr>
      <w:r>
        <w:rPr>
          <w:rFonts w:asciiTheme="minorEastAsia" w:hAnsiTheme="minorEastAsia" w:eastAsiaTheme="minorEastAsia"/>
          <w:color w:val="333333"/>
          <w:sz w:val="28"/>
          <w:szCs w:val="28"/>
        </w:rPr>
        <w:t>改善</w:t>
      </w:r>
      <w:r>
        <w:rPr>
          <w:rFonts w:hint="eastAsia" w:asciiTheme="minorEastAsia" w:hAnsiTheme="minorEastAsia" w:eastAsiaTheme="minorEastAsia"/>
          <w:color w:val="333333"/>
          <w:sz w:val="28"/>
          <w:szCs w:val="28"/>
        </w:rPr>
        <w:t>了</w:t>
      </w:r>
      <w:r>
        <w:rPr>
          <w:rFonts w:asciiTheme="minorEastAsia" w:hAnsiTheme="minorEastAsia" w:eastAsiaTheme="minorEastAsia"/>
          <w:color w:val="333333"/>
          <w:sz w:val="28"/>
          <w:szCs w:val="28"/>
        </w:rPr>
        <w:t>我校的办学条件，为更多的学生创造良好的学习环境，也将进一步提高我校教学质量，促进教育事业的发展，产生更好的社会效应，做到学生满意，人民群众满意。</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五、主要经验及做法、存在的问题及原因分析</w:t>
      </w:r>
    </w:p>
    <w:p>
      <w:pPr>
        <w:spacing w:line="700" w:lineRule="exact"/>
        <w:ind w:left="420" w:leftChars="200"/>
        <w:rPr>
          <w:rFonts w:cs="仿宋_GB2312" w:asciiTheme="minorEastAsia" w:hAnsiTheme="minorEastAsia" w:eastAsiaTheme="minorEastAsia"/>
          <w:sz w:val="28"/>
          <w:szCs w:val="28"/>
        </w:rPr>
      </w:pPr>
      <w:r>
        <w:rPr>
          <w:rFonts w:asciiTheme="minorEastAsia" w:hAnsiTheme="minorEastAsia" w:eastAsiaTheme="minorEastAsia"/>
          <w:sz w:val="28"/>
          <w:szCs w:val="28"/>
        </w:rPr>
        <w:t>主要经验及做法</w:t>
      </w:r>
      <w:r>
        <w:rPr>
          <w:rFonts w:hint="eastAsia" w:cs="仿宋_GB2312" w:asciiTheme="minorEastAsia" w:hAnsiTheme="minorEastAsia" w:eastAsiaTheme="minorEastAsia"/>
          <w:sz w:val="28"/>
          <w:szCs w:val="28"/>
        </w:rPr>
        <w:t>：严格遵循把财政资金使用好、管理好的宗旨，基本做到了专款专用，严格资金审批程序，确保了项目质量，财政资金的安全。</w:t>
      </w:r>
    </w:p>
    <w:p>
      <w:pPr>
        <w:spacing w:line="700" w:lineRule="exact"/>
        <w:ind w:left="420" w:leftChars="20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存在的问题：对绩效评价工作的认识和重视程度还有待加强。</w:t>
      </w:r>
    </w:p>
    <w:p>
      <w:pPr>
        <w:spacing w:line="600" w:lineRule="exact"/>
        <w:rPr>
          <w:rFonts w:asciiTheme="minorEastAsia" w:hAnsiTheme="minorEastAsia" w:eastAsiaTheme="minorEastAsia"/>
          <w:sz w:val="28"/>
          <w:szCs w:val="28"/>
        </w:rPr>
      </w:pPr>
      <w:r>
        <w:rPr>
          <w:rFonts w:asciiTheme="minorEastAsia" w:hAnsiTheme="minorEastAsia" w:eastAsiaTheme="minorEastAsia"/>
          <w:sz w:val="28"/>
          <w:szCs w:val="28"/>
        </w:rPr>
        <w:t>六、有关建议</w:t>
      </w:r>
    </w:p>
    <w:p>
      <w:pPr>
        <w:spacing w:line="600" w:lineRule="exact"/>
        <w:ind w:firstLine="560" w:firstLineChars="200"/>
        <w:rPr>
          <w:rFonts w:asciiTheme="minorEastAsia" w:hAnsiTheme="minorEastAsia" w:eastAsiaTheme="minorEastAsia"/>
          <w:sz w:val="28"/>
          <w:szCs w:val="28"/>
        </w:rPr>
      </w:pPr>
      <w:r>
        <w:rPr>
          <w:rFonts w:hint="eastAsia" w:cs="仿宋_GB2312" w:asciiTheme="minorEastAsia" w:hAnsiTheme="minorEastAsia" w:eastAsiaTheme="minorEastAsia"/>
          <w:sz w:val="28"/>
          <w:szCs w:val="28"/>
        </w:rPr>
        <w:t>建议组织财务人员和部门工作人员预算、绩效工作培训，加强预算、绩效管理意识</w:t>
      </w:r>
      <w:r>
        <w:rPr>
          <w:rFonts w:hint="eastAsia" w:asciiTheme="minorEastAsia" w:hAnsiTheme="minorEastAsia" w:eastAsiaTheme="minorEastAsia"/>
          <w:sz w:val="28"/>
          <w:szCs w:val="28"/>
        </w:rPr>
        <w:t>。</w:t>
      </w:r>
    </w:p>
    <w:p>
      <w:pPr>
        <w:spacing w:line="600" w:lineRule="exact"/>
        <w:ind w:firstLine="560" w:firstLineChars="200"/>
        <w:rPr>
          <w:rFonts w:asciiTheme="minorEastAsia" w:hAnsiTheme="minorEastAsia" w:eastAsiaTheme="minorEastAsia"/>
          <w:sz w:val="28"/>
          <w:szCs w:val="28"/>
        </w:rPr>
      </w:pPr>
    </w:p>
    <w:p>
      <w:pPr>
        <w:spacing w:line="600" w:lineRule="exact"/>
        <w:ind w:firstLine="560" w:firstLineChars="200"/>
        <w:jc w:val="right"/>
        <w:rPr>
          <w:rFonts w:asciiTheme="minorEastAsia" w:hAnsiTheme="minorEastAsia" w:eastAsiaTheme="minorEastAsia"/>
          <w:sz w:val="28"/>
          <w:szCs w:val="28"/>
        </w:rPr>
      </w:pPr>
      <w:r>
        <w:rPr>
          <w:rFonts w:hint="eastAsia" w:asciiTheme="minorEastAsia" w:hAnsiTheme="minorEastAsia" w:eastAsiaTheme="minorEastAsia"/>
          <w:sz w:val="28"/>
          <w:szCs w:val="28"/>
        </w:rPr>
        <w:t>怀化市碧桂园小学</w:t>
      </w:r>
    </w:p>
    <w:p>
      <w:pPr>
        <w:spacing w:line="600" w:lineRule="exact"/>
        <w:ind w:firstLine="560" w:firstLineChars="200"/>
        <w:jc w:val="right"/>
        <w:rPr>
          <w:rFonts w:asciiTheme="minorEastAsia" w:hAnsiTheme="minorEastAsia" w:eastAsiaTheme="minorEastAsia"/>
          <w:sz w:val="28"/>
          <w:szCs w:val="28"/>
        </w:rPr>
      </w:pPr>
      <w:r>
        <w:rPr>
          <w:rFonts w:hint="eastAsia" w:asciiTheme="minorEastAsia" w:hAnsiTheme="minorEastAsia" w:eastAsiaTheme="minorEastAsia"/>
          <w:sz w:val="28"/>
          <w:szCs w:val="28"/>
        </w:rPr>
        <w:t>2021年6月22日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A14E44"/>
    <w:multiLevelType w:val="singleLevel"/>
    <w:tmpl w:val="9FA14E44"/>
    <w:lvl w:ilvl="0" w:tentative="0">
      <w:start w:val="1"/>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78257EB3"/>
    <w:multiLevelType w:val="multilevel"/>
    <w:tmpl w:val="78257EB3"/>
    <w:lvl w:ilvl="0" w:tentative="0">
      <w:start w:val="1"/>
      <w:numFmt w:val="none"/>
      <w:lvlText w:val="一、"/>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97A76"/>
    <w:rsid w:val="000B0765"/>
    <w:rsid w:val="000B57BC"/>
    <w:rsid w:val="000F42FD"/>
    <w:rsid w:val="00162440"/>
    <w:rsid w:val="00174EEF"/>
    <w:rsid w:val="001A127E"/>
    <w:rsid w:val="00225027"/>
    <w:rsid w:val="002558F7"/>
    <w:rsid w:val="002A1562"/>
    <w:rsid w:val="0031755D"/>
    <w:rsid w:val="003417F0"/>
    <w:rsid w:val="00353B8E"/>
    <w:rsid w:val="003711D0"/>
    <w:rsid w:val="00377767"/>
    <w:rsid w:val="00377A33"/>
    <w:rsid w:val="003E5114"/>
    <w:rsid w:val="003F150B"/>
    <w:rsid w:val="00426627"/>
    <w:rsid w:val="00453535"/>
    <w:rsid w:val="0052349D"/>
    <w:rsid w:val="005833DD"/>
    <w:rsid w:val="00595424"/>
    <w:rsid w:val="005A4AB0"/>
    <w:rsid w:val="00614437"/>
    <w:rsid w:val="006370F0"/>
    <w:rsid w:val="006811E5"/>
    <w:rsid w:val="007B54D9"/>
    <w:rsid w:val="00887C00"/>
    <w:rsid w:val="008A4834"/>
    <w:rsid w:val="008D7141"/>
    <w:rsid w:val="009A45BF"/>
    <w:rsid w:val="009D1EE9"/>
    <w:rsid w:val="009D4AE4"/>
    <w:rsid w:val="00A045A1"/>
    <w:rsid w:val="00A070E1"/>
    <w:rsid w:val="00A317C9"/>
    <w:rsid w:val="00A75C37"/>
    <w:rsid w:val="00AA700A"/>
    <w:rsid w:val="00B364CE"/>
    <w:rsid w:val="00B53AA0"/>
    <w:rsid w:val="00BB6107"/>
    <w:rsid w:val="00BD1C3A"/>
    <w:rsid w:val="00C25716"/>
    <w:rsid w:val="00C3391C"/>
    <w:rsid w:val="00C344EC"/>
    <w:rsid w:val="00C4552C"/>
    <w:rsid w:val="00C72139"/>
    <w:rsid w:val="00CC4C2C"/>
    <w:rsid w:val="00CD20A2"/>
    <w:rsid w:val="00D10324"/>
    <w:rsid w:val="00E127F9"/>
    <w:rsid w:val="00E50869"/>
    <w:rsid w:val="00F55CD7"/>
    <w:rsid w:val="00FC7FE9"/>
    <w:rsid w:val="0C24424F"/>
    <w:rsid w:val="0D124AC1"/>
    <w:rsid w:val="133C4B4F"/>
    <w:rsid w:val="1837738E"/>
    <w:rsid w:val="19496B65"/>
    <w:rsid w:val="20B92B62"/>
    <w:rsid w:val="2521567E"/>
    <w:rsid w:val="399D78AD"/>
    <w:rsid w:val="4B467732"/>
    <w:rsid w:val="5ABB0878"/>
    <w:rsid w:val="67596E6A"/>
    <w:rsid w:val="6B4D3315"/>
    <w:rsid w:val="6BE515D1"/>
    <w:rsid w:val="6FEF260E"/>
    <w:rsid w:val="7DE03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58728C-1773-4A55-9684-39DD87B7B8B5}">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1437</Words>
  <Characters>8191</Characters>
  <Lines>68</Lines>
  <Paragraphs>19</Paragraphs>
  <TotalTime>55</TotalTime>
  <ScaleCrop>false</ScaleCrop>
  <LinksUpToDate>false</LinksUpToDate>
  <CharactersWithSpaces>9609</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2021-06-22T07:09:00Z</cp:lastPrinted>
  <dcterms:modified xsi:type="dcterms:W3CDTF">2021-06-23T01:43:09Z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A3154249B4374F6FBF6F6B3813269BC5</vt:lpwstr>
  </property>
</Properties>
</file>