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156" w:beforeLines="50" w:after="156"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96分</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填报单位：鹤城区史志研究室</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141407</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422000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422000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141407</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422000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422000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179804</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19944</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19944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64863</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19224</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19944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9"/>
        <w:widowControl/>
        <w:spacing w:line="600" w:lineRule="exact"/>
        <w:ind w:firstLine="640"/>
        <w:rPr>
          <w:rFonts w:ascii="仿宋" w:hAnsi="仿宋" w:eastAsia="仿宋"/>
          <w:bCs/>
          <w:kern w:val="0"/>
          <w:sz w:val="32"/>
          <w:szCs w:val="32"/>
        </w:rPr>
      </w:pPr>
      <w:r>
        <w:rPr>
          <w:rFonts w:hint="eastAsia" w:ascii="仿宋" w:hAnsi="仿宋" w:eastAsia="仿宋"/>
          <w:bCs/>
          <w:sz w:val="32"/>
          <w:szCs w:val="32"/>
        </w:rPr>
        <w:t>机构设置情况：</w:t>
      </w:r>
      <w:r>
        <w:rPr>
          <w:rFonts w:hint="eastAsia" w:ascii="仿宋" w:hAnsi="仿宋" w:eastAsia="仿宋"/>
          <w:bCs/>
          <w:kern w:val="0"/>
          <w:sz w:val="32"/>
          <w:szCs w:val="32"/>
        </w:rPr>
        <w:t>区史志研究室</w:t>
      </w:r>
      <w:r>
        <w:rPr>
          <w:rFonts w:hint="eastAsia" w:ascii="仿宋" w:hAnsi="仿宋" w:eastAsia="仿宋"/>
          <w:sz w:val="32"/>
          <w:szCs w:val="32"/>
        </w:rPr>
        <w:t>为全额拨款的财政补助事业单位，</w:t>
      </w:r>
      <w:r>
        <w:rPr>
          <w:rFonts w:hint="eastAsia" w:ascii="仿宋" w:hAnsi="仿宋" w:eastAsia="仿宋"/>
          <w:bCs/>
          <w:kern w:val="0"/>
          <w:sz w:val="32"/>
          <w:szCs w:val="32"/>
        </w:rPr>
        <w:t>内设2个部门：办公室、史志宣教部,为</w:t>
      </w:r>
      <w:r>
        <w:rPr>
          <w:rFonts w:hint="eastAsia" w:ascii="仿宋" w:hAnsi="仿宋" w:eastAsia="仿宋"/>
          <w:sz w:val="32"/>
          <w:szCs w:val="32"/>
        </w:rPr>
        <w:t>一级部门预算单位。</w:t>
      </w:r>
    </w:p>
    <w:p>
      <w:pPr>
        <w:snapToGrid w:val="0"/>
        <w:spacing w:line="520" w:lineRule="exact"/>
        <w:ind w:firstLine="640" w:firstLineChars="200"/>
        <w:rPr>
          <w:rFonts w:ascii="仿宋" w:hAnsi="仿宋" w:eastAsia="仿宋"/>
          <w:sz w:val="32"/>
          <w:szCs w:val="32"/>
        </w:rPr>
      </w:pPr>
      <w:r>
        <w:rPr>
          <w:rFonts w:hint="eastAsia" w:ascii="仿宋" w:hAnsi="仿宋" w:eastAsia="仿宋"/>
          <w:sz w:val="32"/>
          <w:szCs w:val="32"/>
        </w:rPr>
        <w:t>人员编制情况：我室人员编制数为5人，年末在职人数3人,财政供应人员控制率60%，未超过编制，控制较好。退休3人，遗属1人。</w:t>
      </w:r>
    </w:p>
    <w:p>
      <w:pPr>
        <w:ind w:firstLine="678" w:firstLineChars="212"/>
        <w:rPr>
          <w:rFonts w:hint="eastAsia" w:ascii="仿宋" w:hAnsi="仿宋" w:eastAsia="仿宋"/>
          <w:sz w:val="32"/>
          <w:szCs w:val="32"/>
        </w:rPr>
      </w:pPr>
      <w:r>
        <w:rPr>
          <w:rFonts w:hint="eastAsia" w:ascii="仿宋" w:hAnsi="仿宋" w:eastAsia="仿宋"/>
          <w:bCs/>
          <w:sz w:val="32"/>
          <w:szCs w:val="32"/>
        </w:rPr>
        <w:t>主要职责</w:t>
      </w:r>
      <w:r>
        <w:rPr>
          <w:rFonts w:hint="eastAsia" w:ascii="仿宋" w:hAnsi="仿宋" w:eastAsia="仿宋"/>
          <w:bCs/>
          <w:spacing w:val="-2"/>
          <w:sz w:val="32"/>
          <w:szCs w:val="32"/>
        </w:rPr>
        <w:t>：</w:t>
      </w:r>
      <w:r>
        <w:rPr>
          <w:rFonts w:hint="eastAsia" w:ascii="仿宋" w:hAnsi="仿宋" w:eastAsia="仿宋"/>
          <w:sz w:val="32"/>
          <w:szCs w:val="32"/>
        </w:rPr>
        <w:t>负责组织全区史志业务培训、咨询，组织全区史志成果的研讨、交流。负责对各单位史志工作进行督查和业务指导。收集、整理、研究、编辑党史、地志、年鉴材料，并负责史志材料的上报、发行和宣传。</w:t>
      </w:r>
    </w:p>
    <w:p>
      <w:pPr>
        <w:pStyle w:val="9"/>
        <w:widowControl/>
        <w:numPr>
          <w:ilvl w:val="0"/>
          <w:numId w:val="1"/>
        </w:numPr>
        <w:spacing w:line="600" w:lineRule="exact"/>
        <w:ind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pStyle w:val="9"/>
        <w:widowControl/>
        <w:numPr>
          <w:ilvl w:val="0"/>
          <w:numId w:val="2"/>
        </w:numPr>
        <w:spacing w:line="600" w:lineRule="exact"/>
        <w:ind w:firstLineChars="0"/>
        <w:rPr>
          <w:rFonts w:ascii="Times New Roman" w:hAnsi="Times New Roman" w:eastAsia="黑体"/>
          <w:sz w:val="32"/>
          <w:szCs w:val="32"/>
        </w:rPr>
      </w:pPr>
      <w:r>
        <w:rPr>
          <w:rFonts w:ascii="Times New Roman" w:hAnsi="Times New Roman" w:eastAsia="黑体"/>
          <w:sz w:val="32"/>
          <w:szCs w:val="32"/>
        </w:rPr>
        <w:t>基本支出情况</w:t>
      </w:r>
    </w:p>
    <w:p>
      <w:pPr>
        <w:widowControl/>
        <w:spacing w:line="600" w:lineRule="exact"/>
        <w:ind w:left="640"/>
        <w:jc w:val="left"/>
        <w:rPr>
          <w:rFonts w:ascii="仿宋" w:hAnsi="仿宋" w:eastAsia="仿宋"/>
          <w:sz w:val="32"/>
          <w:szCs w:val="32"/>
        </w:rPr>
      </w:pPr>
      <w:r>
        <w:rPr>
          <w:rFonts w:hint="eastAsia" w:ascii="仿宋" w:hAnsi="仿宋" w:eastAsia="仿宋"/>
          <w:sz w:val="32"/>
          <w:szCs w:val="32"/>
        </w:rPr>
        <w:t>2020年基本支出39.97万元 ，具体包括：</w:t>
      </w:r>
    </w:p>
    <w:p>
      <w:pPr>
        <w:pStyle w:val="9"/>
        <w:widowControl/>
        <w:spacing w:line="600" w:lineRule="exact"/>
        <w:ind w:firstLine="600"/>
        <w:jc w:val="left"/>
        <w:rPr>
          <w:rFonts w:ascii="仿宋" w:hAnsi="仿宋" w:eastAsia="仿宋"/>
          <w:sz w:val="32"/>
          <w:szCs w:val="32"/>
        </w:rPr>
      </w:pPr>
      <w:r>
        <w:rPr>
          <w:rFonts w:hint="eastAsia" w:ascii="仿宋" w:hAnsi="仿宋" w:eastAsia="仿宋"/>
          <w:w w:val="94"/>
          <w:sz w:val="32"/>
          <w:szCs w:val="32"/>
        </w:rPr>
        <w:t>1、工资福利支出33.9万元。主要包括在职人员工资、津贴补贴、政策规定奖金、伙食补助费、其他社会保障缴费等支出。</w:t>
      </w:r>
    </w:p>
    <w:p>
      <w:pPr>
        <w:widowControl/>
        <w:spacing w:line="600" w:lineRule="exact"/>
        <w:ind w:firstLine="640" w:firstLineChars="200"/>
        <w:jc w:val="left"/>
        <w:rPr>
          <w:rFonts w:ascii="仿宋" w:hAnsi="仿宋" w:eastAsia="仿宋"/>
          <w:sz w:val="32"/>
          <w:szCs w:val="32"/>
        </w:rPr>
      </w:pPr>
      <w:r>
        <w:rPr>
          <w:rFonts w:hint="eastAsia" w:ascii="仿宋" w:hAnsi="仿宋" w:eastAsia="仿宋"/>
          <w:sz w:val="32"/>
          <w:szCs w:val="32"/>
        </w:rPr>
        <w:t>2、一般商品和服务支出5.56万元。包括日常运行正常办公经费、水费、电费、邮电费、差旅费、专用材料费、工会经费、其他交通费及其他商品服务支出等。</w:t>
      </w:r>
    </w:p>
    <w:p>
      <w:pPr>
        <w:widowControl/>
        <w:spacing w:line="600" w:lineRule="exact"/>
        <w:ind w:firstLine="480" w:firstLineChars="150"/>
        <w:jc w:val="left"/>
        <w:rPr>
          <w:rFonts w:ascii="仿宋" w:hAnsi="仿宋" w:eastAsia="仿宋"/>
          <w:sz w:val="32"/>
          <w:szCs w:val="32"/>
        </w:rPr>
      </w:pPr>
      <w:r>
        <w:rPr>
          <w:rFonts w:hint="eastAsia" w:ascii="仿宋" w:hAnsi="仿宋" w:eastAsia="仿宋"/>
          <w:sz w:val="32"/>
          <w:szCs w:val="32"/>
        </w:rPr>
        <w:t>“三公”经费方面。公务接待费实际开支0万元，与上年支出数持平；车辆运行费实际开支0万元，与上年支出数持平；无任何出国出境考察开支。</w:t>
      </w:r>
    </w:p>
    <w:p>
      <w:pPr>
        <w:widowControl/>
        <w:spacing w:line="600" w:lineRule="exact"/>
        <w:ind w:firstLine="640" w:firstLineChars="200"/>
        <w:jc w:val="left"/>
        <w:rPr>
          <w:rFonts w:ascii="仿宋" w:hAnsi="仿宋" w:eastAsia="仿宋"/>
          <w:sz w:val="32"/>
          <w:szCs w:val="32"/>
        </w:rPr>
      </w:pPr>
      <w:r>
        <w:rPr>
          <w:rFonts w:hint="eastAsia" w:ascii="仿宋" w:hAnsi="仿宋" w:eastAsia="仿宋"/>
          <w:sz w:val="32"/>
          <w:szCs w:val="32"/>
        </w:rPr>
        <w:t>会议费、培训费。会议费开支0万元，培训费0万元。</w:t>
      </w:r>
    </w:p>
    <w:p>
      <w:pPr>
        <w:pStyle w:val="9"/>
        <w:widowControl/>
        <w:spacing w:line="600" w:lineRule="exact"/>
        <w:ind w:firstLine="640"/>
        <w:jc w:val="left"/>
        <w:rPr>
          <w:rFonts w:ascii="仿宋" w:hAnsi="仿宋" w:eastAsia="仿宋"/>
          <w:sz w:val="32"/>
          <w:szCs w:val="32"/>
        </w:rPr>
      </w:pPr>
      <w:r>
        <w:rPr>
          <w:rFonts w:hint="eastAsia" w:ascii="仿宋" w:hAnsi="仿宋" w:eastAsia="仿宋"/>
          <w:sz w:val="32"/>
          <w:szCs w:val="32"/>
        </w:rPr>
        <w:t>3、对个人和家庭补助支出0.51万元。主要包括退休人员春节一次性生活补助费等支出。</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ind w:firstLine="640" w:firstLineChars="200"/>
        <w:rPr>
          <w:rFonts w:ascii="仿宋" w:hAnsi="仿宋" w:eastAsia="仿宋"/>
          <w:sz w:val="32"/>
          <w:szCs w:val="32"/>
        </w:rPr>
      </w:pPr>
      <w:r>
        <w:rPr>
          <w:rFonts w:hint="eastAsia" w:ascii="仿宋" w:hAnsi="仿宋" w:eastAsia="仿宋"/>
          <w:sz w:val="32"/>
          <w:szCs w:val="32"/>
        </w:rPr>
        <w:t>2020年年初项目支出预算数为42.2万元，其中《鹤城区志》的编辑费18.3万元、《鹤城年鉴》出版发行费3万元、《湘潮》订阅费0.9万元、党史工作经费10万元和党史联络组工作经费10万元。</w:t>
      </w:r>
    </w:p>
    <w:p>
      <w:pPr>
        <w:ind w:firstLine="640" w:firstLineChars="200"/>
        <w:rPr>
          <w:rFonts w:ascii="仿宋" w:hAnsi="仿宋" w:eastAsia="仿宋"/>
          <w:sz w:val="32"/>
          <w:szCs w:val="32"/>
        </w:rPr>
      </w:pPr>
      <w:r>
        <w:rPr>
          <w:rFonts w:hint="eastAsia" w:ascii="仿宋" w:hAnsi="仿宋" w:eastAsia="仿宋"/>
          <w:sz w:val="32"/>
          <w:szCs w:val="32"/>
        </w:rPr>
        <w:t>项目支出资金具体执行情况如下：</w:t>
      </w:r>
    </w:p>
    <w:p>
      <w:pPr>
        <w:ind w:firstLine="640" w:firstLineChars="200"/>
        <w:rPr>
          <w:rStyle w:val="11"/>
          <w:rFonts w:ascii="仿宋_GB2312" w:hAnsi="仿宋_GB2312" w:eastAsia="仿宋_GB2312"/>
          <w:sz w:val="32"/>
          <w:szCs w:val="32"/>
        </w:rPr>
      </w:pPr>
      <w:r>
        <w:rPr>
          <w:rFonts w:hint="eastAsia" w:ascii="仿宋" w:hAnsi="仿宋" w:eastAsia="仿宋"/>
          <w:sz w:val="32"/>
          <w:szCs w:val="32"/>
        </w:rPr>
        <w:t>1、《鹤城区志》编辑项目支出18.3万元。2020年</w:t>
      </w:r>
      <w:r>
        <w:rPr>
          <w:rStyle w:val="11"/>
          <w:rFonts w:ascii="仿宋_GB2312" w:hAnsi="仿宋_GB2312" w:eastAsia="仿宋_GB2312"/>
          <w:sz w:val="32"/>
          <w:szCs w:val="32"/>
        </w:rPr>
        <w:t>通过了市级审稿，</w:t>
      </w:r>
      <w:r>
        <w:rPr>
          <w:rStyle w:val="11"/>
          <w:rFonts w:hint="eastAsia" w:ascii="仿宋_GB2312" w:hAnsi="仿宋_GB2312" w:eastAsia="仿宋_GB2312"/>
          <w:sz w:val="32"/>
          <w:szCs w:val="32"/>
        </w:rPr>
        <w:t>年底</w:t>
      </w:r>
      <w:r>
        <w:rPr>
          <w:rStyle w:val="11"/>
          <w:rFonts w:ascii="仿宋_GB2312" w:hAnsi="仿宋_GB2312" w:eastAsia="仿宋_GB2312"/>
          <w:sz w:val="32"/>
          <w:szCs w:val="32"/>
        </w:rPr>
        <w:t>报送省地方志编纂院进行终审。</w:t>
      </w:r>
      <w:r>
        <w:rPr>
          <w:rStyle w:val="11"/>
          <w:rFonts w:hint="eastAsia" w:ascii="仿宋_GB2312" w:hAnsi="仿宋_GB2312" w:eastAsia="仿宋_GB2312"/>
          <w:sz w:val="32"/>
          <w:szCs w:val="32"/>
        </w:rPr>
        <w:t>并</w:t>
      </w:r>
      <w:r>
        <w:rPr>
          <w:rStyle w:val="11"/>
          <w:rFonts w:ascii="仿宋_GB2312" w:hAnsi="仿宋_GB2312" w:eastAsia="仿宋_GB2312"/>
          <w:sz w:val="32"/>
          <w:szCs w:val="32"/>
        </w:rPr>
        <w:t>已与方志出版社签订了《鹤城区志（1991—2010）》图书出版合同，并委托湖南省地图出版社重新编制2012年的鹤城区行政区划图、城市交通图</w:t>
      </w:r>
      <w:r>
        <w:rPr>
          <w:rStyle w:val="11"/>
          <w:rFonts w:hint="eastAsia" w:ascii="仿宋_GB2312" w:hAnsi="仿宋_GB2312" w:eastAsia="仿宋_GB2312"/>
          <w:sz w:val="32"/>
          <w:szCs w:val="32"/>
        </w:rPr>
        <w:t>。</w:t>
      </w:r>
    </w:p>
    <w:p>
      <w:pPr>
        <w:ind w:firstLine="640" w:firstLineChars="200"/>
        <w:rPr>
          <w:rFonts w:ascii="仿宋_GB2312" w:hAnsi="仿宋_GB2312" w:eastAsia="仿宋_GB2312"/>
          <w:sz w:val="32"/>
          <w:szCs w:val="32"/>
        </w:rPr>
      </w:pPr>
      <w:r>
        <w:rPr>
          <w:rStyle w:val="11"/>
          <w:rFonts w:hint="eastAsia" w:ascii="仿宋_GB2312" w:hAnsi="仿宋_GB2312" w:eastAsia="仿宋_GB2312"/>
          <w:sz w:val="32"/>
          <w:szCs w:val="32"/>
        </w:rPr>
        <w:t>2、</w:t>
      </w:r>
      <w:r>
        <w:rPr>
          <w:rFonts w:ascii="仿宋_GB2312" w:hAnsi="仿宋_GB2312" w:eastAsia="仿宋_GB2312"/>
          <w:sz w:val="32"/>
          <w:szCs w:val="32"/>
        </w:rPr>
        <w:t>《鹤城年鉴》</w:t>
      </w:r>
      <w:r>
        <w:rPr>
          <w:rFonts w:hint="eastAsia" w:ascii="仿宋_GB2312" w:hAnsi="仿宋_GB2312" w:eastAsia="仿宋_GB2312"/>
          <w:sz w:val="32"/>
          <w:szCs w:val="32"/>
        </w:rPr>
        <w:t>（</w:t>
      </w:r>
      <w:r>
        <w:rPr>
          <w:rFonts w:ascii="仿宋_GB2312" w:hAnsi="仿宋_GB2312" w:eastAsia="仿宋_GB2312"/>
          <w:sz w:val="32"/>
          <w:szCs w:val="32"/>
        </w:rPr>
        <w:t>2020卷</w:t>
      </w:r>
      <w:r>
        <w:rPr>
          <w:rFonts w:hint="eastAsia" w:ascii="仿宋_GB2312" w:hAnsi="仿宋_GB2312" w:eastAsia="仿宋_GB2312"/>
          <w:sz w:val="32"/>
          <w:szCs w:val="32"/>
        </w:rPr>
        <w:t>）</w:t>
      </w:r>
      <w:r>
        <w:rPr>
          <w:rFonts w:hint="eastAsia" w:ascii="仿宋" w:hAnsi="仿宋" w:eastAsia="仿宋"/>
          <w:sz w:val="32"/>
          <w:szCs w:val="32"/>
        </w:rPr>
        <w:t>编辑</w:t>
      </w:r>
      <w:r>
        <w:rPr>
          <w:rFonts w:hint="eastAsia" w:ascii="仿宋_GB2312" w:hAnsi="仿宋_GB2312" w:eastAsia="仿宋_GB2312"/>
          <w:sz w:val="32"/>
          <w:szCs w:val="32"/>
        </w:rPr>
        <w:t>支出3万元。2020年</w:t>
      </w:r>
      <w:r>
        <w:rPr>
          <w:rFonts w:ascii="仿宋_GB2312" w:hAnsi="仿宋_GB2312" w:eastAsia="仿宋_GB2312"/>
          <w:sz w:val="32"/>
          <w:szCs w:val="32"/>
        </w:rPr>
        <w:t>完成</w:t>
      </w:r>
      <w:r>
        <w:rPr>
          <w:rFonts w:hint="eastAsia" w:ascii="仿宋_GB2312" w:hAnsi="仿宋_GB2312" w:eastAsia="仿宋_GB2312"/>
          <w:sz w:val="32"/>
          <w:szCs w:val="32"/>
        </w:rPr>
        <w:t>前期</w:t>
      </w:r>
      <w:r>
        <w:rPr>
          <w:rFonts w:ascii="仿宋_GB2312" w:hAnsi="仿宋_GB2312" w:eastAsia="仿宋_GB2312"/>
          <w:sz w:val="32"/>
          <w:szCs w:val="32"/>
        </w:rPr>
        <w:t>文字编辑整理</w:t>
      </w:r>
      <w:r>
        <w:rPr>
          <w:rFonts w:hint="eastAsia" w:ascii="仿宋_GB2312" w:hAnsi="仿宋_GB2312" w:eastAsia="仿宋_GB2312"/>
          <w:sz w:val="32"/>
          <w:szCs w:val="32"/>
        </w:rPr>
        <w:t>、彩版收集整理，并初步完成市、区终审</w:t>
      </w:r>
      <w:r>
        <w:rPr>
          <w:rFonts w:ascii="仿宋_GB2312" w:hAnsi="仿宋_GB2312" w:eastAsia="仿宋_GB2312"/>
          <w:sz w:val="32"/>
          <w:szCs w:val="32"/>
        </w:rPr>
        <w:t>工作。</w:t>
      </w:r>
    </w:p>
    <w:p>
      <w:pPr>
        <w:ind w:firstLine="640" w:firstLineChars="200"/>
        <w:rPr>
          <w:rFonts w:ascii="仿宋_GB2312" w:hAnsi="仿宋_GB2312" w:eastAsia="仿宋_GB2312"/>
          <w:sz w:val="32"/>
          <w:szCs w:val="32"/>
        </w:rPr>
      </w:pPr>
      <w:r>
        <w:rPr>
          <w:rFonts w:hint="eastAsia" w:ascii="仿宋_GB2312" w:hAnsi="仿宋_GB2312" w:eastAsia="仿宋_GB2312"/>
          <w:sz w:val="32"/>
          <w:szCs w:val="32"/>
        </w:rPr>
        <w:t>3、《湘潮》订阅支出0.9万元。于12月份完成了《湘潮》订阅工作。</w:t>
      </w:r>
    </w:p>
    <w:p>
      <w:pPr>
        <w:spacing w:line="660" w:lineRule="exact"/>
        <w:ind w:firstLine="640" w:firstLineChars="200"/>
        <w:rPr>
          <w:rFonts w:hAnsi="仿宋_GB2312" w:eastAsia="仿宋_GB2312"/>
          <w:sz w:val="32"/>
          <w:szCs w:val="32"/>
        </w:rPr>
      </w:pPr>
      <w:r>
        <w:rPr>
          <w:rFonts w:hint="eastAsia" w:ascii="仿宋_GB2312" w:hAnsi="仿宋_GB2312" w:eastAsia="仿宋_GB2312"/>
          <w:sz w:val="32"/>
          <w:szCs w:val="32"/>
        </w:rPr>
        <w:t>4、党史工作经费支出10万元。</w:t>
      </w:r>
      <w:r>
        <w:rPr>
          <w:rFonts w:hint="eastAsia" w:ascii="仿宋" w:hAnsi="仿宋" w:eastAsia="仿宋"/>
          <w:sz w:val="32"/>
          <w:szCs w:val="32"/>
        </w:rPr>
        <w:t>按质按量完成省市交办的《湖南党委工作纪事》、《怀化党委工作纪事》组稿任务党史资料征编有序开展。收集整理“三亲”资料。开展党史进校园、党校、社区的活动。积极挖掘鹤城本地红色基因，整理了红色故事，挖掘了彭布、杨舫等5位红色人物相关事迹，协助民政局老区办编写《怀化市鹤城区革命老区发展史》一书。</w:t>
      </w:r>
    </w:p>
    <w:p>
      <w:pPr>
        <w:pStyle w:val="9"/>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widowControl/>
        <w:spacing w:line="600" w:lineRule="exact"/>
        <w:ind w:left="640"/>
        <w:jc w:val="left"/>
        <w:rPr>
          <w:rFonts w:eastAsia="黑体"/>
          <w:sz w:val="32"/>
          <w:szCs w:val="32"/>
        </w:rPr>
      </w:pPr>
      <w:r>
        <w:rPr>
          <w:rFonts w:hint="eastAsia" w:ascii="仿宋" w:hAnsi="仿宋" w:eastAsia="仿宋"/>
          <w:sz w:val="32"/>
          <w:szCs w:val="32"/>
        </w:rPr>
        <w:t>鹤城区史志研究室2020年度无政府性基金收支。</w:t>
      </w:r>
    </w:p>
    <w:p>
      <w:pPr>
        <w:pStyle w:val="9"/>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widowControl/>
        <w:spacing w:line="600" w:lineRule="exact"/>
        <w:ind w:left="640"/>
        <w:jc w:val="left"/>
        <w:rPr>
          <w:rFonts w:eastAsia="黑体"/>
          <w:sz w:val="32"/>
          <w:szCs w:val="32"/>
        </w:rPr>
      </w:pPr>
      <w:r>
        <w:rPr>
          <w:rFonts w:hint="eastAsia" w:ascii="仿宋" w:hAnsi="仿宋" w:eastAsia="仿宋"/>
          <w:sz w:val="32"/>
          <w:szCs w:val="32"/>
        </w:rPr>
        <w:t>鹤城区史志研究室2020年度无国有资本经营收支。</w:t>
      </w:r>
    </w:p>
    <w:p>
      <w:pPr>
        <w:pStyle w:val="9"/>
        <w:widowControl/>
        <w:numPr>
          <w:ilvl w:val="0"/>
          <w:numId w:val="1"/>
        </w:numPr>
        <w:spacing w:line="600" w:lineRule="exact"/>
        <w:ind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widowControl/>
        <w:spacing w:line="600" w:lineRule="exact"/>
        <w:ind w:left="640"/>
        <w:jc w:val="left"/>
        <w:rPr>
          <w:rFonts w:eastAsia="黑体"/>
          <w:sz w:val="32"/>
          <w:szCs w:val="32"/>
        </w:rPr>
      </w:pPr>
      <w:r>
        <w:rPr>
          <w:rFonts w:hint="eastAsia" w:ascii="仿宋" w:hAnsi="仿宋" w:eastAsia="仿宋"/>
          <w:sz w:val="32"/>
          <w:szCs w:val="32"/>
        </w:rPr>
        <w:t>鹤城区史志研究室2020年度无社会保险基金预算支出。</w:t>
      </w:r>
    </w:p>
    <w:p>
      <w:pPr>
        <w:pStyle w:val="9"/>
        <w:widowControl/>
        <w:numPr>
          <w:ilvl w:val="0"/>
          <w:numId w:val="1"/>
        </w:numPr>
        <w:spacing w:line="600" w:lineRule="exact"/>
        <w:ind w:firstLineChars="0"/>
        <w:jc w:val="left"/>
        <w:rPr>
          <w:rFonts w:eastAsia="黑体"/>
          <w:sz w:val="32"/>
          <w:szCs w:val="32"/>
        </w:rPr>
      </w:pPr>
      <w:r>
        <w:rPr>
          <w:rFonts w:eastAsia="黑体"/>
          <w:sz w:val="32"/>
          <w:szCs w:val="32"/>
        </w:rPr>
        <w:t>部门整体支出绩效情况</w:t>
      </w:r>
    </w:p>
    <w:p>
      <w:pPr>
        <w:widowControl/>
        <w:spacing w:line="600" w:lineRule="exact"/>
        <w:ind w:firstLine="645"/>
        <w:jc w:val="left"/>
        <w:rPr>
          <w:rFonts w:ascii="仿宋" w:hAnsi="仿宋" w:eastAsia="仿宋"/>
          <w:sz w:val="32"/>
          <w:szCs w:val="32"/>
        </w:rPr>
      </w:pPr>
      <w:r>
        <w:rPr>
          <w:rFonts w:hint="eastAsia" w:ascii="仿宋" w:hAnsi="仿宋" w:eastAsia="仿宋"/>
          <w:sz w:val="32"/>
          <w:szCs w:val="32"/>
        </w:rPr>
        <w:t>对照鹤财绩〔2021〕30号文件规定的考核指标，我单位从</w:t>
      </w:r>
      <w:r>
        <w:rPr>
          <w:rFonts w:eastAsia="仿宋_GB2312"/>
          <w:color w:val="000000"/>
          <w:sz w:val="32"/>
          <w:szCs w:val="32"/>
        </w:rPr>
        <w:t>运行成本、管理效率、履职效能、社会效应、可持续发展能力和服务对象满意度等方面</w:t>
      </w:r>
      <w:r>
        <w:rPr>
          <w:rFonts w:hint="eastAsia" w:eastAsia="仿宋_GB2312"/>
          <w:color w:val="000000"/>
          <w:sz w:val="32"/>
          <w:szCs w:val="32"/>
        </w:rPr>
        <w:t>，</w:t>
      </w:r>
      <w:r>
        <w:rPr>
          <w:rFonts w:hint="eastAsia" w:ascii="仿宋" w:hAnsi="仿宋" w:eastAsia="仿宋"/>
          <w:sz w:val="32"/>
          <w:szCs w:val="32"/>
        </w:rPr>
        <w:t>对2020年部门整体支出绩效开展了评价，具体情况如下：</w:t>
      </w:r>
    </w:p>
    <w:p>
      <w:pPr>
        <w:pStyle w:val="9"/>
        <w:widowControl/>
        <w:numPr>
          <w:ilvl w:val="0"/>
          <w:numId w:val="3"/>
        </w:numPr>
        <w:spacing w:line="600" w:lineRule="exact"/>
        <w:ind w:firstLineChars="0"/>
        <w:jc w:val="left"/>
        <w:rPr>
          <w:rFonts w:ascii="仿宋" w:hAnsi="仿宋" w:eastAsia="仿宋"/>
          <w:sz w:val="32"/>
          <w:szCs w:val="32"/>
        </w:rPr>
      </w:pPr>
      <w:r>
        <w:rPr>
          <w:rFonts w:hint="eastAsia" w:ascii="仿宋" w:hAnsi="仿宋" w:eastAsia="仿宋"/>
          <w:sz w:val="32"/>
          <w:szCs w:val="32"/>
        </w:rPr>
        <w:t>运行成本</w:t>
      </w:r>
    </w:p>
    <w:p>
      <w:pPr>
        <w:widowControl/>
        <w:spacing w:line="600" w:lineRule="exact"/>
        <w:ind w:firstLine="643" w:firstLineChars="201"/>
        <w:jc w:val="left"/>
        <w:rPr>
          <w:rFonts w:ascii="仿宋" w:hAnsi="仿宋" w:eastAsia="仿宋"/>
          <w:sz w:val="32"/>
          <w:szCs w:val="32"/>
        </w:rPr>
      </w:pPr>
      <w:r>
        <w:rPr>
          <w:rFonts w:hint="eastAsia" w:ascii="仿宋" w:hAnsi="仿宋" w:eastAsia="仿宋"/>
          <w:sz w:val="32"/>
          <w:szCs w:val="32"/>
        </w:rPr>
        <w:t>我室人员编制数为5人，年末在职人数3人,财政供应人员控制率60%。</w:t>
      </w:r>
    </w:p>
    <w:p>
      <w:pPr>
        <w:widowControl/>
        <w:spacing w:line="600" w:lineRule="exact"/>
        <w:ind w:firstLine="643" w:firstLineChars="201"/>
        <w:jc w:val="left"/>
        <w:rPr>
          <w:rFonts w:ascii="仿宋" w:hAnsi="仿宋" w:eastAsia="仿宋"/>
          <w:sz w:val="32"/>
          <w:szCs w:val="32"/>
        </w:rPr>
      </w:pPr>
      <w:r>
        <w:rPr>
          <w:rFonts w:hint="eastAsia" w:ascii="仿宋" w:hAnsi="仿宋" w:eastAsia="仿宋"/>
          <w:sz w:val="32"/>
          <w:szCs w:val="32"/>
        </w:rPr>
        <w:t>“三公经费”实际支出数为0万元，预算安排0万元，“三公经费”控制率为100%。</w:t>
      </w:r>
    </w:p>
    <w:p>
      <w:pPr>
        <w:pStyle w:val="9"/>
        <w:widowControl/>
        <w:numPr>
          <w:ilvl w:val="0"/>
          <w:numId w:val="3"/>
        </w:numPr>
        <w:spacing w:line="600" w:lineRule="exact"/>
        <w:ind w:firstLineChars="0"/>
        <w:jc w:val="left"/>
        <w:rPr>
          <w:rFonts w:ascii="仿宋" w:hAnsi="仿宋" w:eastAsia="仿宋"/>
          <w:sz w:val="32"/>
          <w:szCs w:val="32"/>
        </w:rPr>
      </w:pPr>
      <w:r>
        <w:rPr>
          <w:rFonts w:hint="eastAsia" w:ascii="仿宋" w:hAnsi="仿宋" w:eastAsia="仿宋"/>
          <w:sz w:val="32"/>
          <w:szCs w:val="32"/>
        </w:rPr>
        <w:t>管理效率方面</w:t>
      </w:r>
    </w:p>
    <w:p>
      <w:pPr>
        <w:widowControl/>
        <w:spacing w:line="600" w:lineRule="exact"/>
        <w:ind w:firstLine="736" w:firstLineChars="230"/>
        <w:jc w:val="left"/>
        <w:rPr>
          <w:rFonts w:ascii="仿宋" w:hAnsi="仿宋" w:eastAsia="仿宋"/>
          <w:sz w:val="32"/>
          <w:szCs w:val="32"/>
        </w:rPr>
      </w:pPr>
      <w:r>
        <w:rPr>
          <w:rFonts w:hint="eastAsia" w:ascii="仿宋_GB2312" w:eastAsia="仿宋_GB2312"/>
          <w:sz w:val="32"/>
          <w:szCs w:val="32"/>
        </w:rPr>
        <w:t>2020年，区史志研究室在区委、区政府及省、市业务部门的领导下，以习近平新时代中国特色社会主义思想和党的十九大精神为指导，围绕“存史、资政、育人”职能，突出重点，统筹兼顾，真抓实干，按照年初确定的目标任务，稳步推进史志各项工作。</w:t>
      </w:r>
    </w:p>
    <w:p>
      <w:pPr>
        <w:widowControl/>
        <w:spacing w:line="600" w:lineRule="exact"/>
        <w:ind w:firstLine="645"/>
        <w:jc w:val="left"/>
        <w:rPr>
          <w:rFonts w:ascii="仿宋" w:hAnsi="仿宋" w:eastAsia="仿宋"/>
          <w:sz w:val="32"/>
          <w:szCs w:val="32"/>
        </w:rPr>
      </w:pPr>
      <w:r>
        <w:rPr>
          <w:rFonts w:hint="eastAsia" w:ascii="仿宋" w:hAnsi="仿宋" w:eastAsia="仿宋"/>
          <w:sz w:val="32"/>
          <w:szCs w:val="32"/>
        </w:rPr>
        <w:t>从预算配置情况来看：2020年年初预算82.17万元，预算资金覆盖了全区的党史各项工作和地方志各方面的需求，能保证单位正常运转需要，通过科学分配、统筹协调，基本保证了人员经费支出和单位全年工作任务的完成。</w:t>
      </w:r>
    </w:p>
    <w:p>
      <w:pPr>
        <w:widowControl/>
        <w:spacing w:line="600" w:lineRule="exact"/>
        <w:ind w:firstLine="645"/>
        <w:jc w:val="left"/>
        <w:rPr>
          <w:rFonts w:ascii="仿宋" w:hAnsi="仿宋" w:eastAsia="仿宋"/>
          <w:b/>
          <w:bCs/>
          <w:spacing w:val="-2"/>
          <w:sz w:val="32"/>
          <w:szCs w:val="32"/>
        </w:rPr>
      </w:pPr>
      <w:r>
        <w:rPr>
          <w:rFonts w:hint="eastAsia" w:ascii="仿宋" w:hAnsi="仿宋" w:eastAsia="仿宋"/>
          <w:b/>
          <w:bCs/>
          <w:spacing w:val="-2"/>
          <w:sz w:val="32"/>
          <w:szCs w:val="32"/>
        </w:rPr>
        <w:t>2</w:t>
      </w:r>
      <w:r>
        <w:rPr>
          <w:rFonts w:hint="eastAsia" w:ascii="仿宋" w:hAnsi="仿宋" w:eastAsia="仿宋"/>
          <w:sz w:val="32"/>
          <w:szCs w:val="32"/>
        </w:rPr>
        <w:t>020年度财政拨款基本支出39.97万元，其中：人员经费34.41万元，占基本支出的86%，主要包括基本工资、津贴补贴、奖金、伙食补助费；公用经费5.56万元，占基本支出的24%，主要包括办公费、印刷费、咨询费、手续</w:t>
      </w:r>
    </w:p>
    <w:p>
      <w:pPr>
        <w:widowControl/>
        <w:spacing w:line="600" w:lineRule="exact"/>
        <w:ind w:firstLine="645"/>
        <w:jc w:val="left"/>
        <w:rPr>
          <w:rFonts w:ascii="仿宋" w:hAnsi="仿宋" w:eastAsia="仿宋"/>
          <w:sz w:val="32"/>
          <w:szCs w:val="32"/>
        </w:rPr>
      </w:pPr>
      <w:r>
        <w:rPr>
          <w:rFonts w:hint="eastAsia" w:ascii="仿宋" w:hAnsi="仿宋" w:eastAsia="仿宋"/>
          <w:sz w:val="32"/>
          <w:szCs w:val="32"/>
        </w:rPr>
        <w:t>年初预算82.17万元，调整预算73.32万元，年末结转2万元，预算完成率89%。</w:t>
      </w:r>
    </w:p>
    <w:p>
      <w:pPr>
        <w:widowControl/>
        <w:spacing w:line="600" w:lineRule="exact"/>
        <w:ind w:firstLine="643" w:firstLineChars="201"/>
        <w:jc w:val="left"/>
        <w:rPr>
          <w:rFonts w:ascii="仿宋" w:hAnsi="仿宋" w:eastAsia="仿宋"/>
          <w:sz w:val="32"/>
          <w:szCs w:val="32"/>
        </w:rPr>
      </w:pPr>
      <w:r>
        <w:rPr>
          <w:rFonts w:hint="eastAsia" w:ascii="仿宋" w:hAnsi="仿宋" w:eastAsia="仿宋"/>
          <w:sz w:val="32"/>
          <w:szCs w:val="32"/>
        </w:rPr>
        <w:t>“三公经费”控制率。“三公经费”实际支出数为0万元，预算安排0万元，“三公经费”控制率为100%。</w:t>
      </w:r>
    </w:p>
    <w:p>
      <w:pPr>
        <w:widowControl/>
        <w:spacing w:line="600" w:lineRule="exact"/>
        <w:ind w:firstLine="645"/>
        <w:jc w:val="left"/>
        <w:rPr>
          <w:rFonts w:ascii="仿宋" w:hAnsi="仿宋" w:eastAsia="仿宋"/>
          <w:sz w:val="32"/>
          <w:szCs w:val="32"/>
        </w:rPr>
      </w:pPr>
      <w:r>
        <w:rPr>
          <w:rFonts w:hint="eastAsia" w:ascii="仿宋" w:hAnsi="仿宋" w:eastAsia="仿宋"/>
          <w:sz w:val="32"/>
          <w:szCs w:val="32"/>
        </w:rPr>
        <w:t>政府采购执行率。政府采购预算0万元，实际政府采购金额0万元，预算执行率100%。</w:t>
      </w:r>
    </w:p>
    <w:p>
      <w:pPr>
        <w:pStyle w:val="9"/>
        <w:widowControl/>
        <w:numPr>
          <w:ilvl w:val="0"/>
          <w:numId w:val="3"/>
        </w:numPr>
        <w:spacing w:line="600" w:lineRule="exact"/>
        <w:ind w:firstLineChars="0"/>
        <w:jc w:val="left"/>
        <w:rPr>
          <w:rFonts w:ascii="仿宋" w:hAnsi="仿宋" w:eastAsia="仿宋"/>
          <w:sz w:val="32"/>
          <w:szCs w:val="32"/>
        </w:rPr>
      </w:pPr>
      <w:r>
        <w:rPr>
          <w:rFonts w:hint="eastAsia" w:ascii="仿宋" w:hAnsi="仿宋" w:eastAsia="仿宋"/>
          <w:sz w:val="32"/>
          <w:szCs w:val="32"/>
        </w:rPr>
        <w:t>履职效能方面</w:t>
      </w:r>
    </w:p>
    <w:p>
      <w:pPr>
        <w:ind w:firstLine="732" w:firstLineChars="229"/>
        <w:rPr>
          <w:rFonts w:ascii="仿宋_GB2312" w:eastAsia="仿宋_GB2312"/>
          <w:sz w:val="32"/>
          <w:szCs w:val="32"/>
        </w:rPr>
      </w:pPr>
      <w:r>
        <w:rPr>
          <w:rFonts w:hint="eastAsia" w:eastAsia="仿宋_GB2312"/>
          <w:sz w:val="32"/>
          <w:szCs w:val="32"/>
        </w:rPr>
        <w:t>1、</w:t>
      </w:r>
      <w:r>
        <w:rPr>
          <w:rFonts w:hint="eastAsia" w:ascii="仿宋_GB2312" w:eastAsia="仿宋_GB2312"/>
          <w:sz w:val="32"/>
          <w:szCs w:val="32"/>
        </w:rPr>
        <w:t>党建工作深入推进。继续深入推进“常态化制度化教育活动，着力加强党支部“五化”建设。严格按照“三会一课”要求及程序，认真召开组织生活会、专题民主生活会，做好党员积分、党费收缴工作。加强党员学习培训，组织全体党员参加专题学习、怀化干部教育在线、“学习强国”APP进行学习培训。</w:t>
      </w:r>
    </w:p>
    <w:p>
      <w:pPr>
        <w:ind w:firstLine="640" w:firstLineChars="200"/>
        <w:rPr>
          <w:rFonts w:ascii="仿宋_GB2312" w:eastAsia="仿宋_GB2312"/>
          <w:sz w:val="32"/>
          <w:szCs w:val="32"/>
        </w:rPr>
      </w:pPr>
      <w:r>
        <w:rPr>
          <w:rFonts w:hint="eastAsia" w:ascii="仿宋_GB2312" w:eastAsia="仿宋_GB2312"/>
          <w:sz w:val="32"/>
          <w:szCs w:val="32"/>
        </w:rPr>
        <w:t>2、宣传意识形态工作不断加强。一是强化责任。明确宣传意识形态工作一把手负责制，建立责任追究办法。二是强化教育。结合党建工作，经常组织干部职工加强党的路线、方针、政策学习，领悟中央精神，确保与党中央保持高度一致。三是严明纪律。要求干部职工规范在现代新媒体中的言行，做好意识形态领域正面引导工作。</w:t>
      </w:r>
    </w:p>
    <w:p>
      <w:pPr>
        <w:ind w:firstLine="640" w:firstLineChars="200"/>
        <w:rPr>
          <w:rFonts w:ascii="黑体" w:eastAsia="黑体"/>
          <w:sz w:val="32"/>
          <w:szCs w:val="32"/>
        </w:rPr>
      </w:pPr>
      <w:r>
        <w:rPr>
          <w:rFonts w:hint="eastAsia" w:ascii="仿宋_GB2312" w:eastAsia="仿宋_GB2312"/>
          <w:sz w:val="32"/>
          <w:szCs w:val="32"/>
        </w:rPr>
        <w:t>3、党风廉政建设不断夯实。一是按照“一岗双责”要求，进一步落实党风廉政建设责任制，推进作风建设常态化建设。强化监督制约，促进党员干部廉洁自律，提振精气神。二是加强党风党纪教育，强化“四个意识”。落实中央“八项规定”和省委“九条规定”精神。三是学习传达省、市、区纪委下发的关于扶贫领域问题通报、“四风”典型案例和违反中央八项规定精神案例的通报，做到警钟长鸣，筑牢拒腐防变的思想防线。</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4、扎实开展业务工作。</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党史资料征编有序开展。按质按量完成省市交办的《湖南党委工作纪事》、《怀化党委工作纪事》组稿任务，展示我区建设成就，宣传我区经济社会发展和各级党组织形象，介绍先进典型做法和先进人物事迹。结合《怀化市鹤城区志》、《鹤城年鉴》编修工作，认真撰写好各级党组织不同时期在建设鹤城所发挥的核心作用，充分体现党领导人民群众改变山区城市面貌的时代特征。收集整理“三亲”资料，动员部分近年退下来的“四大家”领导，身体力行撰写回忆录，将亲历亲为的历史见证留给后人。</w:t>
      </w:r>
    </w:p>
    <w:p>
      <w:pPr>
        <w:spacing w:line="660" w:lineRule="exact"/>
        <w:ind w:firstLine="640" w:firstLineChars="200"/>
        <w:rPr>
          <w:rFonts w:eastAsia="仿宋_GB2312"/>
          <w:sz w:val="32"/>
          <w:szCs w:val="32"/>
        </w:rPr>
      </w:pPr>
      <w:r>
        <w:rPr>
          <w:rFonts w:hint="eastAsia" w:ascii="仿宋" w:hAnsi="仿宋" w:eastAsia="仿宋"/>
          <w:sz w:val="32"/>
          <w:szCs w:val="32"/>
        </w:rPr>
        <w:t>党史宣传教育工作整体推进。充分发挥党史“资政育人”优势，注重形成工作合力，构建党委统一领导，有关部门密切配合的“大党史”工作格局。一是广泛开展党史进校园活动。与教育局密切联系，要求全区中小学每年都要安排一堂党史课，</w:t>
      </w:r>
      <w:r>
        <w:rPr>
          <w:rFonts w:hint="eastAsia" w:hAnsi="仿宋_GB2312" w:eastAsia="仿宋_GB2312"/>
          <w:sz w:val="32"/>
          <w:szCs w:val="32"/>
        </w:rPr>
        <w:t>并适时安排区党史联络组成员、区关工委主任孙叙孝同志走进校园给孩子们上党课，培养</w:t>
      </w:r>
      <w:r>
        <w:rPr>
          <w:rFonts w:hAnsi="仿宋_GB2312" w:eastAsia="仿宋_GB2312"/>
          <w:sz w:val="32"/>
          <w:szCs w:val="32"/>
        </w:rPr>
        <w:t>广大青少年</w:t>
      </w:r>
      <w:r>
        <w:rPr>
          <w:rFonts w:hint="eastAsia" w:hAnsi="仿宋_GB2312" w:eastAsia="仿宋_GB2312"/>
          <w:sz w:val="32"/>
          <w:szCs w:val="32"/>
        </w:rPr>
        <w:t>养成</w:t>
      </w:r>
      <w:r>
        <w:rPr>
          <w:rFonts w:hAnsi="仿宋_GB2312" w:eastAsia="仿宋_GB2312"/>
          <w:sz w:val="32"/>
          <w:szCs w:val="32"/>
        </w:rPr>
        <w:t>爱党、爱国、爱家乡的良好品质。</w:t>
      </w:r>
      <w:r>
        <w:rPr>
          <w:rFonts w:hint="eastAsia" w:ascii="仿宋" w:hAnsi="仿宋" w:eastAsia="仿宋"/>
          <w:sz w:val="32"/>
          <w:szCs w:val="32"/>
        </w:rPr>
        <w:t>二是开展党史进党校活动。今年党校举办的干部教育主题培训班，均把党史学习纳入到教学内容中。</w:t>
      </w:r>
      <w:r>
        <w:rPr>
          <w:rFonts w:hAnsi="仿宋_GB2312" w:eastAsia="仿宋_GB2312"/>
          <w:sz w:val="32"/>
          <w:szCs w:val="32"/>
        </w:rPr>
        <w:t>通过系列党史学习，使党员干部对党的优良传统和作风有了更高的认识</w:t>
      </w:r>
      <w:r>
        <w:rPr>
          <w:rFonts w:hint="eastAsia" w:hAnsi="仿宋_GB2312" w:eastAsia="仿宋_GB2312"/>
          <w:sz w:val="32"/>
          <w:szCs w:val="32"/>
        </w:rPr>
        <w:t>，</w:t>
      </w:r>
      <w:r>
        <w:rPr>
          <w:rFonts w:hint="eastAsia" w:ascii="仿宋_GB2312" w:hAnsi="仿宋_GB2312" w:eastAsia="仿宋_GB2312" w:cs="仿宋_GB2312"/>
          <w:sz w:val="32"/>
          <w:szCs w:val="32"/>
        </w:rPr>
        <w:t>切实加强了干部的党史教育，解决好党员干部理想信念、政治立场、前进方向等问题。</w:t>
      </w:r>
      <w:r>
        <w:rPr>
          <w:rFonts w:hint="eastAsia" w:ascii="仿宋" w:hAnsi="仿宋" w:eastAsia="仿宋"/>
          <w:sz w:val="32"/>
          <w:szCs w:val="32"/>
        </w:rPr>
        <w:t>三是开展党史进社区活动。把党史教育贯穿到基层党组织学习中，使基层党员干部对党的优良传统和作风有更深、更高的认识。</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党史联络工作卓有成效。结合实际，进一步完善论文及课题经费、稿费等相关奖励机制。鼓励全体成员积极撰写回忆录，深入基层调查研究，撰写课题文章，对所写稿件除了稿费外，对在各级刊物发表的文章明确了奖励标准。年初确定研究课题10个，要求联络组成员撰写出 “鹤城发展”的相关历史资料。截止目前， 10篇课题文章均已完成。</w:t>
      </w:r>
    </w:p>
    <w:p>
      <w:pPr>
        <w:spacing w:line="660" w:lineRule="exact"/>
        <w:ind w:firstLine="640" w:firstLineChars="200"/>
        <w:rPr>
          <w:rFonts w:ascii="仿宋" w:hAnsi="仿宋" w:eastAsia="仿宋"/>
          <w:sz w:val="32"/>
          <w:szCs w:val="32"/>
        </w:rPr>
      </w:pPr>
      <w:r>
        <w:rPr>
          <w:rFonts w:ascii="仿宋" w:hAnsi="仿宋" w:eastAsia="仿宋"/>
          <w:sz w:val="32"/>
          <w:szCs w:val="32"/>
        </w:rPr>
        <w:t>深入挖掘本地红色</w:t>
      </w:r>
      <w:r>
        <w:rPr>
          <w:rFonts w:hint="eastAsia" w:ascii="仿宋" w:hAnsi="仿宋" w:eastAsia="仿宋"/>
          <w:sz w:val="32"/>
          <w:szCs w:val="32"/>
        </w:rPr>
        <w:t>基因。</w:t>
      </w:r>
      <w:r>
        <w:rPr>
          <w:rFonts w:ascii="仿宋" w:hAnsi="仿宋" w:eastAsia="仿宋"/>
          <w:sz w:val="32"/>
          <w:szCs w:val="32"/>
        </w:rPr>
        <w:t>为深入贯彻落实习近平同志关于“把红色资源利用好，把红色传统发扬好，把红色基因传承好”的重要指示，</w:t>
      </w:r>
      <w:r>
        <w:rPr>
          <w:rFonts w:hint="eastAsia" w:ascii="仿宋" w:hAnsi="仿宋" w:eastAsia="仿宋"/>
          <w:sz w:val="32"/>
          <w:szCs w:val="32"/>
        </w:rPr>
        <w:t>我们积极挖掘鹤城本地红色基因，整理了“黄金坳剿匪故事—仇家通灵战斗”、“怀化县保安团的起义”、“黄岩暴动”等红色故事，挖掘了彭布、杨舫等5位红色人物相关事迹，与鹤城区国防教育中心红色博物馆合作整理了红色印章等相关素材，协助民政局老区办编写《怀化市鹤城区革命老区发展史》一书，用翔实的史料全面记录了鹤城区作为革命老区的光辉历史和辉煌成就。2020年是抗美援朝70周年，我们以此为契机专门整理了鹤城区抗美援朝系列人物，通过走访相关人员、查阅相关资料，挖掘了著名作家魏巍报告文学《谁是最可爱的人》记录的抗美援朝烈士张贵生相关事迹材料，访问了健在的抗美援朝人物相关事迹故事。</w:t>
      </w:r>
    </w:p>
    <w:p>
      <w:pPr>
        <w:spacing w:line="600" w:lineRule="exact"/>
        <w:ind w:firstLine="640" w:firstLineChars="200"/>
        <w:rPr>
          <w:rFonts w:ascii="仿宋" w:hAnsi="仿宋" w:eastAsia="仿宋"/>
          <w:sz w:val="32"/>
          <w:szCs w:val="32"/>
        </w:rPr>
      </w:pPr>
      <w:r>
        <w:rPr>
          <w:rFonts w:ascii="仿宋" w:hAnsi="仿宋" w:eastAsia="仿宋"/>
          <w:sz w:val="32"/>
          <w:szCs w:val="32"/>
        </w:rPr>
        <w:t>《鹤城年鉴》</w:t>
      </w:r>
      <w:r>
        <w:rPr>
          <w:rFonts w:hint="eastAsia" w:ascii="仿宋" w:hAnsi="仿宋" w:eastAsia="仿宋"/>
          <w:sz w:val="32"/>
          <w:szCs w:val="32"/>
        </w:rPr>
        <w:t>和</w:t>
      </w:r>
      <w:r>
        <w:rPr>
          <w:rFonts w:ascii="仿宋" w:hAnsi="仿宋" w:eastAsia="仿宋"/>
          <w:sz w:val="32"/>
          <w:szCs w:val="32"/>
        </w:rPr>
        <w:t>《鹤城区志》编纂情况</w:t>
      </w:r>
      <w:r>
        <w:rPr>
          <w:rFonts w:hint="eastAsia" w:ascii="仿宋" w:hAnsi="仿宋" w:eastAsia="仿宋"/>
          <w:sz w:val="32"/>
          <w:szCs w:val="32"/>
        </w:rPr>
        <w:t>。</w:t>
      </w:r>
      <w:r>
        <w:rPr>
          <w:rFonts w:ascii="仿宋" w:hAnsi="仿宋" w:eastAsia="仿宋"/>
          <w:sz w:val="32"/>
          <w:szCs w:val="32"/>
        </w:rPr>
        <w:t>《鹤城年鉴》2020卷已完成</w:t>
      </w:r>
      <w:r>
        <w:rPr>
          <w:rFonts w:hint="eastAsia" w:ascii="仿宋" w:hAnsi="仿宋" w:eastAsia="仿宋"/>
          <w:sz w:val="32"/>
          <w:szCs w:val="32"/>
        </w:rPr>
        <w:t>前期</w:t>
      </w:r>
      <w:r>
        <w:rPr>
          <w:rFonts w:ascii="仿宋" w:hAnsi="仿宋" w:eastAsia="仿宋"/>
          <w:sz w:val="32"/>
          <w:szCs w:val="32"/>
        </w:rPr>
        <w:t>文字编辑整理</w:t>
      </w:r>
      <w:r>
        <w:rPr>
          <w:rFonts w:hint="eastAsia" w:ascii="仿宋" w:hAnsi="仿宋" w:eastAsia="仿宋"/>
          <w:sz w:val="32"/>
          <w:szCs w:val="32"/>
        </w:rPr>
        <w:t>及市、区终审</w:t>
      </w:r>
      <w:r>
        <w:rPr>
          <w:rFonts w:ascii="仿宋" w:hAnsi="仿宋" w:eastAsia="仿宋"/>
          <w:sz w:val="32"/>
          <w:szCs w:val="32"/>
        </w:rPr>
        <w:t>工作。《鹤城区志》稿共有22篇170余万字，40个彩板。今年，通过了市级审稿，</w:t>
      </w:r>
      <w:r>
        <w:rPr>
          <w:rFonts w:hint="eastAsia" w:ascii="仿宋" w:hAnsi="仿宋" w:eastAsia="仿宋"/>
          <w:sz w:val="32"/>
          <w:szCs w:val="32"/>
        </w:rPr>
        <w:t>年底</w:t>
      </w:r>
      <w:r>
        <w:rPr>
          <w:rFonts w:ascii="仿宋" w:hAnsi="仿宋" w:eastAsia="仿宋"/>
          <w:sz w:val="32"/>
          <w:szCs w:val="32"/>
        </w:rPr>
        <w:t>报送省地方志编纂院进行终审。</w:t>
      </w:r>
      <w:r>
        <w:rPr>
          <w:rFonts w:hint="eastAsia" w:ascii="仿宋" w:hAnsi="仿宋" w:eastAsia="仿宋"/>
          <w:sz w:val="32"/>
          <w:szCs w:val="32"/>
        </w:rPr>
        <w:t>并</w:t>
      </w:r>
      <w:r>
        <w:rPr>
          <w:rFonts w:ascii="仿宋" w:hAnsi="仿宋" w:eastAsia="仿宋"/>
          <w:sz w:val="32"/>
          <w:szCs w:val="32"/>
        </w:rPr>
        <w:t>已与方志出版社签订了《鹤城区志（1991—2010）》图书出版合同，并委托湖南省地图出版社重新编制2012年的鹤城区行政区划图、城市交通图</w:t>
      </w:r>
      <w:r>
        <w:rPr>
          <w:rFonts w:hint="eastAsia" w:ascii="仿宋" w:hAnsi="仿宋" w:eastAsia="仿宋"/>
          <w:sz w:val="32"/>
          <w:szCs w:val="32"/>
        </w:rPr>
        <w:t>。</w:t>
      </w:r>
    </w:p>
    <w:p>
      <w:pPr>
        <w:pStyle w:val="9"/>
        <w:numPr>
          <w:ilvl w:val="0"/>
          <w:numId w:val="3"/>
        </w:numPr>
        <w:spacing w:line="600" w:lineRule="exact"/>
        <w:ind w:left="0" w:firstLine="640"/>
        <w:rPr>
          <w:rFonts w:eastAsia="仿宋_GB2312"/>
          <w:color w:val="000000"/>
          <w:sz w:val="32"/>
          <w:szCs w:val="32"/>
        </w:rPr>
      </w:pPr>
      <w:r>
        <w:rPr>
          <w:rFonts w:eastAsia="仿宋_GB2312"/>
          <w:color w:val="000000"/>
          <w:sz w:val="32"/>
          <w:szCs w:val="32"/>
        </w:rPr>
        <w:t>社会效应</w:t>
      </w:r>
      <w:r>
        <w:rPr>
          <w:rFonts w:hint="eastAsia" w:eastAsia="仿宋_GB2312"/>
          <w:color w:val="000000"/>
          <w:sz w:val="32"/>
          <w:szCs w:val="32"/>
        </w:rPr>
        <w:t>和</w:t>
      </w:r>
      <w:r>
        <w:rPr>
          <w:rFonts w:eastAsia="仿宋_GB2312"/>
          <w:color w:val="000000"/>
          <w:sz w:val="32"/>
          <w:szCs w:val="32"/>
        </w:rPr>
        <w:t>可持续发展能力</w:t>
      </w:r>
    </w:p>
    <w:p>
      <w:pPr>
        <w:widowControl/>
        <w:shd w:val="clear" w:color="auto" w:fill="FFFFFF"/>
        <w:spacing w:line="600" w:lineRule="exact"/>
        <w:ind w:firstLine="640" w:firstLineChars="200"/>
        <w:rPr>
          <w:rFonts w:ascii="仿宋" w:hAnsi="仿宋" w:eastAsia="仿宋"/>
          <w:sz w:val="32"/>
          <w:szCs w:val="32"/>
        </w:rPr>
      </w:pPr>
      <w:r>
        <w:rPr>
          <w:rFonts w:hint="eastAsia" w:ascii="仿宋" w:hAnsi="仿宋" w:eastAsia="仿宋"/>
          <w:sz w:val="32"/>
          <w:szCs w:val="32"/>
        </w:rPr>
        <w:t>充分</w:t>
      </w:r>
      <w:r>
        <w:rPr>
          <w:rFonts w:ascii="仿宋" w:hAnsi="仿宋" w:eastAsia="仿宋"/>
          <w:sz w:val="32"/>
          <w:szCs w:val="32"/>
        </w:rPr>
        <w:t>切实履行“存史、资政、育人”职责，统筹推进党史地方志工作全面发展</w:t>
      </w:r>
      <w:r>
        <w:rPr>
          <w:rFonts w:hint="eastAsia" w:ascii="仿宋" w:hAnsi="仿宋" w:eastAsia="仿宋"/>
          <w:sz w:val="32"/>
          <w:szCs w:val="32"/>
        </w:rPr>
        <w:t>。认真总结修志工作的历史经验,立足当前史志事业现状,谋划史志事业的持续发展,确立起长远的发展战略目标。</w:t>
      </w:r>
    </w:p>
    <w:p>
      <w:pPr>
        <w:pStyle w:val="9"/>
        <w:numPr>
          <w:ilvl w:val="0"/>
          <w:numId w:val="3"/>
        </w:numPr>
        <w:spacing w:line="600" w:lineRule="exact"/>
        <w:ind w:left="0" w:firstLine="640"/>
        <w:rPr>
          <w:rFonts w:ascii="仿宋" w:hAnsi="仿宋" w:eastAsia="仿宋"/>
          <w:sz w:val="32"/>
          <w:szCs w:val="32"/>
        </w:rPr>
      </w:pPr>
      <w:r>
        <w:rPr>
          <w:rFonts w:hint="eastAsia" w:ascii="仿宋" w:hAnsi="仿宋" w:eastAsia="仿宋"/>
          <w:sz w:val="32"/>
          <w:szCs w:val="32"/>
        </w:rPr>
        <w:t>服务对象满意度</w:t>
      </w:r>
    </w:p>
    <w:p>
      <w:pPr>
        <w:pStyle w:val="9"/>
        <w:spacing w:line="600" w:lineRule="exact"/>
        <w:ind w:firstLine="640"/>
        <w:rPr>
          <w:rFonts w:ascii="仿宋" w:hAnsi="仿宋" w:eastAsia="仿宋"/>
          <w:sz w:val="32"/>
          <w:szCs w:val="32"/>
        </w:rPr>
      </w:pPr>
      <w:r>
        <w:rPr>
          <w:rFonts w:hint="eastAsia" w:ascii="仿宋" w:hAnsi="仿宋" w:eastAsia="仿宋"/>
          <w:color w:val="000000"/>
          <w:sz w:val="32"/>
          <w:szCs w:val="32"/>
        </w:rPr>
        <w:t>社会公众满意度稳定在96%以上。社会公众投诉次数为零。</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ascii="仿宋" w:hAnsi="仿宋" w:eastAsia="仿宋"/>
          <w:sz w:val="32"/>
          <w:szCs w:val="32"/>
        </w:rPr>
        <w:t>2020年我单位的部门整体绩效评价工作还存在一些问题和不足需要进一步完善。在资金安排和使用上仍有不可预见性，在科学设置预算绩效指标上还需进一步加强。</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ind w:firstLine="640" w:firstLineChars="200"/>
        <w:rPr>
          <w:rFonts w:ascii="仿宋" w:hAnsi="仿宋" w:eastAsia="仿宋"/>
          <w:sz w:val="32"/>
          <w:szCs w:val="32"/>
        </w:rPr>
      </w:pPr>
      <w:r>
        <w:rPr>
          <w:rFonts w:hint="eastAsia" w:ascii="仿宋" w:hAnsi="仿宋" w:eastAsia="仿宋"/>
          <w:sz w:val="32"/>
          <w:szCs w:val="32"/>
        </w:rPr>
        <w:t>我单位需要增强预算编制的全面性、准确性，强化预算执行的严肃性。对年初没有预算安排的支出原则上不安排支出，不申请新增追加资金。严格按预算批复的用途使用资金，减少预算调整事项。</w:t>
      </w:r>
      <w:r>
        <w:rPr>
          <w:rFonts w:hint="eastAsia" w:eastAsia="仿宋"/>
          <w:sz w:val="32"/>
          <w:szCs w:val="32"/>
        </w:rPr>
        <w:t> </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eastAsia="仿宋_GB2312"/>
          <w:sz w:val="32"/>
          <w:szCs w:val="32"/>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hint="eastAsia" w:eastAsia="仿宋_GB2312"/>
          <w:sz w:val="32"/>
          <w:szCs w:val="32"/>
        </w:rPr>
      </w:pPr>
    </w:p>
    <w:p>
      <w:pPr>
        <w:widowControl/>
        <w:spacing w:line="600" w:lineRule="exact"/>
        <w:ind w:firstLine="645"/>
        <w:jc w:val="left"/>
        <w:rPr>
          <w:rFonts w:hint="eastAsia" w:eastAsia="仿宋_GB2312"/>
          <w:sz w:val="32"/>
          <w:szCs w:val="32"/>
        </w:rPr>
      </w:pP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156"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3"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1"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8" w:hRule="atLeast"/>
          <w:jc w:val="center"/>
        </w:trPr>
        <w:tc>
          <w:tcPr>
            <w:tcW w:w="9933" w:type="dxa"/>
            <w:gridSpan w:val="6"/>
            <w:shd w:val="clear" w:color="auto" w:fill="auto"/>
            <w:vAlign w:val="center"/>
          </w:tcPr>
          <w:p>
            <w:pPr>
              <w:spacing w:line="260" w:lineRule="exact"/>
              <w:ind w:left="105" w:leftChars="50" w:right="105" w:rightChars="50"/>
              <w:jc w:val="center"/>
              <w:rPr>
                <w:rFonts w:ascii="仿宋_GB2312" w:eastAsia="仿宋_GB2312"/>
                <w:sz w:val="24"/>
              </w:rPr>
            </w:pPr>
            <w:r>
              <w:rPr>
                <w:rFonts w:hint="eastAsia" w:ascii="仿宋_GB2312" w:eastAsia="仿宋_GB2312"/>
                <w:sz w:val="24"/>
              </w:rPr>
              <w:t>总分：97</w:t>
            </w:r>
          </w:p>
        </w:tc>
      </w:tr>
    </w:tbl>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11762" w:type="dxa"/>
        <w:jc w:val="center"/>
        <w:tblLayout w:type="autofit"/>
        <w:tblCellMar>
          <w:top w:w="0" w:type="dxa"/>
          <w:left w:w="108" w:type="dxa"/>
          <w:bottom w:w="0" w:type="dxa"/>
          <w:right w:w="108" w:type="dxa"/>
        </w:tblCellMar>
      </w:tblPr>
      <w:tblGrid>
        <w:gridCol w:w="1135"/>
        <w:gridCol w:w="992"/>
        <w:gridCol w:w="1504"/>
        <w:gridCol w:w="2335"/>
        <w:gridCol w:w="1346"/>
        <w:gridCol w:w="1331"/>
        <w:gridCol w:w="828"/>
        <w:gridCol w:w="873"/>
        <w:gridCol w:w="1418"/>
      </w:tblGrid>
      <w:tr>
        <w:tblPrEx>
          <w:tblCellMar>
            <w:top w:w="0" w:type="dxa"/>
            <w:left w:w="108" w:type="dxa"/>
            <w:bottom w:w="0" w:type="dxa"/>
            <w:right w:w="108" w:type="dxa"/>
          </w:tblCellMar>
        </w:tblPrEx>
        <w:trPr>
          <w:trHeight w:val="690" w:hRule="atLeast"/>
          <w:jc w:val="center"/>
        </w:trPr>
        <w:tc>
          <w:tcPr>
            <w:tcW w:w="11762"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11762"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10627"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鹤城区史志研究室</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617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区委办</w:t>
            </w:r>
          </w:p>
        </w:tc>
        <w:tc>
          <w:tcPr>
            <w:tcW w:w="1331"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鹤城区史志研究室</w:t>
            </w:r>
            <w:r>
              <w:rPr>
                <w:rFonts w:eastAsia="仿宋_GB2312"/>
                <w:color w:val="000000"/>
                <w:kern w:val="0"/>
                <w:szCs w:val="21"/>
              </w:rPr>
              <w:t>　</w:t>
            </w:r>
          </w:p>
        </w:tc>
      </w:tr>
      <w:tr>
        <w:tblPrEx>
          <w:tblCellMar>
            <w:top w:w="0" w:type="dxa"/>
            <w:left w:w="108" w:type="dxa"/>
            <w:bottom w:w="0" w:type="dxa"/>
            <w:right w:w="108" w:type="dxa"/>
          </w:tblCellMar>
        </w:tblPrEx>
        <w:trPr>
          <w:trHeight w:val="548"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49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2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49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2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510592</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510592</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422000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82%</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49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2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422000</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422000</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422000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49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2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88592</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88592</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49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233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4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617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45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1224"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617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eastAsia="仿宋_GB2312"/>
                <w:color w:val="000000"/>
                <w:kern w:val="0"/>
                <w:szCs w:val="21"/>
              </w:rPr>
            </w:pPr>
            <w:r>
              <w:rPr>
                <w:rFonts w:eastAsia="仿宋_GB2312"/>
                <w:color w:val="000000"/>
                <w:kern w:val="0"/>
                <w:szCs w:val="21"/>
              </w:rPr>
              <w:t>　</w:t>
            </w:r>
            <w:r>
              <w:rPr>
                <w:rFonts w:hint="eastAsia" w:ascii="仿宋" w:hAnsi="仿宋" w:eastAsia="仿宋" w:cs="仿宋"/>
                <w:color w:val="000000"/>
                <w:kern w:val="0"/>
                <w:szCs w:val="21"/>
              </w:rPr>
              <w:t>1、计划完成高标准、高质量的《鹤城年鉴》、《鹤城区志》2、全区是党史联络工作有序的进行     3、做好全区本年《湘潮》杂志的订阅工作    4、收集、整理、研究、编辑全市党史材料工作。</w:t>
            </w:r>
            <w:r>
              <w:rPr>
                <w:rFonts w:eastAsia="仿宋_GB2312"/>
                <w:color w:val="000000"/>
                <w:kern w:val="0"/>
                <w:szCs w:val="21"/>
              </w:rPr>
              <w:t>　　</w:t>
            </w:r>
          </w:p>
        </w:tc>
        <w:tc>
          <w:tcPr>
            <w:tcW w:w="445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ascii="仿宋" w:hAnsi="仿宋" w:eastAsia="仿宋" w:cs="仿宋"/>
                <w:color w:val="000000"/>
                <w:kern w:val="0"/>
                <w:szCs w:val="21"/>
              </w:rPr>
              <w:t>1、完成高标准、高质量的《鹤城年鉴》2020卷2、扎实做好全区是党史联络工作 3、已做好全区本年《湘潮》杂志的订阅工作    4、收集、整理、研究、编辑全市党史材料工作。5、</w:t>
            </w:r>
            <w:r>
              <w:rPr>
                <w:rFonts w:hint="eastAsia" w:ascii="仿宋" w:hAnsi="仿宋" w:eastAsia="仿宋"/>
                <w:szCs w:val="21"/>
              </w:rPr>
              <w:t>完成《鹤城区志》省评审会后最后统稿工作6、完成省市年鉴、党史资料的上报</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5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2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72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5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2335" w:type="dxa"/>
            <w:tcBorders>
              <w:top w:val="single" w:color="auto" w:sz="4" w:space="0"/>
              <w:left w:val="nil"/>
              <w:right w:val="single" w:color="auto" w:sz="4" w:space="0"/>
            </w:tcBorders>
            <w:shd w:val="clear" w:color="auto" w:fill="auto"/>
            <w:vAlign w:val="center"/>
          </w:tcPr>
          <w:p>
            <w:pPr>
              <w:jc w:val="left"/>
              <w:rPr>
                <w:rFonts w:ascii="仿宋" w:hAnsi="仿宋" w:eastAsia="仿宋"/>
                <w:color w:val="000000"/>
                <w:kern w:val="0"/>
                <w:sz w:val="18"/>
                <w:szCs w:val="18"/>
              </w:rPr>
            </w:pPr>
            <w:r>
              <w:rPr>
                <w:rFonts w:hint="eastAsia" w:ascii="仿宋" w:hAnsi="仿宋" w:eastAsia="仿宋"/>
                <w:sz w:val="18"/>
                <w:szCs w:val="18"/>
              </w:rPr>
              <w:t>《鹤城年鉴》2020卷</w:t>
            </w:r>
          </w:p>
        </w:tc>
        <w:tc>
          <w:tcPr>
            <w:tcW w:w="1346" w:type="dxa"/>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600册</w:t>
            </w:r>
          </w:p>
        </w:tc>
        <w:tc>
          <w:tcPr>
            <w:tcW w:w="1331" w:type="dxa"/>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600册</w:t>
            </w:r>
          </w:p>
        </w:tc>
        <w:tc>
          <w:tcPr>
            <w:tcW w:w="828" w:type="dxa"/>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06"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2335" w:type="dxa"/>
            <w:tcBorders>
              <w:top w:val="single" w:color="auto" w:sz="4" w:space="0"/>
              <w:left w:val="nil"/>
              <w:right w:val="single" w:color="auto" w:sz="4" w:space="0"/>
            </w:tcBorders>
            <w:shd w:val="clear" w:color="auto" w:fill="auto"/>
            <w:vAlign w:val="center"/>
          </w:tcPr>
          <w:p>
            <w:pPr>
              <w:jc w:val="left"/>
              <w:rPr>
                <w:rFonts w:eastAsia="仿宋_GB2312"/>
                <w:color w:val="000000"/>
                <w:kern w:val="0"/>
                <w:sz w:val="18"/>
                <w:szCs w:val="18"/>
              </w:rPr>
            </w:pPr>
            <w:r>
              <w:rPr>
                <w:rFonts w:hint="eastAsia" w:ascii="仿宋" w:hAnsi="仿宋" w:eastAsia="仿宋"/>
                <w:color w:val="000000"/>
                <w:sz w:val="18"/>
                <w:szCs w:val="18"/>
              </w:rPr>
              <w:t>达到国家公开出版物标准</w:t>
            </w:r>
          </w:p>
        </w:tc>
        <w:tc>
          <w:tcPr>
            <w:tcW w:w="1346"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达到标准</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2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2335"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按时按量的完成各项公开发行指标</w:t>
            </w:r>
          </w:p>
        </w:tc>
        <w:tc>
          <w:tcPr>
            <w:tcW w:w="1346"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保质完成</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7</w:t>
            </w:r>
          </w:p>
        </w:tc>
        <w:tc>
          <w:tcPr>
            <w:tcW w:w="14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因疫情影响，年鉴的编辑工作略有推迟，下一步加快进度保证及时完成</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0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2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《鹤城区志》（1991年-2010年卷）</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18.3万元</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0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2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《鹤城年鉴》2021年卷</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3万元</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0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2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党史联络组经费</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10万元</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0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2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党史工作经费</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10万元</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0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233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《湘潮》订阅费</w:t>
            </w:r>
          </w:p>
        </w:tc>
        <w:tc>
          <w:tcPr>
            <w:tcW w:w="134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0.9万元</w:t>
            </w:r>
          </w:p>
        </w:tc>
        <w:tc>
          <w:tcPr>
            <w:tcW w:w="13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2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5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2335" w:type="dxa"/>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 w:val="18"/>
                <w:szCs w:val="18"/>
              </w:rPr>
            </w:pPr>
            <w:r>
              <w:rPr>
                <w:rFonts w:hint="eastAsia" w:ascii="仿宋" w:hAnsi="仿宋" w:eastAsia="仿宋"/>
                <w:color w:val="000000"/>
                <w:kern w:val="0"/>
                <w:sz w:val="18"/>
                <w:szCs w:val="18"/>
              </w:rPr>
              <w:t>有史可查，宣传地方文化</w:t>
            </w:r>
          </w:p>
        </w:tc>
        <w:tc>
          <w:tcPr>
            <w:tcW w:w="1346"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良好</w:t>
            </w:r>
            <w:r>
              <w:rPr>
                <w:rFonts w:eastAsia="仿宋_GB2312"/>
                <w:color w:val="000000"/>
                <w:kern w:val="0"/>
                <w:szCs w:val="21"/>
              </w:rPr>
              <w:t>　</w:t>
            </w:r>
          </w:p>
        </w:tc>
        <w:tc>
          <w:tcPr>
            <w:tcW w:w="1331"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51"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2335"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ascii="仿宋" w:hAnsi="仿宋" w:eastAsia="仿宋"/>
                <w:color w:val="000000"/>
                <w:kern w:val="0"/>
                <w:sz w:val="18"/>
                <w:szCs w:val="18"/>
              </w:rPr>
              <w:t>以史鉴今、资政育人。</w:t>
            </w:r>
            <w:r>
              <w:rPr>
                <w:rFonts w:hint="eastAsia" w:eastAsia="仿宋_GB2312"/>
                <w:color w:val="000000"/>
                <w:kern w:val="0"/>
                <w:sz w:val="18"/>
                <w:szCs w:val="18"/>
              </w:rPr>
              <w:t>挖掘红色文化，做好党史宣传</w:t>
            </w:r>
          </w:p>
        </w:tc>
        <w:tc>
          <w:tcPr>
            <w:tcW w:w="1346"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良好</w:t>
            </w:r>
          </w:p>
        </w:tc>
        <w:tc>
          <w:tcPr>
            <w:tcW w:w="1331" w:type="dxa"/>
            <w:tcBorders>
              <w:top w:val="single" w:color="auto" w:sz="4" w:space="0"/>
              <w:left w:val="nil"/>
              <w:right w:val="single" w:color="auto" w:sz="4" w:space="0"/>
            </w:tcBorders>
            <w:shd w:val="clear" w:color="auto" w:fill="auto"/>
            <w:vAlign w:val="bottom"/>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28" w:type="dxa"/>
            <w:tcBorders>
              <w:top w:val="single" w:color="auto" w:sz="4" w:space="0"/>
              <w:left w:val="nil"/>
              <w:right w:val="single" w:color="auto" w:sz="4" w:space="0"/>
            </w:tcBorders>
            <w:shd w:val="clear" w:color="auto" w:fill="auto"/>
            <w:vAlign w:val="bottom"/>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right w:val="single" w:color="auto" w:sz="4" w:space="0"/>
            </w:tcBorders>
            <w:shd w:val="clear" w:color="auto" w:fill="auto"/>
            <w:vAlign w:val="bottom"/>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79"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5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2335"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346" w:type="dxa"/>
            <w:tcBorders>
              <w:top w:val="single" w:color="auto" w:sz="4" w:space="0"/>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p>
        </w:tc>
        <w:tc>
          <w:tcPr>
            <w:tcW w:w="828"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p>
        </w:tc>
        <w:tc>
          <w:tcPr>
            <w:tcW w:w="141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0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23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深入挖掘鹤城历史文化，党史宣传工作深入</w:t>
            </w:r>
          </w:p>
        </w:tc>
        <w:tc>
          <w:tcPr>
            <w:tcW w:w="1346"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长期</w:t>
            </w:r>
          </w:p>
          <w:p>
            <w:pPr>
              <w:spacing w:line="320" w:lineRule="exact"/>
              <w:jc w:val="left"/>
              <w:rPr>
                <w:rFonts w:eastAsia="仿宋_GB2312"/>
                <w:color w:val="000000"/>
                <w:kern w:val="0"/>
                <w:szCs w:val="21"/>
              </w:rPr>
            </w:pPr>
            <w:r>
              <w:rPr>
                <w:rFonts w:eastAsia="仿宋_GB2312"/>
                <w:color w:val="000000"/>
                <w:kern w:val="0"/>
                <w:szCs w:val="21"/>
              </w:rPr>
              <w:t>　</w:t>
            </w:r>
          </w:p>
        </w:tc>
        <w:tc>
          <w:tcPr>
            <w:tcW w:w="133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28"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0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23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46"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3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504"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2335" w:type="dxa"/>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社会公众满意度</w:t>
            </w:r>
          </w:p>
          <w:p>
            <w:pPr>
              <w:spacing w:line="320" w:lineRule="exact"/>
              <w:jc w:val="left"/>
              <w:rPr>
                <w:rFonts w:eastAsia="仿宋_GB2312"/>
                <w:color w:val="000000"/>
                <w:kern w:val="0"/>
                <w:szCs w:val="21"/>
              </w:rPr>
            </w:pPr>
          </w:p>
        </w:tc>
        <w:tc>
          <w:tcPr>
            <w:tcW w:w="1346" w:type="dxa"/>
            <w:vMerge w:val="restart"/>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p>
            <w:pPr>
              <w:spacing w:line="320" w:lineRule="exact"/>
              <w:jc w:val="left"/>
              <w:rPr>
                <w:rFonts w:eastAsia="仿宋_GB2312"/>
                <w:color w:val="000000"/>
                <w:kern w:val="0"/>
                <w:szCs w:val="21"/>
              </w:rPr>
            </w:pPr>
            <w:r>
              <w:rPr>
                <w:rFonts w:eastAsia="仿宋_GB2312"/>
                <w:color w:val="000000"/>
                <w:kern w:val="0"/>
                <w:szCs w:val="21"/>
              </w:rPr>
              <w:t>　</w:t>
            </w:r>
          </w:p>
        </w:tc>
        <w:tc>
          <w:tcPr>
            <w:tcW w:w="133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spacing w:line="320" w:lineRule="exact"/>
              <w:jc w:val="center"/>
              <w:rPr>
                <w:rFonts w:eastAsia="仿宋_GB2312"/>
                <w:color w:val="000000"/>
                <w:kern w:val="0"/>
                <w:szCs w:val="21"/>
              </w:rPr>
            </w:pPr>
          </w:p>
        </w:tc>
        <w:tc>
          <w:tcPr>
            <w:tcW w:w="828" w:type="dxa"/>
            <w:vMerge w:val="restart"/>
            <w:tcBorders>
              <w:top w:val="nil"/>
              <w:left w:val="nil"/>
              <w:right w:val="single" w:color="auto" w:sz="4" w:space="0"/>
            </w:tcBorders>
            <w:shd w:val="clear" w:color="auto" w:fill="auto"/>
            <w:vAlign w:val="bottom"/>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p>
            <w:pPr>
              <w:spacing w:line="320" w:lineRule="exact"/>
              <w:jc w:val="center"/>
              <w:rPr>
                <w:rFonts w:eastAsia="仿宋_GB2312"/>
                <w:color w:val="000000"/>
                <w:kern w:val="0"/>
                <w:szCs w:val="21"/>
              </w:rPr>
            </w:pPr>
          </w:p>
        </w:tc>
        <w:tc>
          <w:tcPr>
            <w:tcW w:w="873" w:type="dxa"/>
            <w:vMerge w:val="restart"/>
            <w:tcBorders>
              <w:top w:val="nil"/>
              <w:left w:val="nil"/>
              <w:right w:val="single" w:color="auto" w:sz="4" w:space="0"/>
            </w:tcBorders>
            <w:shd w:val="clear" w:color="auto" w:fill="auto"/>
            <w:vAlign w:val="bottom"/>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p>
            <w:pPr>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504"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233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46"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3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8643"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156" w:beforeLines="50" w:line="320" w:lineRule="exact"/>
        <w:rPr>
          <w:rFonts w:eastAsia="仿宋_GB2312"/>
          <w:sz w:val="24"/>
        </w:rPr>
      </w:pPr>
      <w:r>
        <w:rPr>
          <w:rFonts w:eastAsia="仿宋_GB2312"/>
          <w:sz w:val="24"/>
        </w:rPr>
        <w:t>填表人：</w:t>
      </w:r>
      <w:r>
        <w:rPr>
          <w:rFonts w:hint="eastAsia" w:eastAsia="仿宋_GB2312"/>
          <w:sz w:val="24"/>
        </w:rPr>
        <w:t>吴琼</w:t>
      </w:r>
      <w:r>
        <w:rPr>
          <w:rFonts w:eastAsia="仿宋_GB2312"/>
          <w:sz w:val="24"/>
        </w:rPr>
        <w:t xml:space="preserve"> 填报日期：</w:t>
      </w:r>
      <w:r>
        <w:rPr>
          <w:rFonts w:hint="eastAsia" w:eastAsia="仿宋_GB2312"/>
          <w:sz w:val="24"/>
        </w:rPr>
        <w:t>2021.6.22</w:t>
      </w:r>
      <w:r>
        <w:rPr>
          <w:rFonts w:eastAsia="仿宋_GB2312"/>
          <w:sz w:val="24"/>
        </w:rPr>
        <w:t xml:space="preserve">  联系电话：</w:t>
      </w:r>
      <w:r>
        <w:rPr>
          <w:rFonts w:hint="eastAsia" w:eastAsia="仿宋_GB2312"/>
          <w:sz w:val="24"/>
        </w:rPr>
        <w:t>13874509169</w:t>
      </w:r>
      <w:r>
        <w:rPr>
          <w:rFonts w:eastAsia="仿宋_GB2312"/>
          <w:sz w:val="24"/>
        </w:rPr>
        <w:t>单位负责人签字：</w:t>
      </w: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adjustRightInd w:val="0"/>
        <w:snapToGrid w:val="0"/>
        <w:spacing w:line="560" w:lineRule="exact"/>
        <w:ind w:firstLine="632" w:firstLineChars="200"/>
        <w:rPr>
          <w:rFonts w:ascii="仿宋" w:hAnsi="仿宋" w:eastAsia="仿宋"/>
          <w:w w:val="99"/>
          <w:sz w:val="32"/>
          <w:szCs w:val="32"/>
        </w:rPr>
      </w:pPr>
      <w:r>
        <w:rPr>
          <w:rFonts w:hint="eastAsia" w:ascii="仿宋" w:hAnsi="仿宋" w:eastAsia="仿宋"/>
          <w:w w:val="99"/>
          <w:sz w:val="32"/>
          <w:szCs w:val="32"/>
        </w:rPr>
        <w:t>“2020年区史志研究室项目工作经费”项目资金42.2万元，实际支出42.2万元，</w:t>
      </w:r>
      <w:r>
        <w:rPr>
          <w:rFonts w:hint="eastAsia" w:ascii="仿宋" w:hAnsi="仿宋" w:eastAsia="仿宋" w:cs="仿宋_GB2312"/>
          <w:color w:val="000000"/>
          <w:w w:val="99"/>
          <w:sz w:val="32"/>
          <w:szCs w:val="32"/>
        </w:rPr>
        <w:t>主要用于《鹤城年鉴》2019卷的编纂和出版、印刷费用,《鹤城区志》审稿费、党史联络组成员的费用开支、《湘潮》杂志的发行费用。</w:t>
      </w:r>
    </w:p>
    <w:p>
      <w:pPr>
        <w:pStyle w:val="9"/>
        <w:numPr>
          <w:ilvl w:val="0"/>
          <w:numId w:val="2"/>
        </w:numPr>
        <w:spacing w:line="600" w:lineRule="exact"/>
        <w:ind w:firstLineChars="0"/>
        <w:rPr>
          <w:rFonts w:eastAsia="楷体_GB2312"/>
          <w:b/>
          <w:sz w:val="32"/>
          <w:szCs w:val="32"/>
        </w:rPr>
      </w:pPr>
      <w:r>
        <w:rPr>
          <w:rFonts w:eastAsia="楷体_GB2312"/>
          <w:b/>
          <w:sz w:val="32"/>
          <w:szCs w:val="32"/>
        </w:rPr>
        <w:t>预算资金使用管理情况。</w:t>
      </w:r>
    </w:p>
    <w:p>
      <w:pPr>
        <w:adjustRightInd w:val="0"/>
        <w:snapToGrid w:val="0"/>
        <w:spacing w:line="560" w:lineRule="exact"/>
        <w:ind w:firstLine="480" w:firstLineChars="150"/>
        <w:rPr>
          <w:rFonts w:ascii="仿宋" w:hAnsi="仿宋" w:eastAsia="仿宋"/>
          <w:sz w:val="32"/>
          <w:szCs w:val="32"/>
        </w:rPr>
      </w:pPr>
      <w:r>
        <w:rPr>
          <w:rFonts w:hint="eastAsia" w:eastAsia="仿宋_GB2312"/>
          <w:sz w:val="32"/>
          <w:szCs w:val="32"/>
        </w:rPr>
        <w:t xml:space="preserve"> </w:t>
      </w:r>
      <w:r>
        <w:rPr>
          <w:rFonts w:hint="eastAsia" w:ascii="仿宋" w:hAnsi="仿宋" w:eastAsia="仿宋"/>
          <w:sz w:val="32"/>
          <w:szCs w:val="32"/>
        </w:rPr>
        <w:t>1、预算支出组织管理机构：由本单位负责实施。</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2、预算资金和项目管理制度建设：《鹤城区史志研究室财务管理制度》、《鹤城区史志研究室专项资金管理办法》</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3、预算资金投向结构合理性、资金拨付及时性：根据预算资金用途，从厉节约出发，严格项目资金支出审批程序。</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4、项目组织实施的合规性：申报内容与实际相符，申报目标合理可行。</w:t>
      </w:r>
    </w:p>
    <w:p>
      <w:pPr>
        <w:spacing w:line="600" w:lineRule="exact"/>
        <w:ind w:firstLine="480" w:firstLineChars="150"/>
        <w:rPr>
          <w:rFonts w:eastAsia="仿宋_GB2312"/>
          <w:sz w:val="32"/>
          <w:szCs w:val="32"/>
        </w:rPr>
      </w:pP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pPr>
        <w:spacing w:line="600" w:lineRule="exact"/>
        <w:ind w:firstLine="643" w:firstLineChars="200"/>
        <w:rPr>
          <w:rFonts w:eastAsia="仿宋_GB2312"/>
          <w:sz w:val="32"/>
          <w:szCs w:val="32"/>
        </w:rPr>
      </w:pPr>
      <w:r>
        <w:rPr>
          <w:rFonts w:eastAsia="楷体_GB2312"/>
          <w:b/>
          <w:sz w:val="32"/>
          <w:szCs w:val="32"/>
        </w:rPr>
        <w:t>（三）预算支出绩效目标完成程度。</w:t>
      </w:r>
      <w:r>
        <w:rPr>
          <w:rFonts w:eastAsia="仿宋_GB2312"/>
          <w:sz w:val="32"/>
          <w:szCs w:val="32"/>
        </w:rPr>
        <w:t>主要包括绩效总目标和阶段性目标，实现的产出情况和取得的效益情况。</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1、项目绩效总目标和阶段性目标</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（1）项目总体绩效目标</w:t>
      </w:r>
      <w:r>
        <w:rPr>
          <w:rFonts w:eastAsia="仿宋_GB2312"/>
          <w:color w:val="000000"/>
          <w:kern w:val="0"/>
          <w:szCs w:val="21"/>
        </w:rPr>
        <w:t>　</w:t>
      </w:r>
      <w:r>
        <w:rPr>
          <w:rFonts w:hint="eastAsia" w:ascii="仿宋" w:hAnsi="仿宋" w:eastAsia="仿宋" w:cs="仿宋"/>
          <w:color w:val="000000"/>
          <w:kern w:val="0"/>
          <w:sz w:val="32"/>
          <w:szCs w:val="32"/>
        </w:rPr>
        <w:t>1、计划完成高标准、高质量的《鹤城年鉴》2、全区党史联络工作有序的开展     3、做好全区本年《湘潮》杂志的订阅工作    4、收集、整理、研究、编辑全区党史、地方志材料工作。</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2、预期主要的生态、社会和经济效益</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（1）生态效益</w:t>
      </w:r>
    </w:p>
    <w:p>
      <w:pPr>
        <w:adjustRightInd w:val="0"/>
        <w:snapToGrid w:val="0"/>
        <w:spacing w:line="560" w:lineRule="exact"/>
        <w:ind w:firstLine="1440" w:firstLineChars="450"/>
        <w:rPr>
          <w:rFonts w:ascii="仿宋" w:hAnsi="仿宋" w:eastAsia="仿宋"/>
          <w:sz w:val="32"/>
          <w:szCs w:val="32"/>
        </w:rPr>
      </w:pPr>
      <w:r>
        <w:rPr>
          <w:rFonts w:hint="eastAsia" w:ascii="仿宋" w:hAnsi="仿宋" w:eastAsia="仿宋"/>
          <w:sz w:val="32"/>
          <w:szCs w:val="32"/>
        </w:rPr>
        <w:t>无</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（2）社会效益</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color w:val="000000"/>
          <w:kern w:val="0"/>
          <w:sz w:val="32"/>
          <w:szCs w:val="32"/>
        </w:rPr>
        <w:t>以史铸魂、以史鉴今、资政育人。扩大党史知识的普及和宣传教育，营造党史学习宣传浓厚氛围，构建大党史工作格局，使党史工作社会效益明显提高。</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（3）经济效益</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鹤城区有史可查，宣传地方文化。</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（4）局限性</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由于工作的特殊性，本单位项目，能量化的目标我们尽量量化，但在工作开展过程中，很多工作无法用数字进行量化，特别是党史工作的指导和督查，有请进来，送上门，请外地专家来指导等等多种方式。</w:t>
      </w:r>
    </w:p>
    <w:p>
      <w:pPr>
        <w:spacing w:line="600" w:lineRule="exact"/>
        <w:ind w:firstLine="640" w:firstLineChars="200"/>
        <w:rPr>
          <w:rFonts w:eastAsia="黑体"/>
          <w:sz w:val="32"/>
          <w:szCs w:val="32"/>
        </w:rPr>
      </w:pPr>
      <w:r>
        <w:rPr>
          <w:rFonts w:eastAsia="黑体"/>
          <w:sz w:val="32"/>
          <w:szCs w:val="32"/>
        </w:rPr>
        <w:t>二、绩效评价工作情况</w:t>
      </w:r>
    </w:p>
    <w:p>
      <w:pPr>
        <w:pStyle w:val="10"/>
        <w:spacing w:line="360" w:lineRule="auto"/>
        <w:ind w:firstLine="640" w:firstLineChars="200"/>
        <w:rPr>
          <w:rFonts w:ascii="仿宋" w:hAnsi="仿宋" w:eastAsia="仿宋"/>
          <w:sz w:val="32"/>
          <w:szCs w:val="32"/>
        </w:rPr>
      </w:pPr>
      <w:r>
        <w:rPr>
          <w:rFonts w:hint="eastAsia" w:ascii="仿宋" w:hAnsi="仿宋" w:eastAsia="仿宋"/>
          <w:sz w:val="32"/>
          <w:szCs w:val="32"/>
        </w:rPr>
        <w:t>（一）前期准备</w:t>
      </w:r>
    </w:p>
    <w:p>
      <w:pPr>
        <w:pStyle w:val="10"/>
        <w:spacing w:line="360" w:lineRule="auto"/>
        <w:ind w:firstLine="640" w:firstLineChars="200"/>
        <w:rPr>
          <w:rFonts w:ascii="仿宋" w:hAnsi="仿宋" w:eastAsia="仿宋"/>
          <w:sz w:val="32"/>
          <w:szCs w:val="32"/>
        </w:rPr>
      </w:pPr>
      <w:r>
        <w:rPr>
          <w:rFonts w:hint="eastAsia" w:ascii="仿宋" w:hAnsi="仿宋" w:eastAsia="仿宋"/>
          <w:sz w:val="32"/>
          <w:szCs w:val="32"/>
        </w:rPr>
        <w:t>我单位对2020年专项资金绩效评价管理工作高度重视，由办公室牵头，认真制定绩效自评工作报告，其他股室相互配合协调，共同完成专项资金绩效评价管理工作。</w:t>
      </w:r>
    </w:p>
    <w:p>
      <w:pPr>
        <w:pStyle w:val="10"/>
        <w:spacing w:line="360" w:lineRule="auto"/>
        <w:ind w:firstLine="640" w:firstLineChars="200"/>
        <w:rPr>
          <w:rFonts w:ascii="仿宋" w:hAnsi="仿宋" w:eastAsia="仿宋"/>
          <w:sz w:val="32"/>
          <w:szCs w:val="32"/>
        </w:rPr>
      </w:pPr>
      <w:r>
        <w:rPr>
          <w:rFonts w:hint="eastAsia" w:ascii="仿宋" w:hAnsi="仿宋" w:eastAsia="仿宋"/>
          <w:sz w:val="32"/>
          <w:szCs w:val="32"/>
        </w:rPr>
        <w:t>（二）组织实施</w:t>
      </w:r>
    </w:p>
    <w:p>
      <w:pPr>
        <w:pStyle w:val="10"/>
        <w:spacing w:line="360" w:lineRule="auto"/>
        <w:ind w:firstLine="640" w:firstLineChars="200"/>
        <w:rPr>
          <w:rFonts w:ascii="仿宋" w:hAnsi="仿宋" w:eastAsia="仿宋"/>
          <w:sz w:val="32"/>
          <w:szCs w:val="32"/>
        </w:rPr>
      </w:pPr>
      <w:r>
        <w:rPr>
          <w:rFonts w:hint="eastAsia" w:ascii="仿宋" w:hAnsi="仿宋" w:eastAsia="仿宋"/>
          <w:sz w:val="32"/>
          <w:szCs w:val="32"/>
        </w:rPr>
        <w:t>办公室根据《专项资金支出绩效评价指标表》、《专项资金支出绩效目标自评表》要求开展专项资金自评工作，对42.2万元项目经费进行了自评打分，并逐项对照，认真撰写专项资金支出绩效评价报告，同时认真收集相关资料，确保自评工作真实客观。</w:t>
      </w:r>
    </w:p>
    <w:p>
      <w:pPr>
        <w:pStyle w:val="10"/>
        <w:spacing w:line="360" w:lineRule="auto"/>
        <w:ind w:firstLine="640" w:firstLineChars="200"/>
        <w:rPr>
          <w:rFonts w:ascii="仿宋" w:hAnsi="仿宋" w:eastAsia="仿宋"/>
          <w:sz w:val="32"/>
          <w:szCs w:val="32"/>
        </w:rPr>
      </w:pPr>
      <w:r>
        <w:rPr>
          <w:rFonts w:hint="eastAsia" w:ascii="仿宋" w:hAnsi="仿宋" w:eastAsia="仿宋"/>
          <w:sz w:val="32"/>
          <w:szCs w:val="32"/>
        </w:rPr>
        <w:t>（三）分析评价</w:t>
      </w:r>
    </w:p>
    <w:p>
      <w:pPr>
        <w:pStyle w:val="10"/>
        <w:spacing w:line="360" w:lineRule="auto"/>
        <w:ind w:firstLine="640" w:firstLineChars="200"/>
        <w:rPr>
          <w:rFonts w:ascii="仿宋" w:hAnsi="仿宋" w:eastAsia="仿宋"/>
          <w:sz w:val="32"/>
          <w:szCs w:val="32"/>
        </w:rPr>
      </w:pPr>
      <w:r>
        <w:rPr>
          <w:rFonts w:hint="eastAsia" w:ascii="仿宋" w:hAnsi="仿宋" w:eastAsia="仿宋"/>
          <w:sz w:val="32"/>
          <w:szCs w:val="32"/>
        </w:rPr>
        <w:t>2020年我单位严格按照有关规定使用“区史志研究室业务工作经费”项目经费，资金使用效益良好。</w:t>
      </w:r>
    </w:p>
    <w:p>
      <w:pPr>
        <w:spacing w:line="600" w:lineRule="exact"/>
        <w:ind w:firstLine="640" w:firstLineChars="200"/>
        <w:rPr>
          <w:rFonts w:eastAsia="黑体"/>
          <w:sz w:val="32"/>
          <w:szCs w:val="32"/>
        </w:rPr>
      </w:pPr>
      <w:r>
        <w:rPr>
          <w:rFonts w:eastAsia="黑体"/>
          <w:sz w:val="32"/>
          <w:szCs w:val="32"/>
        </w:rPr>
        <w:t>三、预算支出主要绩效及评价结论</w:t>
      </w:r>
    </w:p>
    <w:p>
      <w:pPr>
        <w:pStyle w:val="9"/>
        <w:ind w:firstLine="480" w:firstLineChars="150"/>
        <w:rPr>
          <w:rFonts w:ascii="仿宋" w:hAnsi="仿宋" w:eastAsia="仿宋"/>
          <w:sz w:val="32"/>
          <w:szCs w:val="32"/>
        </w:rPr>
      </w:pPr>
      <w:r>
        <w:rPr>
          <w:rFonts w:hint="eastAsia" w:ascii="仿宋" w:hAnsi="仿宋" w:eastAsia="仿宋"/>
          <w:sz w:val="32"/>
          <w:szCs w:val="32"/>
        </w:rPr>
        <w:t>（一）《鹤城年鉴（2020）》于2020年3月全面启动年鉴编纂工作。在总结2019卷编纂经验基础上，统筹改进管理方法，加强与撰稿单位沟通联系，加大督促工作力度，及时解决编写过程中存在的困难和问题，强力推进资料征集，着力提升供稿质量，于11月底已编纂形成送审稿， 12月底完成最后的修改校对工作，进场印刷。</w:t>
      </w:r>
    </w:p>
    <w:p>
      <w:pPr>
        <w:pStyle w:val="9"/>
        <w:ind w:firstLine="739" w:firstLineChars="231"/>
        <w:rPr>
          <w:rStyle w:val="11"/>
          <w:rFonts w:ascii="仿宋_GB2312" w:hAnsi="仿宋_GB2312" w:eastAsia="仿宋_GB2312"/>
          <w:sz w:val="32"/>
          <w:szCs w:val="32"/>
        </w:rPr>
      </w:pPr>
      <w:r>
        <w:rPr>
          <w:rFonts w:hint="eastAsia" w:ascii="仿宋" w:hAnsi="仿宋" w:eastAsia="仿宋"/>
          <w:sz w:val="32"/>
          <w:szCs w:val="32"/>
        </w:rPr>
        <w:t>（二）完成《鹤城区志》省评审会后最后统稿工作。</w:t>
      </w:r>
      <w:r>
        <w:rPr>
          <w:rStyle w:val="11"/>
          <w:rFonts w:ascii="仿宋_GB2312" w:hAnsi="仿宋_GB2312" w:eastAsia="仿宋_GB2312"/>
          <w:sz w:val="32"/>
          <w:szCs w:val="32"/>
        </w:rPr>
        <w:t>通过了市级审稿，争取在11月份报送省地方志编纂院进行终审。已与方志出版社签订了《鹤城区志（1991—2010）》图书出版合同，并委托湖南省地图出版社重新编制2012年的鹤城区行政区划图、城市交通图。</w:t>
      </w:r>
    </w:p>
    <w:p>
      <w:pPr>
        <w:pStyle w:val="9"/>
        <w:ind w:firstLine="739" w:firstLineChars="231"/>
        <w:rPr>
          <w:rFonts w:ascii="仿宋" w:hAnsi="仿宋" w:eastAsia="仿宋"/>
          <w:sz w:val="32"/>
          <w:szCs w:val="32"/>
        </w:rPr>
      </w:pPr>
      <w:r>
        <w:rPr>
          <w:rFonts w:hint="eastAsia" w:ascii="仿宋" w:hAnsi="仿宋" w:eastAsia="仿宋"/>
          <w:sz w:val="32"/>
          <w:szCs w:val="32"/>
        </w:rPr>
        <w:t>（三）扎实开展党史联络组相关工作。不断充实完善党史联络组力量，定期召开党史联络组工作会议。积极开展课题研究，按照“一突出，两跟进”要求，我们年初下达了10个党史研究专题，通过区委党史联络组与各有关部门的通力合作，已经完成了10个专题研究。</w:t>
      </w:r>
    </w:p>
    <w:p>
      <w:pPr>
        <w:pStyle w:val="9"/>
        <w:ind w:firstLine="739" w:firstLineChars="231"/>
        <w:rPr>
          <w:rFonts w:ascii="仿宋" w:hAnsi="仿宋" w:eastAsia="仿宋"/>
          <w:sz w:val="32"/>
          <w:szCs w:val="32"/>
        </w:rPr>
      </w:pPr>
      <w:r>
        <w:rPr>
          <w:rFonts w:hint="eastAsia" w:ascii="仿宋" w:hAnsi="仿宋" w:eastAsia="仿宋"/>
          <w:sz w:val="32"/>
          <w:szCs w:val="32"/>
        </w:rPr>
        <w:t>（四）完成省市年鉴、党史资料的上报。一是完成2020年《湖南年鉴》和《怀化年鉴》鹤城篇所需资料的供稿工作；二是完成2020年《湖南党委工作纪实》《怀化党委工作纪实》鹤城篇所需资料供稿。</w:t>
      </w:r>
    </w:p>
    <w:p>
      <w:pPr>
        <w:pStyle w:val="9"/>
        <w:ind w:firstLine="739" w:firstLineChars="231"/>
        <w:rPr>
          <w:rFonts w:ascii="仿宋" w:hAnsi="仿宋" w:eastAsia="仿宋"/>
          <w:sz w:val="32"/>
          <w:szCs w:val="32"/>
        </w:rPr>
      </w:pPr>
      <w:r>
        <w:rPr>
          <w:rFonts w:hint="eastAsia" w:ascii="仿宋" w:hAnsi="仿宋" w:eastAsia="仿宋"/>
          <w:sz w:val="32"/>
          <w:szCs w:val="32"/>
        </w:rPr>
        <w:t>（五）深入开展史志宣传教育活动。开展党史进机关、进学校、进社区、进农村“四进”教育活动。聘请市、区委党校有关老师为区委党史联络组成员，深入办事处、学校等单位宣讲党的十九大精神、鹤城历史文化、鹤城党史。</w:t>
      </w:r>
    </w:p>
    <w:p>
      <w:pPr>
        <w:spacing w:line="660" w:lineRule="exact"/>
        <w:ind w:firstLine="640" w:firstLineChars="200"/>
        <w:rPr>
          <w:rFonts w:hAnsi="仿宋_GB2312" w:eastAsia="仿宋_GB2312"/>
          <w:sz w:val="32"/>
          <w:szCs w:val="32"/>
        </w:rPr>
      </w:pPr>
      <w:r>
        <w:rPr>
          <w:rFonts w:hint="eastAsia" w:ascii="仿宋" w:hAnsi="仿宋" w:eastAsia="仿宋"/>
          <w:sz w:val="32"/>
          <w:szCs w:val="32"/>
        </w:rPr>
        <w:t>（六）</w:t>
      </w:r>
      <w:r>
        <w:rPr>
          <w:rFonts w:ascii="仿宋" w:hAnsi="仿宋" w:eastAsia="仿宋"/>
          <w:sz w:val="32"/>
          <w:szCs w:val="32"/>
        </w:rPr>
        <w:t>深入挖掘本地红色</w:t>
      </w:r>
      <w:r>
        <w:rPr>
          <w:rFonts w:hint="eastAsia" w:ascii="仿宋" w:hAnsi="仿宋" w:eastAsia="仿宋"/>
          <w:sz w:val="32"/>
          <w:szCs w:val="32"/>
        </w:rPr>
        <w:t>基因。我们积极挖掘鹤城本地红色基因，整理红色故事，挖掘红色人物相关事迹，与鹤城区国防教育中心红色博物馆合作整理了红色印章等相关素材，协助民政局老区办编写《怀化市鹤城区革命老区发展史》一书。</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pStyle w:val="4"/>
        <w:widowControl/>
        <w:spacing w:beforeAutospacing="0" w:afterAutospacing="0" w:line="560" w:lineRule="atLeast"/>
        <w:ind w:firstLine="640" w:firstLineChars="200"/>
        <w:jc w:val="both"/>
        <w:rPr>
          <w:rFonts w:ascii="仿宋" w:hAnsi="仿宋" w:eastAsia="仿宋"/>
          <w:b/>
          <w:sz w:val="32"/>
          <w:szCs w:val="32"/>
        </w:rPr>
      </w:pPr>
      <w:r>
        <w:rPr>
          <w:rFonts w:hint="eastAsia" w:ascii="仿宋" w:hAnsi="仿宋" w:eastAsia="仿宋"/>
          <w:kern w:val="2"/>
          <w:sz w:val="32"/>
          <w:szCs w:val="32"/>
        </w:rPr>
        <w:t>项目的申请、设立过程符合相关要求，绩效目标合理，绩效指标明确。</w:t>
      </w:r>
    </w:p>
    <w:p>
      <w:pPr>
        <w:spacing w:line="600" w:lineRule="exact"/>
        <w:ind w:firstLine="643" w:firstLineChars="200"/>
        <w:rPr>
          <w:rFonts w:eastAsia="楷体_GB2312"/>
          <w:b/>
          <w:sz w:val="32"/>
          <w:szCs w:val="32"/>
        </w:rPr>
      </w:pPr>
      <w:r>
        <w:rPr>
          <w:rFonts w:eastAsia="楷体_GB2312"/>
          <w:b/>
          <w:sz w:val="32"/>
          <w:szCs w:val="32"/>
        </w:rPr>
        <w:t>（二）预算执行过程情况</w:t>
      </w:r>
    </w:p>
    <w:p>
      <w:pPr>
        <w:pStyle w:val="10"/>
        <w:spacing w:line="360" w:lineRule="auto"/>
        <w:ind w:firstLine="640" w:firstLineChars="200"/>
        <w:rPr>
          <w:rFonts w:ascii="仿宋" w:hAnsi="仿宋" w:eastAsia="仿宋"/>
          <w:sz w:val="32"/>
          <w:szCs w:val="32"/>
        </w:rPr>
      </w:pPr>
      <w:r>
        <w:rPr>
          <w:rFonts w:hint="eastAsia" w:ascii="仿宋" w:hAnsi="仿宋" w:eastAsia="仿宋"/>
          <w:sz w:val="32"/>
          <w:szCs w:val="32"/>
        </w:rPr>
        <w:t>2019年项目资金年初预算42.2万元，全年执行数42.2万元，执行率100%。我研究室项目资金的管理严格遵守《专项资金使用管理办法》，实行监督管理，每一笔开支都按照《专项资金管理办法》要求填写经费开支申请报告，大额专项资金支付实行“三重一大”集体决策制度，所有支付报账凭证经财务、领导审核签字。</w:t>
      </w:r>
    </w:p>
    <w:p>
      <w:pPr>
        <w:spacing w:line="600" w:lineRule="exact"/>
        <w:ind w:firstLine="643" w:firstLineChars="200"/>
        <w:rPr>
          <w:rFonts w:eastAsia="楷体_GB2312"/>
          <w:b/>
          <w:sz w:val="32"/>
          <w:szCs w:val="32"/>
        </w:rPr>
      </w:pPr>
      <w:r>
        <w:rPr>
          <w:rFonts w:eastAsia="楷体_GB2312"/>
          <w:b/>
          <w:sz w:val="32"/>
          <w:szCs w:val="32"/>
        </w:rPr>
        <w:t>（三）预算支出产出情况</w:t>
      </w:r>
    </w:p>
    <w:p>
      <w:pPr>
        <w:pStyle w:val="4"/>
        <w:widowControl/>
        <w:spacing w:beforeAutospacing="0" w:afterAutospacing="0" w:line="360" w:lineRule="auto"/>
        <w:ind w:firstLine="800" w:firstLineChars="250"/>
        <w:jc w:val="both"/>
        <w:rPr>
          <w:rFonts w:ascii="仿宋" w:hAnsi="仿宋" w:eastAsia="仿宋"/>
          <w:kern w:val="2"/>
          <w:sz w:val="32"/>
          <w:szCs w:val="32"/>
        </w:rPr>
      </w:pPr>
      <w:r>
        <w:rPr>
          <w:rFonts w:hint="eastAsia" w:ascii="仿宋" w:hAnsi="仿宋" w:eastAsia="仿宋"/>
          <w:kern w:val="2"/>
          <w:sz w:val="32"/>
          <w:szCs w:val="32"/>
        </w:rPr>
        <w:t>1、数量指标：</w:t>
      </w:r>
      <w:r>
        <w:rPr>
          <w:rFonts w:hint="eastAsia" w:ascii="仿宋" w:hAnsi="仿宋" w:eastAsia="仿宋" w:cs="仿宋"/>
          <w:color w:val="000000"/>
          <w:sz w:val="32"/>
          <w:szCs w:val="32"/>
        </w:rPr>
        <w:t>《鹤城年鉴》2020卷600本</w:t>
      </w:r>
      <w:r>
        <w:rPr>
          <w:rFonts w:hint="eastAsia" w:ascii="仿宋" w:hAnsi="仿宋" w:eastAsia="仿宋"/>
          <w:kern w:val="2"/>
          <w:sz w:val="32"/>
          <w:szCs w:val="32"/>
        </w:rPr>
        <w:t>。</w:t>
      </w:r>
    </w:p>
    <w:p>
      <w:pPr>
        <w:pStyle w:val="4"/>
        <w:widowControl/>
        <w:spacing w:beforeAutospacing="0" w:afterAutospacing="0" w:line="360" w:lineRule="auto"/>
        <w:ind w:firstLine="800" w:firstLineChars="250"/>
        <w:jc w:val="both"/>
        <w:rPr>
          <w:rFonts w:ascii="仿宋" w:hAnsi="仿宋" w:eastAsia="仿宋"/>
          <w:kern w:val="2"/>
          <w:sz w:val="32"/>
          <w:szCs w:val="32"/>
        </w:rPr>
      </w:pPr>
      <w:r>
        <w:rPr>
          <w:rFonts w:hint="eastAsia" w:ascii="仿宋" w:hAnsi="仿宋" w:eastAsia="仿宋"/>
          <w:kern w:val="2"/>
          <w:sz w:val="32"/>
          <w:szCs w:val="32"/>
        </w:rPr>
        <w:t>2、质量指标：</w:t>
      </w:r>
      <w:r>
        <w:rPr>
          <w:rFonts w:hint="eastAsia" w:ascii="仿宋" w:hAnsi="仿宋" w:eastAsia="仿宋"/>
          <w:color w:val="000000"/>
          <w:sz w:val="32"/>
          <w:szCs w:val="32"/>
        </w:rPr>
        <w:t>有质有量的完成</w:t>
      </w:r>
      <w:r>
        <w:rPr>
          <w:rFonts w:hint="eastAsia" w:ascii="仿宋" w:hAnsi="仿宋" w:eastAsia="仿宋" w:cs="仿宋"/>
          <w:color w:val="000000"/>
          <w:sz w:val="32"/>
          <w:szCs w:val="32"/>
        </w:rPr>
        <w:t>《鹤城年鉴》2020卷、</w:t>
      </w:r>
      <w:r>
        <w:rPr>
          <w:rFonts w:hint="eastAsia" w:ascii="仿宋" w:hAnsi="仿宋" w:eastAsia="仿宋"/>
          <w:sz w:val="32"/>
          <w:szCs w:val="32"/>
        </w:rPr>
        <w:t>《鹤城区志》省评审、</w:t>
      </w:r>
      <w:r>
        <w:rPr>
          <w:rFonts w:hint="eastAsia" w:ascii="仿宋" w:hAnsi="仿宋" w:eastAsia="仿宋" w:cs="仿宋"/>
          <w:color w:val="000000"/>
          <w:sz w:val="32"/>
          <w:szCs w:val="32"/>
        </w:rPr>
        <w:t>《湘潮》杂志的订阅及党史联络组工作。</w:t>
      </w:r>
    </w:p>
    <w:p>
      <w:pPr>
        <w:pStyle w:val="4"/>
        <w:widowControl/>
        <w:spacing w:beforeAutospacing="0" w:afterAutospacing="0" w:line="360" w:lineRule="auto"/>
        <w:ind w:firstLine="600"/>
        <w:jc w:val="both"/>
        <w:rPr>
          <w:rFonts w:ascii="仿宋" w:hAnsi="仿宋" w:eastAsia="仿宋"/>
          <w:kern w:val="2"/>
          <w:sz w:val="32"/>
          <w:szCs w:val="32"/>
        </w:rPr>
      </w:pPr>
      <w:r>
        <w:rPr>
          <w:rFonts w:hint="eastAsia" w:ascii="仿宋" w:hAnsi="仿宋" w:eastAsia="仿宋"/>
          <w:kern w:val="2"/>
          <w:sz w:val="32"/>
          <w:szCs w:val="32"/>
        </w:rPr>
        <w:t xml:space="preserve"> 3、时效指标：2020年度按计划及时完成任务。</w:t>
      </w:r>
    </w:p>
    <w:p>
      <w:pPr>
        <w:pStyle w:val="4"/>
        <w:widowControl/>
        <w:spacing w:beforeAutospacing="0" w:afterAutospacing="0" w:line="360" w:lineRule="auto"/>
        <w:ind w:firstLine="790" w:firstLineChars="250"/>
        <w:jc w:val="both"/>
        <w:rPr>
          <w:rFonts w:ascii="仿宋" w:hAnsi="仿宋" w:eastAsia="仿宋"/>
          <w:b/>
          <w:sz w:val="32"/>
          <w:szCs w:val="32"/>
        </w:rPr>
      </w:pPr>
      <w:r>
        <w:rPr>
          <w:rFonts w:hint="eastAsia" w:ascii="仿宋" w:hAnsi="仿宋" w:eastAsia="仿宋"/>
          <w:w w:val="99"/>
          <w:kern w:val="2"/>
          <w:sz w:val="32"/>
          <w:szCs w:val="32"/>
        </w:rPr>
        <w:t>4、成本指标：</w:t>
      </w:r>
      <w:r>
        <w:rPr>
          <w:rFonts w:hint="eastAsia" w:ascii="仿宋" w:hAnsi="仿宋" w:eastAsia="仿宋" w:cs="仿宋"/>
          <w:color w:val="000000"/>
          <w:sz w:val="32"/>
          <w:szCs w:val="32"/>
        </w:rPr>
        <w:t>《鹤城年鉴》2020卷3万元，</w:t>
      </w:r>
      <w:r>
        <w:rPr>
          <w:rFonts w:hint="eastAsia" w:ascii="仿宋" w:hAnsi="仿宋" w:eastAsia="仿宋"/>
          <w:sz w:val="32"/>
          <w:szCs w:val="32"/>
        </w:rPr>
        <w:t>《鹤城区志》编辑和省评审等工作18.3万元、</w:t>
      </w:r>
      <w:r>
        <w:rPr>
          <w:rFonts w:hint="eastAsia" w:ascii="仿宋" w:hAnsi="仿宋" w:eastAsia="仿宋" w:cs="仿宋"/>
          <w:color w:val="000000"/>
          <w:sz w:val="32"/>
          <w:szCs w:val="32"/>
        </w:rPr>
        <w:t>《湘潮》杂志的订阅费0.9万元，党史联络组工作人工作经费10万元及党史工作经费10万元。各专项资金做到厉行节约，保质保量。</w:t>
      </w:r>
    </w:p>
    <w:p>
      <w:pPr>
        <w:spacing w:line="600" w:lineRule="exact"/>
        <w:ind w:firstLine="643" w:firstLineChars="200"/>
        <w:rPr>
          <w:rFonts w:eastAsia="楷体_GB2312"/>
          <w:b/>
          <w:sz w:val="32"/>
          <w:szCs w:val="32"/>
        </w:rPr>
      </w:pPr>
      <w:r>
        <w:rPr>
          <w:rFonts w:eastAsia="楷体_GB2312"/>
          <w:b/>
          <w:sz w:val="32"/>
          <w:szCs w:val="32"/>
        </w:rPr>
        <w:t>（四）预算支出效益情况</w:t>
      </w:r>
    </w:p>
    <w:p>
      <w:pPr>
        <w:widowControl/>
        <w:shd w:val="clear" w:color="auto" w:fill="FFFFFF"/>
        <w:spacing w:line="600" w:lineRule="exact"/>
        <w:ind w:firstLine="640" w:firstLineChars="200"/>
        <w:rPr>
          <w:rFonts w:ascii="仿宋" w:hAnsi="仿宋" w:eastAsia="仿宋"/>
          <w:sz w:val="32"/>
          <w:szCs w:val="32"/>
        </w:rPr>
      </w:pPr>
      <w:r>
        <w:rPr>
          <w:rFonts w:hint="eastAsia" w:ascii="仿宋" w:hAnsi="仿宋" w:eastAsia="仿宋"/>
          <w:sz w:val="32"/>
          <w:szCs w:val="32"/>
        </w:rPr>
        <w:t>充分</w:t>
      </w:r>
      <w:r>
        <w:rPr>
          <w:rFonts w:ascii="仿宋" w:hAnsi="仿宋" w:eastAsia="仿宋"/>
          <w:sz w:val="32"/>
          <w:szCs w:val="32"/>
        </w:rPr>
        <w:t>切实履行“存史、资政、育人”职责，统筹推进党史地方志工作全面发展</w:t>
      </w:r>
      <w:r>
        <w:rPr>
          <w:rFonts w:hint="eastAsia" w:ascii="仿宋" w:hAnsi="仿宋" w:eastAsia="仿宋"/>
          <w:sz w:val="32"/>
          <w:szCs w:val="32"/>
        </w:rPr>
        <w:t>。立足当前史志事业现状,谋划史志事业的持续发展,确立起长远的发展战略目标。</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w:t>
      </w:r>
    </w:p>
    <w:p>
      <w:pPr>
        <w:spacing w:line="600" w:lineRule="exact"/>
        <w:ind w:firstLine="626" w:firstLineChars="200"/>
        <w:rPr>
          <w:rFonts w:ascii="仿宋" w:hAnsi="仿宋" w:eastAsia="仿宋"/>
          <w:w w:val="98"/>
          <w:sz w:val="32"/>
          <w:szCs w:val="32"/>
        </w:rPr>
      </w:pPr>
      <w:r>
        <w:rPr>
          <w:rFonts w:hint="eastAsia" w:ascii="仿宋" w:hAnsi="仿宋" w:eastAsia="仿宋"/>
          <w:w w:val="98"/>
          <w:sz w:val="32"/>
          <w:szCs w:val="32"/>
        </w:rPr>
        <w:t>重要事项和大额资金严格执行“三重一大”集体决策制度。</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（二）存在的问题和建议</w:t>
      </w:r>
    </w:p>
    <w:p>
      <w:pPr>
        <w:spacing w:line="600" w:lineRule="exact"/>
        <w:ind w:firstLine="640" w:firstLineChars="200"/>
        <w:rPr>
          <w:rFonts w:eastAsia="仿宋_GB2312"/>
          <w:sz w:val="32"/>
          <w:szCs w:val="32"/>
        </w:rPr>
      </w:pPr>
      <w:r>
        <w:rPr>
          <w:rFonts w:hint="eastAsia" w:eastAsia="仿宋_GB2312"/>
          <w:sz w:val="32"/>
          <w:szCs w:val="32"/>
        </w:rPr>
        <w:t>绩效评价工作与业务工作衔接结合还有待进一步加强。</w:t>
      </w:r>
    </w:p>
    <w:p>
      <w:pPr>
        <w:pStyle w:val="9"/>
        <w:numPr>
          <w:ilvl w:val="0"/>
          <w:numId w:val="1"/>
        </w:numPr>
        <w:spacing w:line="600" w:lineRule="exact"/>
        <w:ind w:firstLineChars="0"/>
        <w:rPr>
          <w:rFonts w:eastAsia="黑体"/>
          <w:sz w:val="32"/>
          <w:szCs w:val="32"/>
        </w:rPr>
      </w:pPr>
      <w:r>
        <w:rPr>
          <w:rFonts w:eastAsia="黑体"/>
          <w:sz w:val="32"/>
          <w:szCs w:val="32"/>
        </w:rPr>
        <w:t>有关建议</w:t>
      </w:r>
    </w:p>
    <w:p>
      <w:pPr>
        <w:pStyle w:val="4"/>
        <w:widowControl/>
        <w:spacing w:beforeAutospacing="0" w:afterAutospacing="0" w:line="560" w:lineRule="atLeast"/>
        <w:ind w:firstLine="640" w:firstLineChars="200"/>
        <w:jc w:val="both"/>
        <w:rPr>
          <w:rFonts w:ascii="仿宋" w:hAnsi="仿宋" w:eastAsia="仿宋"/>
          <w:kern w:val="2"/>
          <w:sz w:val="32"/>
          <w:szCs w:val="32"/>
        </w:rPr>
      </w:pPr>
      <w:r>
        <w:rPr>
          <w:rFonts w:hint="eastAsia" w:ascii="仿宋" w:hAnsi="仿宋" w:eastAsia="仿宋"/>
          <w:kern w:val="2"/>
          <w:sz w:val="32"/>
          <w:szCs w:val="32"/>
        </w:rPr>
        <w:t>专项资金绩效评价结果和全过程，作为以后年度本专项资金预算安排的参考依据。</w:t>
      </w:r>
    </w:p>
    <w:p>
      <w:pPr>
        <w:spacing w:line="600" w:lineRule="exact"/>
        <w:ind w:left="640"/>
        <w:rPr>
          <w:rFonts w:eastAsia="黑体"/>
          <w:sz w:val="32"/>
          <w:szCs w:val="32"/>
        </w:rPr>
      </w:pP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sectPr>
      <w:pgSz w:w="11906" w:h="16838"/>
      <w:pgMar w:top="1134" w:right="1797" w:bottom="1134" w:left="181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240B73DD"/>
    <w:multiLevelType w:val="multilevel"/>
    <w:tmpl w:val="240B73DD"/>
    <w:lvl w:ilvl="0" w:tentative="0">
      <w:start w:val="1"/>
      <w:numFmt w:val="japaneseCounting"/>
      <w:lvlText w:val="（%1）"/>
      <w:lvlJc w:val="left"/>
      <w:pPr>
        <w:ind w:left="108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28592816"/>
    <w:multiLevelType w:val="multilevel"/>
    <w:tmpl w:val="28592816"/>
    <w:lvl w:ilvl="0" w:tentative="0">
      <w:start w:val="1"/>
      <w:numFmt w:val="japaneseCounting"/>
      <w:lvlText w:val="（%1）"/>
      <w:lvlJc w:val="left"/>
      <w:pPr>
        <w:ind w:left="1725" w:hanging="108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21D76EE"/>
    <w:multiLevelType w:val="multilevel"/>
    <w:tmpl w:val="521D76EE"/>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4"/>
  </w:num>
  <w:num w:numId="2">
    <w:abstractNumId w:val="1"/>
  </w:num>
  <w:num w:numId="3">
    <w:abstractNumId w:val="2"/>
  </w:num>
  <w:num w:numId="4">
    <w:abstractNumId w:val="3"/>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23D5F"/>
    <w:rsid w:val="00050325"/>
    <w:rsid w:val="00087731"/>
    <w:rsid w:val="000A6D4B"/>
    <w:rsid w:val="000B0765"/>
    <w:rsid w:val="000B57BC"/>
    <w:rsid w:val="0015427F"/>
    <w:rsid w:val="00162440"/>
    <w:rsid w:val="00174EEF"/>
    <w:rsid w:val="001823F3"/>
    <w:rsid w:val="001A127E"/>
    <w:rsid w:val="001C4074"/>
    <w:rsid w:val="001E1AD1"/>
    <w:rsid w:val="0020091B"/>
    <w:rsid w:val="00220ACF"/>
    <w:rsid w:val="002558F7"/>
    <w:rsid w:val="002A22F7"/>
    <w:rsid w:val="002A6CA8"/>
    <w:rsid w:val="002C6CC3"/>
    <w:rsid w:val="00315867"/>
    <w:rsid w:val="0031755D"/>
    <w:rsid w:val="0035697E"/>
    <w:rsid w:val="003711D0"/>
    <w:rsid w:val="00377767"/>
    <w:rsid w:val="00377A33"/>
    <w:rsid w:val="003E5114"/>
    <w:rsid w:val="0041269B"/>
    <w:rsid w:val="00426627"/>
    <w:rsid w:val="00432F15"/>
    <w:rsid w:val="00456B4A"/>
    <w:rsid w:val="00477A84"/>
    <w:rsid w:val="004979D3"/>
    <w:rsid w:val="004C3078"/>
    <w:rsid w:val="004D100A"/>
    <w:rsid w:val="004D255C"/>
    <w:rsid w:val="004F75A8"/>
    <w:rsid w:val="005833DD"/>
    <w:rsid w:val="00595424"/>
    <w:rsid w:val="005A4AB0"/>
    <w:rsid w:val="005C57F3"/>
    <w:rsid w:val="005F370D"/>
    <w:rsid w:val="00614437"/>
    <w:rsid w:val="006370F0"/>
    <w:rsid w:val="006811E5"/>
    <w:rsid w:val="0068689A"/>
    <w:rsid w:val="006A1F73"/>
    <w:rsid w:val="006A269B"/>
    <w:rsid w:val="006A7319"/>
    <w:rsid w:val="0070688D"/>
    <w:rsid w:val="007655CD"/>
    <w:rsid w:val="00773A9C"/>
    <w:rsid w:val="007B54D9"/>
    <w:rsid w:val="008438F0"/>
    <w:rsid w:val="00873425"/>
    <w:rsid w:val="00887C00"/>
    <w:rsid w:val="008A4834"/>
    <w:rsid w:val="008B0A36"/>
    <w:rsid w:val="008C003B"/>
    <w:rsid w:val="008C7373"/>
    <w:rsid w:val="008D7141"/>
    <w:rsid w:val="00901AB8"/>
    <w:rsid w:val="009138DB"/>
    <w:rsid w:val="00973908"/>
    <w:rsid w:val="00980996"/>
    <w:rsid w:val="009A118E"/>
    <w:rsid w:val="009C602F"/>
    <w:rsid w:val="009D4AE4"/>
    <w:rsid w:val="00A045A1"/>
    <w:rsid w:val="00A070E1"/>
    <w:rsid w:val="00A317C9"/>
    <w:rsid w:val="00A66025"/>
    <w:rsid w:val="00A75C37"/>
    <w:rsid w:val="00AA700A"/>
    <w:rsid w:val="00B364CE"/>
    <w:rsid w:val="00B43C1E"/>
    <w:rsid w:val="00B47432"/>
    <w:rsid w:val="00B64CD4"/>
    <w:rsid w:val="00BB6107"/>
    <w:rsid w:val="00BB7AAB"/>
    <w:rsid w:val="00BD1C3A"/>
    <w:rsid w:val="00BF03E8"/>
    <w:rsid w:val="00C25716"/>
    <w:rsid w:val="00C3391C"/>
    <w:rsid w:val="00C344EC"/>
    <w:rsid w:val="00C427A3"/>
    <w:rsid w:val="00C4552C"/>
    <w:rsid w:val="00C72139"/>
    <w:rsid w:val="00C93810"/>
    <w:rsid w:val="00C94BDB"/>
    <w:rsid w:val="00C94D35"/>
    <w:rsid w:val="00CC4C2C"/>
    <w:rsid w:val="00CD20A2"/>
    <w:rsid w:val="00CE2D13"/>
    <w:rsid w:val="00D10324"/>
    <w:rsid w:val="00D708A2"/>
    <w:rsid w:val="00D82D23"/>
    <w:rsid w:val="00E127F9"/>
    <w:rsid w:val="00E15390"/>
    <w:rsid w:val="00E50869"/>
    <w:rsid w:val="00EA1D0A"/>
    <w:rsid w:val="00EA2FC8"/>
    <w:rsid w:val="00EE0F00"/>
    <w:rsid w:val="00EF2AE2"/>
    <w:rsid w:val="00F173CE"/>
    <w:rsid w:val="00F55CD7"/>
    <w:rsid w:val="00FC7FE9"/>
    <w:rsid w:val="00FD2665"/>
    <w:rsid w:val="00FE3CF5"/>
    <w:rsid w:val="133C4B4F"/>
    <w:rsid w:val="17641B16"/>
    <w:rsid w:val="6BE5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uiPriority w:val="99"/>
    <w:pPr>
      <w:spacing w:beforeAutospacing="1" w:afterAutospacing="1"/>
      <w:jc w:val="left"/>
    </w:pPr>
    <w:rPr>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无间隔1"/>
    <w:uiPriority w:val="0"/>
    <w:pPr>
      <w:widowControl w:val="0"/>
      <w:jc w:val="both"/>
    </w:pPr>
    <w:rPr>
      <w:rFonts w:ascii="Calibri" w:hAnsi="Calibri" w:eastAsia="宋体" w:cs="Times New Roman"/>
      <w:kern w:val="2"/>
      <w:sz w:val="21"/>
      <w:szCs w:val="22"/>
      <w:lang w:val="en-US" w:eastAsia="zh-CN" w:bidi="ar-SA"/>
    </w:rPr>
  </w:style>
  <w:style w:type="character" w:customStyle="1" w:styleId="11">
    <w:name w:val="NormalCharacter"/>
    <w:semiHidden/>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2EE223-B0C7-46E1-9A64-F4252E600C9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26</Pages>
  <Words>2169</Words>
  <Characters>12368</Characters>
  <Lines>103</Lines>
  <Paragraphs>29</Paragraphs>
  <TotalTime>1158</TotalTime>
  <ScaleCrop>false</ScaleCrop>
  <LinksUpToDate>false</LinksUpToDate>
  <CharactersWithSpaces>14508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2021-06-23T02:56:01Z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5AA35A9E45B240E6B25E57E10D1E3518</vt:lpwstr>
  </property>
</Properties>
</file>