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bookmarkStart w:id="0" w:name="_GoBack"/>
            <w:bookmarkEnd w:id="0"/>
            <w:r>
              <w:rPr>
                <w:rFonts w:hint="eastAsia" w:ascii="仿宋_GB2312" w:eastAsia="仿宋_GB2312"/>
                <w:szCs w:val="21"/>
              </w:rPr>
              <w:t>。</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100</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填报单位：区信访局</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13</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13</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0.28万元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0.28</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0.7</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110.66</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77.2</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67.85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110.66</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77.2</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67.85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16.03</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8.5</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9.53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0.98</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0.8</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1.97</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1.1</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ind w:firstLine="643"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2020年度部门整体支出绩效评价报告</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根据上级部门要求，区信访局对2020年度部门整体支出进行了绩效自评。现报告如下：</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ind w:firstLine="640" w:firstLineChars="200"/>
        <w:rPr>
          <w:rFonts w:ascii="仿宋_GB2312" w:eastAsia="仿宋_GB2312"/>
          <w:sz w:val="32"/>
          <w:szCs w:val="32"/>
        </w:rPr>
      </w:pPr>
      <w:r>
        <w:rPr>
          <w:rFonts w:hint="eastAsia" w:ascii="仿宋_GB2312" w:eastAsia="仿宋_GB2312"/>
          <w:sz w:val="32"/>
          <w:szCs w:val="32"/>
        </w:rPr>
        <w:t>（一）单位机构、人员情况</w:t>
      </w:r>
    </w:p>
    <w:p>
      <w:pPr>
        <w:ind w:firstLine="640" w:firstLineChars="200"/>
        <w:rPr>
          <w:rFonts w:ascii="仿宋_GB2312" w:eastAsia="仿宋_GB2312"/>
          <w:sz w:val="32"/>
          <w:szCs w:val="32"/>
        </w:rPr>
      </w:pPr>
      <w:r>
        <w:rPr>
          <w:rFonts w:hint="eastAsia" w:ascii="仿宋_GB2312" w:eastAsia="仿宋_GB2312"/>
          <w:sz w:val="32"/>
          <w:szCs w:val="32"/>
        </w:rPr>
        <w:t>本单位共有职工13人，包括1名书记，1名局长，2名副局长，1名主任科员，8名工作人员，下设2个业务股室。</w:t>
      </w:r>
    </w:p>
    <w:p>
      <w:pPr>
        <w:ind w:firstLine="640" w:firstLineChars="200"/>
        <w:rPr>
          <w:rFonts w:ascii="仿宋_GB2312" w:eastAsia="仿宋_GB2312"/>
          <w:sz w:val="32"/>
          <w:szCs w:val="32"/>
        </w:rPr>
      </w:pPr>
      <w:r>
        <w:rPr>
          <w:rFonts w:hint="eastAsia" w:ascii="仿宋_GB2312" w:eastAsia="仿宋_GB2312"/>
          <w:sz w:val="32"/>
          <w:szCs w:val="32"/>
        </w:rPr>
        <w:t>（二）信访局的主要职责</w:t>
      </w:r>
    </w:p>
    <w:p>
      <w:pPr>
        <w:ind w:firstLine="640" w:firstLineChars="200"/>
        <w:rPr>
          <w:rFonts w:ascii="仿宋_GB2312" w:eastAsia="仿宋_GB2312"/>
          <w:sz w:val="32"/>
          <w:szCs w:val="32"/>
        </w:rPr>
      </w:pPr>
      <w:r>
        <w:rPr>
          <w:rFonts w:hint="eastAsia" w:ascii="仿宋_GB2312" w:eastAsia="仿宋_GB2312"/>
          <w:sz w:val="32"/>
          <w:szCs w:val="32"/>
        </w:rPr>
        <w:t xml:space="preserve">根据规定，本部门（单位）主要工作职责是：1、负责处理上级领导机关统转信件，接待人民群众来信来访；2、向乡镇、街道和区直部门交办信访事项，督促检查交办事项的处理落实情况；3、综合反映信访情况，提供信访信息，为区委、区政府决策和指导工作服务；4、协同有关部门处理跨乡镇、跨部门的重大信访问题，协调处理群众越级上访和异常突发性信访事项；5、掌握全区信访工作动态，对信访工作中失职、渎职行为提出处理建议，组织信访干部的培训；6、承办区委、区政府交办的其他事项。 </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仿宋_GB2312" w:hAnsi="Times New Roman" w:eastAsia="仿宋_GB2312"/>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r>
        <w:rPr>
          <w:rFonts w:hint="eastAsia" w:ascii="Times New Roman" w:hAnsi="Times New Roman" w:eastAsia="黑体"/>
          <w:sz w:val="32"/>
          <w:szCs w:val="32"/>
        </w:rPr>
        <w:t>。</w:t>
      </w:r>
      <w:r>
        <w:rPr>
          <w:rFonts w:hint="eastAsia" w:ascii="仿宋_GB2312" w:hAnsi="Times New Roman" w:eastAsia="仿宋_GB2312"/>
          <w:sz w:val="32"/>
          <w:szCs w:val="32"/>
        </w:rPr>
        <w:t>2020年度一般公共预算基本支出</w:t>
      </w:r>
    </w:p>
    <w:p>
      <w:pPr>
        <w:widowControl/>
        <w:spacing w:line="600" w:lineRule="exact"/>
        <w:rPr>
          <w:rFonts w:eastAsia="黑体"/>
          <w:sz w:val="32"/>
          <w:szCs w:val="32"/>
        </w:rPr>
      </w:pPr>
      <w:r>
        <w:rPr>
          <w:rFonts w:hint="eastAsia" w:ascii="仿宋_GB2312" w:eastAsia="仿宋_GB2312"/>
          <w:sz w:val="32"/>
          <w:szCs w:val="32"/>
        </w:rPr>
        <w:t>总计192.78万元，其中工资福利支出183.25万元、商品和服务支出9.53万元。</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ascii="仿宋" w:hAnsi="仿宋" w:eastAsia="仿宋" w:cs="仿宋"/>
          <w:sz w:val="32"/>
          <w:szCs w:val="32"/>
        </w:rPr>
      </w:pPr>
      <w:r>
        <w:rPr>
          <w:rFonts w:hint="eastAsia" w:ascii="仿宋_GB2312" w:eastAsia="仿宋_GB2312"/>
          <w:sz w:val="32"/>
          <w:szCs w:val="32"/>
        </w:rPr>
        <w:t>1、2020年度一般公共预算项目支出67.85万元，</w:t>
      </w:r>
      <w:r>
        <w:rPr>
          <w:rFonts w:hint="eastAsia" w:ascii="仿宋" w:hAnsi="仿宋" w:eastAsia="仿宋" w:cs="仿宋"/>
          <w:sz w:val="32"/>
          <w:szCs w:val="32"/>
        </w:rPr>
        <w:t xml:space="preserve">共实施5个项目支出，分别是：接访专项、复查复核办公室办案专项、特殊疑难信访问题专项、驻京维稳劝返专项、信访救助专项资金。   </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2、项目立项、资金申报的依据。以上5个项目支出根据区委区政府相关文件、会议纪要以及《信访和群众工作专项资金管理办法》、《怀化市信访局调拨资金审批流程》、《怀化市信访救助资金使用管理办法》及区财政《关于2018年部门预算的批复》相关文件执行，设立专项资金的政策依据充分、项目申报规范。</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3、项目主要内容。治理进京非访、化解信访积案、规范信访秩序、融洽干群关系，维护社会大局稳定，促进全市经济社会全面快速健康发展。(1)信访及维稳工作经费:主要是受理信访事项、办理信访案件、复查复核，协调推动复杂信访化解，开展涉法问题咨询，过程中产生的支出，在处理突出信访问题、群体性事件及特护工作期间产生的费用; (2)信访救助专项:主要是推动长期积累、久拖未决、难以划分责任主体或无法追查责任单位的特殊疑难信访问题，特别是对关系民生的“无头案、钉子案、骨头案”中生活困难的当事人实施适当救助，实现信访罢诉的支出。</w:t>
      </w:r>
    </w:p>
    <w:p>
      <w:pPr>
        <w:ind w:firstLine="640" w:firstLineChars="200"/>
        <w:rPr>
          <w:rFonts w:ascii="仿宋" w:hAnsi="仿宋" w:eastAsia="仿宋" w:cs="仿宋"/>
          <w:sz w:val="32"/>
          <w:szCs w:val="32"/>
        </w:rPr>
      </w:pPr>
      <w:r>
        <w:rPr>
          <w:rFonts w:hint="eastAsia" w:ascii="仿宋" w:hAnsi="仿宋" w:eastAsia="仿宋" w:cs="仿宋"/>
          <w:sz w:val="32"/>
          <w:szCs w:val="32"/>
        </w:rPr>
        <w:t>4、项目具体绩效目标。（1）认真做好进京、到省、来市上访的接待处理工作，引导群众依法逐级上访。（2）有效解决信访问题，多措并举化解积案，营造领导重视、部门配合、单位层层推进齐抓共管的良好格局。（3）推进“互联网+信访”信息系统在职能部门互联互通深度应用，实现群众信访诉求处理“可查询、可跟踪、可督办、可评价”。（4）做好重点特护期信访工作，确保到省进京非访下降，不发生责任事件、严防恶性事件。（5）认真抓好复查复核工作，确保申请、受理、办理决定等环节履职到位。</w:t>
      </w:r>
    </w:p>
    <w:p>
      <w:pPr>
        <w:ind w:firstLine="640"/>
        <w:jc w:val="left"/>
        <w:rPr>
          <w:rFonts w:eastAsia="仿宋_GB2312"/>
          <w:sz w:val="32"/>
          <w:szCs w:val="32"/>
        </w:rPr>
      </w:pPr>
      <w:r>
        <w:rPr>
          <w:rFonts w:hint="eastAsia" w:ascii="仿宋" w:hAnsi="仿宋" w:eastAsia="仿宋" w:cs="仿宋"/>
          <w:sz w:val="32"/>
          <w:szCs w:val="32"/>
        </w:rPr>
        <w:t>5、项目资金使用情况。按照年初预算及财务专项资金使用规定的要求，根据区信访局实施进度情况，向区财政部门申请拨付到区信访局业务专项资金，相关资金均能按相关进度拨付到位，我局严格按照规定使用、拨付区信访局专项资金。</w:t>
      </w:r>
    </w:p>
    <w:p>
      <w:pPr>
        <w:widowControl/>
        <w:spacing w:line="600" w:lineRule="exact"/>
        <w:ind w:firstLine="640" w:firstLineChars="200"/>
        <w:jc w:val="left"/>
        <w:rPr>
          <w:rFonts w:eastAsia="仿宋_GB2312"/>
          <w:sz w:val="32"/>
          <w:szCs w:val="32"/>
        </w:rPr>
      </w:pPr>
      <w:r>
        <w:rPr>
          <w:rFonts w:hint="eastAsia" w:eastAsia="仿宋_GB2312"/>
          <w:sz w:val="32"/>
          <w:szCs w:val="32"/>
        </w:rPr>
        <w:t>6、本单位除上述明确的</w:t>
      </w:r>
      <w:r>
        <w:rPr>
          <w:rFonts w:eastAsia="仿宋_GB2312"/>
          <w:sz w:val="32"/>
          <w:szCs w:val="32"/>
        </w:rPr>
        <w:t>专项资金以外</w:t>
      </w:r>
      <w:r>
        <w:rPr>
          <w:rFonts w:hint="eastAsia" w:eastAsia="仿宋_GB2312"/>
          <w:sz w:val="32"/>
          <w:szCs w:val="32"/>
        </w:rPr>
        <w:t>，无</w:t>
      </w:r>
      <w:r>
        <w:rPr>
          <w:rFonts w:eastAsia="仿宋_GB2312"/>
          <w:sz w:val="32"/>
          <w:szCs w:val="32"/>
        </w:rPr>
        <w:t>其他项目支出</w:t>
      </w:r>
      <w:r>
        <w:rPr>
          <w:rFonts w:hint="eastAsia" w:eastAsia="仿宋_GB2312"/>
          <w:sz w:val="32"/>
          <w:szCs w:val="32"/>
        </w:rPr>
        <w:t>。</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8"/>
        <w:widowControl/>
        <w:spacing w:line="600" w:lineRule="exact"/>
        <w:ind w:left="640" w:firstLine="0" w:firstLineChars="0"/>
        <w:jc w:val="left"/>
        <w:rPr>
          <w:rFonts w:ascii="仿宋_GB2312" w:hAnsi="Times New Roman" w:eastAsia="仿宋_GB2312"/>
          <w:sz w:val="32"/>
          <w:szCs w:val="32"/>
        </w:rPr>
      </w:pPr>
      <w:r>
        <w:rPr>
          <w:rFonts w:hint="eastAsia" w:ascii="仿宋_GB2312" w:hAnsi="Times New Roman" w:eastAsia="仿宋_GB2312"/>
          <w:sz w:val="32"/>
          <w:szCs w:val="32"/>
        </w:rPr>
        <w:t>无</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8"/>
        <w:widowControl/>
        <w:spacing w:line="600" w:lineRule="exact"/>
        <w:ind w:left="640" w:firstLine="0" w:firstLineChars="0"/>
        <w:jc w:val="left"/>
        <w:rPr>
          <w:rFonts w:ascii="仿宋_GB2312" w:hAnsi="Times New Roman" w:eastAsia="仿宋_GB2312"/>
          <w:sz w:val="32"/>
          <w:szCs w:val="32"/>
        </w:rPr>
      </w:pPr>
      <w:r>
        <w:rPr>
          <w:rFonts w:hint="eastAsia" w:ascii="仿宋_GB2312" w:hAnsi="Times New Roman" w:eastAsia="仿宋_GB2312"/>
          <w:sz w:val="32"/>
          <w:szCs w:val="32"/>
        </w:rPr>
        <w:t>无</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2020年度社保基金预算支出30.23万元，其中养老保险缴费支出13.46万、医保缴费6.73万、公积金10.1万元。</w:t>
      </w:r>
    </w:p>
    <w:p>
      <w:pPr>
        <w:widowControl/>
        <w:spacing w:line="600" w:lineRule="exact"/>
        <w:ind w:firstLine="645"/>
        <w:jc w:val="left"/>
        <w:rPr>
          <w:rFonts w:eastAsia="黑体"/>
          <w:sz w:val="32"/>
          <w:szCs w:val="32"/>
        </w:rPr>
      </w:pPr>
      <w:r>
        <w:rPr>
          <w:rFonts w:eastAsia="黑体"/>
          <w:sz w:val="32"/>
          <w:szCs w:val="32"/>
        </w:rPr>
        <w:t>六、部门整体支出绩效情况</w:t>
      </w:r>
    </w:p>
    <w:p>
      <w:pPr>
        <w:ind w:firstLine="640" w:firstLineChars="200"/>
        <w:rPr>
          <w:rFonts w:ascii="仿宋_GB2312" w:eastAsia="仿宋_GB2312"/>
          <w:sz w:val="32"/>
          <w:szCs w:val="32"/>
        </w:rPr>
      </w:pPr>
      <w:r>
        <w:rPr>
          <w:rFonts w:hint="eastAsia" w:ascii="仿宋_GB2312" w:eastAsia="仿宋_GB2312"/>
          <w:sz w:val="32"/>
          <w:szCs w:val="32"/>
        </w:rPr>
        <w:t>根据部门整体支出绩效评价指标体系和绩效检查情况，区信访局绩效评价指标总分值100分，实得86分，被评为“良好”等级。从整体情况来看，我局严格按照年初预算进行部门整体支出。在支出过程中，能严格遵守各项规章制度，“三公经费”明显下降。所有项目都详细制定了方案，严格按方案组织实施，并加强了监督。尤其是在专项经费支出上，我们能专款专用，按项目实施计划的进度情况进行资金拨付，无截留、无挪用等现象。实行了先有预算、后有执行、“用钱必问效、无效必问责”的新常态。主要绩效如下：</w:t>
      </w:r>
    </w:p>
    <w:p>
      <w:pPr>
        <w:ind w:firstLine="640" w:firstLineChars="200"/>
        <w:rPr>
          <w:rFonts w:ascii="仿宋_GB2312" w:eastAsia="仿宋_GB2312"/>
          <w:sz w:val="32"/>
          <w:szCs w:val="32"/>
        </w:rPr>
      </w:pPr>
      <w:r>
        <w:rPr>
          <w:rFonts w:hint="eastAsia" w:ascii="仿宋_GB2312" w:eastAsia="仿宋_GB2312"/>
          <w:sz w:val="32"/>
          <w:szCs w:val="32"/>
        </w:rPr>
        <w:t>（一）基本履职到位。2020年，区信访局运用法治思维和法治方式，推进信访制度改革，下大力夯实基层基础，下功夫化解信访积案，下猛药治理进京非访，下决心规范信访秩序，全区信访形势整体平稳可控，呈现出到市赴省进京上访“三下降”的较好局面，全面完成了市里下达的年度信访工作目标管理考核任务。</w:t>
      </w:r>
    </w:p>
    <w:p>
      <w:pPr>
        <w:ind w:firstLine="640" w:firstLineChars="200"/>
        <w:rPr>
          <w:rFonts w:ascii="仿宋_GB2312" w:eastAsia="仿宋_GB2312"/>
          <w:sz w:val="32"/>
          <w:szCs w:val="32"/>
        </w:rPr>
      </w:pPr>
      <w:r>
        <w:rPr>
          <w:rFonts w:hint="eastAsia" w:ascii="仿宋_GB2312" w:eastAsia="仿宋_GB2312"/>
          <w:sz w:val="32"/>
          <w:szCs w:val="32"/>
        </w:rPr>
        <w:t>（二）加强制度建设。区信访局制定完善并组织实施了一系列规章制度。一是在强化政治建设方面，制定了党组会议、民主生活会、党组中心组学习等各项工作规章制度。二是强化资金资产管理方面，制定了资产管理、财务报销、解决特殊疑难信访问题专项资金使用管理暂行办法等制度，充分体现了用制度管人、管事的工作理念，取得了一定的管理成效。</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ind w:firstLine="640" w:firstLineChars="200"/>
        <w:rPr>
          <w:rFonts w:ascii="仿宋_GB2312" w:eastAsia="仿宋_GB2312"/>
          <w:sz w:val="32"/>
          <w:szCs w:val="32"/>
        </w:rPr>
      </w:pPr>
      <w:r>
        <w:rPr>
          <w:rFonts w:hint="eastAsia" w:ascii="仿宋_GB2312" w:eastAsia="仿宋_GB2312"/>
          <w:sz w:val="32"/>
          <w:szCs w:val="32"/>
        </w:rPr>
        <w:t>一是资金使用效益有待进一步提高。二是绩效目标设立不够明确、细化和量化。项目单位虽然设立了项目资金绩效目标，但目标不够明确、细化和量化。</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0" w:firstLineChars="200"/>
        <w:jc w:val="left"/>
        <w:rPr>
          <w:rFonts w:eastAsia="黑体"/>
          <w:sz w:val="32"/>
          <w:szCs w:val="32"/>
        </w:rPr>
      </w:pPr>
      <w:r>
        <w:rPr>
          <w:rFonts w:hint="eastAsia" w:ascii="仿宋_GB2312" w:eastAsia="仿宋_GB2312"/>
          <w:sz w:val="32"/>
          <w:szCs w:val="32"/>
        </w:rPr>
        <w:t>加强制度建设，强化资金资产管理</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tabs>
          <w:tab w:val="left" w:pos="2880"/>
        </w:tabs>
        <w:spacing w:line="600" w:lineRule="exact"/>
        <w:ind w:firstLine="645"/>
        <w:jc w:val="left"/>
        <w:rPr>
          <w:rFonts w:eastAsia="仿宋_GB2312"/>
          <w:sz w:val="32"/>
          <w:szCs w:val="32"/>
        </w:rPr>
      </w:pPr>
      <w:r>
        <w:rPr>
          <w:rFonts w:hint="eastAsia" w:eastAsia="仿宋_GB2312"/>
          <w:sz w:val="32"/>
          <w:szCs w:val="32"/>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bl>
    <w:p>
      <w:pPr>
        <w:widowControl/>
        <w:spacing w:line="600" w:lineRule="exact"/>
        <w:ind w:firstLine="420" w:firstLineChars="200"/>
        <w:jc w:val="left"/>
        <w:rPr>
          <w:rFonts w:eastAsia="仿宋_GB2312"/>
          <w:sz w:val="32"/>
          <w:szCs w:val="32"/>
        </w:rPr>
      </w:pPr>
      <w:r>
        <w:br w:type="page"/>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区信访局</w:t>
      </w:r>
      <w:r>
        <w:rPr>
          <w:rFonts w:eastAsia="楷体_GB2312"/>
          <w:sz w:val="32"/>
          <w:szCs w:val="32"/>
        </w:rPr>
        <w:t>）</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仿宋_GB2312"/>
          <w:sz w:val="32"/>
          <w:szCs w:val="32"/>
        </w:rPr>
      </w:pPr>
      <w:r>
        <w:rPr>
          <w:rFonts w:eastAsia="楷体_GB2312"/>
          <w:b/>
          <w:sz w:val="32"/>
          <w:szCs w:val="32"/>
        </w:rPr>
        <w:t>（一）预算支出概况。</w:t>
      </w:r>
      <w:r>
        <w:rPr>
          <w:rFonts w:eastAsia="仿宋_GB2312"/>
          <w:sz w:val="32"/>
          <w:szCs w:val="32"/>
        </w:rPr>
        <w:t>预算支出组织管理机构</w:t>
      </w:r>
      <w:r>
        <w:rPr>
          <w:rFonts w:hint="eastAsia" w:eastAsia="仿宋_GB2312"/>
          <w:sz w:val="32"/>
          <w:szCs w:val="32"/>
        </w:rPr>
        <w:t>：本单位共有职工13人，包括1名书记、1名局长、2名副局长、1名主任科员、8名工作人员，下设2个业务股室。</w:t>
      </w:r>
    </w:p>
    <w:p>
      <w:pPr>
        <w:spacing w:line="600" w:lineRule="exact"/>
        <w:ind w:firstLine="643" w:firstLineChars="200"/>
        <w:rPr>
          <w:rFonts w:eastAsia="仿宋_GB2312"/>
          <w:sz w:val="32"/>
          <w:szCs w:val="32"/>
        </w:rPr>
      </w:pPr>
      <w:r>
        <w:rPr>
          <w:rFonts w:eastAsia="楷体_GB2312"/>
          <w:b/>
          <w:sz w:val="32"/>
          <w:szCs w:val="32"/>
        </w:rPr>
        <w:t>（二）预算资金使用管理情况。</w:t>
      </w:r>
      <w:r>
        <w:rPr>
          <w:rFonts w:hint="eastAsia" w:eastAsia="仿宋_GB2312"/>
          <w:sz w:val="32"/>
          <w:szCs w:val="32"/>
        </w:rPr>
        <w:t xml:space="preserve">2020年，区信访局专项资金到位及时，使用规范，财务处理及时。结合单位实际，落实责任，完善制度，按照岗位确定任务、职责和权限，贯彻执行所制定的相关财务制度，加强制度执行的监督，加强资金支出管理。坚持“专项核算、专人管理、专款专用”的原则，使资金的财务管理有章可循。  </w:t>
      </w:r>
    </w:p>
    <w:p>
      <w:pPr>
        <w:spacing w:line="600" w:lineRule="exact"/>
        <w:ind w:firstLine="640" w:firstLineChars="200"/>
        <w:rPr>
          <w:rFonts w:eastAsia="仿宋_GB2312"/>
          <w:sz w:val="32"/>
          <w:szCs w:val="32"/>
        </w:rPr>
      </w:pPr>
      <w:r>
        <w:rPr>
          <w:rFonts w:eastAsia="仿宋_GB2312"/>
          <w:sz w:val="32"/>
          <w:szCs w:val="32"/>
        </w:rPr>
        <w:t>资金拨付及时性</w:t>
      </w:r>
      <w:r>
        <w:rPr>
          <w:rFonts w:hint="eastAsia" w:eastAsia="仿宋_GB2312"/>
          <w:sz w:val="32"/>
          <w:szCs w:val="32"/>
        </w:rPr>
        <w:t>：按照年初预算，由信访局按照资金申报程序向区财政申报，再由区财政全部政拨付到位。</w:t>
      </w:r>
    </w:p>
    <w:p>
      <w:pPr>
        <w:spacing w:line="600" w:lineRule="exact"/>
        <w:ind w:firstLine="643" w:firstLineChars="200"/>
        <w:rPr>
          <w:rFonts w:eastAsia="仿宋_GB2312"/>
          <w:sz w:val="32"/>
          <w:szCs w:val="32"/>
        </w:rPr>
      </w:pPr>
      <w:r>
        <w:rPr>
          <w:rFonts w:eastAsia="楷体_GB2312"/>
          <w:b/>
          <w:sz w:val="32"/>
          <w:szCs w:val="32"/>
        </w:rPr>
        <w:t>（三）预算支出绩效目标完成程度。</w:t>
      </w:r>
      <w:r>
        <w:rPr>
          <w:rFonts w:eastAsia="仿宋_GB2312"/>
          <w:sz w:val="32"/>
          <w:szCs w:val="32"/>
        </w:rPr>
        <w:t>绩效总目标</w:t>
      </w:r>
      <w:r>
        <w:rPr>
          <w:rFonts w:hint="eastAsia" w:eastAsia="仿宋_GB2312"/>
          <w:sz w:val="32"/>
          <w:szCs w:val="32"/>
        </w:rPr>
        <w:t>：社会大局稳定、居民群众安居乐业；</w:t>
      </w:r>
    </w:p>
    <w:p>
      <w:pPr>
        <w:spacing w:line="600" w:lineRule="exact"/>
        <w:ind w:firstLine="640" w:firstLineChars="200"/>
        <w:rPr>
          <w:rFonts w:eastAsia="仿宋_GB2312"/>
          <w:sz w:val="32"/>
          <w:szCs w:val="32"/>
        </w:rPr>
      </w:pPr>
      <w:r>
        <w:rPr>
          <w:rFonts w:eastAsia="仿宋_GB2312"/>
          <w:sz w:val="32"/>
          <w:szCs w:val="32"/>
        </w:rPr>
        <w:t>阶段性目标</w:t>
      </w:r>
      <w:r>
        <w:rPr>
          <w:rFonts w:hint="eastAsia" w:eastAsia="仿宋_GB2312"/>
          <w:sz w:val="32"/>
          <w:szCs w:val="32"/>
        </w:rPr>
        <w:t>：保障机构正常运行、开展财政管理活动，</w:t>
      </w:r>
      <w:r>
        <w:rPr>
          <w:rFonts w:hint="eastAsia" w:ascii="仿宋_GB2312" w:eastAsia="仿宋_GB2312"/>
          <w:sz w:val="32"/>
          <w:szCs w:val="32"/>
        </w:rPr>
        <w:t>进京重复访、集体访、非正常访和极端事件为零；</w:t>
      </w:r>
    </w:p>
    <w:p>
      <w:pPr>
        <w:spacing w:line="600" w:lineRule="exact"/>
        <w:ind w:firstLine="640" w:firstLineChars="200"/>
        <w:rPr>
          <w:rFonts w:eastAsia="仿宋_GB2312"/>
          <w:sz w:val="32"/>
          <w:szCs w:val="32"/>
        </w:rPr>
      </w:pPr>
      <w:r>
        <w:rPr>
          <w:rFonts w:eastAsia="仿宋_GB2312"/>
          <w:sz w:val="32"/>
          <w:szCs w:val="32"/>
        </w:rPr>
        <w:t>实现的产出情况和取得的效益情况</w:t>
      </w:r>
      <w:r>
        <w:rPr>
          <w:rFonts w:hint="eastAsia" w:eastAsia="仿宋_GB2312"/>
          <w:sz w:val="32"/>
          <w:szCs w:val="32"/>
        </w:rPr>
        <w:t>：</w:t>
      </w:r>
      <w:r>
        <w:rPr>
          <w:rFonts w:hint="eastAsia" w:ascii="仿宋_GB2312" w:eastAsia="仿宋_GB2312"/>
          <w:sz w:val="32"/>
          <w:szCs w:val="32"/>
        </w:rPr>
        <w:t>一是到市赴省进京初访下降50%；二是没有发生进京重复访、集体访、非正常访和极端事件；三是中央、省、市转办件按时办结，办结率达到100%；四是初信办结率达到100%；五是重复信比例下降了10%以上；六是没有发生信访问题处置不当造成重大恶性事件；七是群众满意率较高。</w:t>
      </w:r>
    </w:p>
    <w:p>
      <w:pPr>
        <w:spacing w:line="600" w:lineRule="exact"/>
        <w:ind w:firstLine="640" w:firstLineChars="200"/>
        <w:rPr>
          <w:rFonts w:eastAsia="黑体"/>
          <w:sz w:val="32"/>
          <w:szCs w:val="32"/>
        </w:rPr>
      </w:pPr>
      <w:r>
        <w:rPr>
          <w:rFonts w:eastAsia="黑体"/>
          <w:sz w:val="32"/>
          <w:szCs w:val="32"/>
        </w:rPr>
        <w:t>二、绩效评价工作情况</w:t>
      </w:r>
    </w:p>
    <w:p>
      <w:pPr>
        <w:ind w:firstLine="640" w:firstLineChars="200"/>
        <w:rPr>
          <w:rFonts w:ascii="仿宋_GB2312" w:eastAsia="仿宋_GB2312"/>
          <w:sz w:val="32"/>
          <w:szCs w:val="32"/>
        </w:rPr>
      </w:pPr>
      <w:r>
        <w:rPr>
          <w:rFonts w:hint="eastAsia" w:ascii="仿宋_GB2312" w:eastAsia="仿宋_GB2312"/>
          <w:sz w:val="32"/>
          <w:szCs w:val="32"/>
        </w:rPr>
        <w:t>（一）绩效评价目的</w:t>
      </w:r>
    </w:p>
    <w:p>
      <w:pPr>
        <w:ind w:firstLine="640" w:firstLineChars="200"/>
        <w:rPr>
          <w:rFonts w:ascii="仿宋_GB2312" w:eastAsia="仿宋_GB2312"/>
          <w:sz w:val="32"/>
          <w:szCs w:val="32"/>
        </w:rPr>
      </w:pPr>
      <w:r>
        <w:rPr>
          <w:rFonts w:hint="eastAsia" w:ascii="仿宋_GB2312" w:eastAsia="仿宋_GB2312"/>
          <w:sz w:val="32"/>
          <w:szCs w:val="32"/>
        </w:rPr>
        <w:t>此次绩效评价的目的是：严格落实《预算法》及区绩效管理工作的有关规定，进一步规范财政资金的管理，强化财政支出绩效理念，提升部门责任意识，提高资金使用效益，促进局各项工作全面开展。</w:t>
      </w:r>
    </w:p>
    <w:p>
      <w:pPr>
        <w:ind w:firstLine="640" w:firstLineChars="200"/>
        <w:rPr>
          <w:rFonts w:ascii="仿宋_GB2312" w:eastAsia="仿宋_GB2312"/>
          <w:sz w:val="32"/>
          <w:szCs w:val="32"/>
        </w:rPr>
      </w:pPr>
      <w:r>
        <w:rPr>
          <w:rFonts w:hint="eastAsia" w:ascii="仿宋_GB2312" w:eastAsia="仿宋_GB2312"/>
          <w:sz w:val="32"/>
          <w:szCs w:val="32"/>
        </w:rPr>
        <w:t>（二）绩效评价的主要过程</w:t>
      </w:r>
    </w:p>
    <w:p>
      <w:pPr>
        <w:ind w:firstLine="640" w:firstLineChars="200"/>
        <w:rPr>
          <w:rFonts w:ascii="仿宋_GB2312" w:eastAsia="仿宋_GB2312"/>
          <w:sz w:val="32"/>
          <w:szCs w:val="32"/>
        </w:rPr>
      </w:pPr>
      <w:r>
        <w:rPr>
          <w:rFonts w:hint="eastAsia" w:ascii="仿宋_GB2312" w:eastAsia="仿宋_GB2312"/>
          <w:sz w:val="32"/>
          <w:szCs w:val="32"/>
        </w:rPr>
        <w:t>根据绩效评价的要求，我们成立了自评工作领导小组，对照自评方案进行研究和布署，党组成员、局属各部门及机关各股室全程参与，按照自评方案的要求，对照各实施项目的内容逐条逐项自评。在自评过程发现问题，查找原因，及时纠正偏差，为下一步工作夯实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（三）绩效评价的成果</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区信访局领导高度重视绩效评价工作，由专人负责；按照评价要求和项目特点，科学制定评价方法和指标；按照“三重一大”的要求做到各股室层层把关，相互监督。</w:t>
      </w:r>
    </w:p>
    <w:p>
      <w:pPr>
        <w:spacing w:line="600" w:lineRule="exact"/>
        <w:ind w:firstLine="640" w:firstLineChars="200"/>
        <w:rPr>
          <w:rFonts w:eastAsia="黑体"/>
          <w:sz w:val="32"/>
          <w:szCs w:val="32"/>
        </w:rPr>
      </w:pPr>
      <w:r>
        <w:rPr>
          <w:rFonts w:eastAsia="黑体"/>
          <w:sz w:val="32"/>
          <w:szCs w:val="32"/>
        </w:rPr>
        <w:t>三、预算支出主要绩效及评价结论</w:t>
      </w:r>
    </w:p>
    <w:p>
      <w:pPr>
        <w:ind w:firstLine="640" w:firstLineChars="200"/>
        <w:rPr>
          <w:rFonts w:ascii="仿宋_GB2312" w:eastAsia="仿宋_GB2312"/>
          <w:sz w:val="32"/>
          <w:szCs w:val="32"/>
        </w:rPr>
      </w:pPr>
      <w:r>
        <w:rPr>
          <w:rFonts w:hint="eastAsia" w:ascii="仿宋_GB2312" w:eastAsia="仿宋_GB2312"/>
          <w:sz w:val="32"/>
          <w:szCs w:val="32"/>
        </w:rPr>
        <w:t>根据部门整体支出绩效评价指标体系和绩效检查情况，区信访局绩效评价指标总分值100分，实得96分，被评为“良好”等级。该系统主要绩效如下：</w:t>
      </w:r>
    </w:p>
    <w:p>
      <w:pPr>
        <w:ind w:firstLine="640" w:firstLineChars="200"/>
        <w:rPr>
          <w:rFonts w:ascii="仿宋_GB2312" w:eastAsia="仿宋_GB2312"/>
          <w:sz w:val="32"/>
          <w:szCs w:val="32"/>
        </w:rPr>
      </w:pPr>
      <w:r>
        <w:rPr>
          <w:rFonts w:hint="eastAsia" w:ascii="仿宋_GB2312" w:eastAsia="仿宋_GB2312"/>
          <w:sz w:val="32"/>
          <w:szCs w:val="32"/>
        </w:rPr>
        <w:t>（一）基本履职到位。2020年，区信访局运用法治思维和法治方式，推进信访制度改革，下大力夯实基层基础，下功夫化解信访积案，下猛药治理进京非访，下决心规范信访秩序，全区信访形势整体平稳可控，呈现出到市赴省进京上访“三下降”的较好局面，全面完成了市里下达的年度信访工作目标管理考核任务。</w:t>
      </w:r>
    </w:p>
    <w:p>
      <w:pPr>
        <w:ind w:firstLine="640" w:firstLineChars="200"/>
        <w:rPr>
          <w:rFonts w:ascii="仿宋_GB2312" w:eastAsia="仿宋_GB2312"/>
          <w:sz w:val="32"/>
          <w:szCs w:val="32"/>
        </w:rPr>
      </w:pPr>
      <w:r>
        <w:rPr>
          <w:rFonts w:hint="eastAsia" w:ascii="仿宋_GB2312" w:eastAsia="仿宋_GB2312"/>
          <w:sz w:val="32"/>
          <w:szCs w:val="32"/>
        </w:rPr>
        <w:t>（二）加强制度建设。区信访局制定完善并组织实施了一系列规章制度。一是在强化政治建设方面，制定了党组会议、民主生活会、党组中心组学习等各项工作规章制度。二是强化资金资产管理方面，制定了资产管理、财务报销、解决特殊疑难信访问题专项资金使用管理暂行办法等制度，充分体现了用制度管人、管事的工作理念，取得了一定的管理成效。</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ascii="仿宋_GB2312" w:eastAsia="仿宋_GB2312"/>
          <w:sz w:val="32"/>
          <w:szCs w:val="32"/>
        </w:rPr>
      </w:pPr>
      <w:r>
        <w:rPr>
          <w:rFonts w:eastAsia="楷体_GB2312"/>
          <w:b/>
          <w:sz w:val="32"/>
          <w:szCs w:val="32"/>
        </w:rPr>
        <w:t>（一）预算支出决策情况</w:t>
      </w:r>
      <w:r>
        <w:rPr>
          <w:rFonts w:hint="eastAsia" w:eastAsia="楷体_GB2312"/>
          <w:b/>
          <w:sz w:val="32"/>
          <w:szCs w:val="32"/>
        </w:rPr>
        <w:t>。</w:t>
      </w:r>
      <w:r>
        <w:rPr>
          <w:rFonts w:hint="eastAsia" w:ascii="仿宋_GB2312" w:eastAsia="仿宋_GB2312"/>
          <w:sz w:val="32"/>
          <w:szCs w:val="32"/>
        </w:rPr>
        <w:t>本部门严格执行财务相关法律法规及项目管理制度，保证决策正确、完整。</w:t>
      </w:r>
    </w:p>
    <w:p>
      <w:pPr>
        <w:spacing w:line="600" w:lineRule="exact"/>
        <w:ind w:firstLine="643" w:firstLineChars="200"/>
        <w:rPr>
          <w:rFonts w:eastAsia="楷体_GB2312"/>
          <w:b/>
          <w:sz w:val="32"/>
          <w:szCs w:val="32"/>
        </w:rPr>
      </w:pPr>
      <w:r>
        <w:rPr>
          <w:rFonts w:eastAsia="楷体_GB2312"/>
          <w:b/>
          <w:sz w:val="32"/>
          <w:szCs w:val="32"/>
        </w:rPr>
        <w:t>（二）预算执行过程情况</w:t>
      </w:r>
      <w:r>
        <w:rPr>
          <w:rFonts w:hint="eastAsia" w:eastAsia="楷体_GB2312"/>
          <w:b/>
          <w:sz w:val="32"/>
          <w:szCs w:val="32"/>
        </w:rPr>
        <w:t>。</w:t>
      </w:r>
      <w:r>
        <w:rPr>
          <w:rFonts w:hint="eastAsia" w:ascii="仿宋_GB2312" w:eastAsia="仿宋_GB2312"/>
          <w:sz w:val="32"/>
          <w:szCs w:val="32"/>
        </w:rPr>
        <w:t>所有项目都详细制定了方案，严格按方案组织实施，并加强了监督。在支出过程中，能严格遵守各项规章制度，“三公经费”明显下降。</w:t>
      </w:r>
    </w:p>
    <w:p>
      <w:pPr>
        <w:ind w:firstLine="643" w:firstLineChars="200"/>
        <w:rPr>
          <w:rFonts w:ascii="仿宋_GB2312" w:eastAsia="仿宋_GB2312"/>
          <w:sz w:val="32"/>
          <w:szCs w:val="32"/>
        </w:rPr>
      </w:pPr>
      <w:r>
        <w:rPr>
          <w:rFonts w:eastAsia="楷体_GB2312"/>
          <w:b/>
          <w:sz w:val="32"/>
          <w:szCs w:val="32"/>
        </w:rPr>
        <w:t>（三）预算支出产出情况</w:t>
      </w:r>
      <w:r>
        <w:rPr>
          <w:rFonts w:hint="eastAsia" w:eastAsia="楷体_GB2312"/>
          <w:b/>
          <w:sz w:val="32"/>
          <w:szCs w:val="32"/>
        </w:rPr>
        <w:t>。</w:t>
      </w:r>
      <w:r>
        <w:rPr>
          <w:rFonts w:hint="eastAsia" w:ascii="仿宋_GB2312" w:eastAsia="仿宋_GB2312"/>
          <w:sz w:val="32"/>
          <w:szCs w:val="32"/>
        </w:rPr>
        <w:t>尤其是在专项经费支出上，我们能专款专用，按项目实施计划的进度情况进行资金拨付，无截留、无挪用等现象。实行了先有预算、后有执行、“用钱必问效、无效必问责”的新常态。</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eastAsia="楷体_GB2312"/>
          <w:b/>
          <w:sz w:val="32"/>
          <w:szCs w:val="32"/>
        </w:rPr>
      </w:pPr>
      <w:r>
        <w:rPr>
          <w:rFonts w:hint="eastAsia" w:ascii="仿宋_GB2312" w:eastAsia="仿宋_GB2312"/>
          <w:sz w:val="32"/>
          <w:szCs w:val="32"/>
        </w:rPr>
        <w:t>全区信访形势整体平稳可控，呈现出到市赴省进京上访“三下降”的较好局面，全面完成了市里下达的年度信访工作目标管理考核任务。</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autoSpaceDE w:val="0"/>
        <w:autoSpaceDN w:val="0"/>
        <w:adjustRightInd w:val="0"/>
        <w:spacing w:line="560" w:lineRule="exact"/>
        <w:ind w:firstLine="640"/>
        <w:rPr>
          <w:rFonts w:ascii="仿宋_GB2312" w:eastAsia="仿宋_GB2312" w:cs="仿宋_GB2312" w:hAnsiTheme="minorHAnsi"/>
          <w:kern w:val="0"/>
          <w:sz w:val="32"/>
          <w:szCs w:val="32"/>
          <w:lang w:val="zh-CN"/>
        </w:rPr>
      </w:pPr>
      <w:r>
        <w:rPr>
          <w:rFonts w:hint="eastAsia" w:ascii="仿宋_GB2312" w:eastAsia="仿宋_GB2312" w:cs="仿宋_GB2312" w:hAnsiTheme="minorHAnsi"/>
          <w:kern w:val="0"/>
          <w:sz w:val="32"/>
          <w:szCs w:val="32"/>
          <w:lang w:val="zh-CN"/>
        </w:rPr>
        <w:t>主要经验及做法：严格遵循把财政资金使用好、管理好的宗旨，基本做到了专款专用，严格资金审批程序，确保了项目质量，及财政资金的安全。</w:t>
      </w:r>
    </w:p>
    <w:p>
      <w:pPr>
        <w:spacing w:line="600" w:lineRule="exact"/>
        <w:ind w:firstLine="640" w:firstLineChars="200"/>
        <w:rPr>
          <w:rFonts w:ascii="仿宋_GB2312" w:eastAsia="仿宋_GB2312"/>
          <w:sz w:val="32"/>
          <w:szCs w:val="32"/>
        </w:rPr>
      </w:pPr>
      <w:r>
        <w:rPr>
          <w:rFonts w:hint="eastAsia" w:ascii="仿宋_GB2312" w:eastAsia="仿宋_GB2312" w:cs="仿宋_GB2312" w:hAnsiTheme="minorHAnsi"/>
          <w:kern w:val="0"/>
          <w:sz w:val="32"/>
          <w:szCs w:val="32"/>
          <w:lang w:val="zh-CN"/>
        </w:rPr>
        <w:t>存在的问题：</w:t>
      </w:r>
      <w:r>
        <w:rPr>
          <w:rFonts w:hint="eastAsia" w:ascii="仿宋_GB2312" w:eastAsia="仿宋_GB2312"/>
          <w:sz w:val="32"/>
          <w:szCs w:val="32"/>
        </w:rPr>
        <w:t>一是资金使用效益有待进一步提高。二是绩效目标设立不够明确、细化和量化。项目单位虽然设立了项目资金绩效目标，但目标不够明确、细化和量化。</w:t>
      </w:r>
    </w:p>
    <w:p>
      <w:pPr>
        <w:spacing w:line="600" w:lineRule="exact"/>
        <w:ind w:firstLine="640" w:firstLineChars="200"/>
        <w:rPr>
          <w:rFonts w:eastAsia="黑体"/>
          <w:sz w:val="32"/>
          <w:szCs w:val="32"/>
        </w:rPr>
      </w:pPr>
      <w:r>
        <w:rPr>
          <w:rFonts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无</w:t>
      </w:r>
    </w:p>
    <w:p>
      <w:pPr>
        <w:spacing w:line="600" w:lineRule="exact"/>
        <w:ind w:firstLine="640" w:firstLineChars="200"/>
        <w:rPr>
          <w:rFonts w:eastAsia="黑体"/>
          <w:sz w:val="32"/>
          <w:szCs w:val="32"/>
        </w:rPr>
      </w:pPr>
      <w:r>
        <w:rPr>
          <w:rFonts w:eastAsia="黑体"/>
          <w:sz w:val="32"/>
          <w:szCs w:val="32"/>
        </w:rPr>
        <w:t>七、其他需要说明的问题</w:t>
      </w:r>
    </w:p>
    <w:p>
      <w:pPr>
        <w:spacing w:line="600" w:lineRule="exact"/>
        <w:ind w:firstLine="640" w:firstLineChars="200"/>
        <w:rPr>
          <w:rFonts w:eastAsia="黑体"/>
          <w:sz w:val="32"/>
          <w:szCs w:val="32"/>
        </w:rPr>
      </w:pPr>
      <w:r>
        <w:rPr>
          <w:rFonts w:hint="eastAsia" w:eastAsia="黑体"/>
          <w:sz w:val="32"/>
          <w:szCs w:val="32"/>
        </w:rPr>
        <w:t>无</w:t>
      </w:r>
    </w:p>
    <w:p>
      <w:pPr>
        <w:widowControl/>
        <w:spacing w:line="600" w:lineRule="exact"/>
        <w:jc w:val="left"/>
        <w:rPr>
          <w:rFonts w:eastAsia="黑体"/>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4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4-2</w:t>
      </w:r>
    </w:p>
    <w:p>
      <w:pPr>
        <w:widowControl/>
        <w:spacing w:line="400" w:lineRule="exact"/>
        <w:jc w:val="left"/>
        <w:rPr>
          <w:rFonts w:eastAsia="黑体"/>
          <w:sz w:val="32"/>
          <w:szCs w:val="32"/>
        </w:rPr>
      </w:pPr>
    </w:p>
    <w:tbl>
      <w:tblPr>
        <w:tblStyle w:val="4"/>
        <w:tblW w:w="9999" w:type="dxa"/>
        <w:jc w:val="center"/>
        <w:tblLayout w:type="autofit"/>
        <w:tblCellMar>
          <w:top w:w="0" w:type="dxa"/>
          <w:left w:w="108" w:type="dxa"/>
          <w:bottom w:w="0" w:type="dxa"/>
          <w:right w:w="108" w:type="dxa"/>
        </w:tblCellMar>
      </w:tblPr>
      <w:tblGrid>
        <w:gridCol w:w="1135"/>
        <w:gridCol w:w="636"/>
        <w:gridCol w:w="919"/>
        <w:gridCol w:w="1843"/>
        <w:gridCol w:w="1559"/>
        <w:gridCol w:w="992"/>
        <w:gridCol w:w="739"/>
        <w:gridCol w:w="831"/>
        <w:gridCol w:w="1345"/>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p>
            <w:pPr>
              <w:widowControl/>
              <w:spacing w:line="320" w:lineRule="exact"/>
              <w:jc w:val="center"/>
              <w:rPr>
                <w:color w:val="000000"/>
                <w:kern w:val="0"/>
                <w:sz w:val="22"/>
              </w:rPr>
            </w:pP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单位</w:t>
            </w:r>
            <w:r>
              <w:rPr>
                <w:rFonts w:eastAsia="仿宋_GB2312"/>
                <w:color w:val="000000"/>
                <w:kern w:val="0"/>
                <w:szCs w:val="21"/>
              </w:rPr>
              <w:t>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区信访局</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957"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w:t>
            </w:r>
          </w:p>
          <w:p>
            <w:pPr>
              <w:widowControl/>
              <w:spacing w:line="320" w:lineRule="exact"/>
              <w:jc w:val="center"/>
              <w:rPr>
                <w:rFonts w:eastAsia="仿宋_GB2312"/>
                <w:color w:val="000000"/>
                <w:kern w:val="0"/>
                <w:szCs w:val="21"/>
              </w:rPr>
            </w:pPr>
            <w:r>
              <w:rPr>
                <w:rFonts w:eastAsia="仿宋_GB2312"/>
                <w:color w:val="000000"/>
                <w:kern w:val="0"/>
                <w:szCs w:val="21"/>
              </w:rPr>
              <w:t>单位</w:t>
            </w:r>
          </w:p>
        </w:tc>
        <w:tc>
          <w:tcPr>
            <w:tcW w:w="2915"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信访局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整体</w:t>
            </w:r>
            <w:r>
              <w:rPr>
                <w:rFonts w:eastAsia="仿宋_GB2312"/>
                <w:color w:val="000000"/>
                <w:kern w:val="0"/>
                <w:szCs w:val="21"/>
              </w:rPr>
              <w:t>资金</w:t>
            </w:r>
            <w:r>
              <w:rPr>
                <w:rFonts w:eastAsia="仿宋_GB2312"/>
                <w:color w:val="000000"/>
                <w:kern w:val="0"/>
                <w:szCs w:val="21"/>
              </w:rPr>
              <w:br w:type="textWrapping"/>
            </w:r>
            <w:r>
              <w:rPr>
                <w:rFonts w:eastAsia="仿宋_GB2312"/>
                <w:color w:val="000000"/>
                <w:kern w:val="0"/>
                <w:szCs w:val="21"/>
              </w:rPr>
              <w:t>（万元）</w:t>
            </w:r>
          </w:p>
        </w:tc>
        <w:tc>
          <w:tcPr>
            <w:tcW w:w="155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84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55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99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39"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3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4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155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84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203.85万元</w:t>
            </w:r>
          </w:p>
        </w:tc>
        <w:tc>
          <w:tcPr>
            <w:tcW w:w="155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203.85万元</w:t>
            </w:r>
          </w:p>
        </w:tc>
        <w:tc>
          <w:tcPr>
            <w:tcW w:w="99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203.85万元</w:t>
            </w:r>
          </w:p>
        </w:tc>
        <w:tc>
          <w:tcPr>
            <w:tcW w:w="73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10</w:t>
            </w:r>
          </w:p>
        </w:tc>
        <w:tc>
          <w:tcPr>
            <w:tcW w:w="8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3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155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84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203.85万元</w:t>
            </w:r>
          </w:p>
        </w:tc>
        <w:tc>
          <w:tcPr>
            <w:tcW w:w="155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203.85万元</w:t>
            </w:r>
          </w:p>
        </w:tc>
        <w:tc>
          <w:tcPr>
            <w:tcW w:w="99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203.85万元</w:t>
            </w:r>
          </w:p>
        </w:tc>
        <w:tc>
          <w:tcPr>
            <w:tcW w:w="73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3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155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上年结转资金　</w:t>
            </w:r>
          </w:p>
        </w:tc>
        <w:tc>
          <w:tcPr>
            <w:tcW w:w="184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0</w:t>
            </w:r>
          </w:p>
        </w:tc>
        <w:tc>
          <w:tcPr>
            <w:tcW w:w="155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0</w:t>
            </w:r>
          </w:p>
        </w:tc>
        <w:tc>
          <w:tcPr>
            <w:tcW w:w="99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0</w:t>
            </w:r>
          </w:p>
        </w:tc>
        <w:tc>
          <w:tcPr>
            <w:tcW w:w="73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3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155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其他资金</w:t>
            </w:r>
          </w:p>
        </w:tc>
        <w:tc>
          <w:tcPr>
            <w:tcW w:w="184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0</w:t>
            </w:r>
          </w:p>
        </w:tc>
        <w:tc>
          <w:tcPr>
            <w:tcW w:w="155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0</w:t>
            </w:r>
          </w:p>
        </w:tc>
        <w:tc>
          <w:tcPr>
            <w:tcW w:w="99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0</w:t>
            </w:r>
          </w:p>
        </w:tc>
        <w:tc>
          <w:tcPr>
            <w:tcW w:w="73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3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957"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07"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957"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全区信访形势整体平稳可控，鹤城社会大局和谐稳定</w:t>
            </w:r>
          </w:p>
        </w:tc>
        <w:tc>
          <w:tcPr>
            <w:tcW w:w="3907"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赴省进京上访“三下降”，全面完成了市里下达的年度信访工作目标管理考核任务</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9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3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636"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919"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eastAsia="仿宋_GB2312"/>
                <w:kern w:val="0"/>
                <w:szCs w:val="21"/>
              </w:rPr>
              <w:t>登记办理群众来信、来访数量</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eastAsia="仿宋_GB2312"/>
                <w:kern w:val="0"/>
                <w:szCs w:val="21"/>
              </w:rPr>
              <w:t>前三年平均值</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73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13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636"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19"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eastAsia="仿宋_GB2312"/>
                <w:kern w:val="0"/>
                <w:szCs w:val="21"/>
              </w:rPr>
              <w:t>登记办理网上信访事项数量</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eastAsia="仿宋_GB2312"/>
                <w:kern w:val="0"/>
                <w:szCs w:val="21"/>
              </w:rPr>
              <w:t>前三年平均值</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73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13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636"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19"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843"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仿宋_GB2312" w:eastAsia="仿宋_GB2312"/>
                <w:kern w:val="0"/>
                <w:szCs w:val="21"/>
              </w:rPr>
            </w:pPr>
            <w:r>
              <w:rPr>
                <w:rFonts w:hint="eastAsia" w:ascii="仿宋_GB2312" w:eastAsia="仿宋_GB2312"/>
                <w:kern w:val="0"/>
                <w:szCs w:val="21"/>
              </w:rPr>
              <w:t>群众来访接谈率</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仿宋_GB2312" w:eastAsia="仿宋_GB2312"/>
                <w:kern w:val="0"/>
                <w:szCs w:val="21"/>
              </w:rPr>
            </w:pPr>
            <w:r>
              <w:rPr>
                <w:rFonts w:hint="eastAsia" w:ascii="仿宋_GB2312" w:eastAsia="仿宋_GB2312"/>
                <w:kern w:val="0"/>
                <w:szCs w:val="21"/>
              </w:rPr>
              <w:t>前三年平均值</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73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13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636"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19"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843"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仿宋_GB2312" w:eastAsia="仿宋_GB2312"/>
                <w:kern w:val="0"/>
                <w:szCs w:val="21"/>
              </w:rPr>
            </w:pPr>
            <w:r>
              <w:rPr>
                <w:rFonts w:hint="eastAsia" w:ascii="仿宋_GB2312" w:eastAsia="仿宋_GB2312"/>
                <w:kern w:val="0"/>
                <w:szCs w:val="21"/>
              </w:rPr>
              <w:t>群众来信签收核对率</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仿宋_GB2312" w:eastAsia="仿宋_GB2312"/>
                <w:kern w:val="0"/>
                <w:szCs w:val="21"/>
              </w:rPr>
            </w:pPr>
            <w:r>
              <w:rPr>
                <w:rFonts w:hint="eastAsia" w:ascii="仿宋_GB2312" w:eastAsia="仿宋_GB2312"/>
                <w:kern w:val="0"/>
                <w:szCs w:val="21"/>
              </w:rPr>
              <w:t>前三年目标</w:t>
            </w:r>
          </w:p>
          <w:p>
            <w:pPr>
              <w:spacing w:line="300" w:lineRule="exact"/>
              <w:jc w:val="center"/>
              <w:rPr>
                <w:rFonts w:ascii="仿宋_GB2312" w:eastAsia="仿宋_GB2312"/>
                <w:kern w:val="0"/>
                <w:szCs w:val="21"/>
              </w:rPr>
            </w:pPr>
            <w:r>
              <w:rPr>
                <w:rFonts w:hint="eastAsia" w:ascii="仿宋_GB2312" w:eastAsia="仿宋_GB2312"/>
                <w:kern w:val="0"/>
                <w:szCs w:val="21"/>
              </w:rPr>
              <w:t>完成数</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73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13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636"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19"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843"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仿宋_GB2312" w:eastAsia="仿宋_GB2312"/>
                <w:kern w:val="0"/>
                <w:szCs w:val="21"/>
              </w:rPr>
            </w:pPr>
            <w:r>
              <w:rPr>
                <w:rFonts w:hint="eastAsia" w:ascii="仿宋_GB2312" w:eastAsia="仿宋_GB2312"/>
                <w:kern w:val="0"/>
                <w:szCs w:val="21"/>
              </w:rPr>
              <w:t>信访事项及时受理率</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仿宋_GB2312" w:eastAsia="仿宋_GB2312"/>
                <w:kern w:val="0"/>
                <w:szCs w:val="21"/>
              </w:rPr>
            </w:pPr>
            <w:r>
              <w:rPr>
                <w:rFonts w:hint="eastAsia" w:ascii="仿宋_GB2312" w:eastAsia="仿宋_GB2312"/>
                <w:kern w:val="0"/>
                <w:szCs w:val="21"/>
              </w:rPr>
              <w:t>以上一年度</w:t>
            </w:r>
          </w:p>
          <w:p>
            <w:pPr>
              <w:spacing w:line="300" w:lineRule="exact"/>
              <w:jc w:val="center"/>
              <w:rPr>
                <w:rFonts w:ascii="仿宋_GB2312" w:eastAsia="仿宋_GB2312"/>
                <w:kern w:val="0"/>
                <w:szCs w:val="21"/>
              </w:rPr>
            </w:pPr>
            <w:r>
              <w:rPr>
                <w:rFonts w:hint="eastAsia" w:ascii="仿宋_GB2312" w:eastAsia="仿宋_GB2312"/>
                <w:kern w:val="0"/>
                <w:szCs w:val="21"/>
              </w:rPr>
              <w:t>数值为标准</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73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13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636"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19"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843"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仿宋_GB2312" w:eastAsia="仿宋_GB2312"/>
                <w:kern w:val="0"/>
                <w:szCs w:val="21"/>
              </w:rPr>
            </w:pPr>
            <w:r>
              <w:rPr>
                <w:rFonts w:hint="eastAsia" w:ascii="仿宋_GB2312" w:eastAsia="仿宋_GB2312"/>
                <w:kern w:val="0"/>
                <w:szCs w:val="21"/>
              </w:rPr>
              <w:t>信访事项按时办结率</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仿宋_GB2312" w:eastAsia="仿宋_GB2312"/>
                <w:kern w:val="0"/>
                <w:szCs w:val="21"/>
              </w:rPr>
            </w:pPr>
            <w:r>
              <w:rPr>
                <w:rFonts w:hint="eastAsia" w:ascii="仿宋_GB2312" w:eastAsia="仿宋_GB2312"/>
                <w:kern w:val="0"/>
                <w:szCs w:val="21"/>
              </w:rPr>
              <w:t>以上一年度</w:t>
            </w:r>
          </w:p>
          <w:p>
            <w:pPr>
              <w:spacing w:line="300" w:lineRule="exact"/>
              <w:jc w:val="center"/>
              <w:rPr>
                <w:rFonts w:ascii="仿宋_GB2312" w:eastAsia="仿宋_GB2312"/>
                <w:kern w:val="0"/>
                <w:szCs w:val="21"/>
              </w:rPr>
            </w:pPr>
            <w:r>
              <w:rPr>
                <w:rFonts w:hint="eastAsia" w:ascii="仿宋_GB2312" w:eastAsia="仿宋_GB2312"/>
                <w:kern w:val="0"/>
                <w:szCs w:val="21"/>
              </w:rPr>
              <w:t>数值为标准</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73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13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636"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843"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仿宋_GB2312" w:eastAsia="仿宋_GB2312"/>
                <w:kern w:val="0"/>
                <w:szCs w:val="21"/>
              </w:rPr>
            </w:pPr>
            <w:r>
              <w:rPr>
                <w:rFonts w:hint="eastAsia" w:ascii="仿宋_GB2312" w:eastAsia="仿宋_GB2312"/>
                <w:kern w:val="0"/>
                <w:szCs w:val="21"/>
              </w:rPr>
              <w:t>按标准严格控制</w:t>
            </w:r>
          </w:p>
          <w:p>
            <w:pPr>
              <w:spacing w:line="300" w:lineRule="exact"/>
              <w:jc w:val="center"/>
              <w:rPr>
                <w:rFonts w:ascii="仿宋_GB2312" w:eastAsia="仿宋_GB2312"/>
                <w:kern w:val="0"/>
                <w:szCs w:val="21"/>
              </w:rPr>
            </w:pPr>
            <w:r>
              <w:rPr>
                <w:rFonts w:hint="eastAsia" w:ascii="仿宋_GB2312" w:eastAsia="仿宋_GB2312"/>
                <w:kern w:val="0"/>
                <w:szCs w:val="21"/>
              </w:rPr>
              <w:t>基本支出和项目支出</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仿宋_GB2312" w:eastAsia="仿宋_GB2312"/>
                <w:kern w:val="0"/>
                <w:szCs w:val="21"/>
              </w:rPr>
            </w:pPr>
            <w:r>
              <w:rPr>
                <w:rFonts w:hint="eastAsia" w:ascii="仿宋_GB2312" w:eastAsia="仿宋_GB2312"/>
                <w:kern w:val="0"/>
                <w:szCs w:val="21"/>
              </w:rPr>
              <w:t>基本支出：145.5万元</w:t>
            </w:r>
          </w:p>
          <w:p>
            <w:pPr>
              <w:spacing w:line="300" w:lineRule="exact"/>
              <w:jc w:val="center"/>
              <w:rPr>
                <w:rFonts w:ascii="仿宋_GB2312" w:eastAsia="仿宋_GB2312"/>
                <w:kern w:val="0"/>
                <w:szCs w:val="21"/>
              </w:rPr>
            </w:pPr>
            <w:r>
              <w:rPr>
                <w:rFonts w:hint="eastAsia" w:ascii="仿宋_GB2312" w:eastAsia="仿宋_GB2312"/>
                <w:kern w:val="0"/>
                <w:szCs w:val="21"/>
              </w:rPr>
              <w:t>项目支出：56.2万元</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73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13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60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636"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9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7309" w:type="dxa"/>
            <w:gridSpan w:val="6"/>
            <w:tcBorders>
              <w:top w:val="single" w:color="auto" w:sz="4" w:space="0"/>
              <w:left w:val="nil"/>
              <w:bottom w:val="single" w:color="auto" w:sz="4" w:space="0"/>
              <w:right w:val="single" w:color="auto" w:sz="4" w:space="0"/>
              <w:tr2bl w:val="single" w:color="auto" w:sz="4" w:space="0"/>
            </w:tcBorders>
            <w:shd w:val="clear" w:color="auto" w:fill="auto"/>
            <w:vAlign w:val="center"/>
          </w:tcPr>
          <w:p>
            <w:pPr>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53"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636" w:type="dxa"/>
            <w:vMerge w:val="continue"/>
            <w:tcBorders>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19"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r>
              <w:rPr>
                <w:rFonts w:eastAsia="仿宋_GB2312"/>
                <w:color w:val="000000"/>
                <w:kern w:val="0"/>
                <w:szCs w:val="21"/>
              </w:rPr>
              <w:t>社会效益指标</w:t>
            </w:r>
          </w:p>
        </w:tc>
        <w:tc>
          <w:tcPr>
            <w:tcW w:w="1843"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ascii="仿宋_GB2312" w:eastAsia="仿宋_GB2312"/>
                <w:kern w:val="0"/>
                <w:szCs w:val="21"/>
              </w:rPr>
              <w:t>实地督查结果网上公开率</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ascii="仿宋_GB2312" w:eastAsia="仿宋_GB2312"/>
                <w:kern w:val="0"/>
                <w:szCs w:val="21"/>
              </w:rPr>
              <w:t>前三年目标完成数</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73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13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690"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spacing w:line="320" w:lineRule="exact"/>
              <w:jc w:val="center"/>
              <w:rPr>
                <w:rFonts w:eastAsia="仿宋_GB2312"/>
                <w:color w:val="000000"/>
                <w:kern w:val="0"/>
                <w:szCs w:val="21"/>
              </w:rPr>
            </w:pPr>
            <w:r>
              <w:rPr>
                <w:rFonts w:eastAsia="仿宋_GB2312"/>
                <w:color w:val="000000"/>
                <w:kern w:val="0"/>
                <w:szCs w:val="21"/>
              </w:rPr>
              <w:t>标</w:t>
            </w:r>
          </w:p>
        </w:tc>
        <w:tc>
          <w:tcPr>
            <w:tcW w:w="636"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9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7309" w:type="dxa"/>
            <w:gridSpan w:val="6"/>
            <w:tcBorders>
              <w:top w:val="single" w:color="auto" w:sz="4" w:space="0"/>
              <w:left w:val="single" w:color="auto" w:sz="4" w:space="0"/>
              <w:right w:val="single" w:color="auto" w:sz="4" w:space="0"/>
              <w:tr2bl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636"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19"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7309" w:type="dxa"/>
            <w:gridSpan w:val="6"/>
            <w:tcBorders>
              <w:top w:val="single" w:color="auto" w:sz="4" w:space="0"/>
              <w:left w:val="single" w:color="auto" w:sz="4" w:space="0"/>
              <w:bottom w:val="single" w:color="auto" w:sz="4" w:space="0"/>
              <w:right w:val="single" w:color="auto" w:sz="4" w:space="0"/>
              <w:tr2bl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636"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19"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7309" w:type="dxa"/>
            <w:gridSpan w:val="6"/>
            <w:tcBorders>
              <w:top w:val="single" w:color="auto" w:sz="4" w:space="0"/>
              <w:left w:val="nil"/>
              <w:bottom w:val="single" w:color="auto" w:sz="4" w:space="0"/>
              <w:right w:val="single" w:color="auto" w:sz="4" w:space="0"/>
              <w:tr2bl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636"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919"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843" w:type="dxa"/>
            <w:tcBorders>
              <w:top w:val="nil"/>
              <w:left w:val="nil"/>
              <w:bottom w:val="single" w:color="auto" w:sz="4" w:space="0"/>
              <w:right w:val="single" w:color="auto" w:sz="4" w:space="0"/>
            </w:tcBorders>
            <w:shd w:val="clear" w:color="auto" w:fill="auto"/>
            <w:vAlign w:val="center"/>
          </w:tcPr>
          <w:p>
            <w:pPr>
              <w:spacing w:line="300" w:lineRule="exact"/>
              <w:jc w:val="center"/>
              <w:rPr>
                <w:rFonts w:ascii="仿宋_GB2312" w:eastAsia="仿宋_GB2312"/>
                <w:kern w:val="0"/>
                <w:szCs w:val="21"/>
              </w:rPr>
            </w:pPr>
            <w:r>
              <w:rPr>
                <w:rFonts w:hint="eastAsia" w:ascii="仿宋_GB2312" w:eastAsia="仿宋_GB2312"/>
                <w:kern w:val="0"/>
                <w:szCs w:val="21"/>
              </w:rPr>
              <w:t>信访事项处理群众满意率</w:t>
            </w:r>
          </w:p>
        </w:tc>
        <w:tc>
          <w:tcPr>
            <w:tcW w:w="1559" w:type="dxa"/>
            <w:tcBorders>
              <w:top w:val="nil"/>
              <w:left w:val="nil"/>
              <w:bottom w:val="single" w:color="auto" w:sz="4" w:space="0"/>
              <w:right w:val="single" w:color="auto" w:sz="4" w:space="0"/>
            </w:tcBorders>
            <w:shd w:val="clear" w:color="auto" w:fill="auto"/>
            <w:vAlign w:val="center"/>
          </w:tcPr>
          <w:p>
            <w:pPr>
              <w:spacing w:line="300" w:lineRule="exact"/>
              <w:jc w:val="center"/>
              <w:rPr>
                <w:rFonts w:ascii="仿宋_GB2312" w:eastAsia="仿宋_GB2312"/>
                <w:kern w:val="0"/>
                <w:szCs w:val="21"/>
              </w:rPr>
            </w:pPr>
            <w:r>
              <w:rPr>
                <w:rFonts w:hint="eastAsia" w:ascii="仿宋_GB2312" w:eastAsia="仿宋_GB2312"/>
                <w:kern w:val="0"/>
                <w:szCs w:val="21"/>
              </w:rPr>
              <w:t>以上一年度数值为标准</w:t>
            </w:r>
          </w:p>
        </w:tc>
        <w:tc>
          <w:tcPr>
            <w:tcW w:w="99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73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13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636"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19"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7309" w:type="dxa"/>
            <w:gridSpan w:val="6"/>
            <w:tcBorders>
              <w:top w:val="nil"/>
              <w:left w:val="nil"/>
              <w:bottom w:val="single" w:color="auto" w:sz="4" w:space="0"/>
              <w:right w:val="single" w:color="auto" w:sz="4" w:space="0"/>
              <w:tr2bl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708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39"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3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bl>
    <w:p>
      <w:pPr>
        <w:spacing w:beforeLines="50" w:line="240" w:lineRule="exact"/>
        <w:rPr>
          <w:rFonts w:eastAsia="仿宋_GB2312"/>
          <w:sz w:val="24"/>
        </w:rPr>
      </w:pPr>
      <w:r>
        <w:rPr>
          <w:rFonts w:eastAsia="仿宋_GB2312"/>
          <w:sz w:val="24"/>
        </w:rPr>
        <w:t>填表人：</w:t>
      </w:r>
      <w:r>
        <w:rPr>
          <w:rFonts w:hint="eastAsia" w:eastAsia="仿宋_GB2312"/>
          <w:sz w:val="24"/>
        </w:rPr>
        <w:t>曾文君</w:t>
      </w:r>
      <w:r>
        <w:rPr>
          <w:rFonts w:eastAsia="仿宋_GB2312"/>
          <w:sz w:val="24"/>
        </w:rPr>
        <w:t xml:space="preserve">     </w:t>
      </w:r>
      <w:r>
        <w:rPr>
          <w:rFonts w:hint="eastAsia" w:eastAsia="仿宋_GB2312"/>
          <w:sz w:val="24"/>
        </w:rPr>
        <w:t xml:space="preserve">                      </w:t>
      </w:r>
      <w:r>
        <w:rPr>
          <w:rFonts w:eastAsia="仿宋_GB2312"/>
          <w:sz w:val="24"/>
        </w:rPr>
        <w:t>填报日期：</w:t>
      </w:r>
      <w:r>
        <w:rPr>
          <w:rFonts w:hint="eastAsia" w:eastAsia="仿宋_GB2312"/>
          <w:sz w:val="24"/>
        </w:rPr>
        <w:t>2021年6月23日</w:t>
      </w:r>
      <w:r>
        <w:rPr>
          <w:rFonts w:eastAsia="仿宋_GB2312"/>
          <w:sz w:val="24"/>
        </w:rPr>
        <w:t xml:space="preserve"> </w:t>
      </w:r>
    </w:p>
    <w:p>
      <w:pPr>
        <w:spacing w:beforeLines="50" w:line="320" w:lineRule="exact"/>
        <w:rPr>
          <w:rFonts w:eastAsia="仿宋_GB2312"/>
          <w:sz w:val="24"/>
        </w:rPr>
      </w:pPr>
      <w:r>
        <w:rPr>
          <w:rFonts w:eastAsia="仿宋_GB2312"/>
          <w:sz w:val="24"/>
        </w:rPr>
        <w:t>联系电话：</w:t>
      </w:r>
      <w:r>
        <w:rPr>
          <w:rFonts w:hint="eastAsia" w:eastAsia="仿宋_GB2312"/>
          <w:sz w:val="24"/>
        </w:rPr>
        <w:t xml:space="preserve">15874506606                   </w:t>
      </w:r>
      <w:r>
        <w:rPr>
          <w:rFonts w:eastAsia="仿宋_GB2312"/>
          <w:sz w:val="24"/>
        </w:rPr>
        <w:t xml:space="preserve"> 单位负责人签字：</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区信访局</w:t>
      </w:r>
      <w:r>
        <w:rPr>
          <w:rFonts w:eastAsia="楷体_GB2312"/>
          <w:sz w:val="32"/>
          <w:szCs w:val="32"/>
        </w:rPr>
        <w:t>）</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ind w:firstLine="640" w:firstLineChars="200"/>
        <w:rPr>
          <w:rFonts w:ascii="仿宋_GB2312" w:eastAsia="仿宋_GB2312"/>
          <w:sz w:val="32"/>
          <w:szCs w:val="32"/>
        </w:rPr>
      </w:pPr>
      <w:r>
        <w:rPr>
          <w:rFonts w:hint="eastAsia" w:ascii="仿宋_GB2312" w:eastAsia="仿宋_GB2312"/>
          <w:sz w:val="32"/>
          <w:szCs w:val="32"/>
        </w:rPr>
        <w:t>根据规定，本部门（单位）主要工作职责是：</w:t>
      </w:r>
      <w:r>
        <w:rPr>
          <w:rFonts w:ascii="仿宋_GB2312" w:eastAsia="仿宋_GB2312"/>
          <w:sz w:val="32"/>
          <w:szCs w:val="32"/>
        </w:rPr>
        <w:t>1</w:t>
      </w:r>
      <w:r>
        <w:rPr>
          <w:rFonts w:hint="eastAsia" w:ascii="仿宋_GB2312" w:eastAsia="仿宋_GB2312"/>
          <w:sz w:val="32"/>
          <w:szCs w:val="32"/>
        </w:rPr>
        <w:t>、负责处理上级领导机关统转信件，接待人民群众来信来访；</w:t>
      </w:r>
      <w:r>
        <w:rPr>
          <w:rFonts w:ascii="仿宋_GB2312" w:eastAsia="仿宋_GB2312"/>
          <w:sz w:val="32"/>
          <w:szCs w:val="32"/>
        </w:rPr>
        <w:t>2</w:t>
      </w:r>
      <w:r>
        <w:rPr>
          <w:rFonts w:hint="eastAsia" w:ascii="仿宋_GB2312" w:eastAsia="仿宋_GB2312"/>
          <w:sz w:val="32"/>
          <w:szCs w:val="32"/>
        </w:rPr>
        <w:t>、向乡镇、街道和区直部门交办信访事项，督促检查交办事项的处理落实情况；</w:t>
      </w:r>
      <w:r>
        <w:rPr>
          <w:rFonts w:ascii="仿宋_GB2312" w:eastAsia="仿宋_GB2312"/>
          <w:sz w:val="32"/>
          <w:szCs w:val="32"/>
        </w:rPr>
        <w:t>3</w:t>
      </w:r>
      <w:r>
        <w:rPr>
          <w:rFonts w:hint="eastAsia" w:ascii="仿宋_GB2312" w:eastAsia="仿宋_GB2312"/>
          <w:sz w:val="32"/>
          <w:szCs w:val="32"/>
        </w:rPr>
        <w:t>、综合反映信访情况，提供信访信息，为区委、区政府决策和指导工作服务；</w:t>
      </w:r>
      <w:r>
        <w:rPr>
          <w:rFonts w:ascii="仿宋_GB2312" w:eastAsia="仿宋_GB2312"/>
          <w:sz w:val="32"/>
          <w:szCs w:val="32"/>
        </w:rPr>
        <w:t>4</w:t>
      </w:r>
      <w:r>
        <w:rPr>
          <w:rFonts w:hint="eastAsia" w:ascii="仿宋_GB2312" w:eastAsia="仿宋_GB2312"/>
          <w:sz w:val="32"/>
          <w:szCs w:val="32"/>
        </w:rPr>
        <w:t>、协同有关部门处理跨乡镇、跨部门的重大信访问题，协调处理群众越级上访和异常突发性信访事项；</w:t>
      </w:r>
      <w:r>
        <w:rPr>
          <w:rFonts w:ascii="仿宋_GB2312" w:eastAsia="仿宋_GB2312"/>
          <w:sz w:val="32"/>
          <w:szCs w:val="32"/>
        </w:rPr>
        <w:t>5</w:t>
      </w:r>
      <w:r>
        <w:rPr>
          <w:rFonts w:hint="eastAsia" w:ascii="仿宋_GB2312" w:eastAsia="仿宋_GB2312"/>
          <w:sz w:val="32"/>
          <w:szCs w:val="32"/>
        </w:rPr>
        <w:t>、掌握全区信访工作动态，对信访工作中失职、渎职行为提出处理建议，组织信访干部的培训；</w:t>
      </w:r>
      <w:r>
        <w:rPr>
          <w:rFonts w:ascii="仿宋_GB2312" w:eastAsia="仿宋_GB2312"/>
          <w:sz w:val="32"/>
          <w:szCs w:val="32"/>
        </w:rPr>
        <w:t>6</w:t>
      </w:r>
      <w:r>
        <w:rPr>
          <w:rFonts w:hint="eastAsia" w:ascii="仿宋_GB2312" w:eastAsia="仿宋_GB2312"/>
          <w:sz w:val="32"/>
          <w:szCs w:val="32"/>
        </w:rPr>
        <w:t>、承办区委、区政府交办的其他事项。</w:t>
      </w:r>
      <w:r>
        <w:rPr>
          <w:rFonts w:ascii="仿宋_GB2312" w:eastAsia="仿宋_GB2312"/>
          <w:sz w:val="32"/>
          <w:szCs w:val="32"/>
        </w:rPr>
        <w:t xml:space="preserve"> </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r>
        <w:rPr>
          <w:rFonts w:hint="eastAsia" w:eastAsia="仿宋_GB2312"/>
          <w:sz w:val="32"/>
          <w:szCs w:val="32"/>
        </w:rPr>
        <w:t>。</w:t>
      </w:r>
    </w:p>
    <w:p>
      <w:pPr>
        <w:adjustRightInd w:val="0"/>
        <w:snapToGrid w:val="0"/>
        <w:spacing w:line="600" w:lineRule="exact"/>
        <w:ind w:firstLine="640" w:firstLineChars="200"/>
        <w:rPr>
          <w:rFonts w:eastAsia="仿宋_GB2312"/>
          <w:sz w:val="32"/>
          <w:szCs w:val="32"/>
        </w:rPr>
      </w:pPr>
      <w:r>
        <w:rPr>
          <w:rFonts w:eastAsia="仿宋_GB2312"/>
          <w:sz w:val="32"/>
          <w:szCs w:val="32"/>
        </w:rPr>
        <w:t>基本性质</w:t>
      </w:r>
      <w:r>
        <w:rPr>
          <w:rFonts w:hint="eastAsia" w:eastAsia="仿宋_GB2312"/>
          <w:sz w:val="32"/>
          <w:szCs w:val="32"/>
        </w:rPr>
        <w:t>：信访专项项目资金</w:t>
      </w:r>
    </w:p>
    <w:p>
      <w:pPr>
        <w:adjustRightInd w:val="0"/>
        <w:snapToGrid w:val="0"/>
        <w:spacing w:line="600" w:lineRule="exact"/>
        <w:ind w:firstLine="640" w:firstLineChars="200"/>
        <w:rPr>
          <w:rFonts w:ascii="仿宋" w:hAnsi="仿宋" w:eastAsia="仿宋" w:cs="仿宋"/>
          <w:sz w:val="32"/>
          <w:szCs w:val="32"/>
        </w:rPr>
      </w:pPr>
      <w:r>
        <w:rPr>
          <w:rFonts w:eastAsia="仿宋_GB2312"/>
          <w:sz w:val="32"/>
          <w:szCs w:val="32"/>
        </w:rPr>
        <w:t>用途和主要内容</w:t>
      </w:r>
      <w:r>
        <w:rPr>
          <w:rFonts w:hint="eastAsia" w:eastAsia="仿宋_GB2312"/>
          <w:sz w:val="32"/>
          <w:szCs w:val="32"/>
        </w:rPr>
        <w:t>：</w:t>
      </w:r>
      <w:r>
        <w:rPr>
          <w:rFonts w:ascii="仿宋" w:hAnsi="仿宋" w:eastAsia="仿宋" w:cs="仿宋"/>
          <w:sz w:val="32"/>
          <w:szCs w:val="32"/>
        </w:rPr>
        <w:t xml:space="preserve"> </w:t>
      </w:r>
      <w:r>
        <w:rPr>
          <w:rFonts w:hint="eastAsia" w:eastAsia="仿宋_GB2312"/>
          <w:sz w:val="32"/>
          <w:szCs w:val="32"/>
        </w:rPr>
        <w:t>（1）</w:t>
      </w:r>
      <w:r>
        <w:rPr>
          <w:rFonts w:hint="eastAsia" w:ascii="仿宋_GB2312" w:eastAsia="仿宋_GB2312"/>
          <w:sz w:val="32"/>
          <w:szCs w:val="32"/>
        </w:rPr>
        <w:t>信访救助</w:t>
      </w:r>
      <w:r>
        <w:rPr>
          <w:rFonts w:hint="eastAsia" w:eastAsia="仿宋_GB2312"/>
          <w:sz w:val="32"/>
          <w:szCs w:val="32"/>
        </w:rPr>
        <w:t>专项经费</w:t>
      </w:r>
      <w:r>
        <w:rPr>
          <w:rFonts w:hint="eastAsia" w:ascii="仿宋_GB2312" w:eastAsia="仿宋_GB2312"/>
          <w:sz w:val="32"/>
          <w:szCs w:val="32"/>
        </w:rPr>
        <w:t>。适当解决信访案件当事人的实际生活困难，促进社会和谐，维护社会稳定。通过实施该项目，落实信访救助专项资金，</w:t>
      </w:r>
      <w:r>
        <w:rPr>
          <w:rFonts w:ascii="仿宋_GB2312" w:eastAsia="仿宋_GB2312"/>
          <w:sz w:val="32"/>
          <w:szCs w:val="32"/>
        </w:rPr>
        <w:t>20</w:t>
      </w:r>
      <w:r>
        <w:rPr>
          <w:rFonts w:hint="eastAsia" w:ascii="仿宋_GB2312" w:eastAsia="仿宋_GB2312"/>
          <w:sz w:val="32"/>
          <w:szCs w:val="32"/>
        </w:rPr>
        <w:t>20年信访形势呈现出赴省进京上访“三下降”的良好局面。</w:t>
      </w:r>
      <w:r>
        <w:rPr>
          <w:rFonts w:hint="eastAsia" w:eastAsia="仿宋_GB2312"/>
          <w:sz w:val="32"/>
          <w:szCs w:val="32"/>
        </w:rPr>
        <w:t>（2）特殊疑难信访问题专项经费。促进历史遗留问题和“法度之外、情理之中”的信访疑难案件的解决，维护社会和谐稳定。</w:t>
      </w:r>
      <w:r>
        <w:rPr>
          <w:rFonts w:hint="eastAsia" w:ascii="仿宋_GB2312" w:eastAsia="仿宋_GB2312"/>
          <w:sz w:val="32"/>
          <w:szCs w:val="32"/>
        </w:rPr>
        <w:t>通过实施该项目，落实</w:t>
      </w:r>
      <w:r>
        <w:rPr>
          <w:rFonts w:hint="eastAsia" w:eastAsia="仿宋_GB2312"/>
          <w:sz w:val="32"/>
          <w:szCs w:val="32"/>
        </w:rPr>
        <w:t>特殊疑难信访问题专项经费</w:t>
      </w:r>
      <w:r>
        <w:rPr>
          <w:rFonts w:hint="eastAsia" w:ascii="仿宋_GB2312" w:eastAsia="仿宋_GB2312"/>
          <w:sz w:val="32"/>
          <w:szCs w:val="32"/>
        </w:rPr>
        <w:t>，更好地维护群众合法权益。</w:t>
      </w:r>
      <w:r>
        <w:rPr>
          <w:rFonts w:hint="eastAsia" w:eastAsia="仿宋_GB2312"/>
          <w:sz w:val="32"/>
          <w:szCs w:val="32"/>
        </w:rPr>
        <w:t>（3）信访复查复核办案专项经费。规范信访事项复查复核工作，构建政策信访秩序，监督行政机关依法处理信访事项。</w:t>
      </w:r>
      <w:r>
        <w:rPr>
          <w:rFonts w:hint="eastAsia" w:ascii="仿宋_GB2312" w:eastAsia="仿宋_GB2312"/>
          <w:sz w:val="32"/>
          <w:szCs w:val="32"/>
        </w:rPr>
        <w:t>通过实施该项目，落实</w:t>
      </w:r>
      <w:r>
        <w:rPr>
          <w:rFonts w:hint="eastAsia" w:eastAsia="仿宋_GB2312"/>
          <w:sz w:val="32"/>
          <w:szCs w:val="32"/>
        </w:rPr>
        <w:t>信访复查复核专项经费</w:t>
      </w:r>
      <w:r>
        <w:rPr>
          <w:rFonts w:hint="eastAsia" w:ascii="仿宋_GB2312" w:eastAsia="仿宋_GB2312"/>
          <w:sz w:val="32"/>
          <w:szCs w:val="32"/>
        </w:rPr>
        <w:t>，更好地维护群众合法权益。</w:t>
      </w:r>
      <w:r>
        <w:rPr>
          <w:rFonts w:hint="eastAsia" w:eastAsia="仿宋_GB2312"/>
          <w:sz w:val="32"/>
          <w:szCs w:val="32"/>
        </w:rPr>
        <w:t>（4）接访专项经费。加强和改进信访工作，更好地维护群众合法权益。</w:t>
      </w:r>
      <w:r>
        <w:rPr>
          <w:rFonts w:hint="eastAsia" w:ascii="仿宋_GB2312" w:eastAsia="仿宋_GB2312"/>
          <w:sz w:val="32"/>
          <w:szCs w:val="32"/>
        </w:rPr>
        <w:t>通过实施该项目，落实</w:t>
      </w:r>
      <w:r>
        <w:rPr>
          <w:rFonts w:hint="eastAsia" w:eastAsia="仿宋_GB2312"/>
          <w:sz w:val="32"/>
          <w:szCs w:val="32"/>
        </w:rPr>
        <w:t>接访专项经费</w:t>
      </w:r>
      <w:r>
        <w:rPr>
          <w:rFonts w:hint="eastAsia" w:ascii="仿宋_GB2312" w:eastAsia="仿宋_GB2312"/>
          <w:sz w:val="32"/>
          <w:szCs w:val="32"/>
        </w:rPr>
        <w:t>，信访形势呈现出到赴省进京上访“三下降”的良好局面。</w:t>
      </w:r>
      <w:r>
        <w:rPr>
          <w:rFonts w:hint="eastAsia" w:eastAsia="仿宋_GB2312"/>
          <w:sz w:val="32"/>
          <w:szCs w:val="32"/>
        </w:rPr>
        <w:t>（5）驻京维稳劝返专项经费。根据湖南省怀化市信访局要求，做好鹤城区户籍人口进京上访人员工作。</w:t>
      </w:r>
      <w:r>
        <w:rPr>
          <w:rFonts w:hint="eastAsia" w:ascii="仿宋_GB2312" w:eastAsia="仿宋_GB2312"/>
          <w:sz w:val="32"/>
          <w:szCs w:val="32"/>
        </w:rPr>
        <w:t>通过实施该项目，落实</w:t>
      </w:r>
      <w:r>
        <w:rPr>
          <w:rFonts w:hint="eastAsia" w:eastAsia="仿宋_GB2312"/>
          <w:sz w:val="32"/>
          <w:szCs w:val="32"/>
        </w:rPr>
        <w:t>驻京维稳劝返专项经费</w:t>
      </w:r>
      <w:r>
        <w:rPr>
          <w:rFonts w:hint="eastAsia" w:ascii="仿宋_GB2312" w:eastAsia="仿宋_GB2312"/>
          <w:sz w:val="32"/>
          <w:szCs w:val="32"/>
        </w:rPr>
        <w:t>，</w:t>
      </w:r>
      <w:r>
        <w:rPr>
          <w:rFonts w:ascii="仿宋_GB2312" w:eastAsia="仿宋_GB2312"/>
          <w:sz w:val="32"/>
          <w:szCs w:val="32"/>
        </w:rPr>
        <w:t>20</w:t>
      </w:r>
      <w:r>
        <w:rPr>
          <w:rFonts w:hint="eastAsia" w:ascii="仿宋_GB2312" w:eastAsia="仿宋_GB2312"/>
          <w:sz w:val="32"/>
          <w:szCs w:val="32"/>
        </w:rPr>
        <w:t>20年信访形势呈现出到赴省进京上访“三下降”的良好局面。</w:t>
      </w:r>
    </w:p>
    <w:p>
      <w:pPr>
        <w:adjustRightInd w:val="0"/>
        <w:snapToGrid w:val="0"/>
        <w:spacing w:line="600" w:lineRule="exact"/>
        <w:ind w:firstLine="640" w:firstLineChars="200"/>
        <w:rPr>
          <w:rFonts w:eastAsia="仿宋_GB2312"/>
          <w:sz w:val="32"/>
          <w:szCs w:val="32"/>
        </w:rPr>
      </w:pPr>
      <w:r>
        <w:rPr>
          <w:rFonts w:eastAsia="仿宋_GB2312"/>
          <w:sz w:val="32"/>
          <w:szCs w:val="32"/>
        </w:rPr>
        <w:t>涉及范围</w:t>
      </w:r>
      <w:r>
        <w:rPr>
          <w:rFonts w:hint="eastAsia" w:eastAsia="仿宋_GB2312"/>
          <w:sz w:val="32"/>
          <w:szCs w:val="32"/>
        </w:rPr>
        <w:t>：</w:t>
      </w:r>
      <w:r>
        <w:rPr>
          <w:rFonts w:hint="eastAsia" w:ascii="仿宋" w:hAnsi="仿宋" w:eastAsia="仿宋" w:cs="仿宋"/>
          <w:sz w:val="32"/>
          <w:szCs w:val="32"/>
        </w:rPr>
        <w:t>全部用于信访接访业务工作用途，涉及范围为鹤城信访群众。</w:t>
      </w:r>
    </w:p>
    <w:p>
      <w:pPr>
        <w:widowControl/>
        <w:spacing w:line="600" w:lineRule="exact"/>
        <w:ind w:firstLine="640" w:firstLineChars="200"/>
        <w:jc w:val="left"/>
        <w:rPr>
          <w:rFonts w:eastAsia="仿宋_GB2312"/>
          <w:sz w:val="32"/>
          <w:szCs w:val="32"/>
        </w:rPr>
      </w:pPr>
      <w:r>
        <w:rPr>
          <w:rFonts w:hint="eastAsia" w:eastAsia="仿宋_GB2312"/>
          <w:sz w:val="32"/>
          <w:szCs w:val="32"/>
        </w:rPr>
        <w:t>没有</w:t>
      </w:r>
      <w:r>
        <w:rPr>
          <w:rFonts w:eastAsia="仿宋_GB2312"/>
          <w:sz w:val="32"/>
          <w:szCs w:val="32"/>
        </w:rPr>
        <w:t>除专项资金以外的其他项目支出。</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仿宋_GB2312"/>
          <w:sz w:val="32"/>
          <w:szCs w:val="32"/>
        </w:rPr>
      </w:pPr>
      <w:r>
        <w:rPr>
          <w:rFonts w:hint="eastAsia" w:eastAsia="仿宋_GB2312"/>
          <w:sz w:val="32"/>
          <w:szCs w:val="32"/>
        </w:rPr>
        <w:t>总</w:t>
      </w:r>
      <w:r>
        <w:rPr>
          <w:rFonts w:eastAsia="仿宋_GB2312"/>
          <w:sz w:val="32"/>
          <w:szCs w:val="32"/>
        </w:rPr>
        <w:t>体目标</w:t>
      </w:r>
      <w:r>
        <w:rPr>
          <w:rFonts w:hint="eastAsia" w:eastAsia="仿宋_GB2312"/>
          <w:sz w:val="32"/>
          <w:szCs w:val="32"/>
        </w:rPr>
        <w:t>：</w:t>
      </w:r>
      <w:r>
        <w:rPr>
          <w:rFonts w:hint="eastAsia" w:ascii="仿宋" w:hAnsi="仿宋" w:eastAsia="仿宋" w:cs="仿宋"/>
          <w:sz w:val="32"/>
          <w:szCs w:val="32"/>
        </w:rPr>
        <w:t>有效解决信访问题，多措并举化解积案，营造领导重视、部门配合、单位层层推进齐抓共管的良好格局。</w:t>
      </w:r>
    </w:p>
    <w:p>
      <w:pPr>
        <w:ind w:firstLine="640" w:firstLineChars="200"/>
        <w:rPr>
          <w:rFonts w:ascii="仿宋" w:hAnsi="仿宋" w:eastAsia="仿宋" w:cs="仿宋"/>
          <w:sz w:val="32"/>
          <w:szCs w:val="32"/>
        </w:rPr>
      </w:pPr>
      <w:r>
        <w:rPr>
          <w:rFonts w:eastAsia="仿宋_GB2312"/>
          <w:sz w:val="32"/>
          <w:szCs w:val="32"/>
        </w:rPr>
        <w:t>年度目标</w:t>
      </w:r>
      <w:r>
        <w:rPr>
          <w:rFonts w:hint="eastAsia" w:eastAsia="仿宋_GB2312"/>
          <w:sz w:val="32"/>
          <w:szCs w:val="32"/>
        </w:rPr>
        <w:t>：</w:t>
      </w:r>
      <w:r>
        <w:rPr>
          <w:rFonts w:hint="eastAsia" w:ascii="仿宋" w:hAnsi="仿宋" w:eastAsia="仿宋" w:cs="仿宋"/>
          <w:sz w:val="32"/>
          <w:szCs w:val="32"/>
        </w:rPr>
        <w:t>认真做好进京、到省、来市上访的接待处理工作，引导群众依法逐级上访；认真抓好复查复核工作，确保申请、受理、办理决定等环节履职到位；推进“互联网+信访”信息系统在职能部门互联互通深度应用，实现群众信访诉求处理“可查询、可跟踪、可督办、可评价”。</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hint="eastAsia" w:ascii="仿宋" w:hAnsi="仿宋" w:eastAsia="仿宋" w:cs="仿宋"/>
          <w:sz w:val="32"/>
          <w:szCs w:val="32"/>
        </w:rPr>
        <w:t>鹤城区信访局2020年度预算资金收入合计203.85万元，主要为一般公共预算财政拨款收入，无自筹资金。按照支出性质和经济分类，投入在人员经费118.15万元、公用经费8.5万元、项目支出77.2万元。</w:t>
      </w:r>
    </w:p>
    <w:p>
      <w:pPr>
        <w:adjustRightInd w:val="0"/>
        <w:snapToGrid w:val="0"/>
        <w:spacing w:line="600" w:lineRule="exact"/>
        <w:ind w:firstLine="640" w:firstLineChars="200"/>
        <w:rPr>
          <w:rFonts w:ascii="仿宋" w:hAnsi="仿宋" w:eastAsia="仿宋" w:cs="仿宋"/>
          <w:sz w:val="32"/>
          <w:szCs w:val="32"/>
        </w:rPr>
      </w:pPr>
      <w:r>
        <w:rPr>
          <w:rFonts w:eastAsia="仿宋_GB2312"/>
          <w:sz w:val="32"/>
          <w:szCs w:val="32"/>
        </w:rPr>
        <w:t>（二）预算资金实际使用情况。</w:t>
      </w:r>
      <w:r>
        <w:rPr>
          <w:rFonts w:hint="eastAsia" w:ascii="仿宋" w:hAnsi="仿宋" w:eastAsia="仿宋" w:cs="仿宋"/>
          <w:sz w:val="32"/>
          <w:szCs w:val="32"/>
        </w:rPr>
        <w:t>鹤城区信访局2020年度预算资金实际使用260.63万元，投入在人员经费183.25万元、公用经费9.53万元、项目支出67.85万元。</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ind w:firstLine="640"/>
        <w:jc w:val="left"/>
        <w:rPr>
          <w:rFonts w:ascii="仿宋" w:hAnsi="仿宋" w:eastAsia="仿宋" w:cs="仿宋"/>
          <w:sz w:val="32"/>
          <w:szCs w:val="32"/>
        </w:rPr>
      </w:pPr>
      <w:r>
        <w:rPr>
          <w:rFonts w:hint="eastAsia" w:ascii="仿宋" w:hAnsi="仿宋" w:eastAsia="仿宋" w:cs="仿宋"/>
          <w:sz w:val="32"/>
          <w:szCs w:val="32"/>
        </w:rPr>
        <w:t>管理制度：我局严格按照财政、财务会计制度要求，配置专职财务人员，同时制定了单位的财务管理制度，严格遵守执行，确保专项资金使用；账务处理及时、会计核算规范。我局年初做好专项资金使用计划，切实提高专项资金使用的效益性。</w:t>
      </w:r>
    </w:p>
    <w:p>
      <w:pPr>
        <w:ind w:firstLine="640"/>
        <w:jc w:val="left"/>
        <w:rPr>
          <w:rFonts w:ascii="仿宋" w:hAnsi="仿宋" w:eastAsia="仿宋" w:cs="仿宋"/>
          <w:sz w:val="32"/>
          <w:szCs w:val="32"/>
        </w:rPr>
      </w:pPr>
      <w:r>
        <w:rPr>
          <w:rFonts w:eastAsia="仿宋_GB2312"/>
          <w:sz w:val="32"/>
          <w:szCs w:val="32"/>
        </w:rPr>
        <w:t>制订办法</w:t>
      </w:r>
      <w:r>
        <w:rPr>
          <w:rFonts w:hint="eastAsia" w:eastAsia="仿宋_GB2312"/>
          <w:sz w:val="32"/>
          <w:szCs w:val="32"/>
        </w:rPr>
        <w:t>：</w:t>
      </w:r>
      <w:r>
        <w:rPr>
          <w:rFonts w:hint="eastAsia" w:ascii="仿宋" w:hAnsi="仿宋" w:eastAsia="仿宋" w:cs="仿宋"/>
          <w:sz w:val="32"/>
          <w:szCs w:val="32"/>
        </w:rPr>
        <w:t>我局年初做好专项资金使用计划，切实提高专项资金使用的效益性。信访局根据各个项目的特点，严格按照专项资金管理办法及相关制度，对各项支出进行核算和管理。一是根据《信访工作专项资金管理办法》、《信访救助资金使用管理办法》等相关办法和制度，明确了专项资金使用原则、审批及拨付程序、资金开支范围、资金管理与监督程序等内容。在日常工作中严格按照规定内容开展信访及维稳专项、群众工作及考核专项、信访救助专项等项目，保障了项目资金用到实处，稳定了信访群众的情绪，维护了社会和谐发展;二是为更好的对项目资金进行管理，我局成立了绩效目标监督小组，由纪检组长牵头，对单位财政资金的执行情况进行监督，确保资金支出合理合法合规，保证做到每笔资金用在刀刃上。</w:t>
      </w:r>
    </w:p>
    <w:p>
      <w:pPr>
        <w:ind w:firstLine="640"/>
        <w:jc w:val="left"/>
        <w:rPr>
          <w:rFonts w:ascii="仿宋" w:hAnsi="仿宋" w:eastAsia="仿宋" w:cs="仿宋"/>
          <w:sz w:val="32"/>
          <w:szCs w:val="32"/>
        </w:rPr>
      </w:pPr>
      <w:r>
        <w:rPr>
          <w:rFonts w:eastAsia="仿宋_GB2312"/>
          <w:sz w:val="32"/>
          <w:szCs w:val="32"/>
        </w:rPr>
        <w:t>执行情况</w:t>
      </w:r>
      <w:r>
        <w:rPr>
          <w:rFonts w:hint="eastAsia" w:eastAsia="仿宋_GB2312"/>
          <w:sz w:val="32"/>
          <w:szCs w:val="32"/>
        </w:rPr>
        <w:t>：</w:t>
      </w:r>
      <w:r>
        <w:rPr>
          <w:rFonts w:hint="eastAsia" w:ascii="仿宋" w:hAnsi="仿宋" w:eastAsia="仿宋" w:cs="仿宋"/>
          <w:sz w:val="32"/>
          <w:szCs w:val="32"/>
        </w:rPr>
        <w:t>接访专项经费、复查复核办公室办案专项经费、特殊疑难问题专项经费、驻京维稳劝返专项经费、信访救助专项资金，已按上级要求完成大半，还有</w:t>
      </w:r>
      <w:r>
        <w:rPr>
          <w:rFonts w:ascii="仿宋" w:hAnsi="仿宋" w:eastAsia="仿宋" w:cs="仿宋"/>
          <w:sz w:val="32"/>
          <w:szCs w:val="32"/>
        </w:rPr>
        <w:t>9.35</w:t>
      </w:r>
      <w:r>
        <w:rPr>
          <w:rFonts w:hint="eastAsia" w:ascii="仿宋" w:hAnsi="仿宋" w:eastAsia="仿宋" w:cs="仿宋"/>
          <w:sz w:val="32"/>
          <w:szCs w:val="32"/>
        </w:rPr>
        <w:t>万元未完成使用。</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根据区委区政府相关文件、会议纪要以及《信访和群众工作专项资金管理办法》、《怀化市信访局调拨资金审批流程》、《怀化市信访救助资金使用管理办法》及区财政《关于2020年部门预算的批复》相关文件执行，设立专项资金的政策依据充分、项目申报规范。</w:t>
      </w:r>
    </w:p>
    <w:p>
      <w:pPr>
        <w:ind w:firstLine="640" w:firstLineChars="200"/>
        <w:jc w:val="left"/>
        <w:rPr>
          <w:rFonts w:ascii="仿宋" w:hAnsi="仿宋" w:eastAsia="仿宋" w:cs="仿宋"/>
          <w:sz w:val="32"/>
          <w:szCs w:val="32"/>
        </w:rPr>
      </w:pPr>
      <w:r>
        <w:rPr>
          <w:rFonts w:eastAsia="仿宋_GB2312"/>
          <w:sz w:val="32"/>
          <w:szCs w:val="32"/>
        </w:rPr>
        <w:t>（二）项目组织实施情况</w:t>
      </w:r>
      <w:r>
        <w:rPr>
          <w:rFonts w:hint="eastAsia" w:eastAsia="仿宋_GB2312"/>
          <w:sz w:val="32"/>
          <w:szCs w:val="32"/>
        </w:rPr>
        <w:t>。</w:t>
      </w:r>
      <w:r>
        <w:rPr>
          <w:rFonts w:hint="eastAsia" w:ascii="仿宋" w:hAnsi="仿宋" w:eastAsia="仿宋" w:cs="仿宋"/>
          <w:sz w:val="32"/>
          <w:szCs w:val="32"/>
        </w:rPr>
        <w:t>2020年度专项资金支出预算77.2万元，实际支出67.85万元。</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r>
        <w:rPr>
          <w:rFonts w:hint="eastAsia" w:ascii="仿宋_GB2312" w:eastAsia="仿宋_GB2312"/>
          <w:sz w:val="32"/>
          <w:szCs w:val="32"/>
        </w:rPr>
        <w:t>本部门严格执行财务相关法律法规及项目管理制度，保证决策正确、完整。</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r>
        <w:rPr>
          <w:rFonts w:hint="eastAsia" w:eastAsia="仿宋_GB2312"/>
          <w:sz w:val="32"/>
          <w:szCs w:val="32"/>
        </w:rPr>
        <w:t>该项目</w:t>
      </w:r>
      <w:r>
        <w:rPr>
          <w:rFonts w:eastAsia="仿宋_GB2312"/>
          <w:sz w:val="32"/>
          <w:szCs w:val="32"/>
        </w:rPr>
        <w:t>预算支出</w:t>
      </w:r>
      <w:r>
        <w:rPr>
          <w:rFonts w:hint="eastAsia" w:eastAsia="仿宋_GB2312"/>
          <w:sz w:val="32"/>
          <w:szCs w:val="32"/>
        </w:rPr>
        <w:t>程序规范，到位足额及时。项目执行过程中严格执行《鹤城区行政事业单位财务报销审批手续的若干规定》等财务管理制度，经费纳入鹤城区财政集中核算中心审核，做到真实、完整、及时，支出审批程序严谨。</w:t>
      </w:r>
    </w:p>
    <w:p>
      <w:pPr>
        <w:spacing w:line="560" w:lineRule="exact"/>
        <w:ind w:firstLine="641"/>
        <w:jc w:val="left"/>
        <w:rPr>
          <w:rFonts w:ascii="仿宋" w:hAnsi="仿宋" w:eastAsia="仿宋" w:cs="仿宋"/>
          <w:sz w:val="32"/>
          <w:szCs w:val="32"/>
        </w:rPr>
      </w:pPr>
      <w:r>
        <w:rPr>
          <w:rFonts w:eastAsia="仿宋_GB2312"/>
          <w:sz w:val="32"/>
          <w:szCs w:val="32"/>
        </w:rPr>
        <w:t>（三）预算支出产出情况。</w:t>
      </w:r>
      <w:r>
        <w:rPr>
          <w:rFonts w:hint="eastAsia" w:ascii="仿宋" w:hAnsi="仿宋" w:eastAsia="仿宋" w:cs="仿宋"/>
          <w:sz w:val="32"/>
          <w:szCs w:val="32"/>
        </w:rPr>
        <w:t>接访专项经费、复查复核办公室办案专项经费、特殊疑难问题专项经费、驻京维稳劝返专项经费、信访救助专项资金，已按上级要求完成大半，还有9.35万元未完成使用。</w:t>
      </w:r>
    </w:p>
    <w:p>
      <w:pPr>
        <w:adjustRightInd w:val="0"/>
        <w:snapToGrid w:val="0"/>
        <w:spacing w:line="560" w:lineRule="exact"/>
        <w:ind w:firstLine="641"/>
        <w:rPr>
          <w:rFonts w:eastAsia="仿宋_GB2312"/>
          <w:sz w:val="32"/>
          <w:szCs w:val="32"/>
        </w:rPr>
      </w:pPr>
      <w:r>
        <w:rPr>
          <w:rFonts w:eastAsia="仿宋_GB2312"/>
          <w:sz w:val="32"/>
          <w:szCs w:val="32"/>
        </w:rPr>
        <w:t>（四）预算支出效益情况。</w:t>
      </w:r>
      <w:r>
        <w:rPr>
          <w:rFonts w:hint="eastAsia" w:ascii="仿宋" w:hAnsi="仿宋" w:eastAsia="仿宋" w:cs="仿宋"/>
          <w:sz w:val="32"/>
          <w:szCs w:val="32"/>
        </w:rPr>
        <w:t>拓宽信访渠道，树立政府形象；规范了信访秩序，维护社会稳定；推动了信访积案的化解，千案攻坚成效显著。</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ind w:firstLine="640"/>
        <w:jc w:val="left"/>
        <w:rPr>
          <w:rFonts w:ascii="仿宋" w:hAnsi="仿宋" w:eastAsia="仿宋" w:cs="仿宋"/>
          <w:sz w:val="32"/>
          <w:szCs w:val="32"/>
        </w:rPr>
      </w:pPr>
      <w:r>
        <w:rPr>
          <w:rFonts w:eastAsia="黑体"/>
          <w:sz w:val="32"/>
          <w:szCs w:val="32"/>
        </w:rPr>
        <w:t>主要经验做法</w:t>
      </w:r>
      <w:r>
        <w:rPr>
          <w:rFonts w:hint="eastAsia" w:eastAsia="黑体"/>
          <w:sz w:val="32"/>
          <w:szCs w:val="32"/>
        </w:rPr>
        <w:t>：</w:t>
      </w:r>
      <w:r>
        <w:rPr>
          <w:rFonts w:hint="eastAsia" w:ascii="仿宋" w:hAnsi="仿宋" w:eastAsia="仿宋" w:cs="仿宋"/>
          <w:sz w:val="32"/>
          <w:szCs w:val="32"/>
        </w:rPr>
        <w:t>项目决策得当、项目管理严谨、项目完成效果好，为解决信访问题和群众困难、化解社会矛盾、畅通信访渠道、规范信访秩序及融洽干群关系，深入推进社会矛盾化解，探索了社会管理的新模式，年度内没有出现重大恶性事件和群体性事件。</w:t>
      </w:r>
    </w:p>
    <w:p>
      <w:pPr>
        <w:ind w:firstLine="640"/>
        <w:jc w:val="left"/>
        <w:rPr>
          <w:rFonts w:ascii="仿宋" w:hAnsi="仿宋" w:eastAsia="仿宋" w:cs="仿宋"/>
          <w:sz w:val="32"/>
          <w:szCs w:val="32"/>
        </w:rPr>
      </w:pPr>
      <w:r>
        <w:rPr>
          <w:rFonts w:eastAsia="黑体"/>
          <w:sz w:val="32"/>
          <w:szCs w:val="32"/>
        </w:rPr>
        <w:t>存在的问题及原因分析</w:t>
      </w:r>
      <w:r>
        <w:rPr>
          <w:rFonts w:hint="eastAsia" w:eastAsia="黑体"/>
          <w:sz w:val="32"/>
          <w:szCs w:val="32"/>
        </w:rPr>
        <w:t>：</w:t>
      </w:r>
      <w:r>
        <w:rPr>
          <w:rFonts w:hint="eastAsia" w:ascii="仿宋" w:hAnsi="仿宋" w:eastAsia="仿宋" w:cs="仿宋"/>
          <w:sz w:val="32"/>
          <w:szCs w:val="32"/>
        </w:rPr>
        <w:t>年初项目绩效目标的定量标准欠科学。评价小组在查阅项目单位绩效目标申报表和相关资料时，认定市信访局绩效目标的设置进行了细化、量化、定量及定性分析，但绩效目标的定量目标与去年相较持平，完成情况明显比目标值高出较多，绩效目标的定量目标值的设定有待提高，亟待科学合理的制定。</w:t>
      </w:r>
    </w:p>
    <w:p>
      <w:pPr>
        <w:adjustRightInd w:val="0"/>
        <w:snapToGrid w:val="0"/>
        <w:spacing w:line="440" w:lineRule="exact"/>
        <w:ind w:firstLine="640" w:firstLineChars="200"/>
        <w:rPr>
          <w:rFonts w:eastAsia="黑体"/>
          <w:sz w:val="32"/>
          <w:szCs w:val="32"/>
        </w:rPr>
      </w:pPr>
      <w:r>
        <w:rPr>
          <w:rFonts w:eastAsia="黑体"/>
          <w:sz w:val="32"/>
          <w:szCs w:val="32"/>
        </w:rPr>
        <w:t>六、有关建议</w:t>
      </w:r>
    </w:p>
    <w:p>
      <w:pPr>
        <w:adjustRightInd w:val="0"/>
        <w:snapToGrid w:val="0"/>
        <w:spacing w:line="440" w:lineRule="exact"/>
        <w:ind w:firstLine="640" w:firstLineChars="200"/>
        <w:rPr>
          <w:rFonts w:ascii="仿宋_GB2312" w:eastAsia="仿宋_GB2312"/>
          <w:sz w:val="32"/>
          <w:szCs w:val="32"/>
        </w:rPr>
      </w:pPr>
      <w:r>
        <w:rPr>
          <w:rFonts w:hint="eastAsia" w:ascii="仿宋_GB2312" w:eastAsia="仿宋_GB2312"/>
          <w:sz w:val="32"/>
          <w:szCs w:val="32"/>
        </w:rPr>
        <w:t>无</w:t>
      </w:r>
    </w:p>
    <w:p>
      <w:pPr>
        <w:adjustRightInd w:val="0"/>
        <w:snapToGrid w:val="0"/>
        <w:spacing w:line="44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440" w:lineRule="exact"/>
        <w:ind w:firstLine="640" w:firstLineChars="200"/>
        <w:rPr>
          <w:rFonts w:ascii="仿宋_GB2312" w:eastAsia="仿宋_GB2312"/>
          <w:sz w:val="32"/>
          <w:szCs w:val="32"/>
        </w:rPr>
      </w:pPr>
      <w:r>
        <w:rPr>
          <w:rFonts w:hint="eastAsia" w:ascii="仿宋_GB2312" w:eastAsia="仿宋_GB2312"/>
          <w:sz w:val="32"/>
          <w:szCs w:val="32"/>
        </w:rPr>
        <w:t>无</w:t>
      </w:r>
    </w:p>
    <w:p>
      <w:pPr>
        <w:adjustRightInd w:val="0"/>
        <w:snapToGrid w:val="0"/>
        <w:spacing w:line="600" w:lineRule="exact"/>
        <w:ind w:firstLine="640" w:firstLineChars="200"/>
        <w:rPr>
          <w:rFonts w:eastAsia="仿宋_GB2312"/>
          <w:sz w:val="32"/>
          <w:szCs w:val="32"/>
        </w:rPr>
      </w:pPr>
      <w:r>
        <w:rPr>
          <w:rFonts w:eastAsia="仿宋_GB2312"/>
          <w:sz w:val="32"/>
          <w:szCs w:val="32"/>
        </w:rPr>
        <w:t>附件：绩效评价基础数据表</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rPr>
          <w:rFonts w:eastAsia="仿宋_GB2312"/>
          <w:sz w:val="32"/>
          <w:szCs w:val="32"/>
        </w:rPr>
      </w:pPr>
    </w:p>
    <w:p>
      <w:pPr>
        <w:widowControl/>
        <w:spacing w:line="240" w:lineRule="atLeast"/>
        <w:jc w:val="left"/>
        <w:rPr>
          <w:rFonts w:eastAsia="仿宋_GB2312"/>
          <w:sz w:val="32"/>
          <w:szCs w:val="32"/>
        </w:rPr>
      </w:pPr>
    </w:p>
    <w:p>
      <w:pPr>
        <w:widowControl/>
        <w:spacing w:line="240" w:lineRule="atLeast"/>
        <w:jc w:val="left"/>
        <w:rPr>
          <w:rFonts w:eastAsia="仿宋_GB2312"/>
          <w:sz w:val="32"/>
          <w:szCs w:val="32"/>
        </w:rPr>
      </w:pPr>
    </w:p>
    <w:p>
      <w:pPr>
        <w:widowControl/>
        <w:spacing w:line="240" w:lineRule="atLeast"/>
        <w:jc w:val="left"/>
        <w:rPr>
          <w:rFonts w:eastAsia="仿宋_GB2312"/>
          <w:sz w:val="32"/>
          <w:szCs w:val="32"/>
        </w:rPr>
      </w:pPr>
    </w:p>
    <w:p>
      <w:pPr>
        <w:widowControl/>
        <w:spacing w:line="240" w:lineRule="atLeast"/>
        <w:jc w:val="left"/>
        <w:rPr>
          <w:rFonts w:eastAsia="黑体"/>
          <w:sz w:val="32"/>
          <w:szCs w:val="32"/>
        </w:rPr>
      </w:pPr>
      <w:r>
        <w:rPr>
          <w:rFonts w:eastAsia="黑体"/>
          <w:sz w:val="32"/>
          <w:szCs w:val="32"/>
        </w:rPr>
        <w:t>附件</w:t>
      </w:r>
      <w:r>
        <w:rPr>
          <w:rFonts w:hint="eastAsia" w:eastAsia="黑体"/>
          <w:sz w:val="32"/>
          <w:szCs w:val="32"/>
        </w:rPr>
        <w:t>4-2</w:t>
      </w:r>
    </w:p>
    <w:tbl>
      <w:tblPr>
        <w:tblStyle w:val="4"/>
        <w:tblW w:w="10000" w:type="dxa"/>
        <w:jc w:val="center"/>
        <w:tblLayout w:type="autofit"/>
        <w:tblCellMar>
          <w:top w:w="0" w:type="dxa"/>
          <w:left w:w="108" w:type="dxa"/>
          <w:bottom w:w="0" w:type="dxa"/>
          <w:right w:w="108" w:type="dxa"/>
        </w:tblCellMar>
      </w:tblPr>
      <w:tblGrid>
        <w:gridCol w:w="1135"/>
        <w:gridCol w:w="992"/>
        <w:gridCol w:w="1251"/>
        <w:gridCol w:w="1438"/>
        <w:gridCol w:w="1124"/>
        <w:gridCol w:w="930"/>
        <w:gridCol w:w="781"/>
        <w:gridCol w:w="980"/>
        <w:gridCol w:w="1369"/>
      </w:tblGrid>
      <w:tr>
        <w:tblPrEx>
          <w:tblCellMar>
            <w:top w:w="0" w:type="dxa"/>
            <w:left w:w="108" w:type="dxa"/>
            <w:bottom w:w="0" w:type="dxa"/>
            <w:right w:w="108" w:type="dxa"/>
          </w:tblCellMar>
        </w:tblPrEx>
        <w:trPr>
          <w:trHeight w:val="690" w:hRule="atLeast"/>
          <w:jc w:val="center"/>
        </w:trPr>
        <w:tc>
          <w:tcPr>
            <w:tcW w:w="10000" w:type="dxa"/>
            <w:gridSpan w:val="9"/>
            <w:tcBorders>
              <w:top w:val="nil"/>
              <w:left w:val="nil"/>
              <w:bottom w:val="nil"/>
              <w:right w:val="nil"/>
            </w:tcBorders>
            <w:shd w:val="clear" w:color="auto" w:fill="auto"/>
            <w:noWrap/>
            <w:vAlign w:val="center"/>
          </w:tcPr>
          <w:p>
            <w:pPr>
              <w:widowControl/>
              <w:spacing w:line="240" w:lineRule="atLeas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10000" w:type="dxa"/>
            <w:gridSpan w:val="9"/>
            <w:tcBorders>
              <w:top w:val="nil"/>
              <w:left w:val="nil"/>
              <w:bottom w:val="single" w:color="auto" w:sz="4" w:space="0"/>
              <w:right w:val="nil"/>
            </w:tcBorders>
            <w:shd w:val="clear" w:color="auto" w:fill="auto"/>
            <w:noWrap/>
            <w:vAlign w:val="center"/>
          </w:tcPr>
          <w:p>
            <w:pPr>
              <w:widowControl/>
              <w:spacing w:line="24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p>
            <w:pPr>
              <w:widowControl/>
              <w:spacing w:line="240" w:lineRule="exact"/>
              <w:jc w:val="center"/>
              <w:rPr>
                <w:color w:val="000000"/>
                <w:kern w:val="0"/>
                <w:sz w:val="22"/>
              </w:rPr>
            </w:pP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项目支</w:t>
            </w:r>
          </w:p>
          <w:p>
            <w:pPr>
              <w:widowControl/>
              <w:spacing w:line="240" w:lineRule="exact"/>
              <w:jc w:val="center"/>
              <w:rPr>
                <w:rFonts w:eastAsia="仿宋_GB2312"/>
                <w:color w:val="000000"/>
                <w:kern w:val="0"/>
                <w:szCs w:val="21"/>
              </w:rPr>
            </w:pPr>
            <w:r>
              <w:rPr>
                <w:rFonts w:eastAsia="仿宋_GB2312"/>
                <w:color w:val="000000"/>
                <w:kern w:val="0"/>
                <w:szCs w:val="21"/>
              </w:rPr>
              <w:t>出名称</w:t>
            </w:r>
          </w:p>
        </w:tc>
        <w:tc>
          <w:tcPr>
            <w:tcW w:w="8865"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驻京维稳劝返专项经费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主管部门</w:t>
            </w:r>
          </w:p>
        </w:tc>
        <w:tc>
          <w:tcPr>
            <w:tcW w:w="480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区信访局</w:t>
            </w:r>
          </w:p>
        </w:tc>
        <w:tc>
          <w:tcPr>
            <w:tcW w:w="930" w:type="dxa"/>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实施单位</w:t>
            </w:r>
          </w:p>
        </w:tc>
        <w:tc>
          <w:tcPr>
            <w:tcW w:w="3130"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区信访局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4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143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年初预算数</w:t>
            </w:r>
          </w:p>
        </w:tc>
        <w:tc>
          <w:tcPr>
            <w:tcW w:w="112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全年预算数</w:t>
            </w:r>
          </w:p>
        </w:tc>
        <w:tc>
          <w:tcPr>
            <w:tcW w:w="930"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全年执行数</w:t>
            </w:r>
          </w:p>
        </w:tc>
        <w:tc>
          <w:tcPr>
            <w:tcW w:w="781"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分值</w:t>
            </w:r>
          </w:p>
        </w:tc>
        <w:tc>
          <w:tcPr>
            <w:tcW w:w="980"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执行率</w:t>
            </w:r>
          </w:p>
        </w:tc>
        <w:tc>
          <w:tcPr>
            <w:tcW w:w="1369"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4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年度资金总额　</w:t>
            </w:r>
          </w:p>
        </w:tc>
        <w:tc>
          <w:tcPr>
            <w:tcW w:w="143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112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10</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4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其中：当年财政拨款　</w:t>
            </w:r>
          </w:p>
        </w:tc>
        <w:tc>
          <w:tcPr>
            <w:tcW w:w="143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112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43" w:type="dxa"/>
            <w:gridSpan w:val="2"/>
            <w:tcBorders>
              <w:top w:val="nil"/>
              <w:left w:val="nil"/>
              <w:bottom w:val="single" w:color="auto" w:sz="4" w:space="0"/>
              <w:right w:val="single" w:color="auto" w:sz="4" w:space="0"/>
            </w:tcBorders>
            <w:shd w:val="clear" w:color="auto" w:fill="auto"/>
            <w:vAlign w:val="center"/>
          </w:tcPr>
          <w:p>
            <w:pPr>
              <w:widowControl/>
              <w:spacing w:line="24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3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112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43" w:type="dxa"/>
            <w:gridSpan w:val="2"/>
            <w:tcBorders>
              <w:top w:val="nil"/>
              <w:left w:val="nil"/>
              <w:bottom w:val="single" w:color="auto" w:sz="4" w:space="0"/>
              <w:right w:val="single" w:color="auto" w:sz="4" w:space="0"/>
            </w:tcBorders>
            <w:shd w:val="clear" w:color="auto" w:fill="auto"/>
            <w:vAlign w:val="center"/>
          </w:tcPr>
          <w:p>
            <w:pPr>
              <w:widowControl/>
              <w:spacing w:line="24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3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112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年度总</w:t>
            </w:r>
          </w:p>
          <w:p>
            <w:pPr>
              <w:widowControl/>
              <w:spacing w:line="240" w:lineRule="exact"/>
              <w:jc w:val="center"/>
              <w:rPr>
                <w:rFonts w:eastAsia="仿宋_GB2312"/>
                <w:color w:val="000000"/>
                <w:kern w:val="0"/>
                <w:szCs w:val="21"/>
              </w:rPr>
            </w:pPr>
            <w:r>
              <w:rPr>
                <w:rFonts w:eastAsia="仿宋_GB2312"/>
                <w:color w:val="000000"/>
                <w:kern w:val="0"/>
                <w:szCs w:val="21"/>
              </w:rPr>
              <w:t>体目标</w:t>
            </w:r>
          </w:p>
        </w:tc>
        <w:tc>
          <w:tcPr>
            <w:tcW w:w="4805"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预期目标</w:t>
            </w:r>
          </w:p>
        </w:tc>
        <w:tc>
          <w:tcPr>
            <w:tcW w:w="406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eastAsia="仿宋_GB2312"/>
                <w:color w:val="000000"/>
                <w:kern w:val="0"/>
                <w:szCs w:val="21"/>
              </w:rPr>
            </w:pPr>
          </w:p>
        </w:tc>
        <w:tc>
          <w:tcPr>
            <w:tcW w:w="4805"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hint="eastAsia" w:ascii="宋体" w:hAnsi="宋体" w:cs="宋体"/>
                <w:color w:val="000000"/>
                <w:kern w:val="0"/>
                <w:sz w:val="18"/>
                <w:szCs w:val="18"/>
              </w:rPr>
              <w:t>做好鹤城区户籍人口进京上访人员工作</w:t>
            </w:r>
          </w:p>
        </w:tc>
        <w:tc>
          <w:tcPr>
            <w:tcW w:w="406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基本完成预定目标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绩</w:t>
            </w:r>
          </w:p>
          <w:p>
            <w:pPr>
              <w:widowControl/>
              <w:spacing w:line="240" w:lineRule="exact"/>
              <w:jc w:val="center"/>
              <w:rPr>
                <w:rFonts w:eastAsia="仿宋_GB2312"/>
                <w:color w:val="000000"/>
                <w:kern w:val="0"/>
                <w:szCs w:val="21"/>
              </w:rPr>
            </w:pPr>
            <w:r>
              <w:rPr>
                <w:rFonts w:eastAsia="仿宋_GB2312"/>
                <w:color w:val="000000"/>
                <w:kern w:val="0"/>
                <w:szCs w:val="21"/>
              </w:rPr>
              <w:t>效</w:t>
            </w:r>
          </w:p>
          <w:p>
            <w:pPr>
              <w:widowControl/>
              <w:spacing w:line="240" w:lineRule="exact"/>
              <w:jc w:val="center"/>
              <w:rPr>
                <w:rFonts w:eastAsia="仿宋_GB2312"/>
                <w:color w:val="000000"/>
                <w:kern w:val="0"/>
                <w:szCs w:val="21"/>
              </w:rPr>
            </w:pPr>
            <w:r>
              <w:rPr>
                <w:rFonts w:eastAsia="仿宋_GB2312"/>
                <w:color w:val="000000"/>
                <w:kern w:val="0"/>
                <w:szCs w:val="21"/>
              </w:rPr>
              <w:t>指</w:t>
            </w:r>
          </w:p>
          <w:p>
            <w:pPr>
              <w:widowControl/>
              <w:spacing w:line="24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一级</w:t>
            </w:r>
          </w:p>
          <w:p>
            <w:pPr>
              <w:widowControl/>
              <w:spacing w:line="240" w:lineRule="exact"/>
              <w:jc w:val="center"/>
              <w:rPr>
                <w:rFonts w:eastAsia="仿宋_GB2312"/>
                <w:color w:val="000000"/>
                <w:kern w:val="0"/>
                <w:szCs w:val="21"/>
              </w:rPr>
            </w:pPr>
            <w:r>
              <w:rPr>
                <w:rFonts w:eastAsia="仿宋_GB2312"/>
                <w:color w:val="000000"/>
                <w:kern w:val="0"/>
                <w:szCs w:val="21"/>
              </w:rPr>
              <w:t>指标</w:t>
            </w: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二级指标</w:t>
            </w:r>
          </w:p>
        </w:tc>
        <w:tc>
          <w:tcPr>
            <w:tcW w:w="143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三级指标</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年度</w:t>
            </w:r>
          </w:p>
          <w:p>
            <w:pPr>
              <w:widowControl/>
              <w:spacing w:line="240" w:lineRule="exact"/>
              <w:jc w:val="center"/>
              <w:rPr>
                <w:rFonts w:eastAsia="仿宋_GB2312"/>
                <w:color w:val="000000"/>
                <w:kern w:val="0"/>
                <w:szCs w:val="21"/>
              </w:rPr>
            </w:pPr>
            <w:r>
              <w:rPr>
                <w:rFonts w:eastAsia="仿宋_GB2312"/>
                <w:color w:val="000000"/>
                <w:kern w:val="0"/>
                <w:szCs w:val="21"/>
              </w:rPr>
              <w:t>指标值</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实际</w:t>
            </w:r>
          </w:p>
          <w:p>
            <w:pPr>
              <w:widowControl/>
              <w:spacing w:line="240" w:lineRule="exact"/>
              <w:jc w:val="center"/>
              <w:rPr>
                <w:rFonts w:eastAsia="仿宋_GB2312"/>
                <w:color w:val="000000"/>
                <w:kern w:val="0"/>
                <w:szCs w:val="21"/>
              </w:rPr>
            </w:pPr>
            <w:r>
              <w:rPr>
                <w:rFonts w:eastAsia="仿宋_GB2312"/>
                <w:color w:val="000000"/>
                <w:kern w:val="0"/>
                <w:szCs w:val="21"/>
              </w:rPr>
              <w:t>完成值</w:t>
            </w:r>
          </w:p>
        </w:tc>
        <w:tc>
          <w:tcPr>
            <w:tcW w:w="7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分值</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得分</w:t>
            </w:r>
          </w:p>
        </w:tc>
        <w:tc>
          <w:tcPr>
            <w:tcW w:w="13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偏差原因</w:t>
            </w:r>
          </w:p>
          <w:p>
            <w:pPr>
              <w:widowControl/>
              <w:spacing w:line="240" w:lineRule="exact"/>
              <w:jc w:val="center"/>
              <w:rPr>
                <w:rFonts w:eastAsia="仿宋_GB2312"/>
                <w:color w:val="000000"/>
                <w:kern w:val="0"/>
                <w:szCs w:val="21"/>
              </w:rPr>
            </w:pPr>
            <w:r>
              <w:rPr>
                <w:rFonts w:eastAsia="仿宋_GB2312"/>
                <w:color w:val="000000"/>
                <w:kern w:val="0"/>
                <w:szCs w:val="21"/>
              </w:rPr>
              <w:t>分析及</w:t>
            </w:r>
          </w:p>
          <w:p>
            <w:pPr>
              <w:widowControl/>
              <w:spacing w:line="24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产出</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center"/>
              <w:rPr>
                <w:rFonts w:eastAsia="仿宋_GB2312"/>
                <w:color w:val="000000"/>
                <w:kern w:val="0"/>
                <w:szCs w:val="21"/>
              </w:rPr>
            </w:pPr>
            <w:r>
              <w:rPr>
                <w:rFonts w:eastAsia="仿宋_GB2312"/>
                <w:color w:val="000000"/>
                <w:kern w:val="0"/>
                <w:szCs w:val="21"/>
              </w:rPr>
              <w:t>(50分)</w:t>
            </w: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数量指标</w:t>
            </w:r>
          </w:p>
        </w:tc>
        <w:tc>
          <w:tcPr>
            <w:tcW w:w="143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7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13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质量指标</w:t>
            </w:r>
          </w:p>
        </w:tc>
        <w:tc>
          <w:tcPr>
            <w:tcW w:w="143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居民群众幸福生活</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7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13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时效指标</w:t>
            </w:r>
          </w:p>
        </w:tc>
        <w:tc>
          <w:tcPr>
            <w:tcW w:w="143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一年</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7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13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成本指标</w:t>
            </w:r>
          </w:p>
        </w:tc>
        <w:tc>
          <w:tcPr>
            <w:tcW w:w="143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7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3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效益</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left"/>
              <w:rPr>
                <w:rFonts w:eastAsia="仿宋_GB2312"/>
                <w:color w:val="000000"/>
                <w:kern w:val="0"/>
                <w:szCs w:val="21"/>
              </w:rPr>
            </w:pPr>
          </w:p>
          <w:p>
            <w:pPr>
              <w:widowControl/>
              <w:spacing w:line="240" w:lineRule="exact"/>
              <w:jc w:val="left"/>
              <w:rPr>
                <w:rFonts w:eastAsia="仿宋_GB2312"/>
                <w:color w:val="000000"/>
                <w:kern w:val="0"/>
                <w:szCs w:val="21"/>
              </w:rPr>
            </w:pPr>
            <w:r>
              <w:rPr>
                <w:rFonts w:eastAsia="仿宋_GB2312"/>
                <w:color w:val="000000"/>
                <w:kern w:val="0"/>
                <w:szCs w:val="21"/>
              </w:rPr>
              <w:t>（30分）</w:t>
            </w:r>
          </w:p>
          <w:p>
            <w:pPr>
              <w:spacing w:line="240" w:lineRule="exact"/>
              <w:jc w:val="left"/>
              <w:rPr>
                <w:rFonts w:eastAsia="仿宋_GB2312"/>
                <w:color w:val="000000"/>
                <w:kern w:val="0"/>
                <w:szCs w:val="21"/>
              </w:rPr>
            </w:pPr>
            <w:r>
              <w:rPr>
                <w:rFonts w:eastAsia="仿宋_GB2312"/>
                <w:color w:val="000000"/>
                <w:kern w:val="0"/>
                <w:szCs w:val="21"/>
              </w:rPr>
              <w:t>　</w:t>
            </w:r>
          </w:p>
        </w:tc>
        <w:tc>
          <w:tcPr>
            <w:tcW w:w="1251"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经济效益指标</w:t>
            </w:r>
          </w:p>
        </w:tc>
        <w:tc>
          <w:tcPr>
            <w:tcW w:w="143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7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13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51"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社会效益指标</w:t>
            </w:r>
          </w:p>
        </w:tc>
        <w:tc>
          <w:tcPr>
            <w:tcW w:w="1438"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ascii="微软雅黑" w:hAnsi="微软雅黑" w:eastAsia="微软雅黑" w:cs="宋体"/>
                <w:color w:val="000000"/>
                <w:sz w:val="27"/>
                <w:szCs w:val="27"/>
              </w:rPr>
            </w:pPr>
            <w:r>
              <w:rPr>
                <w:rFonts w:hint="eastAsia" w:eastAsia="仿宋_GB2312"/>
                <w:color w:val="000000"/>
                <w:kern w:val="0"/>
                <w:szCs w:val="21"/>
              </w:rPr>
              <w:t>维护社会稳定，完成各项任务90%</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7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13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生态效益指标</w:t>
            </w:r>
          </w:p>
        </w:tc>
        <w:tc>
          <w:tcPr>
            <w:tcW w:w="14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7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3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2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可持续影响指标</w:t>
            </w:r>
          </w:p>
        </w:tc>
        <w:tc>
          <w:tcPr>
            <w:tcW w:w="14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群众安居乐业、社会稳定</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7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13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满意度</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center"/>
              <w:rPr>
                <w:rFonts w:eastAsia="仿宋_GB2312"/>
                <w:color w:val="000000"/>
                <w:kern w:val="0"/>
                <w:szCs w:val="21"/>
              </w:rPr>
            </w:pPr>
            <w:r>
              <w:rPr>
                <w:rFonts w:eastAsia="仿宋_GB2312"/>
                <w:color w:val="000000"/>
                <w:kern w:val="0"/>
                <w:szCs w:val="21"/>
              </w:rPr>
              <w:t>（10分）</w:t>
            </w:r>
          </w:p>
        </w:tc>
        <w:tc>
          <w:tcPr>
            <w:tcW w:w="1251" w:type="dxa"/>
            <w:tcBorders>
              <w:top w:val="nil"/>
              <w:left w:val="nil"/>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服务对象满意度指标</w:t>
            </w:r>
          </w:p>
        </w:tc>
        <w:tc>
          <w:tcPr>
            <w:tcW w:w="143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信访群众比较满意</w:t>
            </w:r>
          </w:p>
        </w:tc>
        <w:tc>
          <w:tcPr>
            <w:tcW w:w="112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80%</w:t>
            </w: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部分疑难信访案件无法做到群众满意度100%</w:t>
            </w:r>
          </w:p>
        </w:tc>
      </w:tr>
      <w:tr>
        <w:tblPrEx>
          <w:tblCellMar>
            <w:top w:w="0" w:type="dxa"/>
            <w:left w:w="108" w:type="dxa"/>
            <w:bottom w:w="0" w:type="dxa"/>
            <w:right w:w="108" w:type="dxa"/>
          </w:tblCellMar>
        </w:tblPrEx>
        <w:trPr>
          <w:trHeight w:val="340" w:hRule="atLeast"/>
          <w:jc w:val="center"/>
        </w:trPr>
        <w:tc>
          <w:tcPr>
            <w:tcW w:w="687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总分</w:t>
            </w: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100</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95</w:t>
            </w: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r>
    </w:tbl>
    <w:p>
      <w:pPr>
        <w:spacing w:beforeLines="50" w:line="240" w:lineRule="exact"/>
        <w:rPr>
          <w:rFonts w:eastAsia="仿宋_GB2312"/>
          <w:sz w:val="24"/>
        </w:rPr>
      </w:pPr>
      <w:r>
        <w:rPr>
          <w:rFonts w:eastAsia="仿宋_GB2312"/>
          <w:sz w:val="24"/>
        </w:rPr>
        <w:t>填表人：</w:t>
      </w:r>
      <w:r>
        <w:rPr>
          <w:rFonts w:hint="eastAsia" w:eastAsia="仿宋_GB2312"/>
          <w:sz w:val="24"/>
        </w:rPr>
        <w:t>曾文君</w:t>
      </w:r>
      <w:r>
        <w:rPr>
          <w:rFonts w:eastAsia="仿宋_GB2312"/>
          <w:sz w:val="24"/>
        </w:rPr>
        <w:t xml:space="preserve">    </w:t>
      </w:r>
      <w:r>
        <w:rPr>
          <w:rFonts w:hint="eastAsia" w:eastAsia="仿宋_GB2312"/>
          <w:sz w:val="24"/>
        </w:rPr>
        <w:t xml:space="preserve">              </w:t>
      </w:r>
      <w:r>
        <w:rPr>
          <w:rFonts w:eastAsia="仿宋_GB2312"/>
          <w:sz w:val="24"/>
        </w:rPr>
        <w:t>填报日期：</w:t>
      </w:r>
      <w:r>
        <w:rPr>
          <w:rFonts w:hint="eastAsia" w:eastAsia="仿宋_GB2312"/>
          <w:sz w:val="24"/>
        </w:rPr>
        <w:t>2021年6月23日</w:t>
      </w:r>
    </w:p>
    <w:p>
      <w:pPr>
        <w:spacing w:beforeLines="50" w:line="240" w:lineRule="exact"/>
        <w:rPr>
          <w:rFonts w:eastAsia="仿宋_GB2312"/>
          <w:sz w:val="24"/>
        </w:rPr>
      </w:pPr>
      <w:r>
        <w:rPr>
          <w:rFonts w:eastAsia="仿宋_GB2312"/>
          <w:sz w:val="24"/>
        </w:rPr>
        <w:t>联系电话：</w:t>
      </w:r>
      <w:r>
        <w:rPr>
          <w:rFonts w:hint="eastAsia" w:eastAsia="仿宋_GB2312"/>
          <w:sz w:val="24"/>
        </w:rPr>
        <w:t>15874506606</w:t>
      </w:r>
      <w:r>
        <w:rPr>
          <w:rFonts w:eastAsia="仿宋_GB2312"/>
          <w:sz w:val="24"/>
        </w:rPr>
        <w:t xml:space="preserve">      </w:t>
      </w:r>
      <w:r>
        <w:rPr>
          <w:rFonts w:hint="eastAsia" w:eastAsia="仿宋_GB2312"/>
          <w:sz w:val="24"/>
        </w:rPr>
        <w:t xml:space="preserve">      </w:t>
      </w:r>
      <w:r>
        <w:rPr>
          <w:rFonts w:eastAsia="仿宋_GB2312"/>
          <w:sz w:val="24"/>
        </w:rPr>
        <w:t xml:space="preserve"> 单位负责人签字</w:t>
      </w:r>
      <w:r>
        <w:rPr>
          <w:rFonts w:hint="eastAsia" w:eastAsia="仿宋_GB2312"/>
          <w:sz w:val="24"/>
        </w:rPr>
        <w:t>：</w:t>
      </w:r>
    </w:p>
    <w:p>
      <w:pPr>
        <w:widowControl/>
        <w:spacing w:line="240" w:lineRule="atLeast"/>
        <w:jc w:val="left"/>
        <w:rPr>
          <w:rFonts w:eastAsia="黑体"/>
          <w:sz w:val="32"/>
          <w:szCs w:val="32"/>
        </w:rPr>
      </w:pPr>
    </w:p>
    <w:p>
      <w:pPr>
        <w:widowControl/>
        <w:spacing w:line="240" w:lineRule="atLeast"/>
        <w:jc w:val="left"/>
        <w:rPr>
          <w:rFonts w:eastAsia="黑体"/>
          <w:sz w:val="32"/>
          <w:szCs w:val="32"/>
        </w:rPr>
      </w:pPr>
    </w:p>
    <w:p>
      <w:pPr>
        <w:widowControl/>
        <w:spacing w:line="240" w:lineRule="atLeas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428"/>
        <w:gridCol w:w="930"/>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240" w:lineRule="atLeas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24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p>
            <w:pPr>
              <w:widowControl/>
              <w:spacing w:line="240" w:lineRule="exact"/>
              <w:jc w:val="center"/>
              <w:rPr>
                <w:color w:val="000000"/>
                <w:kern w:val="0"/>
                <w:sz w:val="22"/>
              </w:rPr>
            </w:pP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项目支</w:t>
            </w:r>
          </w:p>
          <w:p>
            <w:pPr>
              <w:widowControl/>
              <w:spacing w:line="24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信访救助专项经费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区信访局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区信访局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年初预算数</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年度资金总额　</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17.11</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85.5%</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8.5</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其中：当年财政拨款　</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17.11</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85.5%</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8.5</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年度总</w:t>
            </w:r>
          </w:p>
          <w:p>
            <w:pPr>
              <w:widowControl/>
              <w:spacing w:line="24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hint="eastAsia" w:ascii="宋体" w:hAnsi="宋体" w:cs="宋体"/>
                <w:color w:val="000000"/>
                <w:kern w:val="0"/>
                <w:sz w:val="18"/>
                <w:szCs w:val="18"/>
              </w:rPr>
              <w:t>维护社会稳定，完成各项任务</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基本完成预定目标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绩</w:t>
            </w:r>
          </w:p>
          <w:p>
            <w:pPr>
              <w:widowControl/>
              <w:spacing w:line="240" w:lineRule="exact"/>
              <w:jc w:val="center"/>
              <w:rPr>
                <w:rFonts w:eastAsia="仿宋_GB2312"/>
                <w:color w:val="000000"/>
                <w:kern w:val="0"/>
                <w:szCs w:val="21"/>
              </w:rPr>
            </w:pPr>
            <w:r>
              <w:rPr>
                <w:rFonts w:eastAsia="仿宋_GB2312"/>
                <w:color w:val="000000"/>
                <w:kern w:val="0"/>
                <w:szCs w:val="21"/>
              </w:rPr>
              <w:t>效</w:t>
            </w:r>
          </w:p>
          <w:p>
            <w:pPr>
              <w:widowControl/>
              <w:spacing w:line="240" w:lineRule="exact"/>
              <w:jc w:val="center"/>
              <w:rPr>
                <w:rFonts w:eastAsia="仿宋_GB2312"/>
                <w:color w:val="000000"/>
                <w:kern w:val="0"/>
                <w:szCs w:val="21"/>
              </w:rPr>
            </w:pPr>
            <w:r>
              <w:rPr>
                <w:rFonts w:eastAsia="仿宋_GB2312"/>
                <w:color w:val="000000"/>
                <w:kern w:val="0"/>
                <w:szCs w:val="21"/>
              </w:rPr>
              <w:t>指</w:t>
            </w:r>
          </w:p>
          <w:p>
            <w:pPr>
              <w:widowControl/>
              <w:spacing w:line="24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二级指标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三级指标</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年度</w:t>
            </w:r>
          </w:p>
          <w:p>
            <w:pPr>
              <w:widowControl/>
              <w:spacing w:line="24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实际</w:t>
            </w:r>
          </w:p>
          <w:p>
            <w:pPr>
              <w:widowControl/>
              <w:spacing w:line="24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偏差原因</w:t>
            </w:r>
          </w:p>
          <w:p>
            <w:pPr>
              <w:widowControl/>
              <w:spacing w:line="240" w:lineRule="exact"/>
              <w:jc w:val="center"/>
              <w:rPr>
                <w:rFonts w:eastAsia="仿宋_GB2312"/>
                <w:color w:val="000000"/>
                <w:kern w:val="0"/>
                <w:szCs w:val="21"/>
              </w:rPr>
            </w:pPr>
            <w:r>
              <w:rPr>
                <w:rFonts w:eastAsia="仿宋_GB2312"/>
                <w:color w:val="000000"/>
                <w:kern w:val="0"/>
                <w:szCs w:val="21"/>
              </w:rPr>
              <w:t>分析及</w:t>
            </w:r>
          </w:p>
          <w:p>
            <w:pPr>
              <w:widowControl/>
              <w:spacing w:line="24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产出</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数量指标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85.5%</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8.5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8.5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质量指标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居民群众幸福生活</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时效指标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一年</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成本指标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效益</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left"/>
              <w:rPr>
                <w:rFonts w:eastAsia="仿宋_GB2312"/>
                <w:color w:val="000000"/>
                <w:kern w:val="0"/>
                <w:szCs w:val="21"/>
              </w:rPr>
            </w:pPr>
          </w:p>
          <w:p>
            <w:pPr>
              <w:widowControl/>
              <w:spacing w:line="240" w:lineRule="exact"/>
              <w:jc w:val="left"/>
              <w:rPr>
                <w:rFonts w:eastAsia="仿宋_GB2312"/>
                <w:color w:val="000000"/>
                <w:kern w:val="0"/>
                <w:szCs w:val="21"/>
              </w:rPr>
            </w:pPr>
            <w:r>
              <w:rPr>
                <w:rFonts w:eastAsia="仿宋_GB2312"/>
                <w:color w:val="000000"/>
                <w:kern w:val="0"/>
                <w:szCs w:val="21"/>
              </w:rPr>
              <w:t>（30分）</w:t>
            </w:r>
          </w:p>
          <w:p>
            <w:pPr>
              <w:spacing w:line="24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经济效益指标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社会效益指标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ascii="微软雅黑" w:hAnsi="微软雅黑" w:eastAsia="微软雅黑" w:cs="宋体"/>
                <w:color w:val="000000"/>
                <w:sz w:val="27"/>
                <w:szCs w:val="27"/>
              </w:rPr>
            </w:pPr>
            <w:r>
              <w:rPr>
                <w:rFonts w:hint="eastAsia" w:eastAsia="仿宋_GB2312"/>
                <w:color w:val="000000"/>
                <w:kern w:val="0"/>
                <w:szCs w:val="21"/>
              </w:rPr>
              <w:t>维护社会稳定，完成各项任务90%</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生态效益指标</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可持续影响指标</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群众安居乐业、社会稳定</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满意度</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服务对象满意度指标</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信访群众比较满意</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98.5</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r>
    </w:tbl>
    <w:p>
      <w:pPr>
        <w:spacing w:beforeLines="50" w:line="240" w:lineRule="exact"/>
        <w:rPr>
          <w:rFonts w:eastAsia="仿宋_GB2312"/>
          <w:sz w:val="24"/>
        </w:rPr>
      </w:pPr>
      <w:r>
        <w:rPr>
          <w:rFonts w:eastAsia="仿宋_GB2312"/>
          <w:sz w:val="24"/>
        </w:rPr>
        <w:t>填表人：</w:t>
      </w:r>
      <w:r>
        <w:rPr>
          <w:rFonts w:hint="eastAsia" w:eastAsia="仿宋_GB2312"/>
          <w:sz w:val="24"/>
        </w:rPr>
        <w:t>曾文君</w:t>
      </w:r>
      <w:r>
        <w:rPr>
          <w:rFonts w:eastAsia="仿宋_GB2312"/>
          <w:sz w:val="24"/>
        </w:rPr>
        <w:t xml:space="preserve">    </w:t>
      </w:r>
      <w:r>
        <w:rPr>
          <w:rFonts w:hint="eastAsia" w:eastAsia="仿宋_GB2312"/>
          <w:sz w:val="24"/>
        </w:rPr>
        <w:t xml:space="preserve">              </w:t>
      </w:r>
      <w:r>
        <w:rPr>
          <w:rFonts w:eastAsia="仿宋_GB2312"/>
          <w:sz w:val="24"/>
        </w:rPr>
        <w:t>填报日期：</w:t>
      </w:r>
      <w:r>
        <w:rPr>
          <w:rFonts w:hint="eastAsia" w:eastAsia="仿宋_GB2312"/>
          <w:sz w:val="24"/>
        </w:rPr>
        <w:t>2021年6月23日</w:t>
      </w:r>
    </w:p>
    <w:p>
      <w:pPr>
        <w:spacing w:beforeLines="50" w:line="240" w:lineRule="exact"/>
        <w:rPr>
          <w:rFonts w:eastAsia="仿宋_GB2312"/>
          <w:sz w:val="24"/>
        </w:rPr>
      </w:pPr>
      <w:r>
        <w:rPr>
          <w:rFonts w:eastAsia="仿宋_GB2312"/>
          <w:sz w:val="24"/>
        </w:rPr>
        <w:t>联系电话：</w:t>
      </w:r>
      <w:r>
        <w:rPr>
          <w:rFonts w:hint="eastAsia" w:eastAsia="仿宋_GB2312"/>
          <w:sz w:val="24"/>
        </w:rPr>
        <w:t>15874506606</w:t>
      </w:r>
      <w:r>
        <w:rPr>
          <w:rFonts w:eastAsia="仿宋_GB2312"/>
          <w:sz w:val="24"/>
        </w:rPr>
        <w:t xml:space="preserve">      </w:t>
      </w:r>
      <w:r>
        <w:rPr>
          <w:rFonts w:hint="eastAsia" w:eastAsia="仿宋_GB2312"/>
          <w:sz w:val="24"/>
        </w:rPr>
        <w:t xml:space="preserve">      </w:t>
      </w:r>
      <w:r>
        <w:rPr>
          <w:rFonts w:eastAsia="仿宋_GB2312"/>
          <w:sz w:val="24"/>
        </w:rPr>
        <w:t xml:space="preserve"> 单位负责人签字：</w:t>
      </w:r>
    </w:p>
    <w:p>
      <w:pPr>
        <w:widowControl/>
        <w:spacing w:line="240" w:lineRule="exact"/>
        <w:jc w:val="left"/>
        <w:rPr>
          <w:rFonts w:eastAsia="黑体"/>
          <w:sz w:val="32"/>
          <w:szCs w:val="32"/>
        </w:rPr>
      </w:pPr>
    </w:p>
    <w:p>
      <w:pPr>
        <w:widowControl/>
        <w:spacing w:line="240" w:lineRule="atLeast"/>
        <w:jc w:val="left"/>
        <w:rPr>
          <w:rFonts w:eastAsia="黑体"/>
          <w:sz w:val="32"/>
          <w:szCs w:val="32"/>
        </w:rPr>
      </w:pPr>
    </w:p>
    <w:p>
      <w:pPr>
        <w:widowControl/>
        <w:spacing w:line="240" w:lineRule="atLeast"/>
        <w:jc w:val="left"/>
        <w:rPr>
          <w:rFonts w:eastAsia="黑体"/>
          <w:sz w:val="32"/>
          <w:szCs w:val="32"/>
        </w:rPr>
      </w:pPr>
    </w:p>
    <w:p>
      <w:pPr>
        <w:widowControl/>
        <w:spacing w:line="240" w:lineRule="atLeas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428"/>
        <w:gridCol w:w="851"/>
        <w:gridCol w:w="1134"/>
        <w:gridCol w:w="670"/>
        <w:gridCol w:w="39"/>
        <w:gridCol w:w="732"/>
        <w:gridCol w:w="1757"/>
      </w:tblGrid>
      <w:tr>
        <w:tblPrEx>
          <w:tblCellMar>
            <w:top w:w="0" w:type="dxa"/>
            <w:left w:w="108" w:type="dxa"/>
            <w:bottom w:w="0" w:type="dxa"/>
            <w:right w:w="108" w:type="dxa"/>
          </w:tblCellMar>
        </w:tblPrEx>
        <w:trPr>
          <w:trHeight w:val="690" w:hRule="atLeast"/>
          <w:jc w:val="center"/>
        </w:trPr>
        <w:tc>
          <w:tcPr>
            <w:tcW w:w="9999" w:type="dxa"/>
            <w:gridSpan w:val="10"/>
            <w:tcBorders>
              <w:top w:val="nil"/>
              <w:left w:val="nil"/>
              <w:bottom w:val="nil"/>
              <w:right w:val="nil"/>
            </w:tcBorders>
            <w:shd w:val="clear" w:color="auto" w:fill="auto"/>
            <w:noWrap/>
            <w:vAlign w:val="center"/>
          </w:tcPr>
          <w:p>
            <w:pPr>
              <w:widowControl/>
              <w:spacing w:line="240" w:lineRule="atLeas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10"/>
            <w:tcBorders>
              <w:top w:val="nil"/>
              <w:left w:val="nil"/>
              <w:bottom w:val="single" w:color="auto" w:sz="4" w:space="0"/>
              <w:right w:val="nil"/>
            </w:tcBorders>
            <w:shd w:val="clear" w:color="auto" w:fill="auto"/>
            <w:noWrap/>
            <w:vAlign w:val="center"/>
          </w:tcPr>
          <w:p>
            <w:pPr>
              <w:widowControl/>
              <w:spacing w:line="24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p>
            <w:pPr>
              <w:widowControl/>
              <w:spacing w:line="240" w:lineRule="exact"/>
              <w:jc w:val="center"/>
              <w:rPr>
                <w:color w:val="000000"/>
                <w:kern w:val="0"/>
                <w:sz w:val="22"/>
              </w:rPr>
            </w:pP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项目支</w:t>
            </w:r>
          </w:p>
          <w:p>
            <w:pPr>
              <w:widowControl/>
              <w:spacing w:line="240" w:lineRule="exact"/>
              <w:jc w:val="center"/>
              <w:rPr>
                <w:rFonts w:eastAsia="仿宋_GB2312"/>
                <w:color w:val="000000"/>
                <w:kern w:val="0"/>
                <w:szCs w:val="21"/>
              </w:rPr>
            </w:pPr>
            <w:r>
              <w:rPr>
                <w:rFonts w:eastAsia="仿宋_GB2312"/>
                <w:color w:val="000000"/>
                <w:kern w:val="0"/>
                <w:szCs w:val="21"/>
              </w:rPr>
              <w:t>出名称</w:t>
            </w:r>
          </w:p>
        </w:tc>
        <w:tc>
          <w:tcPr>
            <w:tcW w:w="8864" w:type="dxa"/>
            <w:gridSpan w:val="9"/>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信访复查复核办案专项经费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主管部门</w:t>
            </w:r>
          </w:p>
        </w:tc>
        <w:tc>
          <w:tcPr>
            <w:tcW w:w="453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区信访局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实施单位</w:t>
            </w:r>
          </w:p>
        </w:tc>
        <w:tc>
          <w:tcPr>
            <w:tcW w:w="319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区信访局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年初预算数</w:t>
            </w:r>
          </w:p>
        </w:tc>
        <w:tc>
          <w:tcPr>
            <w:tcW w:w="85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全年执行数</w:t>
            </w:r>
          </w:p>
        </w:tc>
        <w:tc>
          <w:tcPr>
            <w:tcW w:w="670"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分值</w:t>
            </w:r>
          </w:p>
        </w:tc>
        <w:tc>
          <w:tcPr>
            <w:tcW w:w="771" w:type="dxa"/>
            <w:gridSpan w:val="2"/>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执行率</w:t>
            </w:r>
          </w:p>
        </w:tc>
        <w:tc>
          <w:tcPr>
            <w:tcW w:w="1757"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年度资金总额　</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4</w:t>
            </w:r>
          </w:p>
        </w:tc>
        <w:tc>
          <w:tcPr>
            <w:tcW w:w="85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4</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4</w:t>
            </w:r>
          </w:p>
        </w:tc>
        <w:tc>
          <w:tcPr>
            <w:tcW w:w="67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10</w:t>
            </w:r>
          </w:p>
        </w:tc>
        <w:tc>
          <w:tcPr>
            <w:tcW w:w="771"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175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其中：当年财政拨款　</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4</w:t>
            </w:r>
          </w:p>
        </w:tc>
        <w:tc>
          <w:tcPr>
            <w:tcW w:w="85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4</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4</w:t>
            </w:r>
          </w:p>
        </w:tc>
        <w:tc>
          <w:tcPr>
            <w:tcW w:w="67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771"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175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85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67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771"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175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85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67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771"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175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年度总</w:t>
            </w:r>
          </w:p>
          <w:p>
            <w:pPr>
              <w:widowControl/>
              <w:spacing w:line="240" w:lineRule="exact"/>
              <w:jc w:val="center"/>
              <w:rPr>
                <w:rFonts w:eastAsia="仿宋_GB2312"/>
                <w:color w:val="000000"/>
                <w:kern w:val="0"/>
                <w:szCs w:val="21"/>
              </w:rPr>
            </w:pPr>
            <w:r>
              <w:rPr>
                <w:rFonts w:eastAsia="仿宋_GB2312"/>
                <w:color w:val="000000"/>
                <w:kern w:val="0"/>
                <w:szCs w:val="21"/>
              </w:rPr>
              <w:t>体目标</w:t>
            </w:r>
          </w:p>
        </w:tc>
        <w:tc>
          <w:tcPr>
            <w:tcW w:w="4532"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预期目标</w:t>
            </w:r>
          </w:p>
        </w:tc>
        <w:tc>
          <w:tcPr>
            <w:tcW w:w="4332"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eastAsia="仿宋_GB2312"/>
                <w:color w:val="000000"/>
                <w:kern w:val="0"/>
                <w:szCs w:val="21"/>
              </w:rPr>
            </w:pPr>
          </w:p>
        </w:tc>
        <w:tc>
          <w:tcPr>
            <w:tcW w:w="4532"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hint="eastAsia" w:ascii="宋体" w:hAnsi="宋体" w:cs="宋体"/>
                <w:color w:val="000000"/>
                <w:kern w:val="0"/>
                <w:sz w:val="18"/>
                <w:szCs w:val="18"/>
              </w:rPr>
              <w:t>做好信访复查复核办案工作任务</w:t>
            </w:r>
          </w:p>
        </w:tc>
        <w:tc>
          <w:tcPr>
            <w:tcW w:w="4332"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基本完成预定目标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绩</w:t>
            </w:r>
          </w:p>
          <w:p>
            <w:pPr>
              <w:widowControl/>
              <w:spacing w:line="240" w:lineRule="exact"/>
              <w:jc w:val="center"/>
              <w:rPr>
                <w:rFonts w:eastAsia="仿宋_GB2312"/>
                <w:color w:val="000000"/>
                <w:kern w:val="0"/>
                <w:szCs w:val="21"/>
              </w:rPr>
            </w:pPr>
            <w:r>
              <w:rPr>
                <w:rFonts w:eastAsia="仿宋_GB2312"/>
                <w:color w:val="000000"/>
                <w:kern w:val="0"/>
                <w:szCs w:val="21"/>
              </w:rPr>
              <w:t>效</w:t>
            </w:r>
          </w:p>
          <w:p>
            <w:pPr>
              <w:widowControl/>
              <w:spacing w:line="240" w:lineRule="exact"/>
              <w:jc w:val="center"/>
              <w:rPr>
                <w:rFonts w:eastAsia="仿宋_GB2312"/>
                <w:color w:val="000000"/>
                <w:kern w:val="0"/>
                <w:szCs w:val="21"/>
              </w:rPr>
            </w:pPr>
            <w:r>
              <w:rPr>
                <w:rFonts w:eastAsia="仿宋_GB2312"/>
                <w:color w:val="000000"/>
                <w:kern w:val="0"/>
                <w:szCs w:val="21"/>
              </w:rPr>
              <w:t>指</w:t>
            </w:r>
          </w:p>
          <w:p>
            <w:pPr>
              <w:widowControl/>
              <w:spacing w:line="24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二级指标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三级指标</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年度</w:t>
            </w:r>
          </w:p>
          <w:p>
            <w:pPr>
              <w:widowControl/>
              <w:spacing w:line="24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实际</w:t>
            </w:r>
          </w:p>
          <w:p>
            <w:pPr>
              <w:widowControl/>
              <w:spacing w:line="240" w:lineRule="exact"/>
              <w:jc w:val="center"/>
              <w:rPr>
                <w:rFonts w:eastAsia="仿宋_GB2312"/>
                <w:color w:val="000000"/>
                <w:kern w:val="0"/>
                <w:szCs w:val="21"/>
              </w:rPr>
            </w:pPr>
            <w:r>
              <w:rPr>
                <w:rFonts w:eastAsia="仿宋_GB2312"/>
                <w:color w:val="000000"/>
                <w:kern w:val="0"/>
                <w:szCs w:val="21"/>
              </w:rPr>
              <w:t>完成值</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分值</w:t>
            </w:r>
          </w:p>
        </w:tc>
        <w:tc>
          <w:tcPr>
            <w:tcW w:w="7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得分</w:t>
            </w:r>
          </w:p>
        </w:tc>
        <w:tc>
          <w:tcPr>
            <w:tcW w:w="175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偏差原因</w:t>
            </w:r>
          </w:p>
          <w:p>
            <w:pPr>
              <w:widowControl/>
              <w:spacing w:line="240" w:lineRule="exact"/>
              <w:jc w:val="center"/>
              <w:rPr>
                <w:rFonts w:eastAsia="仿宋_GB2312"/>
                <w:color w:val="000000"/>
                <w:kern w:val="0"/>
                <w:szCs w:val="21"/>
              </w:rPr>
            </w:pPr>
            <w:r>
              <w:rPr>
                <w:rFonts w:eastAsia="仿宋_GB2312"/>
                <w:color w:val="000000"/>
                <w:kern w:val="0"/>
                <w:szCs w:val="21"/>
              </w:rPr>
              <w:t>分析及</w:t>
            </w:r>
          </w:p>
          <w:p>
            <w:pPr>
              <w:widowControl/>
              <w:spacing w:line="24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产出</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数量指标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7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175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质量指标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居民群众幸福生活</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7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175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时效指标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一年</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7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175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成本指标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7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75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效益</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left"/>
              <w:rPr>
                <w:rFonts w:eastAsia="仿宋_GB2312"/>
                <w:color w:val="000000"/>
                <w:kern w:val="0"/>
                <w:szCs w:val="21"/>
              </w:rPr>
            </w:pPr>
          </w:p>
          <w:p>
            <w:pPr>
              <w:widowControl/>
              <w:spacing w:line="240" w:lineRule="exact"/>
              <w:jc w:val="left"/>
              <w:rPr>
                <w:rFonts w:eastAsia="仿宋_GB2312"/>
                <w:color w:val="000000"/>
                <w:kern w:val="0"/>
                <w:szCs w:val="21"/>
              </w:rPr>
            </w:pPr>
            <w:r>
              <w:rPr>
                <w:rFonts w:eastAsia="仿宋_GB2312"/>
                <w:color w:val="000000"/>
                <w:kern w:val="0"/>
                <w:szCs w:val="21"/>
              </w:rPr>
              <w:t>（30分）</w:t>
            </w:r>
          </w:p>
          <w:p>
            <w:pPr>
              <w:spacing w:line="24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经济效益指标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7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175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社会效益指标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ascii="微软雅黑" w:hAnsi="微软雅黑" w:eastAsia="微软雅黑" w:cs="宋体"/>
                <w:color w:val="000000"/>
                <w:sz w:val="27"/>
                <w:szCs w:val="27"/>
              </w:rPr>
            </w:pPr>
            <w:r>
              <w:rPr>
                <w:rFonts w:hint="eastAsia" w:eastAsia="仿宋_GB2312"/>
                <w:color w:val="000000"/>
                <w:kern w:val="0"/>
                <w:szCs w:val="21"/>
              </w:rPr>
              <w:t>维护社会稳定，完成各项任务90%</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7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175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生态效益指标</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7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75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可持续影响指标</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群众安居乐业、社会稳定</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7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17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满意度</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服务对象满意度指标</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信访群众比较满意</w:t>
            </w:r>
          </w:p>
        </w:tc>
        <w:tc>
          <w:tcPr>
            <w:tcW w:w="85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80%</w:t>
            </w:r>
          </w:p>
        </w:tc>
        <w:tc>
          <w:tcPr>
            <w:tcW w:w="70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73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175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部分信访复查复核案件较复杂，无法做到群众满意度100%</w:t>
            </w:r>
          </w:p>
        </w:tc>
      </w:tr>
      <w:tr>
        <w:tblPrEx>
          <w:tblCellMar>
            <w:top w:w="0" w:type="dxa"/>
            <w:left w:w="108" w:type="dxa"/>
            <w:bottom w:w="0" w:type="dxa"/>
            <w:right w:w="108" w:type="dxa"/>
          </w:tblCellMar>
        </w:tblPrEx>
        <w:trPr>
          <w:trHeight w:val="340" w:hRule="atLeast"/>
          <w:jc w:val="center"/>
        </w:trPr>
        <w:tc>
          <w:tcPr>
            <w:tcW w:w="6801"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总分</w:t>
            </w:r>
          </w:p>
        </w:tc>
        <w:tc>
          <w:tcPr>
            <w:tcW w:w="70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100</w:t>
            </w:r>
          </w:p>
        </w:tc>
        <w:tc>
          <w:tcPr>
            <w:tcW w:w="73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95</w:t>
            </w:r>
          </w:p>
        </w:tc>
        <w:tc>
          <w:tcPr>
            <w:tcW w:w="175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r>
    </w:tbl>
    <w:p>
      <w:pPr>
        <w:spacing w:beforeLines="50" w:line="240" w:lineRule="exact"/>
        <w:rPr>
          <w:rFonts w:eastAsia="仿宋_GB2312"/>
          <w:sz w:val="24"/>
        </w:rPr>
      </w:pPr>
      <w:r>
        <w:rPr>
          <w:rFonts w:eastAsia="仿宋_GB2312"/>
          <w:sz w:val="24"/>
        </w:rPr>
        <w:t>填表人：</w:t>
      </w:r>
      <w:r>
        <w:rPr>
          <w:rFonts w:hint="eastAsia" w:eastAsia="仿宋_GB2312"/>
          <w:sz w:val="24"/>
        </w:rPr>
        <w:t>曾文君</w:t>
      </w:r>
      <w:r>
        <w:rPr>
          <w:rFonts w:eastAsia="仿宋_GB2312"/>
          <w:sz w:val="24"/>
        </w:rPr>
        <w:t xml:space="preserve">    </w:t>
      </w:r>
      <w:r>
        <w:rPr>
          <w:rFonts w:hint="eastAsia" w:eastAsia="仿宋_GB2312"/>
          <w:sz w:val="24"/>
        </w:rPr>
        <w:t xml:space="preserve">              </w:t>
      </w:r>
      <w:r>
        <w:rPr>
          <w:rFonts w:eastAsia="仿宋_GB2312"/>
          <w:sz w:val="24"/>
        </w:rPr>
        <w:t>填报日期：</w:t>
      </w:r>
      <w:r>
        <w:rPr>
          <w:rFonts w:hint="eastAsia" w:eastAsia="仿宋_GB2312"/>
          <w:sz w:val="24"/>
        </w:rPr>
        <w:t>2021年6月23日</w:t>
      </w:r>
    </w:p>
    <w:p>
      <w:pPr>
        <w:spacing w:beforeLines="50" w:line="240" w:lineRule="exact"/>
        <w:rPr>
          <w:rFonts w:eastAsia="仿宋_GB2312"/>
          <w:sz w:val="24"/>
        </w:rPr>
      </w:pPr>
      <w:r>
        <w:rPr>
          <w:rFonts w:eastAsia="仿宋_GB2312"/>
          <w:sz w:val="24"/>
        </w:rPr>
        <w:t>联系电话：</w:t>
      </w:r>
      <w:r>
        <w:rPr>
          <w:rFonts w:hint="eastAsia" w:eastAsia="仿宋_GB2312"/>
          <w:sz w:val="24"/>
        </w:rPr>
        <w:t>15874506606</w:t>
      </w:r>
      <w:r>
        <w:rPr>
          <w:rFonts w:eastAsia="仿宋_GB2312"/>
          <w:sz w:val="24"/>
        </w:rPr>
        <w:t xml:space="preserve">      </w:t>
      </w:r>
      <w:r>
        <w:rPr>
          <w:rFonts w:hint="eastAsia" w:eastAsia="仿宋_GB2312"/>
          <w:sz w:val="24"/>
        </w:rPr>
        <w:t xml:space="preserve">      </w:t>
      </w:r>
      <w:r>
        <w:rPr>
          <w:rFonts w:eastAsia="仿宋_GB2312"/>
          <w:sz w:val="24"/>
        </w:rPr>
        <w:t xml:space="preserve"> 单位负责人签字：</w:t>
      </w:r>
    </w:p>
    <w:p>
      <w:pPr>
        <w:widowControl/>
        <w:spacing w:line="240" w:lineRule="atLeast"/>
        <w:jc w:val="left"/>
        <w:rPr>
          <w:rFonts w:eastAsia="黑体"/>
          <w:sz w:val="32"/>
          <w:szCs w:val="32"/>
        </w:rPr>
      </w:pPr>
    </w:p>
    <w:p>
      <w:pPr>
        <w:widowControl/>
        <w:spacing w:line="240" w:lineRule="atLeast"/>
        <w:jc w:val="left"/>
        <w:rPr>
          <w:rFonts w:eastAsia="黑体"/>
          <w:sz w:val="32"/>
          <w:szCs w:val="32"/>
        </w:rPr>
      </w:pPr>
    </w:p>
    <w:p>
      <w:pPr>
        <w:widowControl/>
        <w:spacing w:line="240" w:lineRule="atLeas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21"/>
        <w:gridCol w:w="1570"/>
        <w:gridCol w:w="992"/>
        <w:gridCol w:w="1134"/>
        <w:gridCol w:w="851"/>
        <w:gridCol w:w="759"/>
        <w:gridCol w:w="1345"/>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240" w:lineRule="atLeas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24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p>
            <w:pPr>
              <w:widowControl/>
              <w:spacing w:line="240" w:lineRule="exact"/>
              <w:jc w:val="center"/>
              <w:rPr>
                <w:color w:val="000000"/>
                <w:kern w:val="0"/>
                <w:sz w:val="22"/>
              </w:rPr>
            </w:pP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项目支</w:t>
            </w:r>
          </w:p>
          <w:p>
            <w:pPr>
              <w:widowControl/>
              <w:spacing w:line="24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接访专项经费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主管部门</w:t>
            </w:r>
          </w:p>
        </w:tc>
        <w:tc>
          <w:tcPr>
            <w:tcW w:w="481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区信访局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实施单位</w:t>
            </w:r>
          </w:p>
        </w:tc>
        <w:tc>
          <w:tcPr>
            <w:tcW w:w="2915"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区信访局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157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年初预算数</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全年执行数</w:t>
            </w:r>
          </w:p>
        </w:tc>
        <w:tc>
          <w:tcPr>
            <w:tcW w:w="851"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分值</w:t>
            </w:r>
          </w:p>
        </w:tc>
        <w:tc>
          <w:tcPr>
            <w:tcW w:w="646"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年度资金总额　</w:t>
            </w:r>
          </w:p>
        </w:tc>
        <w:tc>
          <w:tcPr>
            <w:tcW w:w="157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30</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30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26.64</w:t>
            </w:r>
          </w:p>
        </w:tc>
        <w:tc>
          <w:tcPr>
            <w:tcW w:w="85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10</w:t>
            </w:r>
          </w:p>
        </w:tc>
        <w:tc>
          <w:tcPr>
            <w:tcW w:w="64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66.4%</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6.6</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其中：当年财政拨款　</w:t>
            </w:r>
          </w:p>
        </w:tc>
        <w:tc>
          <w:tcPr>
            <w:tcW w:w="157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30</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30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26.64</w:t>
            </w:r>
          </w:p>
        </w:tc>
        <w:tc>
          <w:tcPr>
            <w:tcW w:w="85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64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66.4%</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6.6</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57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85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64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57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85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64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年度总</w:t>
            </w:r>
          </w:p>
          <w:p>
            <w:pPr>
              <w:widowControl/>
              <w:spacing w:line="240" w:lineRule="exact"/>
              <w:jc w:val="center"/>
              <w:rPr>
                <w:rFonts w:eastAsia="仿宋_GB2312"/>
                <w:color w:val="000000"/>
                <w:kern w:val="0"/>
                <w:szCs w:val="21"/>
              </w:rPr>
            </w:pPr>
            <w:r>
              <w:rPr>
                <w:rFonts w:eastAsia="仿宋_GB2312"/>
                <w:color w:val="000000"/>
                <w:kern w:val="0"/>
                <w:szCs w:val="21"/>
              </w:rPr>
              <w:t>体目标</w:t>
            </w:r>
          </w:p>
        </w:tc>
        <w:tc>
          <w:tcPr>
            <w:tcW w:w="4815"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预期目标</w:t>
            </w:r>
          </w:p>
        </w:tc>
        <w:tc>
          <w:tcPr>
            <w:tcW w:w="404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eastAsia="仿宋_GB2312"/>
                <w:color w:val="000000"/>
                <w:kern w:val="0"/>
                <w:szCs w:val="21"/>
              </w:rPr>
            </w:pPr>
          </w:p>
        </w:tc>
        <w:tc>
          <w:tcPr>
            <w:tcW w:w="4815"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hint="eastAsia" w:ascii="宋体" w:hAnsi="宋体" w:cs="宋体"/>
                <w:color w:val="000000"/>
                <w:kern w:val="0"/>
                <w:sz w:val="18"/>
                <w:szCs w:val="18"/>
              </w:rPr>
              <w:t>做好鹤城区户籍人口赴省进京劝返工作</w:t>
            </w:r>
          </w:p>
        </w:tc>
        <w:tc>
          <w:tcPr>
            <w:tcW w:w="404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基本完成预定目标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绩</w:t>
            </w:r>
          </w:p>
          <w:p>
            <w:pPr>
              <w:widowControl/>
              <w:spacing w:line="240" w:lineRule="exact"/>
              <w:jc w:val="center"/>
              <w:rPr>
                <w:rFonts w:eastAsia="仿宋_GB2312"/>
                <w:color w:val="000000"/>
                <w:kern w:val="0"/>
                <w:szCs w:val="21"/>
              </w:rPr>
            </w:pPr>
            <w:r>
              <w:rPr>
                <w:rFonts w:eastAsia="仿宋_GB2312"/>
                <w:color w:val="000000"/>
                <w:kern w:val="0"/>
                <w:szCs w:val="21"/>
              </w:rPr>
              <w:t>效</w:t>
            </w:r>
          </w:p>
          <w:p>
            <w:pPr>
              <w:widowControl/>
              <w:spacing w:line="240" w:lineRule="exact"/>
              <w:jc w:val="center"/>
              <w:rPr>
                <w:rFonts w:eastAsia="仿宋_GB2312"/>
                <w:color w:val="000000"/>
                <w:kern w:val="0"/>
                <w:szCs w:val="21"/>
              </w:rPr>
            </w:pPr>
            <w:r>
              <w:rPr>
                <w:rFonts w:eastAsia="仿宋_GB2312"/>
                <w:color w:val="000000"/>
                <w:kern w:val="0"/>
                <w:szCs w:val="21"/>
              </w:rPr>
              <w:t>指</w:t>
            </w:r>
          </w:p>
          <w:p>
            <w:pPr>
              <w:widowControl/>
              <w:spacing w:line="24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一级</w:t>
            </w:r>
          </w:p>
          <w:p>
            <w:pPr>
              <w:widowControl/>
              <w:spacing w:line="240" w:lineRule="exact"/>
              <w:jc w:val="center"/>
              <w:rPr>
                <w:rFonts w:eastAsia="仿宋_GB2312"/>
                <w:color w:val="000000"/>
                <w:kern w:val="0"/>
                <w:szCs w:val="21"/>
              </w:rPr>
            </w:pPr>
            <w:r>
              <w:rPr>
                <w:rFonts w:eastAsia="仿宋_GB2312"/>
                <w:color w:val="000000"/>
                <w:kern w:val="0"/>
                <w:szCs w:val="21"/>
              </w:rPr>
              <w:t>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二级指标</w:t>
            </w:r>
          </w:p>
        </w:tc>
        <w:tc>
          <w:tcPr>
            <w:tcW w:w="157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三级指标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年度</w:t>
            </w:r>
          </w:p>
          <w:p>
            <w:pPr>
              <w:widowControl/>
              <w:spacing w:line="24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实际</w:t>
            </w:r>
          </w:p>
          <w:p>
            <w:pPr>
              <w:widowControl/>
              <w:spacing w:line="240" w:lineRule="exact"/>
              <w:jc w:val="center"/>
              <w:rPr>
                <w:rFonts w:eastAsia="仿宋_GB2312"/>
                <w:color w:val="000000"/>
                <w:kern w:val="0"/>
                <w:szCs w:val="21"/>
              </w:rPr>
            </w:pPr>
            <w:r>
              <w:rPr>
                <w:rFonts w:eastAsia="仿宋_GB2312"/>
                <w:color w:val="000000"/>
                <w:kern w:val="0"/>
                <w:szCs w:val="21"/>
              </w:rPr>
              <w:t>完成值</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分值</w:t>
            </w:r>
          </w:p>
        </w:tc>
        <w:tc>
          <w:tcPr>
            <w:tcW w:w="6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偏差原因</w:t>
            </w:r>
          </w:p>
          <w:p>
            <w:pPr>
              <w:widowControl/>
              <w:spacing w:line="240" w:lineRule="exact"/>
              <w:jc w:val="center"/>
              <w:rPr>
                <w:rFonts w:eastAsia="仿宋_GB2312"/>
                <w:color w:val="000000"/>
                <w:kern w:val="0"/>
                <w:szCs w:val="21"/>
              </w:rPr>
            </w:pPr>
            <w:r>
              <w:rPr>
                <w:rFonts w:eastAsia="仿宋_GB2312"/>
                <w:color w:val="000000"/>
                <w:kern w:val="0"/>
                <w:szCs w:val="21"/>
              </w:rPr>
              <w:t>分析及</w:t>
            </w:r>
          </w:p>
          <w:p>
            <w:pPr>
              <w:widowControl/>
              <w:spacing w:line="24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产出</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数量指标</w:t>
            </w:r>
          </w:p>
        </w:tc>
        <w:tc>
          <w:tcPr>
            <w:tcW w:w="157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66.4%</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6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6.6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质量指标</w:t>
            </w:r>
          </w:p>
        </w:tc>
        <w:tc>
          <w:tcPr>
            <w:tcW w:w="157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居民群众幸福生活</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6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时效指标</w:t>
            </w:r>
          </w:p>
        </w:tc>
        <w:tc>
          <w:tcPr>
            <w:tcW w:w="157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一年</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6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成本指标</w:t>
            </w:r>
          </w:p>
        </w:tc>
        <w:tc>
          <w:tcPr>
            <w:tcW w:w="157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6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效益</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left"/>
              <w:rPr>
                <w:rFonts w:eastAsia="仿宋_GB2312"/>
                <w:color w:val="000000"/>
                <w:kern w:val="0"/>
                <w:szCs w:val="21"/>
              </w:rPr>
            </w:pPr>
          </w:p>
          <w:p>
            <w:pPr>
              <w:widowControl/>
              <w:spacing w:line="240" w:lineRule="exact"/>
              <w:jc w:val="left"/>
              <w:rPr>
                <w:rFonts w:eastAsia="仿宋_GB2312"/>
                <w:color w:val="000000"/>
                <w:kern w:val="0"/>
                <w:szCs w:val="21"/>
              </w:rPr>
            </w:pPr>
            <w:r>
              <w:rPr>
                <w:rFonts w:eastAsia="仿宋_GB2312"/>
                <w:color w:val="000000"/>
                <w:kern w:val="0"/>
                <w:szCs w:val="21"/>
              </w:rPr>
              <w:t>（30分）</w:t>
            </w:r>
          </w:p>
          <w:p>
            <w:pPr>
              <w:spacing w:line="24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经济效益指标</w:t>
            </w:r>
          </w:p>
        </w:tc>
        <w:tc>
          <w:tcPr>
            <w:tcW w:w="157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6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社会效益指标</w:t>
            </w:r>
          </w:p>
        </w:tc>
        <w:tc>
          <w:tcPr>
            <w:tcW w:w="1570"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ascii="微软雅黑" w:hAnsi="微软雅黑" w:eastAsia="微软雅黑" w:cs="宋体"/>
                <w:color w:val="000000"/>
                <w:sz w:val="27"/>
                <w:szCs w:val="27"/>
              </w:rPr>
            </w:pPr>
            <w:r>
              <w:rPr>
                <w:rFonts w:hint="eastAsia" w:eastAsia="仿宋_GB2312"/>
                <w:color w:val="000000"/>
                <w:kern w:val="0"/>
                <w:szCs w:val="21"/>
              </w:rPr>
              <w:t>维护社会稳定，完成各项任务90%</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6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生态效益指标</w:t>
            </w:r>
          </w:p>
        </w:tc>
        <w:tc>
          <w:tcPr>
            <w:tcW w:w="1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6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可持续影响指标</w:t>
            </w:r>
          </w:p>
        </w:tc>
        <w:tc>
          <w:tcPr>
            <w:tcW w:w="1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群众安居乐业、社会稳定</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6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满意度</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服务对象满意度指标</w:t>
            </w:r>
          </w:p>
        </w:tc>
        <w:tc>
          <w:tcPr>
            <w:tcW w:w="157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信访群众比较满意</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80%</w:t>
            </w:r>
          </w:p>
        </w:tc>
        <w:tc>
          <w:tcPr>
            <w:tcW w:w="85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64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部分疑难信访案件无法做到群众满意度100%</w:t>
            </w:r>
          </w:p>
        </w:tc>
      </w:tr>
      <w:tr>
        <w:tblPrEx>
          <w:tblCellMar>
            <w:top w:w="0" w:type="dxa"/>
            <w:left w:w="108" w:type="dxa"/>
            <w:bottom w:w="0" w:type="dxa"/>
            <w:right w:w="108" w:type="dxa"/>
          </w:tblCellMar>
        </w:tblPrEx>
        <w:trPr>
          <w:trHeight w:val="340" w:hRule="atLeast"/>
          <w:jc w:val="center"/>
        </w:trPr>
        <w:tc>
          <w:tcPr>
            <w:tcW w:w="708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总分</w:t>
            </w:r>
          </w:p>
        </w:tc>
        <w:tc>
          <w:tcPr>
            <w:tcW w:w="85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100</w:t>
            </w:r>
          </w:p>
        </w:tc>
        <w:tc>
          <w:tcPr>
            <w:tcW w:w="64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91.6</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r>
    </w:tbl>
    <w:p>
      <w:pPr>
        <w:spacing w:beforeLines="50" w:line="240" w:lineRule="exact"/>
        <w:rPr>
          <w:rFonts w:eastAsia="仿宋_GB2312"/>
          <w:sz w:val="24"/>
        </w:rPr>
      </w:pPr>
      <w:r>
        <w:rPr>
          <w:rFonts w:eastAsia="仿宋_GB2312"/>
          <w:sz w:val="24"/>
        </w:rPr>
        <w:t>填表人：</w:t>
      </w:r>
      <w:r>
        <w:rPr>
          <w:rFonts w:hint="eastAsia" w:eastAsia="仿宋_GB2312"/>
          <w:sz w:val="24"/>
        </w:rPr>
        <w:t>曾文君</w:t>
      </w:r>
      <w:r>
        <w:rPr>
          <w:rFonts w:eastAsia="仿宋_GB2312"/>
          <w:sz w:val="24"/>
        </w:rPr>
        <w:t xml:space="preserve">    </w:t>
      </w:r>
      <w:r>
        <w:rPr>
          <w:rFonts w:hint="eastAsia" w:eastAsia="仿宋_GB2312"/>
          <w:sz w:val="24"/>
        </w:rPr>
        <w:t xml:space="preserve">              </w:t>
      </w:r>
      <w:r>
        <w:rPr>
          <w:rFonts w:eastAsia="仿宋_GB2312"/>
          <w:sz w:val="24"/>
        </w:rPr>
        <w:t>填报日期：</w:t>
      </w:r>
      <w:r>
        <w:rPr>
          <w:rFonts w:hint="eastAsia" w:eastAsia="仿宋_GB2312"/>
          <w:sz w:val="24"/>
        </w:rPr>
        <w:t>2021年6月23日</w:t>
      </w:r>
    </w:p>
    <w:p>
      <w:pPr>
        <w:spacing w:beforeLines="50" w:line="240" w:lineRule="exact"/>
        <w:rPr>
          <w:rFonts w:eastAsia="仿宋_GB2312"/>
          <w:sz w:val="24"/>
        </w:rPr>
      </w:pPr>
      <w:r>
        <w:rPr>
          <w:rFonts w:eastAsia="仿宋_GB2312"/>
          <w:sz w:val="24"/>
        </w:rPr>
        <w:t>联系电话：</w:t>
      </w:r>
      <w:r>
        <w:rPr>
          <w:rFonts w:hint="eastAsia" w:eastAsia="仿宋_GB2312"/>
          <w:sz w:val="24"/>
        </w:rPr>
        <w:t>15874506606</w:t>
      </w:r>
      <w:r>
        <w:rPr>
          <w:rFonts w:eastAsia="仿宋_GB2312"/>
          <w:sz w:val="24"/>
        </w:rPr>
        <w:t xml:space="preserve">      </w:t>
      </w:r>
      <w:r>
        <w:rPr>
          <w:rFonts w:hint="eastAsia" w:eastAsia="仿宋_GB2312"/>
          <w:sz w:val="24"/>
        </w:rPr>
        <w:t xml:space="preserve">      </w:t>
      </w:r>
      <w:r>
        <w:rPr>
          <w:rFonts w:eastAsia="仿宋_GB2312"/>
          <w:sz w:val="24"/>
        </w:rPr>
        <w:t xml:space="preserve"> 单位负责人签字：</w:t>
      </w:r>
    </w:p>
    <w:p>
      <w:pPr>
        <w:widowControl/>
        <w:spacing w:line="240" w:lineRule="atLeast"/>
        <w:jc w:val="left"/>
        <w:rPr>
          <w:rFonts w:eastAsia="黑体"/>
          <w:sz w:val="32"/>
          <w:szCs w:val="32"/>
        </w:rPr>
      </w:pPr>
    </w:p>
    <w:p>
      <w:pPr>
        <w:widowControl/>
        <w:spacing w:line="240" w:lineRule="atLeas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428"/>
        <w:gridCol w:w="930"/>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240" w:lineRule="atLeas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24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p>
            <w:pPr>
              <w:widowControl/>
              <w:spacing w:line="240" w:lineRule="exact"/>
              <w:jc w:val="center"/>
              <w:rPr>
                <w:color w:val="000000"/>
                <w:kern w:val="0"/>
                <w:sz w:val="22"/>
              </w:rPr>
            </w:pP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项目支</w:t>
            </w:r>
          </w:p>
          <w:p>
            <w:pPr>
              <w:widowControl/>
              <w:spacing w:line="24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特殊疑难信访问题专项经费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区信访局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区信访局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年初预算数</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24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年度资金总额　</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0.1</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0.5%</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0.5</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其中：当年财政拨款　</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0.1</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0.5%</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0.5</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24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年度总</w:t>
            </w:r>
          </w:p>
          <w:p>
            <w:pPr>
              <w:widowControl/>
              <w:spacing w:line="24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hint="eastAsia" w:ascii="宋体" w:hAnsi="宋体" w:cs="宋体"/>
                <w:color w:val="000000"/>
                <w:kern w:val="0"/>
                <w:sz w:val="18"/>
                <w:szCs w:val="18"/>
              </w:rPr>
              <w:t>维护社会稳定，完成各项任务</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基本完成预定目标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绩</w:t>
            </w:r>
          </w:p>
          <w:p>
            <w:pPr>
              <w:widowControl/>
              <w:spacing w:line="240" w:lineRule="exact"/>
              <w:jc w:val="center"/>
              <w:rPr>
                <w:rFonts w:eastAsia="仿宋_GB2312"/>
                <w:color w:val="000000"/>
                <w:kern w:val="0"/>
                <w:szCs w:val="21"/>
              </w:rPr>
            </w:pPr>
            <w:r>
              <w:rPr>
                <w:rFonts w:eastAsia="仿宋_GB2312"/>
                <w:color w:val="000000"/>
                <w:kern w:val="0"/>
                <w:szCs w:val="21"/>
              </w:rPr>
              <w:t>效</w:t>
            </w:r>
          </w:p>
          <w:p>
            <w:pPr>
              <w:widowControl/>
              <w:spacing w:line="240" w:lineRule="exact"/>
              <w:jc w:val="center"/>
              <w:rPr>
                <w:rFonts w:eastAsia="仿宋_GB2312"/>
                <w:color w:val="000000"/>
                <w:kern w:val="0"/>
                <w:szCs w:val="21"/>
              </w:rPr>
            </w:pPr>
            <w:r>
              <w:rPr>
                <w:rFonts w:eastAsia="仿宋_GB2312"/>
                <w:color w:val="000000"/>
                <w:kern w:val="0"/>
                <w:szCs w:val="21"/>
              </w:rPr>
              <w:t>指</w:t>
            </w:r>
          </w:p>
          <w:p>
            <w:pPr>
              <w:widowControl/>
              <w:spacing w:line="24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一级</w:t>
            </w:r>
          </w:p>
          <w:p>
            <w:pPr>
              <w:widowControl/>
              <w:spacing w:line="240" w:lineRule="exact"/>
              <w:jc w:val="center"/>
              <w:rPr>
                <w:rFonts w:eastAsia="仿宋_GB2312"/>
                <w:color w:val="000000"/>
                <w:kern w:val="0"/>
                <w:szCs w:val="21"/>
              </w:rPr>
            </w:pPr>
            <w:r>
              <w:rPr>
                <w:rFonts w:eastAsia="仿宋_GB2312"/>
                <w:color w:val="000000"/>
                <w:kern w:val="0"/>
                <w:szCs w:val="21"/>
              </w:rPr>
              <w:t>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二级指标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三级指标</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年度</w:t>
            </w:r>
          </w:p>
          <w:p>
            <w:pPr>
              <w:widowControl/>
              <w:spacing w:line="24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实际</w:t>
            </w:r>
          </w:p>
          <w:p>
            <w:pPr>
              <w:widowControl/>
              <w:spacing w:line="24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偏差原因</w:t>
            </w:r>
          </w:p>
          <w:p>
            <w:pPr>
              <w:widowControl/>
              <w:spacing w:line="240" w:lineRule="exact"/>
              <w:jc w:val="center"/>
              <w:rPr>
                <w:rFonts w:eastAsia="仿宋_GB2312"/>
                <w:color w:val="000000"/>
                <w:kern w:val="0"/>
                <w:szCs w:val="21"/>
              </w:rPr>
            </w:pPr>
            <w:r>
              <w:rPr>
                <w:rFonts w:eastAsia="仿宋_GB2312"/>
                <w:color w:val="000000"/>
                <w:kern w:val="0"/>
                <w:szCs w:val="21"/>
              </w:rPr>
              <w:t>分析及</w:t>
            </w:r>
          </w:p>
          <w:p>
            <w:pPr>
              <w:widowControl/>
              <w:spacing w:line="24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产出</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数量指标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0.5%</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0.5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质量指标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居民群众幸福生活</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时效指标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一年</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成本指标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效益</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left"/>
              <w:rPr>
                <w:rFonts w:eastAsia="仿宋_GB2312"/>
                <w:color w:val="000000"/>
                <w:kern w:val="0"/>
                <w:szCs w:val="21"/>
              </w:rPr>
            </w:pPr>
          </w:p>
          <w:p>
            <w:pPr>
              <w:widowControl/>
              <w:spacing w:line="240" w:lineRule="exact"/>
              <w:jc w:val="left"/>
              <w:rPr>
                <w:rFonts w:eastAsia="仿宋_GB2312"/>
                <w:color w:val="000000"/>
                <w:kern w:val="0"/>
                <w:szCs w:val="21"/>
              </w:rPr>
            </w:pPr>
            <w:r>
              <w:rPr>
                <w:rFonts w:eastAsia="仿宋_GB2312"/>
                <w:color w:val="000000"/>
                <w:kern w:val="0"/>
                <w:szCs w:val="21"/>
              </w:rPr>
              <w:t>（30分）</w:t>
            </w:r>
          </w:p>
          <w:p>
            <w:pPr>
              <w:spacing w:line="24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经济效益指标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社会效益指标</w:t>
            </w:r>
          </w:p>
        </w:tc>
        <w:tc>
          <w:tcPr>
            <w:tcW w:w="1428"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ascii="微软雅黑" w:hAnsi="微软雅黑" w:eastAsia="微软雅黑" w:cs="宋体"/>
                <w:color w:val="000000"/>
                <w:sz w:val="27"/>
                <w:szCs w:val="27"/>
              </w:rPr>
            </w:pPr>
            <w:r>
              <w:rPr>
                <w:rFonts w:hint="eastAsia" w:eastAsia="仿宋_GB2312"/>
                <w:color w:val="000000"/>
                <w:kern w:val="0"/>
                <w:szCs w:val="21"/>
              </w:rPr>
              <w:t>维护社会稳定，完成各项任务90%</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生态效益指标</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可持续影响指标</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群众安居乐业、社会稳定</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满意度</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bottom w:val="single" w:color="auto" w:sz="4" w:space="0"/>
              <w:right w:val="single" w:color="auto" w:sz="4" w:space="0"/>
            </w:tcBorders>
            <w:shd w:val="clear" w:color="auto" w:fill="auto"/>
            <w:vAlign w:val="center"/>
          </w:tcPr>
          <w:p>
            <w:pPr>
              <w:spacing w:line="240" w:lineRule="exact"/>
              <w:jc w:val="center"/>
              <w:rPr>
                <w:rFonts w:eastAsia="仿宋_GB2312"/>
                <w:color w:val="000000"/>
                <w:kern w:val="0"/>
                <w:szCs w:val="21"/>
              </w:rPr>
            </w:pPr>
            <w:r>
              <w:rPr>
                <w:rFonts w:eastAsia="仿宋_GB2312"/>
                <w:color w:val="000000"/>
                <w:kern w:val="0"/>
                <w:szCs w:val="21"/>
              </w:rPr>
              <w:t>服务对象满意度指标</w:t>
            </w:r>
          </w:p>
        </w:tc>
        <w:tc>
          <w:tcPr>
            <w:tcW w:w="14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信访群众比较满意</w:t>
            </w:r>
          </w:p>
        </w:tc>
        <w:tc>
          <w:tcPr>
            <w:tcW w:w="93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80%</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20</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15</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部分疑难信访案件无法做到群众满意度100%</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85.5</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r>
    </w:tbl>
    <w:p>
      <w:pPr>
        <w:spacing w:beforeLines="50" w:line="240" w:lineRule="exact"/>
        <w:rPr>
          <w:rFonts w:eastAsia="仿宋_GB2312"/>
          <w:sz w:val="24"/>
        </w:rPr>
      </w:pPr>
      <w:r>
        <w:rPr>
          <w:rFonts w:eastAsia="仿宋_GB2312"/>
          <w:sz w:val="24"/>
        </w:rPr>
        <w:t>填表人：</w:t>
      </w:r>
      <w:r>
        <w:rPr>
          <w:rFonts w:hint="eastAsia" w:eastAsia="仿宋_GB2312"/>
          <w:sz w:val="24"/>
        </w:rPr>
        <w:t>曾文君</w:t>
      </w:r>
      <w:r>
        <w:rPr>
          <w:rFonts w:eastAsia="仿宋_GB2312"/>
          <w:sz w:val="24"/>
        </w:rPr>
        <w:t xml:space="preserve">    </w:t>
      </w:r>
      <w:r>
        <w:rPr>
          <w:rFonts w:hint="eastAsia" w:eastAsia="仿宋_GB2312"/>
          <w:sz w:val="24"/>
        </w:rPr>
        <w:t xml:space="preserve">              </w:t>
      </w:r>
      <w:r>
        <w:rPr>
          <w:rFonts w:eastAsia="仿宋_GB2312"/>
          <w:sz w:val="24"/>
        </w:rPr>
        <w:t>填报日期：</w:t>
      </w:r>
      <w:r>
        <w:rPr>
          <w:rFonts w:hint="eastAsia" w:eastAsia="仿宋_GB2312"/>
          <w:sz w:val="24"/>
        </w:rPr>
        <w:t>2021年6月23日</w:t>
      </w:r>
    </w:p>
    <w:p>
      <w:pPr>
        <w:spacing w:beforeLines="50" w:line="240" w:lineRule="exact"/>
        <w:rPr>
          <w:rFonts w:eastAsia="仿宋_GB2312"/>
          <w:sz w:val="24"/>
        </w:rPr>
      </w:pPr>
      <w:r>
        <w:rPr>
          <w:rFonts w:eastAsia="仿宋_GB2312"/>
          <w:sz w:val="24"/>
        </w:rPr>
        <w:t>联系电话：</w:t>
      </w:r>
      <w:r>
        <w:rPr>
          <w:rFonts w:hint="eastAsia" w:eastAsia="仿宋_GB2312"/>
          <w:sz w:val="24"/>
        </w:rPr>
        <w:t>15874506606</w:t>
      </w:r>
      <w:r>
        <w:rPr>
          <w:rFonts w:eastAsia="仿宋_GB2312"/>
          <w:sz w:val="24"/>
        </w:rPr>
        <w:t xml:space="preserve">      </w:t>
      </w:r>
      <w:r>
        <w:rPr>
          <w:rFonts w:hint="eastAsia" w:eastAsia="仿宋_GB2312"/>
          <w:sz w:val="24"/>
        </w:rPr>
        <w:t xml:space="preserve">      </w:t>
      </w:r>
      <w:r>
        <w:rPr>
          <w:rFonts w:eastAsia="仿宋_GB2312"/>
          <w:sz w:val="24"/>
        </w:rPr>
        <w:t xml:space="preserve"> 单位负责人签字：</w:t>
      </w:r>
    </w:p>
    <w:p>
      <w:pPr>
        <w:spacing w:afterLines="100" w:line="600" w:lineRule="exact"/>
        <w:rPr>
          <w:rFonts w:eastAsia="黑体"/>
          <w:sz w:val="32"/>
          <w:szCs w:val="32"/>
        </w:rPr>
      </w:pPr>
    </w:p>
    <w:p>
      <w:pPr>
        <w:spacing w:afterLines="100" w:line="600" w:lineRule="exact"/>
        <w:rPr>
          <w:rFonts w:eastAsia="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0608D"/>
    <w:rsid w:val="00022046"/>
    <w:rsid w:val="000633F7"/>
    <w:rsid w:val="00065E69"/>
    <w:rsid w:val="000B0765"/>
    <w:rsid w:val="000B57BC"/>
    <w:rsid w:val="0010671F"/>
    <w:rsid w:val="001314C1"/>
    <w:rsid w:val="00140AB3"/>
    <w:rsid w:val="00150A5E"/>
    <w:rsid w:val="001516FA"/>
    <w:rsid w:val="00161EA4"/>
    <w:rsid w:val="00162440"/>
    <w:rsid w:val="00174EEF"/>
    <w:rsid w:val="001A127E"/>
    <w:rsid w:val="001B793F"/>
    <w:rsid w:val="00200490"/>
    <w:rsid w:val="00234D48"/>
    <w:rsid w:val="002558F7"/>
    <w:rsid w:val="002C67DA"/>
    <w:rsid w:val="002E1B5C"/>
    <w:rsid w:val="0031755D"/>
    <w:rsid w:val="003711D0"/>
    <w:rsid w:val="00377767"/>
    <w:rsid w:val="00377A33"/>
    <w:rsid w:val="003E5114"/>
    <w:rsid w:val="00415E80"/>
    <w:rsid w:val="00421E1D"/>
    <w:rsid w:val="00426627"/>
    <w:rsid w:val="00427AA0"/>
    <w:rsid w:val="004B2EAF"/>
    <w:rsid w:val="005833DD"/>
    <w:rsid w:val="005900F8"/>
    <w:rsid w:val="00595424"/>
    <w:rsid w:val="005A4AB0"/>
    <w:rsid w:val="00614437"/>
    <w:rsid w:val="006370F0"/>
    <w:rsid w:val="006811E5"/>
    <w:rsid w:val="006E130F"/>
    <w:rsid w:val="007B54D9"/>
    <w:rsid w:val="007B71C5"/>
    <w:rsid w:val="007C6D0D"/>
    <w:rsid w:val="00800048"/>
    <w:rsid w:val="00887C00"/>
    <w:rsid w:val="008A4834"/>
    <w:rsid w:val="008A7701"/>
    <w:rsid w:val="008D7141"/>
    <w:rsid w:val="009455BA"/>
    <w:rsid w:val="009B7C6D"/>
    <w:rsid w:val="009D4AE4"/>
    <w:rsid w:val="009E0FFE"/>
    <w:rsid w:val="009E40F9"/>
    <w:rsid w:val="00A045A1"/>
    <w:rsid w:val="00A070E1"/>
    <w:rsid w:val="00A317C9"/>
    <w:rsid w:val="00A75C37"/>
    <w:rsid w:val="00AA700A"/>
    <w:rsid w:val="00AC4F24"/>
    <w:rsid w:val="00B364CE"/>
    <w:rsid w:val="00BA3739"/>
    <w:rsid w:val="00BB6107"/>
    <w:rsid w:val="00BD1C3A"/>
    <w:rsid w:val="00C1435E"/>
    <w:rsid w:val="00C25716"/>
    <w:rsid w:val="00C3391C"/>
    <w:rsid w:val="00C344EC"/>
    <w:rsid w:val="00C4552C"/>
    <w:rsid w:val="00C72139"/>
    <w:rsid w:val="00C9694F"/>
    <w:rsid w:val="00CC4C2C"/>
    <w:rsid w:val="00CD20A2"/>
    <w:rsid w:val="00CD5BB8"/>
    <w:rsid w:val="00D10324"/>
    <w:rsid w:val="00DB4CF3"/>
    <w:rsid w:val="00E06963"/>
    <w:rsid w:val="00E127F9"/>
    <w:rsid w:val="00E30232"/>
    <w:rsid w:val="00E50869"/>
    <w:rsid w:val="00EF53C1"/>
    <w:rsid w:val="00F47735"/>
    <w:rsid w:val="00F55CD7"/>
    <w:rsid w:val="00FB69AA"/>
    <w:rsid w:val="00FC7FE9"/>
    <w:rsid w:val="00FD7187"/>
    <w:rsid w:val="03D419EF"/>
    <w:rsid w:val="133C4B4F"/>
    <w:rsid w:val="6BE515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2718</Words>
  <Characters>15498</Characters>
  <Lines>129</Lines>
  <Paragraphs>36</Paragraphs>
  <TotalTime>1101</TotalTime>
  <ScaleCrop>false</ScaleCrop>
  <LinksUpToDate>false</LinksUpToDate>
  <CharactersWithSpaces>18180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2021-06-28T01:28:06Z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835FFD02399F4479B3F433186CD0B1EF</vt:lpwstr>
  </property>
</Properties>
</file>