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6"/>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rPr>
              <w:t>9</w:t>
            </w:r>
            <w:r>
              <w:rPr>
                <w:rFonts w:hint="eastAsia" w:ascii="仿宋_GB2312" w:eastAsia="仿宋_GB2312"/>
                <w:szCs w:val="21"/>
                <w:lang w:val="en-US" w:eastAsia="zh-CN"/>
              </w:rPr>
              <w:t>6</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eastAsia" w:ascii="仿宋" w:hAnsi="仿宋" w:eastAsia="仿宋"/>
          <w:lang w:eastAsia="zh-CN"/>
        </w:rPr>
      </w:pPr>
      <w:r>
        <w:rPr>
          <w:rFonts w:hint="eastAsia" w:ascii="仿宋" w:hAnsi="仿宋" w:eastAsia="仿宋"/>
        </w:rPr>
        <w:t>填报单位：</w:t>
      </w:r>
      <w:r>
        <w:rPr>
          <w:rFonts w:hint="eastAsia" w:ascii="仿宋" w:hAnsi="仿宋" w:eastAsia="仿宋"/>
          <w:lang w:eastAsia="zh-CN"/>
        </w:rPr>
        <w:t>怀化市湖天桥小学</w:t>
      </w:r>
    </w:p>
    <w:tbl>
      <w:tblPr>
        <w:tblStyle w:val="6"/>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49</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71.71万元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72.41万元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70.56万元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19.05万元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20.4万元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19.38万元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11.81万元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16.13万元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15.48万元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3.84万元</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5万元</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3.57万元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ascii="仿宋" w:hAnsi="仿宋" w:eastAsia="仿宋" w:cs="仿宋"/>
          <w:b/>
          <w:bCs/>
          <w:sz w:val="44"/>
          <w:szCs w:val="44"/>
        </w:rPr>
      </w:pPr>
      <w:r>
        <w:rPr>
          <w:rFonts w:hint="eastAsia" w:ascii="仿宋" w:hAnsi="仿宋" w:eastAsia="仿宋" w:cs="仿宋"/>
          <w:b/>
          <w:bCs/>
          <w:sz w:val="44"/>
          <w:szCs w:val="44"/>
        </w:rPr>
        <w:t>部门整体支出绩效评价报告</w:t>
      </w:r>
    </w:p>
    <w:p>
      <w:pPr>
        <w:spacing w:line="600" w:lineRule="exact"/>
        <w:jc w:val="center"/>
        <w:rPr>
          <w:rFonts w:hint="eastAsia" w:ascii="仿宋" w:hAnsi="仿宋" w:eastAsia="仿宋" w:cs="仿宋"/>
          <w:sz w:val="32"/>
          <w:szCs w:val="32"/>
        </w:rPr>
      </w:pPr>
    </w:p>
    <w:p>
      <w:pPr>
        <w:pStyle w:val="10"/>
        <w:widowControl/>
        <w:numPr>
          <w:numId w:val="0"/>
        </w:numPr>
        <w:spacing w:line="600" w:lineRule="exact"/>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b/>
          <w:bCs/>
          <w:sz w:val="32"/>
          <w:szCs w:val="32"/>
        </w:rPr>
        <w:t>部门、单位基本情况</w:t>
      </w:r>
    </w:p>
    <w:p>
      <w:pPr>
        <w:spacing w:line="560" w:lineRule="exact"/>
        <w:jc w:val="left"/>
        <w:rPr>
          <w:rFonts w:hint="eastAsia" w:ascii="仿宋" w:hAnsi="仿宋" w:eastAsia="仿宋" w:cs="仿宋"/>
          <w:b w:val="0"/>
          <w:bCs/>
          <w:sz w:val="30"/>
          <w:szCs w:val="30"/>
        </w:rPr>
      </w:pPr>
      <w:r>
        <w:rPr>
          <w:rFonts w:hint="eastAsia" w:ascii="仿宋" w:hAnsi="仿宋" w:eastAsia="仿宋" w:cs="仿宋"/>
          <w:b w:val="0"/>
          <w:bCs/>
          <w:sz w:val="30"/>
          <w:szCs w:val="30"/>
        </w:rPr>
        <w:t>（一）部门职责</w:t>
      </w:r>
    </w:p>
    <w:p>
      <w:pPr>
        <w:spacing w:line="600" w:lineRule="exact"/>
        <w:ind w:firstLine="750" w:firstLineChars="250"/>
        <w:jc w:val="left"/>
        <w:rPr>
          <w:rFonts w:hint="eastAsia" w:ascii="仿宋" w:hAnsi="仿宋" w:eastAsia="仿宋" w:cs="仿宋"/>
          <w:b w:val="0"/>
          <w:bCs/>
          <w:kern w:val="0"/>
          <w:sz w:val="30"/>
          <w:szCs w:val="30"/>
        </w:rPr>
      </w:pPr>
      <w:r>
        <w:rPr>
          <w:rFonts w:hint="eastAsia" w:ascii="仿宋" w:hAnsi="仿宋" w:eastAsia="仿宋" w:cs="仿宋"/>
          <w:b w:val="0"/>
          <w:bCs/>
          <w:sz w:val="30"/>
          <w:szCs w:val="30"/>
        </w:rPr>
        <w:t>怀化市</w:t>
      </w:r>
      <w:r>
        <w:rPr>
          <w:rFonts w:hint="eastAsia" w:ascii="仿宋" w:hAnsi="仿宋" w:eastAsia="仿宋" w:cs="仿宋"/>
          <w:b w:val="0"/>
          <w:bCs/>
          <w:sz w:val="30"/>
          <w:szCs w:val="30"/>
          <w:lang w:eastAsia="zh-CN"/>
        </w:rPr>
        <w:t>怀化市湖天桥小学</w:t>
      </w:r>
      <w:r>
        <w:rPr>
          <w:rFonts w:hint="eastAsia" w:ascii="仿宋" w:hAnsi="仿宋" w:eastAsia="仿宋" w:cs="仿宋"/>
          <w:b w:val="0"/>
          <w:bCs/>
          <w:sz w:val="30"/>
          <w:szCs w:val="30"/>
        </w:rPr>
        <w:t>是全额拨款的事业单位。主要工作职责：全面贯彻党的教育方针，落实九年义务教育各项政策，保障学生受教育的各项权利，维护教师职工各项权益。</w:t>
      </w:r>
    </w:p>
    <w:p>
      <w:pPr>
        <w:spacing w:line="560" w:lineRule="exact"/>
        <w:jc w:val="left"/>
        <w:rPr>
          <w:rFonts w:hint="eastAsia" w:ascii="仿宋" w:hAnsi="仿宋" w:eastAsia="仿宋" w:cs="仿宋"/>
          <w:b w:val="0"/>
          <w:bCs/>
          <w:sz w:val="30"/>
          <w:szCs w:val="30"/>
        </w:rPr>
      </w:pPr>
      <w:r>
        <w:rPr>
          <w:rFonts w:hint="eastAsia" w:ascii="仿宋" w:hAnsi="仿宋" w:eastAsia="仿宋" w:cs="仿宋"/>
          <w:b w:val="0"/>
          <w:bCs/>
          <w:sz w:val="30"/>
          <w:szCs w:val="30"/>
        </w:rPr>
        <w:t>（二）机构设置情况</w:t>
      </w:r>
    </w:p>
    <w:p>
      <w:pPr>
        <w:pStyle w:val="4"/>
        <w:ind w:firstLine="900" w:firstLineChars="300"/>
        <w:jc w:val="left"/>
        <w:rPr>
          <w:rFonts w:hint="eastAsia" w:ascii="仿宋" w:hAnsi="仿宋" w:eastAsia="仿宋" w:cs="仿宋"/>
          <w:sz w:val="32"/>
          <w:szCs w:val="32"/>
        </w:rPr>
      </w:pPr>
      <w:r>
        <w:rPr>
          <w:rFonts w:hint="eastAsia" w:ascii="仿宋" w:hAnsi="仿宋" w:eastAsia="仿宋" w:cs="仿宋"/>
          <w:b w:val="0"/>
          <w:bCs/>
          <w:sz w:val="30"/>
          <w:szCs w:val="30"/>
          <w:lang w:eastAsia="zh-CN"/>
        </w:rPr>
        <w:t>怀化市湖天桥小学是鹤城区一级部门预算</w:t>
      </w:r>
      <w:r>
        <w:rPr>
          <w:rFonts w:hint="eastAsia" w:ascii="仿宋" w:hAnsi="仿宋" w:eastAsia="仿宋" w:cs="仿宋"/>
          <w:b w:val="0"/>
          <w:bCs/>
          <w:sz w:val="30"/>
          <w:szCs w:val="30"/>
        </w:rPr>
        <w:t>单位，纳入2020年部门预算编制范围。在职职工人数</w:t>
      </w:r>
      <w:r>
        <w:rPr>
          <w:rFonts w:hint="eastAsia" w:ascii="仿宋" w:hAnsi="仿宋" w:eastAsia="仿宋" w:cs="仿宋"/>
          <w:b w:val="0"/>
          <w:bCs/>
          <w:sz w:val="30"/>
          <w:szCs w:val="30"/>
          <w:lang w:val="en-US" w:eastAsia="zh-CN"/>
        </w:rPr>
        <w:t>44</w:t>
      </w:r>
      <w:r>
        <w:rPr>
          <w:rFonts w:hint="eastAsia" w:ascii="仿宋" w:hAnsi="仿宋" w:eastAsia="仿宋" w:cs="仿宋"/>
          <w:b w:val="0"/>
          <w:bCs/>
          <w:sz w:val="30"/>
          <w:szCs w:val="30"/>
        </w:rPr>
        <w:t>人，学生人数</w:t>
      </w:r>
      <w:r>
        <w:rPr>
          <w:rFonts w:hint="eastAsia" w:ascii="仿宋" w:hAnsi="仿宋" w:eastAsia="仿宋" w:cs="仿宋"/>
          <w:b w:val="0"/>
          <w:bCs/>
          <w:sz w:val="30"/>
          <w:szCs w:val="30"/>
          <w:lang w:val="en-US" w:eastAsia="zh-CN"/>
        </w:rPr>
        <w:t>1138</w:t>
      </w:r>
      <w:r>
        <w:rPr>
          <w:rFonts w:hint="eastAsia" w:ascii="仿宋" w:hAnsi="仿宋" w:eastAsia="仿宋" w:cs="仿宋"/>
          <w:b w:val="0"/>
          <w:bCs/>
          <w:sz w:val="30"/>
          <w:szCs w:val="30"/>
        </w:rPr>
        <w:t>人。</w:t>
      </w:r>
      <w:r>
        <w:rPr>
          <w:rFonts w:hint="eastAsia" w:ascii="仿宋" w:hAnsi="仿宋" w:eastAsia="仿宋" w:cs="仿宋"/>
          <w:b w:val="0"/>
          <w:bCs/>
          <w:kern w:val="0"/>
          <w:sz w:val="30"/>
          <w:szCs w:val="30"/>
        </w:rPr>
        <w:t>内设机构设置9</w:t>
      </w:r>
      <w:r>
        <w:rPr>
          <w:rFonts w:hint="eastAsia" w:ascii="仿宋" w:hAnsi="仿宋" w:eastAsia="仿宋" w:cs="仿宋"/>
          <w:b w:val="0"/>
          <w:bCs/>
          <w:sz w:val="30"/>
          <w:szCs w:val="30"/>
        </w:rPr>
        <w:t>个职能处室：学校办公室、校长室、工会、党支部、总务处、教务处、德育处、教研室、财务室。</w:t>
      </w:r>
    </w:p>
    <w:p>
      <w:pPr>
        <w:pStyle w:val="10"/>
        <w:widowControl/>
        <w:numPr>
          <w:numId w:val="0"/>
        </w:numPr>
        <w:spacing w:line="600" w:lineRule="exact"/>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一般公共预算支出情况</w:t>
      </w:r>
    </w:p>
    <w:p>
      <w:pPr>
        <w:pStyle w:val="10"/>
        <w:widowControl/>
        <w:spacing w:line="600" w:lineRule="exact"/>
        <w:ind w:left="640" w:firstLine="0" w:firstLineChars="0"/>
        <w:rPr>
          <w:rFonts w:hint="eastAsia" w:ascii="仿宋" w:hAnsi="仿宋" w:eastAsia="仿宋" w:cs="仿宋"/>
          <w:sz w:val="32"/>
          <w:szCs w:val="32"/>
        </w:rPr>
      </w:pPr>
      <w:r>
        <w:rPr>
          <w:rFonts w:hint="eastAsia" w:ascii="仿宋" w:hAnsi="仿宋" w:eastAsia="仿宋" w:cs="仿宋"/>
          <w:sz w:val="32"/>
          <w:szCs w:val="32"/>
        </w:rPr>
        <w:t>（一）基本支出情况</w:t>
      </w:r>
    </w:p>
    <w:p>
      <w:pPr>
        <w:spacing w:line="560" w:lineRule="exact"/>
        <w:ind w:firstLine="630"/>
        <w:rPr>
          <w:rFonts w:hint="eastAsia" w:ascii="仿宋" w:hAnsi="仿宋" w:eastAsia="仿宋" w:cs="仿宋"/>
          <w:sz w:val="32"/>
          <w:szCs w:val="32"/>
        </w:rPr>
      </w:pPr>
      <w:r>
        <w:rPr>
          <w:rFonts w:hint="eastAsia" w:ascii="仿宋" w:hAnsi="仿宋" w:eastAsia="仿宋" w:cs="仿宋"/>
          <w:b w:val="0"/>
          <w:bCs/>
          <w:sz w:val="30"/>
          <w:szCs w:val="30"/>
        </w:rPr>
        <w:t>2020年年初预算数为</w:t>
      </w:r>
      <w:r>
        <w:rPr>
          <w:rFonts w:hint="eastAsia" w:ascii="仿宋" w:hAnsi="仿宋" w:eastAsia="仿宋" w:cs="仿宋"/>
          <w:b w:val="0"/>
          <w:bCs/>
          <w:sz w:val="30"/>
          <w:szCs w:val="30"/>
          <w:lang w:val="en-US" w:eastAsia="zh-CN"/>
        </w:rPr>
        <w:t>797</w:t>
      </w:r>
      <w:r>
        <w:rPr>
          <w:rFonts w:hint="eastAsia" w:ascii="仿宋" w:hAnsi="仿宋" w:eastAsia="仿宋" w:cs="仿宋"/>
          <w:b w:val="0"/>
          <w:bCs/>
          <w:sz w:val="30"/>
          <w:szCs w:val="30"/>
        </w:rPr>
        <w:t>万元，是指为保障单位机构正常运转、完成日常工作任务而发生的各项支出，包括用于基本工资、津贴补贴等人员经费以及办公费、印刷费、水电费、物业管理费等日常公用经费；</w:t>
      </w:r>
      <w:r>
        <w:rPr>
          <w:rFonts w:hint="eastAsia" w:ascii="仿宋" w:hAnsi="仿宋" w:eastAsia="仿宋" w:cs="仿宋"/>
          <w:b w:val="0"/>
          <w:bCs/>
          <w:sz w:val="30"/>
          <w:szCs w:val="30"/>
          <w:lang w:eastAsia="zh-CN"/>
        </w:rPr>
        <w:t>基本支出预算保障充足及时，支出绩效优良。</w:t>
      </w:r>
    </w:p>
    <w:p>
      <w:pPr>
        <w:pStyle w:val="10"/>
        <w:widowControl/>
        <w:numPr>
          <w:ilvl w:val="0"/>
          <w:numId w:val="1"/>
        </w:numPr>
        <w:spacing w:line="600" w:lineRule="exact"/>
        <w:ind w:left="640" w:firstLine="0" w:firstLineChars="0"/>
        <w:rPr>
          <w:rFonts w:hint="eastAsia" w:ascii="仿宋" w:hAnsi="仿宋" w:eastAsia="仿宋" w:cs="仿宋"/>
          <w:sz w:val="32"/>
          <w:szCs w:val="32"/>
        </w:rPr>
      </w:pPr>
      <w:r>
        <w:rPr>
          <w:rFonts w:hint="eastAsia" w:ascii="仿宋" w:hAnsi="仿宋" w:eastAsia="仿宋" w:cs="仿宋"/>
          <w:sz w:val="32"/>
          <w:szCs w:val="32"/>
        </w:rPr>
        <w:t>项目支出情况</w:t>
      </w:r>
    </w:p>
    <w:p>
      <w:pPr>
        <w:widowControl/>
        <w:spacing w:line="600" w:lineRule="exact"/>
        <w:ind w:firstLine="600" w:firstLineChars="200"/>
        <w:jc w:val="left"/>
        <w:rPr>
          <w:rFonts w:hint="eastAsia" w:ascii="仿宋" w:hAnsi="仿宋" w:eastAsia="仿宋" w:cs="仿宋"/>
          <w:sz w:val="32"/>
          <w:szCs w:val="32"/>
        </w:rPr>
      </w:pPr>
      <w:r>
        <w:rPr>
          <w:rFonts w:hint="eastAsia" w:ascii="仿宋" w:hAnsi="仿宋" w:eastAsia="仿宋" w:cs="仿宋"/>
          <w:b w:val="0"/>
          <w:bCs/>
          <w:sz w:val="30"/>
          <w:szCs w:val="30"/>
        </w:rPr>
        <w:t>2020年年初预算数为1</w:t>
      </w:r>
      <w:r>
        <w:rPr>
          <w:rFonts w:hint="eastAsia" w:ascii="仿宋" w:hAnsi="仿宋" w:eastAsia="仿宋" w:cs="仿宋"/>
          <w:b w:val="0"/>
          <w:bCs/>
          <w:sz w:val="30"/>
          <w:szCs w:val="30"/>
          <w:lang w:val="en-US" w:eastAsia="zh-CN"/>
        </w:rPr>
        <w:t>65</w:t>
      </w:r>
      <w:r>
        <w:rPr>
          <w:rFonts w:hint="eastAsia" w:ascii="仿宋" w:hAnsi="仿宋" w:eastAsia="仿宋" w:cs="仿宋"/>
          <w:b w:val="0"/>
          <w:bCs/>
          <w:sz w:val="30"/>
          <w:szCs w:val="30"/>
        </w:rPr>
        <w:t>万元，是指单位为完成特定行政工作任务或事业发展目标而发生的支出，包括有产业发展引导类0万元、专项业务费用类</w:t>
      </w:r>
      <w:r>
        <w:rPr>
          <w:rFonts w:hint="eastAsia" w:ascii="仿宋" w:hAnsi="仿宋" w:eastAsia="仿宋" w:cs="仿宋"/>
          <w:b w:val="0"/>
          <w:bCs/>
          <w:sz w:val="30"/>
          <w:szCs w:val="30"/>
          <w:lang w:val="en-US" w:eastAsia="zh-CN"/>
        </w:rPr>
        <w:t>3.56</w:t>
      </w:r>
      <w:r>
        <w:rPr>
          <w:rFonts w:hint="eastAsia" w:ascii="仿宋" w:hAnsi="仿宋" w:eastAsia="仿宋" w:cs="仿宋"/>
          <w:b w:val="0"/>
          <w:bCs/>
          <w:sz w:val="30"/>
          <w:szCs w:val="30"/>
        </w:rPr>
        <w:t>万元、基本建设类0万元、对个人和家庭补助类1</w:t>
      </w:r>
      <w:r>
        <w:rPr>
          <w:rFonts w:hint="eastAsia" w:ascii="仿宋" w:hAnsi="仿宋" w:eastAsia="仿宋" w:cs="仿宋"/>
          <w:b w:val="0"/>
          <w:bCs/>
          <w:sz w:val="30"/>
          <w:szCs w:val="30"/>
          <w:lang w:val="en-US" w:eastAsia="zh-CN"/>
        </w:rPr>
        <w:t>61.44</w:t>
      </w:r>
      <w:r>
        <w:rPr>
          <w:rFonts w:hint="eastAsia" w:ascii="仿宋" w:hAnsi="仿宋" w:eastAsia="仿宋" w:cs="仿宋"/>
          <w:b w:val="0"/>
          <w:bCs/>
          <w:sz w:val="30"/>
          <w:szCs w:val="30"/>
        </w:rPr>
        <w:t>万元</w:t>
      </w:r>
      <w:r>
        <w:rPr>
          <w:rFonts w:hint="eastAsia" w:ascii="仿宋" w:hAnsi="仿宋" w:eastAsia="仿宋" w:cs="仿宋"/>
          <w:b w:val="0"/>
          <w:bCs/>
          <w:sz w:val="30"/>
          <w:szCs w:val="30"/>
          <w:lang w:eastAsia="zh-CN"/>
        </w:rPr>
        <w:t>，项目支出预算保障及时有力，支出绩效优良，群众满意度高</w:t>
      </w:r>
      <w:r>
        <w:rPr>
          <w:rFonts w:hint="eastAsia" w:ascii="仿宋" w:hAnsi="仿宋" w:eastAsia="仿宋" w:cs="仿宋"/>
          <w:b w:val="0"/>
          <w:bCs/>
          <w:sz w:val="30"/>
          <w:szCs w:val="30"/>
        </w:rPr>
        <w:t>。</w:t>
      </w:r>
      <w:r>
        <w:rPr>
          <w:rFonts w:hint="eastAsia" w:ascii="仿宋" w:hAnsi="仿宋" w:eastAsia="仿宋" w:cs="仿宋"/>
          <w:sz w:val="32"/>
          <w:szCs w:val="32"/>
        </w:rPr>
        <w:t>除专项资金以外</w:t>
      </w:r>
      <w:r>
        <w:rPr>
          <w:rFonts w:hint="eastAsia" w:ascii="仿宋" w:hAnsi="仿宋" w:eastAsia="仿宋" w:cs="仿宋"/>
          <w:sz w:val="32"/>
          <w:szCs w:val="32"/>
          <w:lang w:eastAsia="zh-CN"/>
        </w:rPr>
        <w:t>无</w:t>
      </w:r>
      <w:r>
        <w:rPr>
          <w:rFonts w:hint="eastAsia" w:ascii="仿宋" w:hAnsi="仿宋" w:eastAsia="仿宋" w:cs="仿宋"/>
          <w:sz w:val="32"/>
          <w:szCs w:val="32"/>
        </w:rPr>
        <w:t>其他项目支出情况。</w:t>
      </w:r>
    </w:p>
    <w:p>
      <w:pPr>
        <w:pStyle w:val="10"/>
        <w:widowControl/>
        <w:numPr>
          <w:numId w:val="0"/>
        </w:numPr>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政府性基金预算支出情况</w:t>
      </w:r>
    </w:p>
    <w:p>
      <w:pPr>
        <w:spacing w:line="480" w:lineRule="auto"/>
        <w:ind w:firstLine="600" w:firstLineChars="200"/>
        <w:jc w:val="left"/>
        <w:rPr>
          <w:rFonts w:hint="eastAsia" w:ascii="仿宋" w:hAnsi="仿宋" w:eastAsia="仿宋" w:cs="仿宋"/>
          <w:sz w:val="32"/>
          <w:szCs w:val="32"/>
          <w:lang w:eastAsia="zh-CN"/>
        </w:rPr>
      </w:pPr>
      <w:r>
        <w:rPr>
          <w:rFonts w:hint="eastAsia" w:ascii="仿宋" w:hAnsi="仿宋" w:eastAsia="仿宋" w:cs="仿宋"/>
          <w:b w:val="0"/>
          <w:bCs/>
          <w:sz w:val="30"/>
          <w:szCs w:val="30"/>
        </w:rPr>
        <w:t>2020年无政府性基金支出</w:t>
      </w:r>
      <w:r>
        <w:rPr>
          <w:rFonts w:hint="eastAsia" w:ascii="仿宋" w:hAnsi="仿宋" w:eastAsia="仿宋" w:cs="仿宋"/>
          <w:b w:val="0"/>
          <w:bCs/>
          <w:sz w:val="30"/>
          <w:szCs w:val="30"/>
          <w:lang w:eastAsia="zh-CN"/>
        </w:rPr>
        <w:t>。</w:t>
      </w:r>
    </w:p>
    <w:p>
      <w:pPr>
        <w:pStyle w:val="10"/>
        <w:widowControl/>
        <w:numPr>
          <w:numId w:val="0"/>
        </w:numPr>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国有资本经营预算支出情况</w:t>
      </w:r>
    </w:p>
    <w:p>
      <w:pPr>
        <w:pStyle w:val="10"/>
        <w:widowControl/>
        <w:numPr>
          <w:ilvl w:val="0"/>
          <w:numId w:val="0"/>
        </w:numPr>
        <w:spacing w:line="600" w:lineRule="exact"/>
        <w:ind w:left="640" w:leftChars="0"/>
        <w:jc w:val="left"/>
        <w:rPr>
          <w:rFonts w:hint="eastAsia" w:ascii="仿宋" w:hAnsi="仿宋" w:eastAsia="仿宋" w:cs="仿宋"/>
          <w:sz w:val="32"/>
          <w:szCs w:val="32"/>
        </w:rPr>
      </w:pPr>
      <w:r>
        <w:rPr>
          <w:rFonts w:hint="eastAsia" w:ascii="仿宋" w:hAnsi="仿宋" w:eastAsia="仿宋" w:cs="仿宋"/>
          <w:b w:val="0"/>
          <w:bCs/>
          <w:sz w:val="30"/>
          <w:szCs w:val="30"/>
        </w:rPr>
        <w:t>2020年无</w:t>
      </w:r>
      <w:r>
        <w:rPr>
          <w:rFonts w:hint="eastAsia" w:ascii="仿宋" w:hAnsi="仿宋" w:eastAsia="仿宋" w:cs="仿宋"/>
          <w:b w:val="0"/>
          <w:bCs/>
          <w:sz w:val="30"/>
          <w:szCs w:val="30"/>
          <w:lang w:eastAsia="zh-CN"/>
        </w:rPr>
        <w:t>国有资本经营预算</w:t>
      </w:r>
      <w:r>
        <w:rPr>
          <w:rFonts w:hint="eastAsia" w:ascii="仿宋" w:hAnsi="仿宋" w:eastAsia="仿宋" w:cs="仿宋"/>
          <w:b w:val="0"/>
          <w:bCs/>
          <w:sz w:val="30"/>
          <w:szCs w:val="30"/>
        </w:rPr>
        <w:t>支出。</w:t>
      </w:r>
    </w:p>
    <w:p>
      <w:pPr>
        <w:pStyle w:val="10"/>
        <w:widowControl/>
        <w:numPr>
          <w:numId w:val="0"/>
        </w:numPr>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社会保险基金预算支出情况</w:t>
      </w:r>
    </w:p>
    <w:p>
      <w:pPr>
        <w:pStyle w:val="10"/>
        <w:widowControl/>
        <w:numPr>
          <w:ilvl w:val="0"/>
          <w:numId w:val="0"/>
        </w:numPr>
        <w:spacing w:line="600" w:lineRule="exact"/>
        <w:ind w:left="640" w:leftChars="0"/>
        <w:jc w:val="left"/>
        <w:rPr>
          <w:rFonts w:hint="eastAsia" w:ascii="仿宋" w:hAnsi="仿宋" w:eastAsia="仿宋" w:cs="仿宋"/>
          <w:sz w:val="32"/>
          <w:szCs w:val="32"/>
        </w:rPr>
      </w:pPr>
      <w:r>
        <w:rPr>
          <w:rFonts w:hint="eastAsia" w:ascii="仿宋" w:hAnsi="仿宋" w:eastAsia="仿宋" w:cs="仿宋"/>
          <w:b w:val="0"/>
          <w:bCs/>
          <w:sz w:val="30"/>
          <w:szCs w:val="30"/>
        </w:rPr>
        <w:t>2020年无</w:t>
      </w:r>
      <w:r>
        <w:rPr>
          <w:rFonts w:hint="eastAsia" w:ascii="仿宋" w:hAnsi="仿宋" w:eastAsia="仿宋" w:cs="仿宋"/>
          <w:b w:val="0"/>
          <w:bCs/>
          <w:sz w:val="30"/>
          <w:szCs w:val="30"/>
          <w:lang w:eastAsia="zh-CN"/>
        </w:rPr>
        <w:t>社会保险基金预算</w:t>
      </w:r>
      <w:r>
        <w:rPr>
          <w:rFonts w:hint="eastAsia" w:ascii="仿宋" w:hAnsi="仿宋" w:eastAsia="仿宋" w:cs="仿宋"/>
          <w:b w:val="0"/>
          <w:bCs/>
          <w:sz w:val="30"/>
          <w:szCs w:val="30"/>
        </w:rPr>
        <w:t>支出。</w:t>
      </w:r>
    </w:p>
    <w:p>
      <w:pPr>
        <w:widowControl/>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rPr>
        <w:t>六、部门整体支出绩效情况</w:t>
      </w:r>
    </w:p>
    <w:p>
      <w:pPr>
        <w:numPr>
          <w:ilvl w:val="0"/>
          <w:numId w:val="0"/>
        </w:numPr>
        <w:spacing w:line="560" w:lineRule="exact"/>
        <w:ind w:leftChars="0" w:firstLine="640"/>
        <w:rPr>
          <w:rFonts w:hint="eastAsia" w:ascii="仿宋" w:hAnsi="仿宋" w:eastAsia="仿宋" w:cs="仿宋"/>
          <w:sz w:val="32"/>
          <w:szCs w:val="32"/>
          <w:lang w:val="en-US" w:eastAsia="zh-CN"/>
        </w:rPr>
      </w:pPr>
      <w:r>
        <w:rPr>
          <w:rFonts w:hint="eastAsia" w:ascii="仿宋_GB2312" w:eastAsia="仿宋_GB2312"/>
          <w:sz w:val="32"/>
          <w:szCs w:val="32"/>
          <w:lang w:val="en-US" w:eastAsia="zh-CN"/>
        </w:rPr>
        <w:t>2020年在上级部门的正确领导下，我校以提高教育教学质量为中心，将</w:t>
      </w:r>
      <w:r>
        <w:rPr>
          <w:rFonts w:hint="eastAsia" w:ascii="仿宋" w:hAnsi="仿宋" w:eastAsia="仿宋" w:cs="仿宋_GB2312"/>
          <w:color w:val="333333"/>
          <w:sz w:val="32"/>
          <w:szCs w:val="32"/>
        </w:rPr>
        <w:t>所有财政性资金、专项资金都纳入绩效管理</w:t>
      </w:r>
      <w:r>
        <w:rPr>
          <w:rFonts w:hint="eastAsia" w:ascii="仿宋" w:hAnsi="仿宋" w:eastAsia="仿宋" w:cs="仿宋_GB2312"/>
          <w:color w:val="333333"/>
          <w:sz w:val="32"/>
          <w:szCs w:val="32"/>
          <w:lang w:eastAsia="zh-CN"/>
        </w:rPr>
        <w:t>，</w:t>
      </w:r>
      <w:r>
        <w:rPr>
          <w:rFonts w:hint="eastAsia" w:ascii="仿宋" w:hAnsi="仿宋" w:eastAsia="仿宋" w:cs="仿宋_GB2312"/>
          <w:color w:val="333333"/>
          <w:sz w:val="32"/>
          <w:szCs w:val="32"/>
        </w:rPr>
        <w:t>保证各项资金使用的真实、合法、有效，</w:t>
      </w:r>
      <w:r>
        <w:rPr>
          <w:rFonts w:hint="eastAsia" w:ascii="仿宋_GB2312" w:eastAsia="仿宋_GB2312"/>
          <w:sz w:val="32"/>
          <w:szCs w:val="32"/>
          <w:lang w:val="en-US" w:eastAsia="zh-CN"/>
        </w:rPr>
        <w:t>充分发挥资金使用效率。</w:t>
      </w:r>
      <w:r>
        <w:rPr>
          <w:rFonts w:hint="eastAsia" w:ascii="仿宋" w:hAnsi="仿宋" w:eastAsia="仿宋" w:cs="仿宋"/>
          <w:b w:val="0"/>
          <w:bCs/>
          <w:sz w:val="30"/>
          <w:szCs w:val="30"/>
        </w:rPr>
        <w:t>2020年年初预算</w:t>
      </w:r>
      <w:r>
        <w:rPr>
          <w:rFonts w:hint="eastAsia" w:ascii="仿宋" w:hAnsi="仿宋" w:eastAsia="仿宋" w:cs="仿宋"/>
          <w:b w:val="0"/>
          <w:bCs/>
          <w:sz w:val="30"/>
          <w:szCs w:val="30"/>
          <w:lang w:eastAsia="zh-CN"/>
        </w:rPr>
        <w:t>总</w:t>
      </w:r>
      <w:r>
        <w:rPr>
          <w:rFonts w:hint="eastAsia" w:ascii="仿宋" w:hAnsi="仿宋" w:eastAsia="仿宋" w:cs="仿宋"/>
          <w:b w:val="0"/>
          <w:bCs/>
          <w:sz w:val="30"/>
          <w:szCs w:val="30"/>
        </w:rPr>
        <w:t>数为</w:t>
      </w:r>
      <w:r>
        <w:rPr>
          <w:rFonts w:hint="eastAsia" w:ascii="仿宋" w:hAnsi="仿宋" w:eastAsia="仿宋" w:cs="仿宋"/>
          <w:b w:val="0"/>
          <w:bCs/>
          <w:sz w:val="30"/>
          <w:szCs w:val="30"/>
          <w:lang w:val="en-US" w:eastAsia="zh-CN"/>
        </w:rPr>
        <w:t>962</w:t>
      </w:r>
      <w:r>
        <w:rPr>
          <w:rFonts w:hint="eastAsia" w:ascii="仿宋" w:hAnsi="仿宋" w:eastAsia="仿宋" w:cs="仿宋"/>
          <w:b w:val="0"/>
          <w:bCs/>
          <w:sz w:val="30"/>
          <w:szCs w:val="30"/>
        </w:rPr>
        <w:t>万元，</w:t>
      </w:r>
      <w:r>
        <w:rPr>
          <w:rFonts w:hint="eastAsia" w:ascii="仿宋" w:hAnsi="仿宋" w:eastAsia="仿宋" w:cs="仿宋"/>
          <w:b w:val="0"/>
          <w:bCs/>
          <w:sz w:val="30"/>
          <w:szCs w:val="30"/>
          <w:lang w:eastAsia="zh-CN"/>
        </w:rPr>
        <w:t>年初制定的支出绩效目标总体完成情况良好，学校实现平稳运行，各项教育教学工作正常有序，学生，家长，社会满意度提高。</w:t>
      </w:r>
      <w:r>
        <w:rPr>
          <w:rFonts w:hint="eastAsia" w:ascii="仿宋" w:hAnsi="仿宋" w:eastAsia="仿宋" w:cs="仿宋"/>
          <w:color w:val="333333"/>
          <w:sz w:val="32"/>
          <w:szCs w:val="32"/>
          <w:lang w:val="en-US" w:eastAsia="zh-CN"/>
        </w:rPr>
        <w:t>2020年部门整体支出绩效评价单位自评得分为96分。</w:t>
      </w:r>
    </w:p>
    <w:p>
      <w:pPr>
        <w:widowControl/>
        <w:spacing w:line="600" w:lineRule="exact"/>
        <w:ind w:firstLine="645"/>
        <w:jc w:val="left"/>
        <w:rPr>
          <w:rFonts w:hint="eastAsia" w:ascii="仿宋" w:hAnsi="仿宋" w:eastAsia="仿宋" w:cs="仿宋"/>
          <w:color w:val="000000"/>
          <w:sz w:val="32"/>
          <w:szCs w:val="32"/>
          <w:lang w:eastAsia="zh-CN"/>
        </w:rPr>
      </w:pPr>
      <w:r>
        <w:rPr>
          <w:rFonts w:hint="eastAsia" w:ascii="仿宋" w:hAnsi="仿宋" w:eastAsia="仿宋" w:cs="仿宋"/>
          <w:b w:val="0"/>
          <w:bCs/>
          <w:sz w:val="30"/>
          <w:szCs w:val="30"/>
          <w:lang w:eastAsia="zh-CN"/>
        </w:rPr>
        <w:t>特别在学生营养餐专项资金的管理上，我校狠抓落实，从组织领导，采购流程痕迹管理，资金使用审核管理，食堂工作流程管理，营养餐台帐和营养餐专账标准化等全方位从严要求和管理，使营养餐专项资金做到了专款专用，最大限度用在学生营养午餐的食材保障上，学生营养餐好评度逐年提高，成为鹤城区学生营养餐示范校。</w:t>
      </w:r>
    </w:p>
    <w:p>
      <w:pPr>
        <w:pStyle w:val="10"/>
        <w:widowControl/>
        <w:numPr>
          <w:numId w:val="0"/>
        </w:numPr>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lang w:eastAsia="zh-CN"/>
        </w:rPr>
        <w:t>七、</w:t>
      </w:r>
      <w:r>
        <w:rPr>
          <w:rFonts w:hint="eastAsia" w:ascii="仿宋" w:hAnsi="仿宋" w:eastAsia="仿宋" w:cs="仿宋"/>
          <w:b/>
          <w:bCs/>
          <w:sz w:val="32"/>
          <w:szCs w:val="32"/>
        </w:rPr>
        <w:t>存在的问题及原因分析</w:t>
      </w:r>
    </w:p>
    <w:p>
      <w:pPr>
        <w:pStyle w:val="5"/>
        <w:spacing w:before="0" w:beforeAutospacing="0" w:after="0" w:afterAutospacing="0" w:line="480" w:lineRule="auto"/>
        <w:ind w:firstLine="640" w:firstLineChars="200"/>
        <w:rPr>
          <w:rFonts w:hint="eastAsia" w:ascii="仿宋" w:hAnsi="仿宋" w:eastAsia="仿宋" w:cs="仿宋"/>
          <w:sz w:val="32"/>
          <w:szCs w:val="32"/>
        </w:rPr>
      </w:pPr>
      <w:r>
        <w:rPr>
          <w:rFonts w:hint="eastAsia" w:ascii="仿宋" w:hAnsi="仿宋" w:eastAsia="仿宋" w:cs="仿宋"/>
          <w:color w:val="333333"/>
          <w:sz w:val="32"/>
          <w:szCs w:val="32"/>
          <w:lang w:val="en-US" w:eastAsia="zh-CN"/>
        </w:rPr>
        <w:t>1</w:t>
      </w:r>
      <w:r>
        <w:rPr>
          <w:rFonts w:hint="eastAsia" w:ascii="仿宋" w:hAnsi="仿宋" w:eastAsia="仿宋" w:cs="仿宋"/>
          <w:color w:val="333333"/>
          <w:sz w:val="32"/>
          <w:szCs w:val="32"/>
        </w:rPr>
        <w:t>、</w:t>
      </w:r>
      <w:r>
        <w:rPr>
          <w:rFonts w:hint="eastAsia" w:ascii="仿宋" w:hAnsi="仿宋" w:eastAsia="仿宋" w:cs="仿宋"/>
          <w:sz w:val="32"/>
          <w:szCs w:val="32"/>
        </w:rPr>
        <w:t>学校</w:t>
      </w:r>
      <w:r>
        <w:rPr>
          <w:rFonts w:hint="eastAsia" w:ascii="仿宋" w:hAnsi="仿宋" w:eastAsia="仿宋" w:cs="仿宋"/>
          <w:sz w:val="32"/>
          <w:szCs w:val="32"/>
          <w:lang w:val="en-US" w:eastAsia="zh-CN"/>
        </w:rPr>
        <w:t>的固定资产管理有待加强，下年度将加强人员配备，按要求逐步完善固定资产实物管理</w:t>
      </w:r>
      <w:r>
        <w:rPr>
          <w:rFonts w:hint="eastAsia" w:ascii="仿宋" w:hAnsi="仿宋" w:eastAsia="仿宋" w:cs="仿宋"/>
          <w:sz w:val="32"/>
          <w:szCs w:val="32"/>
        </w:rPr>
        <w:t>。</w:t>
      </w:r>
    </w:p>
    <w:p>
      <w:pPr>
        <w:pStyle w:val="5"/>
        <w:spacing w:before="0" w:beforeAutospacing="0" w:after="0" w:afterAutospacing="0" w:line="48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2、更加科学合理编制预算，今后努力学习预算制度，更加合理地编制预算。</w:t>
      </w:r>
    </w:p>
    <w:p>
      <w:pPr>
        <w:pStyle w:val="10"/>
        <w:widowControl/>
        <w:numPr>
          <w:ilvl w:val="0"/>
          <w:numId w:val="0"/>
        </w:numPr>
        <w:spacing w:line="600" w:lineRule="exact"/>
        <w:ind w:firstLine="640" w:firstLineChars="200"/>
        <w:jc w:val="left"/>
        <w:rPr>
          <w:rFonts w:hint="eastAsia" w:ascii="仿宋" w:hAnsi="仿宋" w:eastAsia="仿宋" w:cs="仿宋"/>
          <w:sz w:val="32"/>
          <w:szCs w:val="32"/>
          <w:lang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办公费支出，维修费支出与年初预算数有较大偏差，主要原因是做预算前没有征求各部门的意见，与实际情况有差距。</w:t>
      </w:r>
    </w:p>
    <w:p>
      <w:pPr>
        <w:widowControl/>
        <w:numPr>
          <w:numId w:val="0"/>
        </w:numPr>
        <w:spacing w:line="600" w:lineRule="exact"/>
        <w:jc w:val="left"/>
        <w:rPr>
          <w:rFonts w:hint="eastAsia" w:ascii="仿宋" w:hAnsi="仿宋" w:eastAsia="仿宋" w:cs="仿宋"/>
          <w:b/>
          <w:bCs/>
          <w:sz w:val="32"/>
          <w:szCs w:val="32"/>
        </w:rPr>
      </w:pPr>
      <w:r>
        <w:rPr>
          <w:rFonts w:hint="eastAsia" w:ascii="仿宋" w:hAnsi="仿宋" w:eastAsia="仿宋" w:cs="仿宋"/>
          <w:b/>
          <w:bCs/>
          <w:sz w:val="32"/>
          <w:szCs w:val="32"/>
          <w:lang w:eastAsia="zh-CN"/>
        </w:rPr>
        <w:t>八、</w:t>
      </w:r>
      <w:r>
        <w:rPr>
          <w:rFonts w:hint="eastAsia" w:ascii="仿宋" w:hAnsi="仿宋" w:eastAsia="仿宋" w:cs="仿宋"/>
          <w:b/>
          <w:bCs/>
          <w:sz w:val="32"/>
          <w:szCs w:val="32"/>
        </w:rPr>
        <w:t>下一步改进措施</w:t>
      </w:r>
      <w:r>
        <w:rPr>
          <w:rFonts w:hint="eastAsia" w:ascii="仿宋" w:hAnsi="仿宋" w:eastAsia="仿宋" w:cs="仿宋"/>
          <w:b/>
          <w:bCs/>
          <w:sz w:val="32"/>
          <w:szCs w:val="32"/>
          <w:lang w:val="en-US" w:eastAsia="zh-CN"/>
        </w:rPr>
        <w:t xml:space="preserve"> </w:t>
      </w:r>
    </w:p>
    <w:p>
      <w:pPr>
        <w:widowControl/>
        <w:numPr>
          <w:ilvl w:val="0"/>
          <w:numId w:val="2"/>
        </w:numPr>
        <w:spacing w:line="600" w:lineRule="exact"/>
        <w:ind w:left="630" w:leftChars="0" w:firstLineChars="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预算前增加各部门预算汇总上报环节；</w:t>
      </w:r>
    </w:p>
    <w:p>
      <w:pPr>
        <w:widowControl/>
        <w:numPr>
          <w:ilvl w:val="0"/>
          <w:numId w:val="2"/>
        </w:numPr>
        <w:spacing w:line="600" w:lineRule="exact"/>
        <w:ind w:left="630" w:leftChars="0" w:firstLineChars="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加强预算的前瞻性和指导性，提高预算的指导性作用。</w:t>
      </w:r>
    </w:p>
    <w:p>
      <w:pPr>
        <w:pStyle w:val="5"/>
        <w:spacing w:before="0" w:beforeAutospacing="0" w:after="0" w:afterAutospacing="0" w:line="480" w:lineRule="auto"/>
        <w:ind w:firstLine="640" w:firstLineChars="200"/>
        <w:rPr>
          <w:rFonts w:hint="eastAsia" w:ascii="仿宋" w:hAnsi="仿宋" w:eastAsia="仿宋" w:cs="仿宋"/>
          <w:color w:val="333333"/>
          <w:sz w:val="32"/>
          <w:szCs w:val="32"/>
          <w:lang w:eastAsia="zh-CN"/>
        </w:rPr>
      </w:pPr>
      <w:r>
        <w:rPr>
          <w:rFonts w:hint="eastAsia" w:ascii="仿宋" w:hAnsi="仿宋" w:eastAsia="仿宋" w:cs="仿宋"/>
          <w:color w:val="333333"/>
          <w:sz w:val="32"/>
          <w:szCs w:val="32"/>
          <w:lang w:val="en-US" w:eastAsia="zh-CN"/>
        </w:rPr>
        <w:t>3.</w:t>
      </w:r>
      <w:r>
        <w:rPr>
          <w:rFonts w:hint="eastAsia" w:ascii="仿宋" w:hAnsi="仿宋" w:eastAsia="仿宋" w:cs="仿宋"/>
          <w:color w:val="333333"/>
          <w:sz w:val="32"/>
          <w:szCs w:val="32"/>
          <w:lang w:eastAsia="zh-CN"/>
        </w:rPr>
        <w:t>加强</w:t>
      </w:r>
      <w:r>
        <w:rPr>
          <w:rFonts w:hint="eastAsia" w:ascii="仿宋" w:hAnsi="仿宋" w:eastAsia="仿宋" w:cs="仿宋"/>
          <w:color w:val="333333"/>
          <w:sz w:val="32"/>
          <w:szCs w:val="32"/>
          <w:lang w:val="en-US" w:eastAsia="zh-CN"/>
        </w:rPr>
        <w:t>资产管理，责任到人，跟兄弟学校学习取经。</w:t>
      </w:r>
    </w:p>
    <w:p>
      <w:pPr>
        <w:widowControl/>
        <w:numPr>
          <w:numId w:val="0"/>
        </w:numPr>
        <w:spacing w:line="600" w:lineRule="exact"/>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color w:val="333333"/>
          <w:sz w:val="32"/>
          <w:szCs w:val="32"/>
          <w:lang w:val="en-US" w:eastAsia="zh-CN"/>
        </w:rPr>
        <w:t>4.</w:t>
      </w:r>
      <w:r>
        <w:rPr>
          <w:rFonts w:hint="eastAsia" w:ascii="仿宋" w:hAnsi="仿宋" w:eastAsia="仿宋" w:cs="仿宋"/>
          <w:color w:val="333333"/>
          <w:sz w:val="32"/>
          <w:szCs w:val="32"/>
        </w:rPr>
        <w:t>加强</w:t>
      </w:r>
      <w:r>
        <w:rPr>
          <w:rFonts w:hint="eastAsia" w:ascii="仿宋" w:hAnsi="仿宋" w:eastAsia="仿宋" w:cs="仿宋"/>
          <w:color w:val="333333"/>
          <w:sz w:val="32"/>
          <w:szCs w:val="32"/>
          <w:lang w:val="en-US" w:eastAsia="zh-CN"/>
        </w:rPr>
        <w:t>相关人员业务培训，学习预算及</w:t>
      </w:r>
      <w:r>
        <w:rPr>
          <w:rFonts w:hint="eastAsia" w:ascii="仿宋" w:hAnsi="仿宋" w:eastAsia="仿宋" w:cs="仿宋"/>
          <w:color w:val="333333"/>
          <w:sz w:val="32"/>
          <w:szCs w:val="32"/>
        </w:rPr>
        <w:t>绩效评价管理</w:t>
      </w:r>
      <w:r>
        <w:rPr>
          <w:rFonts w:hint="eastAsia" w:ascii="仿宋" w:hAnsi="仿宋" w:eastAsia="仿宋" w:cs="仿宋"/>
          <w:color w:val="333333"/>
          <w:sz w:val="32"/>
          <w:szCs w:val="32"/>
          <w:lang w:val="en-US" w:eastAsia="zh-CN"/>
        </w:rPr>
        <w:t>水平，</w:t>
      </w:r>
      <w:r>
        <w:rPr>
          <w:rFonts w:hint="eastAsia" w:ascii="仿宋" w:hAnsi="仿宋" w:eastAsia="仿宋" w:cs="仿宋"/>
          <w:color w:val="333333"/>
          <w:sz w:val="32"/>
          <w:szCs w:val="32"/>
        </w:rPr>
        <w:t>提</w:t>
      </w:r>
      <w:r>
        <w:rPr>
          <w:rFonts w:hint="eastAsia" w:ascii="仿宋" w:hAnsi="仿宋" w:eastAsia="仿宋" w:cs="仿宋"/>
          <w:color w:val="333333"/>
          <w:sz w:val="32"/>
          <w:szCs w:val="32"/>
          <w:lang w:val="en-US" w:eastAsia="zh-CN"/>
        </w:rPr>
        <w:t>升</w:t>
      </w:r>
      <w:r>
        <w:rPr>
          <w:rFonts w:hint="eastAsia" w:ascii="仿宋" w:hAnsi="仿宋" w:eastAsia="仿宋" w:cs="仿宋"/>
          <w:color w:val="333333"/>
          <w:sz w:val="32"/>
          <w:szCs w:val="32"/>
        </w:rPr>
        <w:t>业务</w:t>
      </w:r>
      <w:r>
        <w:rPr>
          <w:rFonts w:hint="eastAsia" w:ascii="仿宋" w:hAnsi="仿宋" w:eastAsia="仿宋" w:cs="仿宋"/>
          <w:color w:val="333333"/>
          <w:sz w:val="32"/>
          <w:szCs w:val="32"/>
          <w:lang w:eastAsia="zh-CN"/>
        </w:rPr>
        <w:t>能力</w:t>
      </w:r>
      <w:r>
        <w:rPr>
          <w:rFonts w:hint="eastAsia" w:ascii="仿宋" w:hAnsi="仿宋" w:eastAsia="仿宋" w:cs="仿宋"/>
          <w:color w:val="333333"/>
          <w:sz w:val="32"/>
          <w:szCs w:val="32"/>
        </w:rPr>
        <w:t>。</w:t>
      </w:r>
    </w:p>
    <w:p>
      <w:pPr>
        <w:widowControl/>
        <w:spacing w:line="600" w:lineRule="exact"/>
        <w:jc w:val="left"/>
        <w:rPr>
          <w:rFonts w:hint="eastAsia" w:ascii="仿宋" w:hAnsi="仿宋" w:eastAsia="仿宋" w:cs="仿宋"/>
          <w:sz w:val="32"/>
          <w:szCs w:val="32"/>
        </w:rPr>
      </w:pPr>
    </w:p>
    <w:p>
      <w:pPr>
        <w:widowControl/>
        <w:jc w:val="left"/>
        <w:rPr>
          <w:rFonts w:hint="eastAsia" w:ascii="仿宋" w:hAnsi="仿宋" w:eastAsia="仿宋" w:cs="仿宋"/>
          <w:sz w:val="32"/>
          <w:szCs w:val="32"/>
        </w:rPr>
      </w:pPr>
    </w:p>
    <w:p>
      <w:pPr>
        <w:widowControl/>
        <w:jc w:val="left"/>
        <w:rPr>
          <w:rFonts w:eastAsia="黑体"/>
          <w:sz w:val="32"/>
          <w:szCs w:val="32"/>
        </w:rPr>
      </w:pPr>
    </w:p>
    <w:p>
      <w:pPr>
        <w:widowControl/>
        <w:jc w:val="left"/>
        <w:rPr>
          <w:rFonts w:eastAsia="黑体"/>
          <w:sz w:val="32"/>
          <w:szCs w:val="32"/>
        </w:rPr>
      </w:pPr>
    </w:p>
    <w:p>
      <w:pPr>
        <w:widowControl/>
        <w:spacing w:line="600" w:lineRule="exact"/>
        <w:jc w:val="left"/>
        <w:rPr>
          <w:rFonts w:hint="eastAsia" w:eastAsia="仿宋_GB2312"/>
          <w:sz w:val="32"/>
          <w:szCs w:val="32"/>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3CB80C"/>
    <w:multiLevelType w:val="singleLevel"/>
    <w:tmpl w:val="263CB80C"/>
    <w:lvl w:ilvl="0" w:tentative="0">
      <w:start w:val="1"/>
      <w:numFmt w:val="decimal"/>
      <w:lvlText w:val="%1."/>
      <w:lvlJc w:val="left"/>
      <w:pPr>
        <w:tabs>
          <w:tab w:val="left" w:pos="312"/>
        </w:tabs>
        <w:ind w:left="-10"/>
      </w:pPr>
    </w:lvl>
  </w:abstractNum>
  <w:abstractNum w:abstractNumId="1">
    <w:nsid w:val="61F06169"/>
    <w:multiLevelType w:val="singleLevel"/>
    <w:tmpl w:val="61F06169"/>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266637"/>
    <w:rsid w:val="0031755D"/>
    <w:rsid w:val="003711D0"/>
    <w:rsid w:val="00377767"/>
    <w:rsid w:val="00377A33"/>
    <w:rsid w:val="003E5114"/>
    <w:rsid w:val="004158EB"/>
    <w:rsid w:val="00426627"/>
    <w:rsid w:val="0047647C"/>
    <w:rsid w:val="004F60C9"/>
    <w:rsid w:val="005833DD"/>
    <w:rsid w:val="00595424"/>
    <w:rsid w:val="005A4AB0"/>
    <w:rsid w:val="00614437"/>
    <w:rsid w:val="006370F0"/>
    <w:rsid w:val="006811E5"/>
    <w:rsid w:val="006D0CBB"/>
    <w:rsid w:val="00731B5E"/>
    <w:rsid w:val="00786122"/>
    <w:rsid w:val="007B54D9"/>
    <w:rsid w:val="0087476C"/>
    <w:rsid w:val="00887C00"/>
    <w:rsid w:val="008A4834"/>
    <w:rsid w:val="008D7141"/>
    <w:rsid w:val="009D4AE4"/>
    <w:rsid w:val="00A045A1"/>
    <w:rsid w:val="00A070E1"/>
    <w:rsid w:val="00A317C9"/>
    <w:rsid w:val="00A75C37"/>
    <w:rsid w:val="00A93CF9"/>
    <w:rsid w:val="00AA700A"/>
    <w:rsid w:val="00B364CE"/>
    <w:rsid w:val="00BB6107"/>
    <w:rsid w:val="00BD1C3A"/>
    <w:rsid w:val="00C25716"/>
    <w:rsid w:val="00C3391C"/>
    <w:rsid w:val="00C344EC"/>
    <w:rsid w:val="00C364C0"/>
    <w:rsid w:val="00C4552C"/>
    <w:rsid w:val="00C72139"/>
    <w:rsid w:val="00C75FC8"/>
    <w:rsid w:val="00CC4C2C"/>
    <w:rsid w:val="00CD20A2"/>
    <w:rsid w:val="00D10324"/>
    <w:rsid w:val="00D6016D"/>
    <w:rsid w:val="00E127F9"/>
    <w:rsid w:val="00E50869"/>
    <w:rsid w:val="00EA0626"/>
    <w:rsid w:val="00F1432F"/>
    <w:rsid w:val="00F55CD7"/>
    <w:rsid w:val="00F83B39"/>
    <w:rsid w:val="00FC7FE9"/>
    <w:rsid w:val="00FE695A"/>
    <w:rsid w:val="012D2682"/>
    <w:rsid w:val="024667AE"/>
    <w:rsid w:val="02761916"/>
    <w:rsid w:val="046D2837"/>
    <w:rsid w:val="0740546E"/>
    <w:rsid w:val="08361BE3"/>
    <w:rsid w:val="08C61326"/>
    <w:rsid w:val="0A1337FD"/>
    <w:rsid w:val="0B4329D9"/>
    <w:rsid w:val="0B8024A8"/>
    <w:rsid w:val="0C264632"/>
    <w:rsid w:val="0CD403C9"/>
    <w:rsid w:val="0F637AD1"/>
    <w:rsid w:val="11B9480B"/>
    <w:rsid w:val="126B2931"/>
    <w:rsid w:val="133C4B4F"/>
    <w:rsid w:val="13C577BA"/>
    <w:rsid w:val="13F45253"/>
    <w:rsid w:val="142A209E"/>
    <w:rsid w:val="15E642F9"/>
    <w:rsid w:val="15FB4E50"/>
    <w:rsid w:val="173D7402"/>
    <w:rsid w:val="178C66A6"/>
    <w:rsid w:val="190E7638"/>
    <w:rsid w:val="1AE323FA"/>
    <w:rsid w:val="1D6050AD"/>
    <w:rsid w:val="1EB21589"/>
    <w:rsid w:val="22D5443E"/>
    <w:rsid w:val="23AA1C09"/>
    <w:rsid w:val="25044C3C"/>
    <w:rsid w:val="250744AF"/>
    <w:rsid w:val="25923B2C"/>
    <w:rsid w:val="26696197"/>
    <w:rsid w:val="26D67E14"/>
    <w:rsid w:val="27CF75B9"/>
    <w:rsid w:val="2916266E"/>
    <w:rsid w:val="2A8C2991"/>
    <w:rsid w:val="2AEF5597"/>
    <w:rsid w:val="2AFF7AD9"/>
    <w:rsid w:val="2D560209"/>
    <w:rsid w:val="2D921465"/>
    <w:rsid w:val="2E3C54FF"/>
    <w:rsid w:val="30552B5E"/>
    <w:rsid w:val="316A5C33"/>
    <w:rsid w:val="320A3566"/>
    <w:rsid w:val="323A3859"/>
    <w:rsid w:val="331B76F8"/>
    <w:rsid w:val="34266E78"/>
    <w:rsid w:val="34D2081D"/>
    <w:rsid w:val="35BD034C"/>
    <w:rsid w:val="35D46C77"/>
    <w:rsid w:val="378700CB"/>
    <w:rsid w:val="385C1744"/>
    <w:rsid w:val="393C415C"/>
    <w:rsid w:val="3A93359B"/>
    <w:rsid w:val="3BA737C5"/>
    <w:rsid w:val="3E10566A"/>
    <w:rsid w:val="401224C3"/>
    <w:rsid w:val="41992FBA"/>
    <w:rsid w:val="41AE392D"/>
    <w:rsid w:val="428D2430"/>
    <w:rsid w:val="44AF03B1"/>
    <w:rsid w:val="469A44F5"/>
    <w:rsid w:val="47581A1A"/>
    <w:rsid w:val="47F10D7B"/>
    <w:rsid w:val="48231EE9"/>
    <w:rsid w:val="48801393"/>
    <w:rsid w:val="4C0840BB"/>
    <w:rsid w:val="4CA8108C"/>
    <w:rsid w:val="4E766130"/>
    <w:rsid w:val="4EC93230"/>
    <w:rsid w:val="50387B32"/>
    <w:rsid w:val="51BD5B0A"/>
    <w:rsid w:val="51DC3800"/>
    <w:rsid w:val="5AE32C21"/>
    <w:rsid w:val="5BDC2239"/>
    <w:rsid w:val="5D2872E4"/>
    <w:rsid w:val="5E242D9B"/>
    <w:rsid w:val="63296E3F"/>
    <w:rsid w:val="657D4EA5"/>
    <w:rsid w:val="66622FF9"/>
    <w:rsid w:val="668832AD"/>
    <w:rsid w:val="66965352"/>
    <w:rsid w:val="66CA2497"/>
    <w:rsid w:val="670F5F71"/>
    <w:rsid w:val="67B02EB2"/>
    <w:rsid w:val="683E144D"/>
    <w:rsid w:val="690B41D6"/>
    <w:rsid w:val="6A4768CB"/>
    <w:rsid w:val="6BB352B9"/>
    <w:rsid w:val="6BE515D1"/>
    <w:rsid w:val="6C73132E"/>
    <w:rsid w:val="6D4C33A3"/>
    <w:rsid w:val="6F1404E7"/>
    <w:rsid w:val="6F3E0444"/>
    <w:rsid w:val="6F686601"/>
    <w:rsid w:val="70BE55A1"/>
    <w:rsid w:val="72B8683E"/>
    <w:rsid w:val="73EF78F1"/>
    <w:rsid w:val="748A1E08"/>
    <w:rsid w:val="75714AAF"/>
    <w:rsid w:val="77674B9C"/>
    <w:rsid w:val="785958F5"/>
    <w:rsid w:val="789E132C"/>
    <w:rsid w:val="7AE31053"/>
    <w:rsid w:val="7B2304EB"/>
    <w:rsid w:val="7B394414"/>
    <w:rsid w:val="7B88664C"/>
    <w:rsid w:val="7C1D0D0B"/>
    <w:rsid w:val="7CC30C62"/>
    <w:rsid w:val="7F01318E"/>
    <w:rsid w:val="7F171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Subtitle"/>
    <w:basedOn w:val="1"/>
    <w:next w:val="1"/>
    <w:qFormat/>
    <w:uiPriority w:val="11"/>
    <w:pPr>
      <w:widowControl/>
      <w:adjustRightInd w:val="0"/>
      <w:snapToGrid w:val="0"/>
      <w:spacing w:before="240" w:after="60" w:line="312" w:lineRule="auto"/>
      <w:jc w:val="center"/>
      <w:outlineLvl w:val="1"/>
    </w:pPr>
    <w:rPr>
      <w:rFonts w:ascii="Cambria" w:hAnsi="Cambria" w:cs="Times New Roman"/>
      <w:b/>
      <w:bCs/>
      <w:kern w:val="28"/>
      <w:sz w:val="32"/>
      <w:szCs w:val="32"/>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3"/>
    <w:semiHidden/>
    <w:qFormat/>
    <w:uiPriority w:val="99"/>
    <w:rPr>
      <w:sz w:val="18"/>
      <w:szCs w:val="18"/>
    </w:rPr>
  </w:style>
  <w:style w:type="character" w:customStyle="1" w:styleId="9">
    <w:name w:val="页脚 Char"/>
    <w:basedOn w:val="7"/>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F8AC1B-1083-4D79-8AB0-CBF43A6D043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834</Words>
  <Characters>4760</Characters>
  <Lines>39</Lines>
  <Paragraphs>11</Paragraphs>
  <TotalTime>7</TotalTime>
  <ScaleCrop>false</ScaleCrop>
  <LinksUpToDate>false</LinksUpToDate>
  <CharactersWithSpaces>5583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勇者无敌</cp:lastModifiedBy>
  <cp:lastPrinted>2021-07-01T04:26:00Z</cp:lastPrinted>
  <dcterms:modified xsi:type="dcterms:W3CDTF">2021-06-26T07:28:31Z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446CBD340F884682BB297F23B57D500B</vt:lpwstr>
  </property>
</Properties>
</file>