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360" w:lineRule="exact"/>
        <w:jc w:val="center"/>
        <w:rPr>
          <w:rFonts w:eastAsia="楷体_GB2312"/>
          <w:bCs/>
          <w:kern w:val="0"/>
          <w:sz w:val="32"/>
          <w:szCs w:val="32"/>
        </w:rPr>
      </w:pPr>
      <w:r>
        <w:rPr>
          <w:rFonts w:hint="eastAsia" w:eastAsia="方正小标宋_GBK"/>
          <w:bCs/>
          <w:kern w:val="0"/>
          <w:sz w:val="32"/>
          <w:szCs w:val="32"/>
          <w:lang w:val="en-US" w:eastAsia="zh-CN"/>
        </w:rPr>
        <w:t>2021</w:t>
      </w:r>
      <w:r>
        <w:rPr>
          <w:rFonts w:hint="eastAsia" w:eastAsia="方正小标宋_GBK"/>
          <w:bCs/>
          <w:kern w:val="0"/>
          <w:sz w:val="32"/>
          <w:szCs w:val="32"/>
        </w:rPr>
        <w:t>年部门整体支出绩效目标表</w:t>
      </w:r>
    </w:p>
    <w:p>
      <w:pPr>
        <w:widowControl/>
        <w:tabs>
          <w:tab w:val="left" w:pos="2593"/>
        </w:tabs>
        <w:spacing w:line="360" w:lineRule="exact"/>
        <w:jc w:val="left"/>
        <w:rPr>
          <w:rFonts w:ascii="仿宋_GB2312" w:eastAsia="仿宋_GB2312"/>
          <w:kern w:val="0"/>
          <w:szCs w:val="21"/>
        </w:rPr>
      </w:pPr>
      <w:r>
        <w:rPr>
          <w:rFonts w:hint="eastAsia" w:ascii="仿宋_GB2312" w:eastAsia="仿宋_GB2312"/>
          <w:kern w:val="0"/>
          <w:sz w:val="24"/>
          <w:szCs w:val="21"/>
        </w:rPr>
        <w:t xml:space="preserve"> 填报单位：（盖章）</w:t>
      </w:r>
      <w:r>
        <w:rPr>
          <w:rFonts w:hint="eastAsia" w:ascii="仿宋_GB2312" w:eastAsia="仿宋_GB2312"/>
          <w:kern w:val="0"/>
          <w:sz w:val="24"/>
          <w:szCs w:val="21"/>
          <w:lang w:eastAsia="zh-CN"/>
        </w:rPr>
        <w:t>怀化市鹤城区人力资源服务中心</w:t>
      </w:r>
      <w:r>
        <w:rPr>
          <w:rFonts w:hint="eastAsia" w:ascii="仿宋_GB2312" w:eastAsia="仿宋_GB2312"/>
          <w:kern w:val="0"/>
          <w:szCs w:val="21"/>
        </w:rPr>
        <w:tab/>
      </w:r>
    </w:p>
    <w:tbl>
      <w:tblPr>
        <w:tblStyle w:val="4"/>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1147"/>
        <w:gridCol w:w="1521"/>
        <w:gridCol w:w="1272"/>
        <w:gridCol w:w="1112"/>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部门名称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lang w:eastAsia="zh-CN"/>
              </w:rPr>
              <w:t>怀化市鹤城区人力资源服务中心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年度预算申请</w:t>
            </w:r>
            <w:r>
              <w:rPr>
                <w:rFonts w:hint="eastAsia" w:ascii="仿宋_GB2312" w:eastAsia="仿宋_GB2312"/>
                <w:kern w:val="0"/>
                <w:szCs w:val="21"/>
              </w:rPr>
              <w:br w:type="textWrapping"/>
            </w:r>
            <w:r>
              <w:rPr>
                <w:rFonts w:hint="eastAsia" w:ascii="仿宋_GB2312" w:eastAsia="仿宋_GB2312"/>
                <w:kern w:val="0"/>
                <w:szCs w:val="21"/>
              </w:rPr>
              <w:t>（万元）</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资金总额：</w:t>
            </w:r>
            <w:r>
              <w:rPr>
                <w:rFonts w:hint="eastAsia" w:ascii="仿宋_GB2312" w:eastAsia="仿宋_GB2312"/>
                <w:kern w:val="0"/>
                <w:szCs w:val="21"/>
                <w:lang w:val="en-US" w:eastAsia="zh-CN"/>
              </w:rPr>
              <w:t>120.6万元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按收入性质分：</w:t>
            </w:r>
            <w:r>
              <w:rPr>
                <w:rFonts w:hint="eastAsia" w:ascii="仿宋_GB2312" w:eastAsia="仿宋_GB2312"/>
                <w:kern w:val="0"/>
                <w:szCs w:val="21"/>
                <w:lang w:val="en-US" w:eastAsia="zh-CN"/>
              </w:rPr>
              <w:t>120.6万元</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按支出性质分：</w:t>
            </w:r>
            <w:r>
              <w:rPr>
                <w:rFonts w:hint="eastAsia" w:ascii="仿宋_GB2312" w:eastAsia="仿宋_GB2312"/>
                <w:kern w:val="0"/>
                <w:szCs w:val="21"/>
                <w:lang w:val="en-US" w:eastAsia="zh-CN"/>
              </w:rPr>
              <w:t>120.6万元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一般公共预算：</w:t>
            </w:r>
            <w:r>
              <w:rPr>
                <w:rFonts w:hint="eastAsia" w:ascii="仿宋_GB2312" w:eastAsia="仿宋_GB2312"/>
                <w:kern w:val="0"/>
                <w:szCs w:val="21"/>
                <w:lang w:val="en-US" w:eastAsia="zh-CN"/>
              </w:rPr>
              <w:t>120.6万元</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基本支出：</w:t>
            </w:r>
            <w:r>
              <w:rPr>
                <w:rFonts w:hint="eastAsia" w:ascii="仿宋_GB2312" w:eastAsia="仿宋_GB2312"/>
                <w:kern w:val="0"/>
                <w:szCs w:val="21"/>
                <w:lang w:val="en-US" w:eastAsia="zh-CN"/>
              </w:rPr>
              <w:t>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政府性基金拨款：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 xml:space="preserve">       项目支出：</w:t>
            </w:r>
            <w:r>
              <w:rPr>
                <w:rFonts w:hint="eastAsia" w:ascii="仿宋_GB2312" w:eastAsia="仿宋_GB2312"/>
                <w:kern w:val="0"/>
                <w:szCs w:val="21"/>
                <w:lang w:val="en-US" w:eastAsia="zh-CN"/>
              </w:rPr>
              <w:t>23.4万元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纳入专户管理的非税收入拨款：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其他资金：</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部门职能</w:t>
            </w:r>
          </w:p>
          <w:p>
            <w:pPr>
              <w:widowControl/>
              <w:spacing w:line="360" w:lineRule="exact"/>
              <w:jc w:val="center"/>
              <w:rPr>
                <w:rFonts w:ascii="仿宋_GB2312" w:eastAsia="仿宋_GB2312"/>
                <w:kern w:val="0"/>
                <w:szCs w:val="21"/>
              </w:rPr>
            </w:pPr>
            <w:r>
              <w:rPr>
                <w:rFonts w:hint="eastAsia" w:ascii="仿宋_GB2312" w:eastAsia="仿宋_GB2312"/>
                <w:kern w:val="0"/>
                <w:szCs w:val="21"/>
              </w:rPr>
              <w:t>职责概述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rPr>
                <w:rFonts w:ascii="仿宋_GB2312" w:eastAsia="仿宋_GB2312"/>
                <w:kern w:val="0"/>
                <w:szCs w:val="21"/>
              </w:rPr>
            </w:pPr>
            <w:r>
              <w:rPr>
                <w:rFonts w:hint="eastAsia" w:ascii="仿宋" w:hAnsi="仿宋" w:eastAsia="仿宋" w:cs="仿宋"/>
                <w:color w:val="333333"/>
                <w:sz w:val="21"/>
                <w:szCs w:val="21"/>
                <w:shd w:val="clear" w:color="auto" w:fill="FFFFFF"/>
              </w:rPr>
              <w:t>职业介绍、职业指导、职业培训、流动人员人事档案管理和人力资源服务代理、劳动争议调解、人力资源和社会保障法规政策宣传。设置就业困难人员服务专门通道、贫困人员服务专门通道和高校毕业生服务专门通道、劳务协作招聘专区为上述人员提供一对一服务。并根据用工单位的需求，开展信息发布、委托招聘、专场招聘、中高级人才招聘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整体绩效目标</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人力资源服务中心围绕“民生为本、人才兴区”这一工作主线，突出“公共就业和人才服务”这一主责主业，聚力促就业，扎实搞服务，精心管档案，注重抓党建和工会工作。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部门整体支出</w:t>
            </w:r>
          </w:p>
          <w:p>
            <w:pPr>
              <w:spacing w:line="360" w:lineRule="exact"/>
              <w:jc w:val="center"/>
              <w:rPr>
                <w:rFonts w:ascii="仿宋_GB2312" w:eastAsia="仿宋_GB2312"/>
                <w:kern w:val="0"/>
                <w:szCs w:val="21"/>
              </w:rPr>
            </w:pPr>
            <w:r>
              <w:rPr>
                <w:rFonts w:hint="eastAsia" w:ascii="仿宋_GB2312" w:eastAsia="仿宋_GB2312"/>
                <w:kern w:val="0"/>
                <w:szCs w:val="21"/>
              </w:rPr>
              <w:t>年度绩效指标</w:t>
            </w:r>
          </w:p>
        </w:tc>
        <w:tc>
          <w:tcPr>
            <w:tcW w:w="11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一级指标</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二级指标</w:t>
            </w:r>
          </w:p>
        </w:tc>
        <w:tc>
          <w:tcPr>
            <w:tcW w:w="238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三级指标</w:t>
            </w:r>
          </w:p>
        </w:tc>
        <w:tc>
          <w:tcPr>
            <w:tcW w:w="262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指标值及单位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产出指标</w:t>
            </w:r>
          </w:p>
        </w:tc>
        <w:tc>
          <w:tcPr>
            <w:tcW w:w="1521"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数量指标</w:t>
            </w: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hint="eastAsia" w:eastAsia="仿宋_GB2312"/>
                <w:color w:val="000000" w:themeColor="text1"/>
                <w:kern w:val="0"/>
                <w:szCs w:val="21"/>
                <w:lang w:eastAsia="zh-CN"/>
              </w:rPr>
            </w:pPr>
            <w:r>
              <w:rPr>
                <w:rFonts w:hint="eastAsia" w:eastAsia="仿宋_GB2312"/>
                <w:color w:val="000000" w:themeColor="text1"/>
                <w:kern w:val="0"/>
                <w:szCs w:val="21"/>
                <w:lang w:eastAsia="zh-CN"/>
              </w:rPr>
              <w:t>举办线下现场</w:t>
            </w:r>
            <w:r>
              <w:rPr>
                <w:rFonts w:hint="eastAsia" w:eastAsia="仿宋_GB2312"/>
                <w:color w:val="000000" w:themeColor="text1"/>
                <w:kern w:val="0"/>
                <w:szCs w:val="21"/>
              </w:rPr>
              <w:t>招聘会</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45-52场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center"/>
              <w:rPr>
                <w:rFonts w:ascii="仿宋_GB2312" w:eastAsia="仿宋_GB2312"/>
                <w:kern w:val="0"/>
                <w:szCs w:val="21"/>
              </w:rPr>
            </w:pPr>
          </w:p>
        </w:tc>
        <w:tc>
          <w:tcPr>
            <w:tcW w:w="1521" w:type="dxa"/>
            <w:vMerge w:val="continue"/>
            <w:tcBorders>
              <w:left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hint="eastAsia" w:ascii="仿宋_GB2312" w:hAnsi="Times New Roman" w:eastAsia="仿宋_GB2312" w:cs="Times New Roman"/>
                <w:kern w:val="0"/>
                <w:sz w:val="21"/>
                <w:szCs w:val="21"/>
                <w:lang w:val="en-US" w:eastAsia="zh-CN" w:bidi="ar-SA"/>
              </w:rPr>
            </w:pPr>
            <w:r>
              <w:rPr>
                <w:rFonts w:hint="eastAsia" w:eastAsia="仿宋_GB2312"/>
                <w:color w:val="000000" w:themeColor="text1"/>
                <w:kern w:val="0"/>
                <w:szCs w:val="21"/>
                <w:lang w:eastAsia="zh-CN"/>
              </w:rPr>
              <w:t>举办线上网络</w:t>
            </w:r>
            <w:r>
              <w:rPr>
                <w:rFonts w:hint="eastAsia" w:eastAsia="仿宋_GB2312"/>
                <w:color w:val="000000" w:themeColor="text1"/>
                <w:kern w:val="0"/>
                <w:szCs w:val="21"/>
              </w:rPr>
              <w:t>招聘会</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Times New Roman" w:eastAsia="仿宋_GB2312" w:cs="Times New Roman"/>
                <w:kern w:val="0"/>
                <w:sz w:val="21"/>
                <w:szCs w:val="21"/>
                <w:lang w:val="en-US" w:eastAsia="zh-CN" w:bidi="ar-SA"/>
              </w:rPr>
            </w:pPr>
            <w:r>
              <w:rPr>
                <w:rFonts w:hint="eastAsia" w:ascii="仿宋_GB2312" w:eastAsia="仿宋_GB2312"/>
                <w:kern w:val="0"/>
                <w:szCs w:val="21"/>
                <w:lang w:val="en-US" w:eastAsia="zh-CN"/>
              </w:rPr>
              <w:t>20</w:t>
            </w:r>
            <w:r>
              <w:rPr>
                <w:rFonts w:hint="eastAsia" w:ascii="仿宋_GB2312" w:eastAsia="仿宋_GB2312"/>
                <w:kern w:val="0"/>
                <w:szCs w:val="21"/>
              </w:rPr>
              <w:t>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center"/>
              <w:rPr>
                <w:rFonts w:ascii="仿宋_GB2312" w:eastAsia="仿宋_GB2312"/>
                <w:kern w:val="0"/>
                <w:szCs w:val="21"/>
              </w:rPr>
            </w:pPr>
          </w:p>
        </w:tc>
        <w:tc>
          <w:tcPr>
            <w:tcW w:w="1521" w:type="dxa"/>
            <w:vMerge w:val="continue"/>
            <w:tcBorders>
              <w:left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84" w:type="dxa"/>
            <w:gridSpan w:val="2"/>
            <w:tcBorders>
              <w:top w:val="single" w:color="auto" w:sz="4" w:space="0"/>
              <w:left w:val="single" w:color="auto" w:sz="4" w:space="0"/>
              <w:right w:val="single" w:color="auto" w:sz="4" w:space="0"/>
            </w:tcBorders>
            <w:vAlign w:val="center"/>
          </w:tcPr>
          <w:p>
            <w:pPr>
              <w:widowControl/>
              <w:spacing w:line="320" w:lineRule="exact"/>
              <w:jc w:val="center"/>
              <w:rPr>
                <w:rFonts w:hint="eastAsia" w:ascii="Times New Roman" w:hAnsi="Times New Roman" w:eastAsia="仿宋_GB2312" w:cs="Times New Roman"/>
                <w:color w:val="000000" w:themeColor="text1"/>
                <w:kern w:val="0"/>
                <w:sz w:val="21"/>
                <w:szCs w:val="21"/>
                <w:lang w:val="en-US" w:eastAsia="zh-CN" w:bidi="ar-SA"/>
              </w:rPr>
            </w:pPr>
            <w:r>
              <w:rPr>
                <w:rFonts w:hint="eastAsia" w:eastAsia="仿宋_GB2312"/>
                <w:color w:val="000000" w:themeColor="text1"/>
                <w:kern w:val="0"/>
                <w:szCs w:val="21"/>
              </w:rPr>
              <w:t>开展</w:t>
            </w:r>
            <w:r>
              <w:rPr>
                <w:rFonts w:hint="eastAsia" w:eastAsia="仿宋_GB2312"/>
                <w:color w:val="000000" w:themeColor="text1"/>
                <w:kern w:val="0"/>
                <w:szCs w:val="21"/>
                <w:lang w:eastAsia="zh-CN"/>
              </w:rPr>
              <w:t>公益活动</w:t>
            </w:r>
          </w:p>
        </w:tc>
        <w:tc>
          <w:tcPr>
            <w:tcW w:w="262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1050" w:firstLineChars="500"/>
              <w:jc w:val="both"/>
              <w:rPr>
                <w:rFonts w:ascii="Times New Roman" w:hAnsi="Times New Roman" w:eastAsia="仿宋_GB2312" w:cs="Times New Roman"/>
                <w:color w:val="000000" w:themeColor="text1"/>
                <w:kern w:val="0"/>
                <w:sz w:val="21"/>
                <w:szCs w:val="21"/>
                <w:lang w:val="en-US" w:eastAsia="zh-CN" w:bidi="ar-SA"/>
              </w:rPr>
            </w:pPr>
            <w:r>
              <w:rPr>
                <w:rFonts w:hint="eastAsia" w:eastAsia="仿宋_GB2312"/>
                <w:color w:val="000000" w:themeColor="text1"/>
                <w:kern w:val="0"/>
                <w:szCs w:val="21"/>
                <w:lang w:val="en-US" w:eastAsia="zh-CN"/>
              </w:rPr>
              <w:t>12</w:t>
            </w:r>
            <w:r>
              <w:rPr>
                <w:rFonts w:hint="eastAsia" w:eastAsia="仿宋_GB2312"/>
                <w:color w:val="000000" w:themeColor="text1"/>
                <w:kern w:val="0"/>
                <w:szCs w:val="21"/>
              </w:rPr>
              <w:t>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center"/>
              <w:rPr>
                <w:rFonts w:ascii="仿宋_GB2312" w:eastAsia="仿宋_GB2312"/>
                <w:kern w:val="0"/>
                <w:szCs w:val="21"/>
              </w:rPr>
            </w:pPr>
          </w:p>
        </w:tc>
        <w:tc>
          <w:tcPr>
            <w:tcW w:w="1521" w:type="dxa"/>
            <w:vMerge w:val="continue"/>
            <w:tcBorders>
              <w:left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84" w:type="dxa"/>
            <w:gridSpan w:val="2"/>
            <w:tcBorders>
              <w:top w:val="single" w:color="auto" w:sz="4" w:space="0"/>
              <w:left w:val="single" w:color="auto" w:sz="4" w:space="0"/>
              <w:right w:val="single" w:color="auto" w:sz="4" w:space="0"/>
            </w:tcBorders>
            <w:vAlign w:val="center"/>
          </w:tcPr>
          <w:p>
            <w:pPr>
              <w:widowControl/>
              <w:spacing w:line="320" w:lineRule="exact"/>
              <w:jc w:val="center"/>
              <w:rPr>
                <w:rFonts w:hint="eastAsia" w:eastAsia="仿宋_GB2312"/>
                <w:color w:val="000000" w:themeColor="text1"/>
                <w:kern w:val="0"/>
                <w:szCs w:val="21"/>
                <w:lang w:eastAsia="zh-CN"/>
              </w:rPr>
            </w:pPr>
            <w:r>
              <w:rPr>
                <w:rFonts w:hint="eastAsia" w:eastAsia="仿宋_GB2312"/>
                <w:color w:val="000000" w:themeColor="text1"/>
                <w:kern w:val="0"/>
                <w:szCs w:val="21"/>
                <w:lang w:eastAsia="zh-CN"/>
              </w:rPr>
              <w:t>高校、工业园、社区举办专场招聘会</w:t>
            </w:r>
          </w:p>
        </w:tc>
        <w:tc>
          <w:tcPr>
            <w:tcW w:w="262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1050" w:firstLineChars="500"/>
              <w:jc w:val="both"/>
              <w:rPr>
                <w:rFonts w:hint="default" w:eastAsia="仿宋_GB2312"/>
                <w:color w:val="000000" w:themeColor="text1"/>
                <w:kern w:val="0"/>
                <w:szCs w:val="21"/>
                <w:lang w:val="en-US" w:eastAsia="zh-CN"/>
              </w:rPr>
            </w:pPr>
            <w:r>
              <w:rPr>
                <w:rFonts w:hint="eastAsia" w:eastAsia="仿宋_GB2312"/>
                <w:color w:val="000000" w:themeColor="text1"/>
                <w:kern w:val="0"/>
                <w:szCs w:val="21"/>
                <w:lang w:val="en-US" w:eastAsia="zh-CN"/>
              </w:rPr>
              <w:t>2场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center"/>
              <w:rPr>
                <w:rFonts w:ascii="仿宋_GB2312" w:eastAsia="仿宋_GB2312"/>
                <w:kern w:val="0"/>
                <w:szCs w:val="21"/>
              </w:rPr>
            </w:pPr>
          </w:p>
        </w:tc>
        <w:tc>
          <w:tcPr>
            <w:tcW w:w="1521" w:type="dxa"/>
            <w:vMerge w:val="continue"/>
            <w:tcBorders>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84" w:type="dxa"/>
            <w:gridSpan w:val="2"/>
            <w:tcBorders>
              <w:top w:val="single" w:color="auto" w:sz="4" w:space="0"/>
              <w:left w:val="single" w:color="auto" w:sz="4" w:space="0"/>
              <w:right w:val="single" w:color="auto" w:sz="4" w:space="0"/>
            </w:tcBorders>
            <w:vAlign w:val="center"/>
          </w:tcPr>
          <w:p>
            <w:pPr>
              <w:widowControl/>
              <w:spacing w:line="320" w:lineRule="exact"/>
              <w:jc w:val="center"/>
              <w:rPr>
                <w:rFonts w:hint="eastAsia" w:eastAsia="仿宋_GB2312"/>
                <w:color w:val="000000" w:themeColor="text1"/>
                <w:kern w:val="0"/>
                <w:szCs w:val="21"/>
                <w:lang w:val="en-US" w:eastAsia="zh-CN"/>
              </w:rPr>
            </w:pPr>
            <w:r>
              <w:rPr>
                <w:rFonts w:hint="eastAsia" w:eastAsia="仿宋_GB2312"/>
                <w:color w:val="000000" w:themeColor="text1"/>
                <w:kern w:val="0"/>
                <w:szCs w:val="21"/>
                <w:lang w:val="en-US" w:eastAsia="zh-CN"/>
              </w:rPr>
              <w:t>管理流动人员</w:t>
            </w:r>
            <w:bookmarkStart w:id="0" w:name="_GoBack"/>
            <w:bookmarkEnd w:id="0"/>
            <w:r>
              <w:rPr>
                <w:rFonts w:hint="eastAsia" w:eastAsia="仿宋_GB2312"/>
                <w:color w:val="000000" w:themeColor="text1"/>
                <w:kern w:val="0"/>
                <w:szCs w:val="21"/>
                <w:lang w:val="en-US" w:eastAsia="zh-CN"/>
              </w:rPr>
              <w:t>人事档案</w:t>
            </w:r>
          </w:p>
        </w:tc>
        <w:tc>
          <w:tcPr>
            <w:tcW w:w="262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1050" w:firstLineChars="500"/>
              <w:jc w:val="both"/>
              <w:rPr>
                <w:rFonts w:hint="eastAsia" w:eastAsia="仿宋_GB2312"/>
                <w:color w:val="000000" w:themeColor="text1"/>
                <w:kern w:val="0"/>
                <w:szCs w:val="21"/>
                <w:lang w:val="en-US" w:eastAsia="zh-CN"/>
              </w:rPr>
            </w:pPr>
            <w:r>
              <w:rPr>
                <w:rFonts w:hint="eastAsia" w:eastAsia="仿宋_GB2312"/>
                <w:color w:val="000000" w:themeColor="text1"/>
                <w:kern w:val="0"/>
                <w:szCs w:val="21"/>
                <w:lang w:val="en-US" w:eastAsia="zh-CN"/>
              </w:rPr>
              <w:t>1000余份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质量指标</w:t>
            </w:r>
          </w:p>
        </w:tc>
        <w:tc>
          <w:tcPr>
            <w:tcW w:w="238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000000"/>
                <w:kern w:val="0"/>
                <w:sz w:val="21"/>
                <w:szCs w:val="21"/>
                <w:lang w:val="en-US" w:eastAsia="zh-CN" w:bidi="ar-SA"/>
              </w:rPr>
            </w:pPr>
            <w:r>
              <w:rPr>
                <w:rFonts w:hint="eastAsia" w:ascii="仿宋" w:hAnsi="仿宋" w:eastAsia="仿宋" w:cs="仿宋"/>
                <w:color w:val="000000"/>
                <w:kern w:val="0"/>
                <w:szCs w:val="21"/>
                <w:lang w:eastAsia="zh-CN"/>
              </w:rPr>
              <w:t>服务用工企业</w:t>
            </w:r>
          </w:p>
        </w:tc>
        <w:tc>
          <w:tcPr>
            <w:tcW w:w="2629" w:type="dxa"/>
            <w:tcBorders>
              <w:top w:val="single" w:color="auto" w:sz="4" w:space="0"/>
              <w:left w:val="single" w:color="auto" w:sz="4" w:space="0"/>
              <w:right w:val="single" w:color="auto" w:sz="4" w:space="0"/>
            </w:tcBorders>
            <w:vAlign w:val="center"/>
          </w:tcPr>
          <w:p>
            <w:pPr>
              <w:widowControl/>
              <w:spacing w:line="320" w:lineRule="exact"/>
              <w:jc w:val="center"/>
              <w:rPr>
                <w:rFonts w:hint="default" w:ascii="Times New Roman" w:hAnsi="Times New Roman" w:eastAsia="仿宋_GB2312" w:cs="Times New Roman"/>
                <w:color w:val="FF0000"/>
                <w:kern w:val="0"/>
                <w:sz w:val="21"/>
                <w:szCs w:val="21"/>
                <w:lang w:val="en-US" w:eastAsia="zh-CN" w:bidi="ar-SA"/>
              </w:rPr>
            </w:pPr>
            <w:r>
              <w:rPr>
                <w:rFonts w:hint="eastAsia" w:eastAsia="仿宋_GB2312"/>
                <w:b w:val="0"/>
                <w:bCs w:val="0"/>
                <w:color w:val="000000" w:themeColor="text1"/>
                <w:kern w:val="0"/>
                <w:szCs w:val="21"/>
                <w:lang w:val="en-US" w:eastAsia="zh-CN"/>
              </w:rPr>
              <w:t>3000家次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vMerge w:val="continue"/>
            <w:tcBorders>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84"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eastAsia" w:eastAsia="仿宋_GB2312"/>
                <w:color w:val="000000" w:themeColor="text1"/>
                <w:kern w:val="0"/>
                <w:szCs w:val="21"/>
                <w:lang w:eastAsia="zh-CN"/>
              </w:rPr>
            </w:pPr>
            <w:r>
              <w:rPr>
                <w:rFonts w:hint="eastAsia" w:eastAsia="仿宋_GB2312"/>
                <w:color w:val="000000" w:themeColor="text1"/>
                <w:kern w:val="0"/>
                <w:szCs w:val="21"/>
                <w:lang w:eastAsia="zh-CN"/>
              </w:rPr>
              <w:t>提供就业岗位</w:t>
            </w:r>
          </w:p>
        </w:tc>
        <w:tc>
          <w:tcPr>
            <w:tcW w:w="2629" w:type="dxa"/>
            <w:tcBorders>
              <w:top w:val="single" w:color="auto" w:sz="4" w:space="0"/>
              <w:left w:val="single" w:color="auto" w:sz="4" w:space="0"/>
              <w:right w:val="single" w:color="auto" w:sz="4" w:space="0"/>
            </w:tcBorders>
            <w:vAlign w:val="center"/>
          </w:tcPr>
          <w:p>
            <w:pPr>
              <w:widowControl/>
              <w:spacing w:line="320" w:lineRule="exact"/>
              <w:jc w:val="center"/>
              <w:rPr>
                <w:rFonts w:hint="default" w:ascii="仿宋" w:hAnsi="仿宋" w:eastAsia="仿宋" w:cs="仿宋"/>
                <w:color w:val="000000" w:themeColor="text1"/>
                <w:kern w:val="0"/>
                <w:sz w:val="21"/>
                <w:szCs w:val="21"/>
                <w:lang w:val="en-US" w:eastAsia="zh-CN"/>
              </w:rPr>
            </w:pPr>
            <w:r>
              <w:rPr>
                <w:rFonts w:hint="eastAsia" w:ascii="仿宋" w:hAnsi="仿宋" w:eastAsia="仿宋" w:cs="仿宋"/>
                <w:color w:val="000000" w:themeColor="text1"/>
                <w:kern w:val="0"/>
                <w:sz w:val="21"/>
                <w:szCs w:val="21"/>
                <w:lang w:val="en-US" w:eastAsia="zh-CN"/>
              </w:rPr>
              <w:t>100000个次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vMerge w:val="continue"/>
            <w:tcBorders>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84"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eastAsia" w:ascii="Times New Roman" w:hAnsi="Times New Roman" w:eastAsia="仿宋_GB2312" w:cs="Times New Roman"/>
                <w:color w:val="000000" w:themeColor="text1"/>
                <w:kern w:val="0"/>
                <w:sz w:val="21"/>
                <w:szCs w:val="21"/>
                <w:lang w:val="en-US" w:eastAsia="zh-CN" w:bidi="ar-SA"/>
              </w:rPr>
            </w:pPr>
            <w:r>
              <w:rPr>
                <w:rFonts w:hint="eastAsia" w:eastAsia="仿宋_GB2312"/>
                <w:color w:val="000000" w:themeColor="text1"/>
                <w:kern w:val="0"/>
                <w:szCs w:val="21"/>
                <w:lang w:eastAsia="zh-CN"/>
              </w:rPr>
              <w:t>求职人员达成就业意向</w:t>
            </w:r>
          </w:p>
        </w:tc>
        <w:tc>
          <w:tcPr>
            <w:tcW w:w="2629" w:type="dxa"/>
            <w:tcBorders>
              <w:top w:val="single" w:color="auto" w:sz="4" w:space="0"/>
              <w:left w:val="single" w:color="auto" w:sz="4" w:space="0"/>
              <w:right w:val="single" w:color="auto" w:sz="4" w:space="0"/>
            </w:tcBorders>
            <w:vAlign w:val="center"/>
          </w:tcPr>
          <w:p>
            <w:pPr>
              <w:widowControl/>
              <w:spacing w:line="320" w:lineRule="exact"/>
              <w:jc w:val="center"/>
              <w:rPr>
                <w:rFonts w:hint="default" w:ascii="Times New Roman" w:hAnsi="Times New Roman" w:eastAsia="仿宋_GB2312" w:cs="Times New Roman"/>
                <w:color w:val="000000" w:themeColor="text1"/>
                <w:kern w:val="0"/>
                <w:sz w:val="21"/>
                <w:szCs w:val="21"/>
                <w:lang w:val="en-US" w:eastAsia="zh-CN" w:bidi="ar-SA"/>
              </w:rPr>
            </w:pPr>
            <w:r>
              <w:rPr>
                <w:rFonts w:hint="eastAsia" w:ascii="仿宋" w:hAnsi="仿宋" w:eastAsia="仿宋" w:cs="仿宋"/>
                <w:color w:val="000000" w:themeColor="text1"/>
                <w:kern w:val="0"/>
                <w:sz w:val="21"/>
                <w:szCs w:val="21"/>
                <w:lang w:val="en-US" w:eastAsia="zh-CN"/>
              </w:rPr>
              <w:t>3000人/次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成本指标</w:t>
            </w: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人员经费</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85.04万元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vMerge w:val="continue"/>
            <w:tcBorders>
              <w:left w:val="single" w:color="auto" w:sz="4" w:space="0"/>
              <w:right w:val="single" w:color="auto" w:sz="4" w:space="0"/>
            </w:tcBorders>
            <w:vAlign w:val="center"/>
          </w:tcPr>
          <w:p>
            <w:pPr>
              <w:spacing w:line="360" w:lineRule="exact"/>
              <w:jc w:val="center"/>
              <w:rPr>
                <w:rFonts w:hint="eastAsia" w:ascii="仿宋_GB2312" w:eastAsia="仿宋_GB2312"/>
                <w:kern w:val="0"/>
                <w:szCs w:val="21"/>
              </w:rPr>
            </w:pP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公用经费</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10.73万元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vMerge w:val="continue"/>
            <w:tcBorders>
              <w:left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办公用房租金</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23.4万元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vMerge w:val="continue"/>
            <w:tcBorders>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rPr>
            </w:pP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差额人员养老、医疗单位部分</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1.43万元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时效指标</w:t>
            </w:r>
          </w:p>
        </w:tc>
        <w:tc>
          <w:tcPr>
            <w:tcW w:w="2384" w:type="dxa"/>
            <w:gridSpan w:val="2"/>
            <w:tcBorders>
              <w:top w:val="single" w:color="auto" w:sz="4" w:space="0"/>
              <w:left w:val="single" w:color="auto" w:sz="4" w:space="0"/>
              <w:right w:val="single" w:color="auto" w:sz="4" w:space="0"/>
            </w:tcBorders>
            <w:vAlign w:val="center"/>
          </w:tcPr>
          <w:p>
            <w:pPr>
              <w:widowControl/>
              <w:spacing w:line="320" w:lineRule="exact"/>
              <w:jc w:val="center"/>
              <w:rPr>
                <w:rFonts w:hint="eastAsia" w:eastAsia="仿宋_GB2312"/>
                <w:color w:val="000000" w:themeColor="text1"/>
                <w:kern w:val="0"/>
                <w:szCs w:val="21"/>
              </w:rPr>
            </w:pPr>
            <w:r>
              <w:rPr>
                <w:rFonts w:hint="eastAsia" w:eastAsia="仿宋_GB2312"/>
                <w:color w:val="000000" w:themeColor="text1"/>
                <w:kern w:val="0"/>
                <w:szCs w:val="21"/>
              </w:rPr>
              <w:t>就业</w:t>
            </w:r>
            <w:r>
              <w:rPr>
                <w:rFonts w:hint="eastAsia" w:eastAsia="仿宋_GB2312"/>
                <w:color w:val="000000" w:themeColor="text1"/>
                <w:kern w:val="0"/>
                <w:szCs w:val="21"/>
                <w:lang w:eastAsia="zh-CN"/>
              </w:rPr>
              <w:t>服务率</w:t>
            </w:r>
          </w:p>
        </w:tc>
        <w:tc>
          <w:tcPr>
            <w:tcW w:w="262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default" w:ascii="Times New Roman" w:hAnsi="Times New Roman" w:eastAsia="仿宋_GB2312" w:cs="Times New Roman"/>
                <w:color w:val="000000" w:themeColor="text1"/>
                <w:kern w:val="0"/>
                <w:sz w:val="21"/>
                <w:szCs w:val="21"/>
                <w:lang w:val="en-US" w:eastAsia="zh-CN" w:bidi="ar-SA"/>
              </w:rPr>
            </w:pPr>
            <w:r>
              <w:rPr>
                <w:rFonts w:hint="eastAsia" w:eastAsia="仿宋_GB2312" w:cs="Times New Roman"/>
                <w:color w:val="000000" w:themeColor="text1"/>
                <w:kern w:val="0"/>
                <w:sz w:val="21"/>
                <w:szCs w:val="21"/>
                <w:lang w:val="en-US" w:eastAsia="zh-CN" w:bidi="ar-SA"/>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vMerge w:val="continue"/>
            <w:tcBorders>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84" w:type="dxa"/>
            <w:gridSpan w:val="2"/>
            <w:tcBorders>
              <w:top w:val="single" w:color="auto" w:sz="4" w:space="0"/>
              <w:left w:val="single" w:color="auto" w:sz="4" w:space="0"/>
              <w:right w:val="single" w:color="auto" w:sz="4" w:space="0"/>
            </w:tcBorders>
            <w:vAlign w:val="center"/>
          </w:tcPr>
          <w:p>
            <w:pPr>
              <w:widowControl/>
              <w:spacing w:line="320" w:lineRule="exact"/>
              <w:jc w:val="center"/>
              <w:rPr>
                <w:rFonts w:hint="eastAsia" w:eastAsia="仿宋_GB2312"/>
                <w:color w:val="000000" w:themeColor="text1"/>
                <w:kern w:val="0"/>
                <w:szCs w:val="21"/>
                <w:lang w:eastAsia="zh-CN"/>
              </w:rPr>
            </w:pPr>
            <w:r>
              <w:rPr>
                <w:rFonts w:hint="eastAsia" w:eastAsia="仿宋_GB2312"/>
                <w:color w:val="000000" w:themeColor="text1"/>
                <w:kern w:val="0"/>
                <w:szCs w:val="21"/>
                <w:lang w:eastAsia="zh-CN"/>
              </w:rPr>
              <w:t>按时推进各项工作率</w:t>
            </w:r>
          </w:p>
        </w:tc>
        <w:tc>
          <w:tcPr>
            <w:tcW w:w="262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default" w:ascii="Times New Roman" w:hAnsi="Times New Roman" w:eastAsia="仿宋_GB2312" w:cs="Times New Roman"/>
                <w:color w:val="000000" w:themeColor="text1"/>
                <w:kern w:val="0"/>
                <w:sz w:val="21"/>
                <w:szCs w:val="21"/>
                <w:lang w:val="en-US" w:eastAsia="zh-CN" w:bidi="ar-SA"/>
              </w:rPr>
            </w:pPr>
            <w:r>
              <w:rPr>
                <w:rFonts w:hint="eastAsia" w:eastAsia="仿宋_GB2312" w:cs="Times New Roman"/>
                <w:color w:val="000000" w:themeColor="text1"/>
                <w:kern w:val="0"/>
                <w:sz w:val="21"/>
                <w:szCs w:val="21"/>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vMerge w:val="continue"/>
            <w:tcBorders>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384" w:type="dxa"/>
            <w:gridSpan w:val="2"/>
            <w:tcBorders>
              <w:top w:val="single" w:color="auto" w:sz="4" w:space="0"/>
              <w:left w:val="single" w:color="auto" w:sz="4" w:space="0"/>
              <w:right w:val="single" w:color="auto" w:sz="4" w:space="0"/>
            </w:tcBorders>
            <w:vAlign w:val="center"/>
          </w:tcPr>
          <w:p>
            <w:pPr>
              <w:widowControl/>
              <w:spacing w:line="320" w:lineRule="exact"/>
              <w:jc w:val="center"/>
              <w:rPr>
                <w:rFonts w:hint="eastAsia" w:ascii="Times New Roman" w:hAnsi="Times New Roman" w:eastAsia="仿宋_GB2312" w:cs="Times New Roman"/>
                <w:color w:val="000000" w:themeColor="text1"/>
                <w:kern w:val="0"/>
                <w:sz w:val="21"/>
                <w:szCs w:val="21"/>
                <w:lang w:val="en-US" w:eastAsia="zh-CN" w:bidi="ar-SA"/>
              </w:rPr>
            </w:pPr>
            <w:r>
              <w:rPr>
                <w:rFonts w:hint="eastAsia" w:eastAsia="仿宋_GB2312" w:cs="Times New Roman"/>
                <w:color w:val="000000" w:themeColor="text1"/>
                <w:kern w:val="0"/>
                <w:sz w:val="21"/>
                <w:szCs w:val="21"/>
                <w:lang w:val="en-US" w:eastAsia="zh-CN" w:bidi="ar-SA"/>
              </w:rPr>
              <w:t>预算执行率</w:t>
            </w:r>
          </w:p>
        </w:tc>
        <w:tc>
          <w:tcPr>
            <w:tcW w:w="2629"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default" w:ascii="Times New Roman" w:hAnsi="Times New Roman" w:eastAsia="仿宋_GB2312" w:cs="Times New Roman"/>
                <w:color w:val="000000" w:themeColor="text1"/>
                <w:kern w:val="0"/>
                <w:sz w:val="21"/>
                <w:szCs w:val="21"/>
                <w:lang w:val="en-US" w:eastAsia="zh-CN" w:bidi="ar-SA"/>
              </w:rPr>
            </w:pPr>
            <w:r>
              <w:rPr>
                <w:rFonts w:hint="eastAsia" w:eastAsia="仿宋_GB2312" w:cs="Times New Roman"/>
                <w:color w:val="000000" w:themeColor="text1"/>
                <w:kern w:val="0"/>
                <w:sz w:val="21"/>
                <w:szCs w:val="21"/>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效益指标</w:t>
            </w:r>
          </w:p>
        </w:tc>
        <w:tc>
          <w:tcPr>
            <w:tcW w:w="15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经济效益指标</w:t>
            </w: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就业、提供人才为社会创财富</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社会效益指标</w:t>
            </w: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eastAsia="仿宋_GB2312"/>
                <w:color w:val="auto"/>
                <w:kern w:val="0"/>
                <w:szCs w:val="21"/>
              </w:rPr>
              <w:t>就业意向成功率</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提高5%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生态效益指标</w:t>
            </w: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可持续影响指标</w:t>
            </w: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更加充分和更高质量的就业</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52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社会公众或服务对象满意度</w:t>
            </w:r>
          </w:p>
        </w:tc>
        <w:tc>
          <w:tcPr>
            <w:tcW w:w="2384" w:type="dxa"/>
            <w:gridSpan w:val="2"/>
            <w:tcBorders>
              <w:top w:val="single" w:color="auto" w:sz="4" w:space="0"/>
              <w:left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rPr>
              <w:t>中心工作人员、企业招聘及求职人员</w:t>
            </w:r>
            <w:r>
              <w:rPr>
                <w:rFonts w:hint="eastAsia" w:ascii="仿宋_GB2312" w:eastAsia="仿宋_GB2312"/>
                <w:kern w:val="0"/>
                <w:szCs w:val="21"/>
                <w:lang w:eastAsia="zh-CN"/>
              </w:rPr>
              <w:t>满意度</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100%</w:t>
            </w:r>
          </w:p>
        </w:tc>
      </w:tr>
    </w:tbl>
    <w:p>
      <w:pPr>
        <w:widowControl/>
        <w:tabs>
          <w:tab w:val="left" w:pos="1333"/>
          <w:tab w:val="left" w:pos="3793"/>
          <w:tab w:val="left" w:pos="5853"/>
        </w:tabs>
        <w:spacing w:line="360" w:lineRule="exact"/>
        <w:jc w:val="left"/>
        <w:rPr>
          <w:rFonts w:hint="eastAsia" w:ascii="仿宋_GB2312" w:eastAsia="仿宋_GB2312"/>
          <w:kern w:val="0"/>
          <w:szCs w:val="21"/>
        </w:rPr>
      </w:pPr>
    </w:p>
    <w:p>
      <w:pPr>
        <w:widowControl/>
        <w:tabs>
          <w:tab w:val="left" w:pos="1333"/>
          <w:tab w:val="left" w:pos="3793"/>
          <w:tab w:val="left" w:pos="5853"/>
        </w:tabs>
        <w:spacing w:line="360" w:lineRule="exact"/>
        <w:jc w:val="both"/>
        <w:rPr>
          <w:rFonts w:ascii="仿宋_GB2312" w:eastAsia="仿宋_GB2312"/>
          <w:kern w:val="0"/>
          <w:szCs w:val="21"/>
        </w:rPr>
      </w:pPr>
      <w:r>
        <w:rPr>
          <w:rFonts w:hint="eastAsia" w:ascii="仿宋_GB2312" w:eastAsia="仿宋_GB2312"/>
          <w:kern w:val="0"/>
          <w:szCs w:val="21"/>
        </w:rPr>
        <w:t>填表人：</w:t>
      </w:r>
      <w:r>
        <w:rPr>
          <w:rFonts w:hint="eastAsia" w:ascii="仿宋_GB2312" w:eastAsia="仿宋_GB2312"/>
          <w:kern w:val="0"/>
          <w:szCs w:val="21"/>
          <w:lang w:eastAsia="zh-CN"/>
        </w:rPr>
        <w:t>周亮</w:t>
      </w:r>
      <w:r>
        <w:rPr>
          <w:rFonts w:hint="eastAsia" w:ascii="仿宋_GB2312" w:eastAsia="仿宋_GB2312"/>
          <w:kern w:val="0"/>
          <w:szCs w:val="21"/>
        </w:rPr>
        <w:t xml:space="preserve">  联系电话：</w:t>
      </w:r>
      <w:r>
        <w:rPr>
          <w:rFonts w:hint="eastAsia" w:ascii="仿宋_GB2312" w:eastAsia="仿宋_GB2312"/>
          <w:kern w:val="0"/>
          <w:szCs w:val="21"/>
          <w:lang w:val="en-US" w:eastAsia="zh-CN"/>
        </w:rPr>
        <w:t>18244827777</w:t>
      </w:r>
      <w:r>
        <w:rPr>
          <w:rFonts w:hint="eastAsia" w:ascii="仿宋_GB2312" w:eastAsia="仿宋_GB2312"/>
          <w:kern w:val="0"/>
          <w:szCs w:val="21"/>
        </w:rPr>
        <w:t>填报日期：</w:t>
      </w:r>
      <w:r>
        <w:rPr>
          <w:rFonts w:hint="eastAsia" w:ascii="仿宋_GB2312" w:eastAsia="仿宋_GB2312"/>
          <w:kern w:val="0"/>
          <w:szCs w:val="21"/>
          <w:lang w:val="en-US" w:eastAsia="zh-CN"/>
        </w:rPr>
        <w:t>2021年1月28日</w:t>
      </w:r>
      <w:r>
        <w:rPr>
          <w:rFonts w:hint="eastAsia" w:ascii="仿宋_GB2312" w:eastAsia="仿宋_GB2312"/>
          <w:kern w:val="0"/>
          <w:szCs w:val="21"/>
        </w:rPr>
        <w:t xml:space="preserve"> 单位负责人签字：</w:t>
      </w:r>
    </w:p>
    <w:p>
      <w:pPr>
        <w:widowControl/>
        <w:spacing w:line="480" w:lineRule="exact"/>
        <w:jc w:val="center"/>
        <w:rPr>
          <w:rFonts w:eastAsia="方正小标宋_GBK"/>
          <w:sz w:val="30"/>
          <w:szCs w:val="30"/>
        </w:rPr>
      </w:pPr>
      <w:r>
        <w:rPr>
          <w:rFonts w:eastAsia="黑体"/>
          <w:kern w:val="0"/>
          <w:sz w:val="32"/>
          <w:szCs w:val="32"/>
        </w:rPr>
        <w:br w:type="page"/>
      </w:r>
      <w:r>
        <w:rPr>
          <w:rFonts w:hint="eastAsia" w:eastAsia="方正小标宋_GBK"/>
          <w:sz w:val="30"/>
          <w:szCs w:val="30"/>
        </w:rPr>
        <w:t>《部门整体支出绩效目标表》编报说明</w:t>
      </w:r>
    </w:p>
    <w:p>
      <w:pPr>
        <w:spacing w:line="480" w:lineRule="exact"/>
        <w:jc w:val="center"/>
        <w:rPr>
          <w:rFonts w:eastAsia="仿宋_GB2312"/>
          <w:b/>
          <w:sz w:val="30"/>
          <w:szCs w:val="30"/>
        </w:rPr>
      </w:pPr>
    </w:p>
    <w:p>
      <w:pPr>
        <w:spacing w:line="480" w:lineRule="exact"/>
        <w:ind w:firstLine="600" w:firstLineChars="200"/>
        <w:rPr>
          <w:rFonts w:eastAsia="黑体"/>
          <w:sz w:val="30"/>
          <w:szCs w:val="30"/>
        </w:rPr>
      </w:pPr>
      <w:r>
        <w:rPr>
          <w:rFonts w:hint="eastAsia" w:eastAsia="黑体"/>
          <w:sz w:val="30"/>
          <w:szCs w:val="30"/>
        </w:rPr>
        <w:t>一、基本信息</w:t>
      </w:r>
    </w:p>
    <w:p>
      <w:pPr>
        <w:spacing w:line="480" w:lineRule="exact"/>
        <w:ind w:firstLine="600" w:firstLineChars="200"/>
        <w:rPr>
          <w:rFonts w:eastAsia="仿宋_GB2312"/>
          <w:color w:val="000000"/>
          <w:kern w:val="0"/>
          <w:sz w:val="30"/>
          <w:szCs w:val="30"/>
        </w:rPr>
      </w:pPr>
      <w:r>
        <w:rPr>
          <w:sz w:val="30"/>
          <w:szCs w:val="30"/>
        </w:rPr>
        <w:t>1</w:t>
      </w:r>
      <w:r>
        <w:rPr>
          <w:rFonts w:hint="eastAsia"/>
          <w:sz w:val="30"/>
          <w:szCs w:val="30"/>
        </w:rPr>
        <w:t>、</w:t>
      </w:r>
      <w:r>
        <w:rPr>
          <w:rFonts w:hint="eastAsia" w:eastAsia="仿宋_GB2312"/>
          <w:color w:val="000000"/>
          <w:kern w:val="0"/>
          <w:sz w:val="30"/>
          <w:szCs w:val="30"/>
        </w:rPr>
        <w:t>填报单位（盖章）：加盖填报单位公章。</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、年度预算申请：填写部门年度预算资金总额，并按收入预算和支出预算分别填写（注：项目支出单个等于或超过40万元的还需每个单独填写项目支出绩效目标表）</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、部门职能职责概述：</w:t>
      </w:r>
      <w:r>
        <w:rPr>
          <w:rFonts w:hint="eastAsia" w:eastAsia="仿宋_GB2312"/>
          <w:sz w:val="30"/>
          <w:szCs w:val="30"/>
        </w:rPr>
        <w:t>简要描述本部门的主要职能职责。</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二、整体绩效目标</w:t>
      </w:r>
    </w:p>
    <w:p>
      <w:pPr>
        <w:spacing w:line="480" w:lineRule="exact"/>
        <w:ind w:firstLine="600" w:firstLineChars="200"/>
        <w:rPr>
          <w:rFonts w:eastAsia="仿宋_GB2312"/>
          <w:sz w:val="30"/>
          <w:szCs w:val="30"/>
        </w:rPr>
      </w:pPr>
      <w:r>
        <w:rPr>
          <w:rFonts w:hint="eastAsia" w:eastAsia="仿宋_GB2312"/>
          <w:sz w:val="30"/>
          <w:szCs w:val="30"/>
        </w:rPr>
        <w:t>预算部门根据各级党委、政府下达的工作任务及本部门发展规划，描述年度内部门使用预算资金达到的产出和效果。</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三、部门整体支出年度绩效指标</w:t>
      </w:r>
    </w:p>
    <w:p>
      <w:pPr>
        <w:spacing w:line="480" w:lineRule="exact"/>
        <w:ind w:firstLine="600" w:firstLineChars="200"/>
        <w:rPr>
          <w:rFonts w:eastAsia="仿宋_GB2312"/>
          <w:color w:val="000000"/>
          <w:kern w:val="0"/>
          <w:sz w:val="30"/>
          <w:szCs w:val="30"/>
        </w:rPr>
      </w:pPr>
      <w:r>
        <w:rPr>
          <w:rFonts w:hint="eastAsia" w:eastAsia="仿宋_GB2312"/>
          <w:color w:val="000000"/>
          <w:kern w:val="0"/>
          <w:sz w:val="30"/>
          <w:szCs w:val="30"/>
        </w:rPr>
        <w:t>部门整体支出年度绩效指标是对预算部门整体支出绩效目标的细化和量化，主要包括：</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1</w:t>
      </w:r>
      <w:r>
        <w:rPr>
          <w:rFonts w:hint="eastAsia" w:eastAsia="仿宋_GB2312"/>
          <w:color w:val="000000"/>
          <w:kern w:val="0"/>
          <w:sz w:val="30"/>
          <w:szCs w:val="30"/>
        </w:rPr>
        <w:t>、产出指标：反映部门根据既定目标计划完成的产品和服务情况。可进一步细分为：数量指标，反映部门计划完成的产品或服务数量；质量指标，反映部门计划提供产品或服务达到的标准、水平和效果；时效指标，反映部门计划提供产品或服务的及时程度和效率情况；成本指标，反映部门计划提供产品或服务所需成本。</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、效益指标：反映与既定绩效目标相关的、部门整体支出预期结果的实现程度和影响，包括经济效益指标、社会效益指标、生态效益指标、可持续影响指标、</w:t>
      </w:r>
      <w:r>
        <w:rPr>
          <w:rFonts w:hint="eastAsia" w:eastAsia="仿宋_GB2312"/>
          <w:sz w:val="30"/>
          <w:szCs w:val="30"/>
        </w:rPr>
        <w:t>社会公众或服务对象满意度指标</w:t>
      </w:r>
      <w:r>
        <w:rPr>
          <w:rFonts w:hint="eastAsia" w:eastAsia="仿宋_GB2312"/>
          <w:color w:val="000000"/>
          <w:kern w:val="0"/>
          <w:sz w:val="30"/>
          <w:szCs w:val="30"/>
        </w:rPr>
        <w:t>等。</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、实际操作中确定的部门整体支出绩效指标具体内容，各部门可根据预算绩效管理工作的需要，在上述指标中选取或做另行补充。</w:t>
      </w:r>
    </w:p>
    <w:p>
      <w:pPr>
        <w:spacing w:line="480" w:lineRule="exact"/>
        <w:ind w:firstLine="600" w:firstLineChars="200"/>
        <w:rPr>
          <w:rFonts w:eastAsia="仿宋_GB2312"/>
          <w:sz w:val="30"/>
          <w:szCs w:val="30"/>
        </w:rPr>
      </w:pPr>
    </w:p>
    <w:p>
      <w:pPr>
        <w:widowControl/>
        <w:jc w:val="left"/>
      </w:pPr>
      <w:r>
        <w:rPr>
          <w:rFonts w:eastAsia="仿宋_GB2312"/>
          <w:sz w:val="32"/>
          <w:szCs w:val="32"/>
        </w:rPr>
        <w:br w:type="page"/>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both"/>
      <w:rPr>
        <w:rFonts w:hint="default" w:eastAsiaTheme="minorEastAsia"/>
        <w:lang w:val="en-US" w:eastAsia="zh-CN"/>
      </w:rPr>
    </w:pPr>
    <w:r>
      <w:rPr>
        <w:rFonts w:hint="eastAsia"/>
        <w:lang w:val="en-US" w:eastAsia="zh-CN"/>
      </w:rPr>
      <w:t>附件3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10DE5"/>
    <w:rsid w:val="0002018B"/>
    <w:rsid w:val="007946D9"/>
    <w:rsid w:val="00810DE5"/>
    <w:rsid w:val="039400C5"/>
    <w:rsid w:val="04EE7421"/>
    <w:rsid w:val="2F366EEA"/>
    <w:rsid w:val="31723645"/>
    <w:rsid w:val="349D2F28"/>
    <w:rsid w:val="38B5527E"/>
    <w:rsid w:val="3D7E5CF1"/>
    <w:rsid w:val="3FC13F46"/>
    <w:rsid w:val="42735C53"/>
    <w:rsid w:val="486C496C"/>
    <w:rsid w:val="527F43A4"/>
    <w:rsid w:val="5A192E97"/>
    <w:rsid w:val="65C251FA"/>
    <w:rsid w:val="75FB4022"/>
    <w:rsid w:val="7A2729CE"/>
    <w:rsid w:val="7DF9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424</Words>
  <Characters>2422</Characters>
  <Lines>20</Lines>
  <Paragraphs>5</Paragraphs>
  <TotalTime>9</TotalTime>
  <ScaleCrop>false</ScaleCrop>
  <LinksUpToDate>false</LinksUpToDate>
  <CharactersWithSpaces>2841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2021-01-07T07:05:00Z</dcterms:created>
  <dc:creator>AutoBVT</dc:creator>
  <cp:lastModifiedBy>半透明sky</cp:lastModifiedBy>
  <cp:lastPrinted>2021-01-29T03:07:59Z</cp:lastPrinted>
  <dcterms:modified xsi:type="dcterms:W3CDTF">2021-01-29T03:08:01Z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