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100" w:line="360" w:lineRule="exact"/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hint="eastAsia" w:eastAsia="方正小标宋_GBK"/>
          <w:bCs/>
          <w:kern w:val="0"/>
          <w:sz w:val="32"/>
          <w:szCs w:val="32"/>
          <w:lang w:val="en-US" w:eastAsia="zh-CN"/>
        </w:rPr>
        <w:t>2021</w:t>
      </w:r>
      <w:r>
        <w:rPr>
          <w:rFonts w:hint="eastAsia" w:eastAsia="方正小标宋_GBK"/>
          <w:bCs/>
          <w:kern w:val="0"/>
          <w:sz w:val="32"/>
          <w:szCs w:val="32"/>
        </w:rPr>
        <w:t>年部门整体支出绩效目标表</w:t>
      </w:r>
    </w:p>
    <w:p>
      <w:pPr>
        <w:widowControl/>
        <w:tabs>
          <w:tab w:val="left" w:pos="2593"/>
        </w:tabs>
        <w:spacing w:line="360" w:lineRule="exact"/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 w:val="24"/>
          <w:szCs w:val="21"/>
        </w:rPr>
        <w:t xml:space="preserve"> 填报单位：</w:t>
      </w:r>
      <w:r>
        <w:rPr>
          <w:rFonts w:hint="eastAsia" w:ascii="仿宋_GB2312" w:eastAsia="仿宋_GB2312"/>
          <w:kern w:val="0"/>
          <w:sz w:val="24"/>
          <w:szCs w:val="21"/>
          <w:lang w:eastAsia="zh-CN"/>
        </w:rPr>
        <w:t>中共怀化市鹤城区委老干部服务中心</w:t>
      </w:r>
      <w:r>
        <w:rPr>
          <w:rFonts w:hint="eastAsia" w:ascii="仿宋_GB2312" w:eastAsia="仿宋_GB2312"/>
          <w:kern w:val="0"/>
          <w:sz w:val="24"/>
          <w:szCs w:val="21"/>
        </w:rPr>
        <w:t>（盖章）</w:t>
      </w:r>
      <w:r>
        <w:rPr>
          <w:rFonts w:hint="eastAsia" w:ascii="仿宋_GB2312" w:eastAsia="仿宋_GB2312"/>
          <w:kern w:val="0"/>
          <w:szCs w:val="21"/>
        </w:rPr>
        <w:tab/>
      </w:r>
    </w:p>
    <w:tbl>
      <w:tblPr>
        <w:tblStyle w:val="4"/>
        <w:tblW w:w="9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1147"/>
        <w:gridCol w:w="1708"/>
        <w:gridCol w:w="1085"/>
        <w:gridCol w:w="1112"/>
        <w:gridCol w:w="2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部门名称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 w:val="24"/>
                <w:szCs w:val="21"/>
                <w:lang w:eastAsia="zh-CN"/>
              </w:rPr>
              <w:t>中共怀化市鹤城区委老干部服务中心</w:t>
            </w:r>
            <w:r>
              <w:rPr>
                <w:rFonts w:hint="eastAsia" w:ascii="仿宋_GB2312" w:eastAsia="仿宋_GB2312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年度预算申请</w:t>
            </w:r>
            <w:r>
              <w:rPr>
                <w:rFonts w:hint="eastAsia" w:ascii="仿宋_GB2312" w:eastAsia="仿宋_GB2312"/>
                <w:kern w:val="0"/>
                <w:szCs w:val="21"/>
              </w:rPr>
              <w:br w:type="textWrapping"/>
            </w:r>
            <w:r>
              <w:rPr>
                <w:rFonts w:hint="eastAsia" w:ascii="仿宋_GB2312" w:eastAsia="仿宋_GB2312"/>
                <w:kern w:val="0"/>
                <w:szCs w:val="21"/>
              </w:rPr>
              <w:t>（万元）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资金总额：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2905090.60元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按收入性质分：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按支出性质分：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其中：  一般公共预算：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2905090.60元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其中： 基本支出：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1763017.52元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      政府性基金拨款：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      项目支出：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1142073.52元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纳入专户管理的非税收入拨款：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            其他资金：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部门职能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职责概述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1、贯彻执行党中央、国务院和省委、省政府关于老干部工作的方针、政策和法规，制订实施办法和细则；开展调查研究，为省委、省政府制订有关老干部工作的政策规定提供情况和依据。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2、负责对全省老干部工作的督查、指导和协调，督促老干部政治待遇和生活待遇的落实，组织指导老干部开展活动、发挥作用。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3、指导、督查离退休干部的党组织建设，开展老干部思想政治工作，加强老干部的学习教育。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4、负责老干部和老干部工作的宣传，开展尊老、敬老、爱老活动，依法维护老干部的合法权益。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5、指导全省老干部工作部门的自身建设工作。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6、按照有关规定，做好来湘老干部的接待服务工作。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7、承担省老干部工作领导小组办公室的日常工作。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8、承担省关心下一代工作委员会的日常工作。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9、负责对所属事业单位的国有资产和财务进行管理和监督，充分发挥各种场地和设施的作用，发展老干部事业。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10、承担省委离退休干部工委办公室的日常管理工作</w:t>
            </w:r>
          </w:p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11、承办省委和省委组织部交办的其他事项。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整体绩效目标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以习近平新时代中国特色社会主义思想为指导，深入贯彻党的十九大和十九届二中、三中全会精神，认真贯彻全国组织部长会议和全国老干部局长会议精神，不忘初心、牢记使命，树牢“四个意识”、坚定“四个自信”、坚决做到“两个维护”，坚持稳中求进工作总基调，着力推进离退休干部党的建设，着力发挥老干部优势和作用，着力优化服务保障工作，着力加强信息化、精准化、规范化建设，推动老干部工作高质量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部门整体支出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年度绩效指标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一级指标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二级指标</w:t>
            </w: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三级指标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产出指标</w:t>
            </w:r>
          </w:p>
        </w:tc>
        <w:tc>
          <w:tcPr>
            <w:tcW w:w="1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数量指标</w:t>
            </w: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微软雅黑" w:hAnsi="微软雅黑" w:eastAsia="微软雅黑" w:cs="微软雅黑"/>
                <w:color w:val="333333"/>
                <w:sz w:val="18"/>
                <w:szCs w:val="18"/>
              </w:rPr>
              <w:t>指标1：对老干部住院慰问、吊唁、生日祝寿。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微软雅黑"/>
                <w:kern w:val="0"/>
                <w:szCs w:val="21"/>
                <w:lang w:eastAsia="zh-CN"/>
              </w:rPr>
            </w:pPr>
            <w:r>
              <w:rPr>
                <w:rFonts w:ascii="微软雅黑" w:hAnsi="微软雅黑" w:eastAsia="微软雅黑" w:cs="微软雅黑"/>
                <w:color w:val="333333"/>
                <w:sz w:val="18"/>
                <w:szCs w:val="18"/>
              </w:rPr>
              <w:t>指标2：对老红军、离退休干部及遗孀，春节和半年度走访慰问，出省看望，特困帮扶，住院看望</w:t>
            </w:r>
            <w:r>
              <w:rPr>
                <w:rFonts w:hint="eastAsia" w:ascii="微软雅黑" w:hAnsi="微软雅黑" w:eastAsia="微软雅黑" w:cs="微软雅黑"/>
                <w:color w:val="333333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质量指标</w:t>
            </w: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服务质量达标率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90%以上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行政审批标准规范性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90%以上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成本指标</w:t>
            </w: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基本支出项目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1763017.52元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项目支出项目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1142073.52元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时效指标</w:t>
            </w: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项目实施期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2021年1月至2021年12月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支付及时率</w:t>
            </w:r>
          </w:p>
        </w:tc>
        <w:tc>
          <w:tcPr>
            <w:tcW w:w="262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预算执行率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效益指标</w:t>
            </w:r>
          </w:p>
        </w:tc>
        <w:tc>
          <w:tcPr>
            <w:tcW w:w="1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经济效益指标</w:t>
            </w:r>
          </w:p>
        </w:tc>
        <w:tc>
          <w:tcPr>
            <w:tcW w:w="21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微软雅黑" w:hAnsi="微软雅黑" w:eastAsia="微软雅黑" w:cs="微软雅黑"/>
                <w:color w:val="333333"/>
                <w:sz w:val="18"/>
                <w:szCs w:val="18"/>
              </w:rPr>
              <w:t>进一步丰富了老干部的精神文化生活，老有所乐；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color w:val="333333"/>
                <w:sz w:val="18"/>
                <w:szCs w:val="18"/>
              </w:rPr>
              <w:t>进一步传播了老干部的社会正能量，老有所为</w:t>
            </w:r>
          </w:p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</w:p>
        </w:tc>
        <w:tc>
          <w:tcPr>
            <w:tcW w:w="26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90%以上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社会效益指标</w:t>
            </w:r>
          </w:p>
        </w:tc>
        <w:tc>
          <w:tcPr>
            <w:tcW w:w="219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6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生态效益指标</w:t>
            </w:r>
          </w:p>
        </w:tc>
        <w:tc>
          <w:tcPr>
            <w:tcW w:w="219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</w:p>
        </w:tc>
        <w:tc>
          <w:tcPr>
            <w:tcW w:w="26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可持续影响指标</w:t>
            </w: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离退休老干</w:t>
            </w:r>
            <w:r>
              <w:rPr>
                <w:rFonts w:hint="eastAsia"/>
              </w:rPr>
              <w:t>服务实现覆盖率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服务质量体系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社会公众或服务对象满意度</w:t>
            </w: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color w:val="333333"/>
                <w:sz w:val="18"/>
                <w:szCs w:val="18"/>
              </w:rPr>
              <w:t>老干部非常满意还有些老同志写感谢信，送锦旗等方式来表达他们的心意。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90%以上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1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ascii="微软雅黑" w:hAnsi="微软雅黑" w:eastAsia="微软雅黑" w:cs="微软雅黑"/>
                <w:color w:val="333333"/>
                <w:sz w:val="18"/>
                <w:szCs w:val="18"/>
              </w:rPr>
              <w:t>社会公众对老干部活动中心、老年大学非常满意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90%以上</w:t>
            </w:r>
          </w:p>
        </w:tc>
      </w:tr>
    </w:tbl>
    <w:tbl>
      <w:tblPr>
        <w:tblStyle w:val="5"/>
        <w:tblpPr w:leftFromText="180" w:rightFromText="180" w:vertAnchor="text" w:tblpX="10214" w:tblpY="-8517"/>
        <w:tblOverlap w:val="never"/>
        <w:tblW w:w="5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"/>
        <w:gridCol w:w="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9" w:type="dxa"/>
          <w:trHeight w:val="30" w:hRule="atLeast"/>
        </w:trPr>
        <w:tc>
          <w:tcPr>
            <w:tcW w:w="234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spacing w:line="360" w:lineRule="exact"/>
              <w:jc w:val="both"/>
              <w:rPr>
                <w:rFonts w:hint="eastAsia" w:ascii="仿宋_GB2312" w:eastAsia="仿宋_GB2312"/>
                <w:kern w:val="0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543" w:type="dxa"/>
            <w:gridSpan w:val="2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spacing w:line="360" w:lineRule="exact"/>
              <w:jc w:val="both"/>
              <w:rPr>
                <w:rFonts w:hint="eastAsia" w:ascii="仿宋_GB2312" w:eastAsia="仿宋_GB2312"/>
                <w:kern w:val="0"/>
                <w:szCs w:val="21"/>
                <w:vertAlign w:val="baseline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spacing w:line="360" w:lineRule="exact"/>
        <w:jc w:val="both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 xml:space="preserve">填表人： </w:t>
      </w:r>
      <w:r>
        <w:rPr>
          <w:rFonts w:hint="eastAsia" w:ascii="仿宋_GB2312" w:eastAsia="仿宋_GB2312"/>
          <w:kern w:val="0"/>
          <w:szCs w:val="21"/>
          <w:lang w:eastAsia="zh-CN"/>
        </w:rPr>
        <w:t>夏小燕</w:t>
      </w:r>
      <w:r>
        <w:rPr>
          <w:rFonts w:hint="eastAsia" w:ascii="仿宋_GB2312" w:eastAsia="仿宋_GB2312"/>
          <w:kern w:val="0"/>
          <w:szCs w:val="21"/>
        </w:rPr>
        <w:t xml:space="preserve"> 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13548994800</w:t>
      </w:r>
      <w:r>
        <w:rPr>
          <w:rFonts w:hint="eastAsia" w:ascii="仿宋_GB2312" w:eastAsia="仿宋_GB2312"/>
          <w:kern w:val="0"/>
          <w:szCs w:val="21"/>
        </w:rPr>
        <w:t xml:space="preserve">   填报日期： 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2021/1/26</w:t>
      </w:r>
      <w:r>
        <w:rPr>
          <w:rFonts w:hint="eastAsia" w:ascii="仿宋_GB2312" w:eastAsia="仿宋_GB2312"/>
          <w:kern w:val="0"/>
          <w:szCs w:val="21"/>
        </w:rPr>
        <w:t>单位负责人：</w:t>
      </w:r>
      <w:r>
        <w:rPr>
          <w:rFonts w:hint="eastAsia" w:ascii="仿宋_GB2312" w:eastAsia="仿宋_GB2312"/>
          <w:kern w:val="0"/>
          <w:szCs w:val="21"/>
          <w:lang w:eastAsia="zh-CN"/>
        </w:rPr>
        <w:t>张艳娟</w:t>
      </w:r>
    </w:p>
    <w:p>
      <w:pPr>
        <w:spacing w:line="480" w:lineRule="exact"/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both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附件3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DE5"/>
    <w:rsid w:val="0002018B"/>
    <w:rsid w:val="007946D9"/>
    <w:rsid w:val="00810DE5"/>
    <w:rsid w:val="03566F20"/>
    <w:rsid w:val="039400C5"/>
    <w:rsid w:val="11FD5C02"/>
    <w:rsid w:val="141A105F"/>
    <w:rsid w:val="2E917699"/>
    <w:rsid w:val="2FDF020B"/>
    <w:rsid w:val="30912927"/>
    <w:rsid w:val="36C937E1"/>
    <w:rsid w:val="3D501428"/>
    <w:rsid w:val="44E042DE"/>
    <w:rsid w:val="57346DC8"/>
    <w:rsid w:val="5C1D2A0E"/>
    <w:rsid w:val="5FC54F48"/>
    <w:rsid w:val="65DA1F7E"/>
    <w:rsid w:val="7A27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FollowedHyperlink"/>
    <w:basedOn w:val="6"/>
    <w:semiHidden/>
    <w:unhideWhenUsed/>
    <w:uiPriority w:val="99"/>
    <w:rPr>
      <w:color w:val="333333"/>
      <w:u w:val="none"/>
    </w:rPr>
  </w:style>
  <w:style w:type="character" w:styleId="8">
    <w:name w:val="Emphasis"/>
    <w:basedOn w:val="6"/>
    <w:qFormat/>
    <w:uiPriority w:val="20"/>
    <w:rPr>
      <w:i/>
    </w:rPr>
  </w:style>
  <w:style w:type="character" w:styleId="9">
    <w:name w:val="Hyperlink"/>
    <w:basedOn w:val="6"/>
    <w:semiHidden/>
    <w:unhideWhenUsed/>
    <w:uiPriority w:val="99"/>
    <w:rPr>
      <w:color w:val="333333"/>
      <w:u w:val="none"/>
    </w:rPr>
  </w:style>
  <w:style w:type="character" w:customStyle="1" w:styleId="10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2">
    <w:name w:val="bsharetext"/>
    <w:basedOn w:val="6"/>
    <w:qFormat/>
    <w:uiPriority w:val="0"/>
  </w:style>
  <w:style w:type="character" w:customStyle="1" w:styleId="13">
    <w:name w:val="hover1"/>
    <w:basedOn w:val="6"/>
    <w:qFormat/>
    <w:uiPriority w:val="0"/>
    <w:rPr>
      <w:color w:val="000000"/>
      <w:shd w:val="clear" w:fill="FFFFFF"/>
    </w:rPr>
  </w:style>
  <w:style w:type="character" w:customStyle="1" w:styleId="14">
    <w:name w:val="wx-space"/>
    <w:basedOn w:val="6"/>
    <w:qFormat/>
    <w:uiPriority w:val="0"/>
  </w:style>
  <w:style w:type="character" w:customStyle="1" w:styleId="15">
    <w:name w:val="wx-space1"/>
    <w:basedOn w:val="6"/>
    <w:qFormat/>
    <w:uiPriority w:val="0"/>
  </w:style>
  <w:style w:type="character" w:customStyle="1" w:styleId="16">
    <w:name w:val="time"/>
    <w:basedOn w:val="6"/>
    <w:qFormat/>
    <w:uiPriority w:val="0"/>
    <w:rPr>
      <w:color w:val="999999"/>
      <w:sz w:val="18"/>
      <w:szCs w:val="18"/>
    </w:rPr>
  </w:style>
  <w:style w:type="character" w:customStyle="1" w:styleId="17">
    <w:name w:val="time1"/>
    <w:basedOn w:val="6"/>
    <w:qFormat/>
    <w:uiPriority w:val="0"/>
    <w:rPr>
      <w:color w:val="333333"/>
      <w:bdr w:val="single" w:color="FFFFFF" w:sz="6" w:space="0"/>
    </w:rPr>
  </w:style>
  <w:style w:type="character" w:customStyle="1" w:styleId="18">
    <w:name w:val="newsimg"/>
    <w:basedOn w:val="6"/>
    <w:uiPriority w:val="0"/>
  </w:style>
  <w:style w:type="character" w:customStyle="1" w:styleId="19">
    <w:name w:val="hover27"/>
    <w:basedOn w:val="6"/>
    <w:uiPriority w:val="0"/>
    <w:rPr>
      <w:color w:val="000000"/>
      <w:shd w:val="clear" w:fill="FFFFFF"/>
    </w:rPr>
  </w:style>
  <w:style w:type="character" w:customStyle="1" w:styleId="20">
    <w:name w:val="hover26"/>
    <w:basedOn w:val="6"/>
    <w:qFormat/>
    <w:uiPriority w:val="0"/>
    <w:rPr>
      <w:color w:val="000000"/>
      <w:shd w:val="clear" w:fill="FFFFF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424</Words>
  <Characters>2422</Characters>
  <Lines>20</Lines>
  <Paragraphs>5</Paragraphs>
  <TotalTime>3</TotalTime>
  <ScaleCrop>false</ScaleCrop>
  <LinksUpToDate>false</LinksUpToDate>
  <CharactersWithSpaces>2841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2021-01-07T07:05:00Z</dcterms:created>
  <dc:creator>AutoBVT</dc:creator>
  <cp:lastModifiedBy>Administrator</cp:lastModifiedBy>
  <cp:lastPrinted>2021-01-08T01:38:00Z</cp:lastPrinted>
  <dcterms:modified xsi:type="dcterms:W3CDTF">2021-02-01T01:59:19Z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